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Jetties Act 1926</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Jetties Regulations 1940</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11 October 2013</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Jetties Regulations 1940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_Toc375231016 \h </w:instrText>
      </w:r>
      <w:r>
        <w:fldChar w:fldCharType="separate"/>
      </w:r>
      <w:r>
        <w:t>1</w:t>
      </w:r>
      <w:r>
        <w:fldChar w:fldCharType="end"/>
      </w:r>
    </w:p>
    <w:p>
      <w:pPr>
        <w:pStyle w:val="TOC8"/>
        <w:rPr>
          <w:rFonts w:asciiTheme="minorHAnsi" w:eastAsiaTheme="minorEastAsia" w:hAnsiTheme="minorHAnsi" w:cstheme="minorBidi"/>
          <w:szCs w:val="22"/>
        </w:rPr>
      </w:pPr>
      <w:r>
        <w:t>2.</w:t>
      </w:r>
      <w:r>
        <w:tab/>
        <w:t>Liability for dues, charges and fees</w:t>
      </w:r>
      <w:r>
        <w:tab/>
      </w:r>
      <w:r>
        <w:fldChar w:fldCharType="begin"/>
      </w:r>
      <w:r>
        <w:instrText xml:space="preserve"> PAGEREF _Toc375231017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_Toc375231018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1 — Regulations applying to jetties controlled by the Department</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Application of this Part</w:t>
      </w:r>
    </w:p>
    <w:p>
      <w:pPr>
        <w:pStyle w:val="TOC8"/>
        <w:rPr>
          <w:rFonts w:asciiTheme="minorHAnsi" w:eastAsiaTheme="minorEastAsia" w:hAnsiTheme="minorHAnsi" w:cstheme="minorBidi"/>
          <w:szCs w:val="22"/>
        </w:rPr>
      </w:pPr>
      <w:r>
        <w:t>3A</w:t>
      </w:r>
      <w:r>
        <w:rPr>
          <w:snapToGrid w:val="0"/>
        </w:rPr>
        <w:t>.</w:t>
      </w:r>
      <w:r>
        <w:rPr>
          <w:snapToGrid w:val="0"/>
        </w:rPr>
        <w:tab/>
        <w:t>Application</w:t>
      </w:r>
      <w:r>
        <w:tab/>
      </w:r>
      <w:r>
        <w:fldChar w:fldCharType="begin"/>
      </w:r>
      <w:r>
        <w:instrText xml:space="preserve"> PAGEREF _Toc375231021 \h </w:instrText>
      </w:r>
      <w:r>
        <w:fldChar w:fldCharType="separate"/>
      </w:r>
      <w:r>
        <w:t>4</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Arrival and movement of vessels</w:t>
      </w:r>
    </w:p>
    <w:p>
      <w:pPr>
        <w:pStyle w:val="TOC8"/>
        <w:rPr>
          <w:rFonts w:asciiTheme="minorHAnsi" w:eastAsiaTheme="minorEastAsia" w:hAnsiTheme="minorHAnsi" w:cstheme="minorBidi"/>
          <w:szCs w:val="22"/>
        </w:rPr>
      </w:pPr>
      <w:r>
        <w:t>4</w:t>
      </w:r>
      <w:r>
        <w:rPr>
          <w:snapToGrid w:val="0"/>
        </w:rPr>
        <w:t>.</w:t>
      </w:r>
      <w:r>
        <w:rPr>
          <w:snapToGrid w:val="0"/>
        </w:rPr>
        <w:tab/>
        <w:t>Master or agent to report arrival</w:t>
      </w:r>
      <w:r>
        <w:tab/>
      </w:r>
      <w:r>
        <w:fldChar w:fldCharType="begin"/>
      </w:r>
      <w:r>
        <w:instrText xml:space="preserve"> PAGEREF _Toc375231023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Vessels to change berths</w:t>
      </w:r>
      <w:r>
        <w:tab/>
      </w:r>
      <w:r>
        <w:fldChar w:fldCharType="begin"/>
      </w:r>
      <w:r>
        <w:instrText xml:space="preserve"> PAGEREF _Toc375231024 \h </w:instrText>
      </w:r>
      <w:r>
        <w:fldChar w:fldCharType="separate"/>
      </w:r>
      <w:r>
        <w:t>4</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Berthing dues</w:t>
      </w:r>
    </w:p>
    <w:p>
      <w:pPr>
        <w:pStyle w:val="TOC8"/>
        <w:rPr>
          <w:rFonts w:asciiTheme="minorHAnsi" w:eastAsiaTheme="minorEastAsia" w:hAnsiTheme="minorHAnsi" w:cstheme="minorBidi"/>
          <w:szCs w:val="22"/>
        </w:rPr>
      </w:pPr>
      <w:r>
        <w:t>6</w:t>
      </w:r>
      <w:r>
        <w:rPr>
          <w:snapToGrid w:val="0"/>
        </w:rPr>
        <w:t>.</w:t>
      </w:r>
      <w:r>
        <w:rPr>
          <w:snapToGrid w:val="0"/>
        </w:rPr>
        <w:tab/>
        <w:t>Berthing dues to be charged</w:t>
      </w:r>
      <w:r>
        <w:tab/>
      </w:r>
      <w:r>
        <w:fldChar w:fldCharType="begin"/>
      </w:r>
      <w:r>
        <w:instrText xml:space="preserve"> PAGEREF _Toc375231026 \h </w:instrText>
      </w:r>
      <w:r>
        <w:fldChar w:fldCharType="separate"/>
      </w:r>
      <w:r>
        <w:t>5</w:t>
      </w:r>
      <w:r>
        <w:fldChar w:fldCharType="end"/>
      </w:r>
    </w:p>
    <w:p>
      <w:pPr>
        <w:pStyle w:val="TOC8"/>
        <w:rPr>
          <w:rFonts w:asciiTheme="minorHAnsi" w:eastAsiaTheme="minorEastAsia" w:hAnsiTheme="minorHAnsi" w:cstheme="minorBidi"/>
          <w:szCs w:val="22"/>
        </w:rPr>
      </w:pPr>
      <w:r>
        <w:t>6A.</w:t>
      </w:r>
      <w:r>
        <w:tab/>
        <w:t>Requirement to pay berthing dues</w:t>
      </w:r>
      <w:r>
        <w:tab/>
      </w:r>
      <w:r>
        <w:fldChar w:fldCharType="begin"/>
      </w:r>
      <w:r>
        <w:instrText xml:space="preserve"> PAGEREF _Toc375231027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Computation of berthing dues</w:t>
      </w:r>
      <w:r>
        <w:tab/>
      </w:r>
      <w:r>
        <w:fldChar w:fldCharType="begin"/>
      </w:r>
      <w:r>
        <w:instrText xml:space="preserve"> PAGEREF _Toc375231028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Inwards manifests</w:t>
      </w:r>
      <w:r>
        <w:tab/>
      </w:r>
      <w:r>
        <w:fldChar w:fldCharType="begin"/>
      </w:r>
      <w:r>
        <w:instrText xml:space="preserve"> PAGEREF _Toc375231029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Outwards manifests</w:t>
      </w:r>
      <w:r>
        <w:tab/>
      </w:r>
      <w:r>
        <w:fldChar w:fldCharType="begin"/>
      </w:r>
      <w:r>
        <w:instrText xml:space="preserve"> PAGEREF _Toc375231030 \h </w:instrText>
      </w:r>
      <w:r>
        <w:fldChar w:fldCharType="separate"/>
      </w:r>
      <w:r>
        <w:t>6</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Wharfage dues, handling and haulage charges</w:t>
      </w:r>
    </w:p>
    <w:p>
      <w:pPr>
        <w:pStyle w:val="TOC8"/>
        <w:rPr>
          <w:rFonts w:asciiTheme="minorHAnsi" w:eastAsiaTheme="minorEastAsia" w:hAnsiTheme="minorHAnsi" w:cstheme="minorBidi"/>
          <w:szCs w:val="22"/>
        </w:rPr>
      </w:pPr>
      <w:r>
        <w:t>10A</w:t>
      </w:r>
      <w:r>
        <w:rPr>
          <w:snapToGrid w:val="0"/>
        </w:rPr>
        <w:t>.</w:t>
      </w:r>
      <w:r>
        <w:rPr>
          <w:snapToGrid w:val="0"/>
        </w:rPr>
        <w:tab/>
        <w:t>Payment of dues and charges</w:t>
      </w:r>
      <w:r>
        <w:tab/>
      </w:r>
      <w:r>
        <w:fldChar w:fldCharType="begin"/>
      </w:r>
      <w:r>
        <w:instrText xml:space="preserve"> PAGEREF _Toc375231032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Charges for transhipment cargo</w:t>
      </w:r>
      <w:r>
        <w:tab/>
      </w:r>
      <w:r>
        <w:fldChar w:fldCharType="begin"/>
      </w:r>
      <w:r>
        <w:instrText xml:space="preserve"> PAGEREF _Toc375231033 \h </w:instrText>
      </w:r>
      <w:r>
        <w:fldChar w:fldCharType="separate"/>
      </w:r>
      <w:r>
        <w:t>7</w:t>
      </w:r>
      <w:r>
        <w:fldChar w:fldCharType="end"/>
      </w:r>
    </w:p>
    <w:p>
      <w:pPr>
        <w:pStyle w:val="TOC8"/>
        <w:rPr>
          <w:rFonts w:asciiTheme="minorHAnsi" w:eastAsiaTheme="minorEastAsia" w:hAnsiTheme="minorHAnsi" w:cstheme="minorBidi"/>
          <w:szCs w:val="22"/>
        </w:rPr>
      </w:pPr>
      <w:r>
        <w:t>11B</w:t>
      </w:r>
      <w:r>
        <w:rPr>
          <w:snapToGrid w:val="0"/>
        </w:rPr>
        <w:t>.</w:t>
      </w:r>
      <w:r>
        <w:rPr>
          <w:snapToGrid w:val="0"/>
        </w:rPr>
        <w:tab/>
        <w:t>Charges on vessels’ stores, including fuel oil</w:t>
      </w:r>
      <w:r>
        <w:tab/>
      </w:r>
      <w:r>
        <w:fldChar w:fldCharType="begin"/>
      </w:r>
      <w:r>
        <w:instrText xml:space="preserve"> PAGEREF _Toc375231034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Charges to be paid before delivery of cargo</w:t>
      </w:r>
      <w:r>
        <w:tab/>
      </w:r>
      <w:r>
        <w:fldChar w:fldCharType="begin"/>
      </w:r>
      <w:r>
        <w:instrText xml:space="preserve"> PAGEREF _Toc375231035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Extra charges</w:t>
      </w:r>
      <w:r>
        <w:tab/>
      </w:r>
      <w:r>
        <w:fldChar w:fldCharType="begin"/>
      </w:r>
      <w:r>
        <w:instrText xml:space="preserve"> PAGEREF _Toc375231036 \h </w:instrText>
      </w:r>
      <w:r>
        <w:fldChar w:fldCharType="separate"/>
      </w:r>
      <w:r>
        <w:t>9</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Handling of cargo</w:t>
      </w:r>
    </w:p>
    <w:p>
      <w:pPr>
        <w:pStyle w:val="TOC8"/>
        <w:rPr>
          <w:rFonts w:asciiTheme="minorHAnsi" w:eastAsiaTheme="minorEastAsia" w:hAnsiTheme="minorHAnsi" w:cstheme="minorBidi"/>
          <w:szCs w:val="22"/>
        </w:rPr>
      </w:pPr>
      <w:r>
        <w:t>14</w:t>
      </w:r>
      <w:r>
        <w:rPr>
          <w:snapToGrid w:val="0"/>
        </w:rPr>
        <w:t>.</w:t>
      </w:r>
      <w:r>
        <w:rPr>
          <w:snapToGrid w:val="0"/>
        </w:rPr>
        <w:tab/>
        <w:t>Cargo not to be placed on jetties or premises without authority</w:t>
      </w:r>
      <w:r>
        <w:tab/>
      </w:r>
      <w:r>
        <w:fldChar w:fldCharType="begin"/>
      </w:r>
      <w:r>
        <w:instrText xml:space="preserve"> PAGEREF _Toc375231038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Discharging of cargo may be stopped</w:t>
      </w:r>
      <w:r>
        <w:tab/>
      </w:r>
      <w:r>
        <w:fldChar w:fldCharType="begin"/>
      </w:r>
      <w:r>
        <w:instrText xml:space="preserve"> PAGEREF _Toc375231039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Goods not to be shifted without authority</w:t>
      </w:r>
      <w:r>
        <w:tab/>
      </w:r>
      <w:r>
        <w:fldChar w:fldCharType="begin"/>
      </w:r>
      <w:r>
        <w:instrText xml:space="preserve"> PAGEREF _Toc375231040 \h </w:instrText>
      </w:r>
      <w:r>
        <w:fldChar w:fldCharType="separate"/>
      </w:r>
      <w:r>
        <w:t>10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Bulk cargo not to be deposited without authority</w:t>
      </w:r>
      <w:r>
        <w:tab/>
      </w:r>
      <w:r>
        <w:fldChar w:fldCharType="begin"/>
      </w:r>
      <w:r>
        <w:instrText xml:space="preserve"> PAGEREF _Toc375231041 \h </w:instrText>
      </w:r>
      <w:r>
        <w:fldChar w:fldCharType="separate"/>
      </w:r>
      <w:r>
        <w:t>10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Outward cargo advice notes</w:t>
      </w:r>
      <w:r>
        <w:tab/>
      </w:r>
      <w:r>
        <w:fldChar w:fldCharType="begin"/>
      </w:r>
      <w:r>
        <w:instrText xml:space="preserve"> PAGEREF _Toc375231042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Outward cargo</w:t>
      </w:r>
      <w:r>
        <w:tab/>
      </w:r>
      <w:r>
        <w:fldChar w:fldCharType="begin"/>
      </w:r>
      <w:r>
        <w:instrText xml:space="preserve"> PAGEREF _Toc375231043 \h </w:instrText>
      </w:r>
      <w:r>
        <w:fldChar w:fldCharType="separate"/>
      </w:r>
      <w:r>
        <w:t>10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Dangerous cargo not to be shipped without permission</w:t>
      </w:r>
      <w:r>
        <w:tab/>
      </w:r>
      <w:r>
        <w:fldChar w:fldCharType="begin"/>
      </w:r>
      <w:r>
        <w:instrText xml:space="preserve"> PAGEREF _Toc375231044 \h </w:instrText>
      </w:r>
      <w:r>
        <w:fldChar w:fldCharType="separate"/>
      </w:r>
      <w:r>
        <w:t>11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Dangerous cargo may be refused or examined</w:t>
      </w:r>
      <w:r>
        <w:tab/>
      </w:r>
      <w:r>
        <w:fldChar w:fldCharType="begin"/>
      </w:r>
      <w:r>
        <w:instrText xml:space="preserve"> PAGEREF _Toc375231045 \h </w:instrText>
      </w:r>
      <w:r>
        <w:fldChar w:fldCharType="separate"/>
      </w:r>
      <w:r>
        <w:t>11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Marking of heavy packages</w:t>
      </w:r>
      <w:r>
        <w:tab/>
      </w:r>
      <w:r>
        <w:fldChar w:fldCharType="begin"/>
      </w:r>
      <w:r>
        <w:instrText xml:space="preserve"> PAGEREF _Toc375231046 \h </w:instrText>
      </w:r>
      <w:r>
        <w:fldChar w:fldCharType="separate"/>
      </w:r>
      <w:r>
        <w:t>11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False statements</w:t>
      </w:r>
      <w:r>
        <w:tab/>
      </w:r>
      <w:r>
        <w:fldChar w:fldCharType="begin"/>
      </w:r>
      <w:r>
        <w:instrText xml:space="preserve"> PAGEREF _Toc375231047 \h </w:instrText>
      </w:r>
      <w:r>
        <w:fldChar w:fldCharType="separate"/>
      </w:r>
      <w:r>
        <w:t>12</w:t>
      </w:r>
      <w:r>
        <w:fldChar w:fldCharType="end"/>
      </w:r>
    </w:p>
    <w:p>
      <w:pPr>
        <w:pStyle w:val="TOC4"/>
        <w:tabs>
          <w:tab w:val="right" w:leader="dot" w:pos="7086"/>
        </w:tabs>
        <w:rPr>
          <w:rFonts w:asciiTheme="minorHAnsi" w:eastAsiaTheme="minorEastAsia" w:hAnsiTheme="minorHAnsi" w:cstheme="minorBidi"/>
          <w:b w:val="0"/>
          <w:szCs w:val="22"/>
        </w:rPr>
      </w:pPr>
      <w:r>
        <w:t>Division 6</w:t>
      </w:r>
      <w:r>
        <w:rPr>
          <w:snapToGrid w:val="0"/>
        </w:rPr>
        <w:t> — </w:t>
      </w:r>
      <w:r>
        <w:t>Receipt, delivery and storage of cargo</w:t>
      </w:r>
    </w:p>
    <w:p>
      <w:pPr>
        <w:pStyle w:val="TOC8"/>
        <w:rPr>
          <w:rFonts w:asciiTheme="minorHAnsi" w:eastAsiaTheme="minorEastAsia" w:hAnsiTheme="minorHAnsi" w:cstheme="minorBidi"/>
          <w:szCs w:val="22"/>
        </w:rPr>
      </w:pPr>
      <w:r>
        <w:t>24</w:t>
      </w:r>
      <w:r>
        <w:rPr>
          <w:snapToGrid w:val="0"/>
        </w:rPr>
        <w:t>.</w:t>
      </w:r>
      <w:r>
        <w:rPr>
          <w:snapToGrid w:val="0"/>
        </w:rPr>
        <w:tab/>
        <w:t>Removal of cargo</w:t>
      </w:r>
      <w:r>
        <w:tab/>
      </w:r>
      <w:r>
        <w:fldChar w:fldCharType="begin"/>
      </w:r>
      <w:r>
        <w:instrText xml:space="preserve"> PAGEREF _Toc375231049 \h </w:instrText>
      </w:r>
      <w:r>
        <w:fldChar w:fldCharType="separate"/>
      </w:r>
      <w:r>
        <w:t>13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Storage charges</w:t>
      </w:r>
      <w:r>
        <w:tab/>
      </w:r>
      <w:r>
        <w:fldChar w:fldCharType="begin"/>
      </w:r>
      <w:r>
        <w:instrText xml:space="preserve"> PAGEREF _Toc375231050 \h </w:instrText>
      </w:r>
      <w:r>
        <w:fldChar w:fldCharType="separate"/>
      </w:r>
      <w:r>
        <w:t>13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Department not bound to find storage accommodation</w:t>
      </w:r>
      <w:r>
        <w:tab/>
      </w:r>
      <w:r>
        <w:fldChar w:fldCharType="begin"/>
      </w:r>
      <w:r>
        <w:instrText xml:space="preserve"> PAGEREF _Toc375231051 \h </w:instrText>
      </w:r>
      <w:r>
        <w:fldChar w:fldCharType="separate"/>
      </w:r>
      <w:r>
        <w:t>14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Goods may be disposed of</w:t>
      </w:r>
      <w:r>
        <w:tab/>
      </w:r>
      <w:r>
        <w:fldChar w:fldCharType="begin"/>
      </w:r>
      <w:r>
        <w:instrText xml:space="preserve"> PAGEREF _Toc375231052 \h </w:instrText>
      </w:r>
      <w:r>
        <w:fldChar w:fldCharType="separate"/>
      </w:r>
      <w:r>
        <w:t>15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Goods to be checked before delivery</w:t>
      </w:r>
      <w:r>
        <w:tab/>
      </w:r>
      <w:r>
        <w:fldChar w:fldCharType="begin"/>
      </w:r>
      <w:r>
        <w:instrText xml:space="preserve"> PAGEREF _Toc375231053 \h </w:instrText>
      </w:r>
      <w:r>
        <w:fldChar w:fldCharType="separate"/>
      </w:r>
      <w:r>
        <w:t>15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Delay in delivery</w:t>
      </w:r>
      <w:r>
        <w:tab/>
      </w:r>
      <w:r>
        <w:fldChar w:fldCharType="begin"/>
      </w:r>
      <w:r>
        <w:instrText xml:space="preserve"> PAGEREF _Toc375231054 \h </w:instrText>
      </w:r>
      <w:r>
        <w:fldChar w:fldCharType="separate"/>
      </w:r>
      <w:r>
        <w:t>15</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Wrong delivery</w:t>
      </w:r>
      <w:r>
        <w:tab/>
      </w:r>
      <w:r>
        <w:fldChar w:fldCharType="begin"/>
      </w:r>
      <w:r>
        <w:instrText xml:space="preserve"> PAGEREF _Toc375231055 \h </w:instrText>
      </w:r>
      <w:r>
        <w:fldChar w:fldCharType="separate"/>
      </w:r>
      <w:r>
        <w:t>15</w:t>
      </w:r>
      <w:r>
        <w:fldChar w:fldCharType="end"/>
      </w:r>
    </w:p>
    <w:p>
      <w:pPr>
        <w:pStyle w:val="TOC4"/>
        <w:tabs>
          <w:tab w:val="right" w:leader="dot" w:pos="7086"/>
        </w:tabs>
        <w:rPr>
          <w:rFonts w:asciiTheme="minorHAnsi" w:eastAsiaTheme="minorEastAsia" w:hAnsiTheme="minorHAnsi" w:cstheme="minorBidi"/>
          <w:b w:val="0"/>
          <w:szCs w:val="22"/>
        </w:rPr>
      </w:pPr>
      <w:r>
        <w:t>Division 7</w:t>
      </w:r>
      <w:r>
        <w:rPr>
          <w:snapToGrid w:val="0"/>
        </w:rPr>
        <w:t> — </w:t>
      </w:r>
      <w:r>
        <w:t>Responsibility of Department</w:t>
      </w:r>
    </w:p>
    <w:p>
      <w:pPr>
        <w:pStyle w:val="TOC8"/>
        <w:rPr>
          <w:rFonts w:asciiTheme="minorHAnsi" w:eastAsiaTheme="minorEastAsia" w:hAnsiTheme="minorHAnsi" w:cstheme="minorBidi"/>
          <w:szCs w:val="22"/>
        </w:rPr>
      </w:pPr>
      <w:r>
        <w:t>31</w:t>
      </w:r>
      <w:r>
        <w:rPr>
          <w:snapToGrid w:val="0"/>
        </w:rPr>
        <w:t>.</w:t>
      </w:r>
      <w:r>
        <w:rPr>
          <w:snapToGrid w:val="0"/>
        </w:rPr>
        <w:tab/>
        <w:t>Custody of cargo</w:t>
      </w:r>
      <w:r>
        <w:tab/>
      </w:r>
      <w:r>
        <w:fldChar w:fldCharType="begin"/>
      </w:r>
      <w:r>
        <w:instrText xml:space="preserve"> PAGEREF _Toc375231057 \h </w:instrText>
      </w:r>
      <w:r>
        <w:fldChar w:fldCharType="separate"/>
      </w:r>
      <w:r>
        <w:t>16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Goods without receipts</w:t>
      </w:r>
      <w:r>
        <w:tab/>
      </w:r>
      <w:r>
        <w:fldChar w:fldCharType="begin"/>
      </w:r>
      <w:r>
        <w:instrText xml:space="preserve"> PAGEREF _Toc375231058 \h </w:instrText>
      </w:r>
      <w:r>
        <w:fldChar w:fldCharType="separate"/>
      </w:r>
      <w:r>
        <w:t>16</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Goods stacked on jetties</w:t>
      </w:r>
      <w:r>
        <w:tab/>
      </w:r>
      <w:r>
        <w:fldChar w:fldCharType="begin"/>
      </w:r>
      <w:r>
        <w:instrText xml:space="preserve"> PAGEREF _Toc375231059 \h </w:instrText>
      </w:r>
      <w:r>
        <w:fldChar w:fldCharType="separate"/>
      </w:r>
      <w:r>
        <w:t>16</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Cargo damaged by fire etc.</w:t>
      </w:r>
      <w:r>
        <w:tab/>
      </w:r>
      <w:r>
        <w:fldChar w:fldCharType="begin"/>
      </w:r>
      <w:r>
        <w:instrText xml:space="preserve"> PAGEREF _Toc375231060 \h </w:instrText>
      </w:r>
      <w:r>
        <w:fldChar w:fldCharType="separate"/>
      </w:r>
      <w:r>
        <w:t>17</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Goods insufficiently packed</w:t>
      </w:r>
      <w:r>
        <w:tab/>
      </w:r>
      <w:r>
        <w:fldChar w:fldCharType="begin"/>
      </w:r>
      <w:r>
        <w:instrText xml:space="preserve"> PAGEREF _Toc375231061 \h </w:instrText>
      </w:r>
      <w:r>
        <w:fldChar w:fldCharType="separate"/>
      </w:r>
      <w:r>
        <w:t>17</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Claims in respect of cargo</w:t>
      </w:r>
      <w:r>
        <w:tab/>
      </w:r>
      <w:r>
        <w:fldChar w:fldCharType="begin"/>
      </w:r>
      <w:r>
        <w:instrText xml:space="preserve"> PAGEREF _Toc375231062 \h </w:instrText>
      </w:r>
      <w:r>
        <w:fldChar w:fldCharType="separate"/>
      </w:r>
      <w:r>
        <w:t>17</w:t>
      </w:r>
      <w:r>
        <w:fldChar w:fldCharType="end"/>
      </w:r>
    </w:p>
    <w:p>
      <w:pPr>
        <w:pStyle w:val="TOC4"/>
        <w:tabs>
          <w:tab w:val="right" w:leader="dot" w:pos="7086"/>
        </w:tabs>
        <w:rPr>
          <w:rFonts w:asciiTheme="minorHAnsi" w:eastAsiaTheme="minorEastAsia" w:hAnsiTheme="minorHAnsi" w:cstheme="minorBidi"/>
          <w:b w:val="0"/>
          <w:szCs w:val="22"/>
        </w:rPr>
      </w:pPr>
      <w:r>
        <w:t>Division 8</w:t>
      </w:r>
      <w:r>
        <w:rPr>
          <w:snapToGrid w:val="0"/>
        </w:rPr>
        <w:t> — </w:t>
      </w:r>
      <w:r>
        <w:t>Working hours</w:t>
      </w:r>
    </w:p>
    <w:p>
      <w:pPr>
        <w:pStyle w:val="TOC8"/>
        <w:rPr>
          <w:rFonts w:asciiTheme="minorHAnsi" w:eastAsiaTheme="minorEastAsia" w:hAnsiTheme="minorHAnsi" w:cstheme="minorBidi"/>
          <w:szCs w:val="22"/>
        </w:rPr>
      </w:pPr>
      <w:r>
        <w:t>37</w:t>
      </w:r>
      <w:r>
        <w:rPr>
          <w:snapToGrid w:val="0"/>
        </w:rPr>
        <w:t>.</w:t>
      </w:r>
      <w:r>
        <w:rPr>
          <w:snapToGrid w:val="0"/>
        </w:rPr>
        <w:tab/>
        <w:t>Ordinary time</w:t>
      </w:r>
      <w:r>
        <w:tab/>
      </w:r>
      <w:r>
        <w:fldChar w:fldCharType="begin"/>
      </w:r>
      <w:r>
        <w:instrText xml:space="preserve"> PAGEREF _Toc375231064 \h </w:instrText>
      </w:r>
      <w:r>
        <w:fldChar w:fldCharType="separate"/>
      </w:r>
      <w:r>
        <w:t>18</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Overtime</w:t>
      </w:r>
      <w:r>
        <w:tab/>
      </w:r>
      <w:r>
        <w:fldChar w:fldCharType="begin"/>
      </w:r>
      <w:r>
        <w:instrText xml:space="preserve"> PAGEREF _Toc375231065 \h </w:instrText>
      </w:r>
      <w:r>
        <w:fldChar w:fldCharType="separate"/>
      </w:r>
      <w:r>
        <w:t>18</w:t>
      </w:r>
      <w:r>
        <w:fldChar w:fldCharType="end"/>
      </w:r>
    </w:p>
    <w:p>
      <w:pPr>
        <w:pStyle w:val="TOC8"/>
        <w:rPr>
          <w:rFonts w:asciiTheme="minorHAnsi" w:eastAsiaTheme="minorEastAsia" w:hAnsiTheme="minorHAnsi" w:cstheme="minorBidi"/>
          <w:szCs w:val="22"/>
        </w:rPr>
      </w:pPr>
      <w:r>
        <w:t>38A</w:t>
      </w:r>
      <w:r>
        <w:rPr>
          <w:snapToGrid w:val="0"/>
        </w:rPr>
        <w:t>.</w:t>
      </w:r>
      <w:r>
        <w:rPr>
          <w:snapToGrid w:val="0"/>
        </w:rPr>
        <w:tab/>
        <w:t>Wages incurred through ships’ delays to be paid for</w:t>
      </w:r>
      <w:r>
        <w:tab/>
      </w:r>
      <w:r>
        <w:fldChar w:fldCharType="begin"/>
      </w:r>
      <w:r>
        <w:instrText xml:space="preserve"> PAGEREF _Toc375231066 \h </w:instrText>
      </w:r>
      <w:r>
        <w:fldChar w:fldCharType="separate"/>
      </w:r>
      <w:r>
        <w:t>18</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Master to give notice of desire to work</w:t>
      </w:r>
      <w:r>
        <w:tab/>
      </w:r>
      <w:r>
        <w:fldChar w:fldCharType="begin"/>
      </w:r>
      <w:r>
        <w:instrText xml:space="preserve"> PAGEREF _Toc375231067 \h </w:instrText>
      </w:r>
      <w:r>
        <w:fldChar w:fldCharType="separate"/>
      </w:r>
      <w:r>
        <w:t>18</w:t>
      </w:r>
      <w:r>
        <w:fldChar w:fldCharType="end"/>
      </w:r>
    </w:p>
    <w:p>
      <w:pPr>
        <w:pStyle w:val="TOC4"/>
        <w:tabs>
          <w:tab w:val="right" w:leader="dot" w:pos="7086"/>
        </w:tabs>
        <w:rPr>
          <w:rFonts w:asciiTheme="minorHAnsi" w:eastAsiaTheme="minorEastAsia" w:hAnsiTheme="minorHAnsi" w:cstheme="minorBidi"/>
          <w:b w:val="0"/>
          <w:szCs w:val="22"/>
        </w:rPr>
      </w:pPr>
      <w:r>
        <w:t>Division 9</w:t>
      </w:r>
      <w:r>
        <w:rPr>
          <w:snapToGrid w:val="0"/>
        </w:rPr>
        <w:t> — </w:t>
      </w:r>
      <w:r>
        <w:t>Livestock or vehicles on jetties or premises</w:t>
      </w:r>
    </w:p>
    <w:p>
      <w:pPr>
        <w:pStyle w:val="TOC8"/>
        <w:rPr>
          <w:rFonts w:asciiTheme="minorHAnsi" w:eastAsiaTheme="minorEastAsia" w:hAnsiTheme="minorHAnsi" w:cstheme="minorBidi"/>
          <w:szCs w:val="22"/>
        </w:rPr>
      </w:pPr>
      <w:r>
        <w:t>40</w:t>
      </w:r>
      <w:r>
        <w:rPr>
          <w:snapToGrid w:val="0"/>
        </w:rPr>
        <w:t>.</w:t>
      </w:r>
      <w:r>
        <w:rPr>
          <w:snapToGrid w:val="0"/>
        </w:rPr>
        <w:tab/>
        <w:t>Livestock on jetties or premises</w:t>
      </w:r>
      <w:r>
        <w:tab/>
      </w:r>
      <w:r>
        <w:fldChar w:fldCharType="begin"/>
      </w:r>
      <w:r>
        <w:instrText xml:space="preserve"> PAGEREF _Toc375231069 \h </w:instrText>
      </w:r>
      <w:r>
        <w:fldChar w:fldCharType="separate"/>
      </w:r>
      <w:r>
        <w:t>19</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Riding vehicles etc. on jetties or premises</w:t>
      </w:r>
      <w:r>
        <w:tab/>
      </w:r>
      <w:r>
        <w:fldChar w:fldCharType="begin"/>
      </w:r>
      <w:r>
        <w:instrText xml:space="preserve"> PAGEREF _Toc375231070 \h </w:instrText>
      </w:r>
      <w:r>
        <w:fldChar w:fldCharType="separate"/>
      </w:r>
      <w:r>
        <w:t>19</w:t>
      </w:r>
      <w:r>
        <w:fldChar w:fldCharType="end"/>
      </w:r>
    </w:p>
    <w:p>
      <w:pPr>
        <w:pStyle w:val="TOC8"/>
        <w:rPr>
          <w:rFonts w:asciiTheme="minorHAnsi" w:eastAsiaTheme="minorEastAsia" w:hAnsiTheme="minorHAnsi" w:cstheme="minorBidi"/>
          <w:szCs w:val="22"/>
        </w:rPr>
      </w:pPr>
      <w:r>
        <w:t>41A</w:t>
      </w:r>
      <w:r>
        <w:rPr>
          <w:snapToGrid w:val="0"/>
        </w:rPr>
        <w:t>.</w:t>
      </w:r>
      <w:r>
        <w:rPr>
          <w:snapToGrid w:val="0"/>
        </w:rPr>
        <w:tab/>
        <w:t>Vehicles not to be parked on jetties</w:t>
      </w:r>
      <w:r>
        <w:tab/>
      </w:r>
      <w:r>
        <w:fldChar w:fldCharType="begin"/>
      </w:r>
      <w:r>
        <w:instrText xml:space="preserve"> PAGEREF _Toc375231071 \h </w:instrText>
      </w:r>
      <w:r>
        <w:fldChar w:fldCharType="separate"/>
      </w:r>
      <w:r>
        <w:t>19</w:t>
      </w:r>
      <w:r>
        <w:fldChar w:fldCharType="end"/>
      </w:r>
    </w:p>
    <w:p>
      <w:pPr>
        <w:pStyle w:val="TOC8"/>
        <w:rPr>
          <w:rFonts w:asciiTheme="minorHAnsi" w:eastAsiaTheme="minorEastAsia" w:hAnsiTheme="minorHAnsi" w:cstheme="minorBidi"/>
          <w:szCs w:val="22"/>
        </w:rPr>
      </w:pPr>
      <w:r>
        <w:t>41B</w:t>
      </w:r>
      <w:r>
        <w:rPr>
          <w:snapToGrid w:val="0"/>
        </w:rPr>
        <w:t>.</w:t>
      </w:r>
      <w:r>
        <w:rPr>
          <w:snapToGrid w:val="0"/>
        </w:rPr>
        <w:tab/>
        <w:t>Department not responsible for vehicles on jetties</w:t>
      </w:r>
      <w:r>
        <w:tab/>
      </w:r>
      <w:r>
        <w:fldChar w:fldCharType="begin"/>
      </w:r>
      <w:r>
        <w:instrText xml:space="preserve"> PAGEREF _Toc375231072 \h </w:instrText>
      </w:r>
      <w:r>
        <w:fldChar w:fldCharType="separate"/>
      </w:r>
      <w:r>
        <w:t>20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Drivers of vehicles to obey instructions</w:t>
      </w:r>
      <w:r>
        <w:tab/>
      </w:r>
      <w:r>
        <w:fldChar w:fldCharType="begin"/>
      </w:r>
      <w:r>
        <w:instrText xml:space="preserve"> PAGEREF _Toc375231073 \h </w:instrText>
      </w:r>
      <w:r>
        <w:fldChar w:fldCharType="separate"/>
      </w:r>
      <w:r>
        <w:t>20</w:t>
      </w:r>
      <w:r>
        <w:fldChar w:fldCharType="end"/>
      </w:r>
    </w:p>
    <w:p>
      <w:pPr>
        <w:pStyle w:val="TOC8"/>
        <w:rPr>
          <w:rFonts w:asciiTheme="minorHAnsi" w:eastAsiaTheme="minorEastAsia" w:hAnsiTheme="minorHAnsi" w:cstheme="minorBidi"/>
          <w:szCs w:val="22"/>
        </w:rPr>
      </w:pPr>
      <w:r>
        <w:t>42A.</w:t>
      </w:r>
      <w:r>
        <w:tab/>
        <w:t>Fees for vehicular use of jetty</w:t>
      </w:r>
      <w:r>
        <w:tab/>
      </w:r>
      <w:r>
        <w:fldChar w:fldCharType="begin"/>
      </w:r>
      <w:r>
        <w:instrText xml:space="preserve"> PAGEREF _Toc375231074 \h </w:instrText>
      </w:r>
      <w:r>
        <w:fldChar w:fldCharType="separate"/>
      </w:r>
      <w:r>
        <w:t>20</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Persons not to be on jetties when livestock is being handled</w:t>
      </w:r>
      <w:r>
        <w:tab/>
      </w:r>
      <w:r>
        <w:fldChar w:fldCharType="begin"/>
      </w:r>
      <w:r>
        <w:instrText xml:space="preserve"> PAGEREF _Toc375231075 \h </w:instrText>
      </w:r>
      <w:r>
        <w:fldChar w:fldCharType="separate"/>
      </w:r>
      <w:r>
        <w:t>20</w:t>
      </w:r>
      <w:r>
        <w:fldChar w:fldCharType="end"/>
      </w:r>
    </w:p>
    <w:p>
      <w:pPr>
        <w:pStyle w:val="TOC4"/>
        <w:tabs>
          <w:tab w:val="right" w:leader="dot" w:pos="7086"/>
        </w:tabs>
        <w:rPr>
          <w:rFonts w:asciiTheme="minorHAnsi" w:eastAsiaTheme="minorEastAsia" w:hAnsiTheme="minorHAnsi" w:cstheme="minorBidi"/>
          <w:b w:val="0"/>
          <w:szCs w:val="22"/>
        </w:rPr>
      </w:pPr>
      <w:r>
        <w:t>Division 10</w:t>
      </w:r>
      <w:r>
        <w:rPr>
          <w:snapToGrid w:val="0"/>
        </w:rPr>
        <w:t> — </w:t>
      </w:r>
      <w:r>
        <w:t>Miscellaneous</w:t>
      </w:r>
    </w:p>
    <w:p>
      <w:pPr>
        <w:pStyle w:val="TOC8"/>
        <w:rPr>
          <w:rFonts w:asciiTheme="minorHAnsi" w:eastAsiaTheme="minorEastAsia" w:hAnsiTheme="minorHAnsi" w:cstheme="minorBidi"/>
          <w:szCs w:val="22"/>
        </w:rPr>
      </w:pPr>
      <w:r>
        <w:t>44</w:t>
      </w:r>
      <w:r>
        <w:rPr>
          <w:snapToGrid w:val="0"/>
        </w:rPr>
        <w:t>.</w:t>
      </w:r>
      <w:r>
        <w:rPr>
          <w:snapToGrid w:val="0"/>
        </w:rPr>
        <w:tab/>
        <w:t>Bill posting, defacement and obscenity</w:t>
      </w:r>
      <w:r>
        <w:tab/>
      </w:r>
      <w:r>
        <w:fldChar w:fldCharType="begin"/>
      </w:r>
      <w:r>
        <w:instrText xml:space="preserve"> PAGEREF _Toc375231077 \h </w:instrText>
      </w:r>
      <w:r>
        <w:fldChar w:fldCharType="separate"/>
      </w:r>
      <w:r>
        <w:t>21</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Disorderly persons</w:t>
      </w:r>
      <w:r>
        <w:tab/>
      </w:r>
      <w:r>
        <w:fldChar w:fldCharType="begin"/>
      </w:r>
      <w:r>
        <w:instrText xml:space="preserve"> PAGEREF _Toc375231078 \h </w:instrText>
      </w:r>
      <w:r>
        <w:fldChar w:fldCharType="separate"/>
      </w:r>
      <w:r>
        <w:t>21</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Fires not to be lit</w:t>
      </w:r>
      <w:r>
        <w:tab/>
      </w:r>
      <w:r>
        <w:fldChar w:fldCharType="begin"/>
      </w:r>
      <w:r>
        <w:instrText xml:space="preserve"> PAGEREF _Toc375231079 \h </w:instrText>
      </w:r>
      <w:r>
        <w:fldChar w:fldCharType="separate"/>
      </w:r>
      <w:r>
        <w:t>22</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Gates to be shut</w:t>
      </w:r>
      <w:r>
        <w:tab/>
      </w:r>
      <w:r>
        <w:fldChar w:fldCharType="begin"/>
      </w:r>
      <w:r>
        <w:instrText xml:space="preserve"> PAGEREF _Toc375231080 \h </w:instrText>
      </w:r>
      <w:r>
        <w:fldChar w:fldCharType="separate"/>
      </w:r>
      <w:r>
        <w:t>22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Interference with lights</w:t>
      </w:r>
      <w:r>
        <w:tab/>
      </w:r>
      <w:r>
        <w:fldChar w:fldCharType="begin"/>
      </w:r>
      <w:r>
        <w:instrText xml:space="preserve"> PAGEREF _Toc375231081 \h </w:instrText>
      </w:r>
      <w:r>
        <w:fldChar w:fldCharType="separate"/>
      </w:r>
      <w:r>
        <w:t>22</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Interference with or damaging property</w:t>
      </w:r>
      <w:r>
        <w:tab/>
      </w:r>
      <w:r>
        <w:fldChar w:fldCharType="begin"/>
      </w:r>
      <w:r>
        <w:instrText xml:space="preserve"> PAGEREF _Toc375231082 \h </w:instrText>
      </w:r>
      <w:r>
        <w:fldChar w:fldCharType="separate"/>
      </w:r>
      <w:r>
        <w:t>22</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Lost property</w:t>
      </w:r>
      <w:r>
        <w:tab/>
      </w:r>
      <w:r>
        <w:fldChar w:fldCharType="begin"/>
      </w:r>
      <w:r>
        <w:instrText xml:space="preserve"> PAGEREF _Toc375231083 \h </w:instrText>
      </w:r>
      <w:r>
        <w:fldChar w:fldCharType="separate"/>
      </w:r>
      <w:r>
        <w:t>23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Obstruction of officers, or premises</w:t>
      </w:r>
      <w:r>
        <w:tab/>
      </w:r>
      <w:r>
        <w:fldChar w:fldCharType="begin"/>
      </w:r>
      <w:r>
        <w:instrText xml:space="preserve"> PAGEREF _Toc375231084 \h </w:instrText>
      </w:r>
      <w:r>
        <w:fldChar w:fldCharType="separate"/>
      </w:r>
      <w:r>
        <w:t>23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Obstruction of or damage to jetties or premises</w:t>
      </w:r>
      <w:r>
        <w:tab/>
      </w:r>
      <w:r>
        <w:fldChar w:fldCharType="begin"/>
      </w:r>
      <w:r>
        <w:instrText xml:space="preserve"> PAGEREF _Toc375231085 \h </w:instrText>
      </w:r>
      <w:r>
        <w:fldChar w:fldCharType="separate"/>
      </w:r>
      <w:r>
        <w:t>24</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Rubbish etc. not to be thrown</w:t>
      </w:r>
      <w:r>
        <w:tab/>
      </w:r>
      <w:r>
        <w:fldChar w:fldCharType="begin"/>
      </w:r>
      <w:r>
        <w:instrText xml:space="preserve"> PAGEREF _Toc375231086 \h </w:instrText>
      </w:r>
      <w:r>
        <w:fldChar w:fldCharType="separate"/>
      </w:r>
      <w:r>
        <w:t>24</w:t>
      </w:r>
      <w:r>
        <w:fldChar w:fldCharType="end"/>
      </w:r>
    </w:p>
    <w:p>
      <w:pPr>
        <w:pStyle w:val="TOC8"/>
        <w:rPr>
          <w:rFonts w:asciiTheme="minorHAnsi" w:eastAsiaTheme="minorEastAsia" w:hAnsiTheme="minorHAnsi" w:cstheme="minorBidi"/>
          <w:szCs w:val="22"/>
        </w:rPr>
      </w:pPr>
      <w:r>
        <w:t>53A.</w:t>
      </w:r>
      <w:r>
        <w:tab/>
        <w:t>Fees for rubbish removal</w:t>
      </w:r>
      <w:r>
        <w:tab/>
      </w:r>
      <w:r>
        <w:fldChar w:fldCharType="begin"/>
      </w:r>
      <w:r>
        <w:instrText xml:space="preserve"> PAGEREF _Toc375231087 \h </w:instrText>
      </w:r>
      <w:r>
        <w:fldChar w:fldCharType="separate"/>
      </w:r>
      <w:r>
        <w:t>25</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Sale of articles prohibited</w:t>
      </w:r>
      <w:r>
        <w:tab/>
      </w:r>
      <w:r>
        <w:fldChar w:fldCharType="begin"/>
      </w:r>
      <w:r>
        <w:instrText xml:space="preserve"> PAGEREF _Toc375231088 \h </w:instrText>
      </w:r>
      <w:r>
        <w:fldChar w:fldCharType="separate"/>
      </w:r>
      <w:r>
        <w:t>25</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Smoking and loitering</w:t>
      </w:r>
      <w:r>
        <w:tab/>
      </w:r>
      <w:r>
        <w:fldChar w:fldCharType="begin"/>
      </w:r>
      <w:r>
        <w:instrText xml:space="preserve"> PAGEREF _Toc375231089 \h </w:instrText>
      </w:r>
      <w:r>
        <w:fldChar w:fldCharType="separate"/>
      </w:r>
      <w:r>
        <w:t>25</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Trespassing</w:t>
      </w:r>
      <w:r>
        <w:tab/>
      </w:r>
      <w:r>
        <w:fldChar w:fldCharType="begin"/>
      </w:r>
      <w:r>
        <w:instrText xml:space="preserve"> PAGEREF _Toc375231090 \h </w:instrText>
      </w:r>
      <w:r>
        <w:fldChar w:fldCharType="separate"/>
      </w:r>
      <w:r>
        <w:t>25</w:t>
      </w:r>
      <w:r>
        <w:fldChar w:fldCharType="end"/>
      </w:r>
    </w:p>
    <w:p>
      <w:pPr>
        <w:pStyle w:val="TOC8"/>
        <w:rPr>
          <w:rFonts w:asciiTheme="minorHAnsi" w:eastAsiaTheme="minorEastAsia" w:hAnsiTheme="minorHAnsi" w:cstheme="minorBidi"/>
          <w:szCs w:val="22"/>
        </w:rPr>
      </w:pPr>
      <w:r>
        <w:t>67A</w:t>
      </w:r>
      <w:r>
        <w:rPr>
          <w:snapToGrid w:val="0"/>
        </w:rPr>
        <w:t>.</w:t>
      </w:r>
      <w:r>
        <w:rPr>
          <w:snapToGrid w:val="0"/>
        </w:rPr>
        <w:tab/>
        <w:t>Conditions for construction and installation of pipelines</w:t>
      </w:r>
      <w:r>
        <w:tab/>
      </w:r>
      <w:r>
        <w:fldChar w:fldCharType="begin"/>
      </w:r>
      <w:r>
        <w:instrText xml:space="preserve"> PAGEREF _Toc375231091 \h </w:instrText>
      </w:r>
      <w:r>
        <w:fldChar w:fldCharType="separate"/>
      </w:r>
      <w:r>
        <w:t>26</w:t>
      </w:r>
      <w:r>
        <w:fldChar w:fldCharType="end"/>
      </w:r>
    </w:p>
    <w:p>
      <w:pPr>
        <w:pStyle w:val="TOC8"/>
        <w:rPr>
          <w:rFonts w:asciiTheme="minorHAnsi" w:eastAsiaTheme="minorEastAsia" w:hAnsiTheme="minorHAnsi" w:cstheme="minorBidi"/>
          <w:szCs w:val="22"/>
        </w:rPr>
      </w:pPr>
      <w:r>
        <w:t>67B</w:t>
      </w:r>
      <w:r>
        <w:rPr>
          <w:snapToGrid w:val="0"/>
        </w:rPr>
        <w:t>.</w:t>
      </w:r>
      <w:r>
        <w:rPr>
          <w:snapToGrid w:val="0"/>
        </w:rPr>
        <w:tab/>
        <w:t>Maintenance and operation of pipelines</w:t>
      </w:r>
      <w:r>
        <w:tab/>
      </w:r>
      <w:r>
        <w:fldChar w:fldCharType="begin"/>
      </w:r>
      <w:r>
        <w:instrText xml:space="preserve"> PAGEREF _Toc375231092 \h </w:instrText>
      </w:r>
      <w:r>
        <w:fldChar w:fldCharType="separate"/>
      </w:r>
      <w:r>
        <w:t>29</w:t>
      </w:r>
      <w:r>
        <w:fldChar w:fldCharType="end"/>
      </w:r>
    </w:p>
    <w:p>
      <w:pPr>
        <w:pStyle w:val="TOC8"/>
        <w:rPr>
          <w:rFonts w:asciiTheme="minorHAnsi" w:eastAsiaTheme="minorEastAsia" w:hAnsiTheme="minorHAnsi" w:cstheme="minorBidi"/>
          <w:szCs w:val="22"/>
        </w:rPr>
      </w:pPr>
      <w:r>
        <w:t>67D</w:t>
      </w:r>
      <w:r>
        <w:rPr>
          <w:snapToGrid w:val="0"/>
        </w:rPr>
        <w:t>.</w:t>
      </w:r>
      <w:r>
        <w:rPr>
          <w:snapToGrid w:val="0"/>
        </w:rPr>
        <w:tab/>
        <w:t>Penalty for failure to remove or amend pipeline</w:t>
      </w:r>
      <w:r>
        <w:tab/>
      </w:r>
      <w:r>
        <w:fldChar w:fldCharType="begin"/>
      </w:r>
      <w:r>
        <w:instrText xml:space="preserve"> PAGEREF _Toc375231093 \h </w:instrText>
      </w:r>
      <w:r>
        <w:fldChar w:fldCharType="separate"/>
      </w:r>
      <w:r>
        <w:t>35</w:t>
      </w:r>
      <w:r>
        <w:fldChar w:fldCharType="end"/>
      </w:r>
    </w:p>
    <w:p>
      <w:pPr>
        <w:pStyle w:val="TOC8"/>
        <w:rPr>
          <w:rFonts w:asciiTheme="minorHAnsi" w:eastAsiaTheme="minorEastAsia" w:hAnsiTheme="minorHAnsi" w:cstheme="minorBidi"/>
          <w:szCs w:val="22"/>
        </w:rPr>
      </w:pPr>
      <w:r>
        <w:t>67DA.</w:t>
      </w:r>
      <w:r>
        <w:tab/>
        <w:t>Fuelling vessels at service jetties limited</w:t>
      </w:r>
      <w:r>
        <w:tab/>
      </w:r>
      <w:r>
        <w:fldChar w:fldCharType="begin"/>
      </w:r>
      <w:r>
        <w:instrText xml:space="preserve"> PAGEREF _Toc375231094 \h </w:instrText>
      </w:r>
      <w:r>
        <w:fldChar w:fldCharType="separate"/>
      </w:r>
      <w:r>
        <w:t>35</w:t>
      </w:r>
      <w:r>
        <w:fldChar w:fldCharType="end"/>
      </w:r>
    </w:p>
    <w:p>
      <w:pPr>
        <w:pStyle w:val="TOC2"/>
        <w:tabs>
          <w:tab w:val="right" w:leader="dot" w:pos="7086"/>
        </w:tabs>
        <w:rPr>
          <w:rFonts w:asciiTheme="minorHAnsi" w:eastAsiaTheme="minorEastAsia" w:hAnsiTheme="minorHAnsi" w:cstheme="minorBidi"/>
          <w:b w:val="0"/>
          <w:sz w:val="22"/>
          <w:szCs w:val="22"/>
        </w:rPr>
      </w:pPr>
      <w:r>
        <w:t>Part 2 — Regulations applying to jetties within the Port of Perth</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Application of this Part</w:t>
      </w:r>
    </w:p>
    <w:p>
      <w:pPr>
        <w:pStyle w:val="TOC8"/>
        <w:rPr>
          <w:rFonts w:asciiTheme="minorHAnsi" w:eastAsiaTheme="minorEastAsia" w:hAnsiTheme="minorHAnsi" w:cstheme="minorBidi"/>
          <w:szCs w:val="22"/>
        </w:rPr>
      </w:pPr>
      <w:r>
        <w:t>67E</w:t>
      </w:r>
      <w:r>
        <w:rPr>
          <w:snapToGrid w:val="0"/>
        </w:rPr>
        <w:t>.</w:t>
      </w:r>
      <w:r>
        <w:rPr>
          <w:snapToGrid w:val="0"/>
        </w:rPr>
        <w:tab/>
        <w:t>Application</w:t>
      </w:r>
      <w:r>
        <w:tab/>
      </w:r>
      <w:r>
        <w:fldChar w:fldCharType="begin"/>
      </w:r>
      <w:r>
        <w:instrText xml:space="preserve"> PAGEREF _Toc375231097 \h </w:instrText>
      </w:r>
      <w:r>
        <w:fldChar w:fldCharType="separate"/>
      </w:r>
      <w:r>
        <w:t>36</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Management and use of jetties</w:t>
      </w:r>
    </w:p>
    <w:p>
      <w:pPr>
        <w:pStyle w:val="TOC8"/>
        <w:rPr>
          <w:rFonts w:asciiTheme="minorHAnsi" w:eastAsiaTheme="minorEastAsia" w:hAnsiTheme="minorHAnsi" w:cstheme="minorBidi"/>
          <w:szCs w:val="22"/>
        </w:rPr>
      </w:pPr>
      <w:r>
        <w:t>68</w:t>
      </w:r>
      <w:r>
        <w:rPr>
          <w:snapToGrid w:val="0"/>
        </w:rPr>
        <w:t>.</w:t>
      </w:r>
      <w:r>
        <w:rPr>
          <w:snapToGrid w:val="0"/>
        </w:rPr>
        <w:tab/>
        <w:t>Control of jetties</w:t>
      </w:r>
      <w:r>
        <w:tab/>
      </w:r>
      <w:r>
        <w:fldChar w:fldCharType="begin"/>
      </w:r>
      <w:r>
        <w:instrText xml:space="preserve"> PAGEREF _Toc375231099 \h </w:instrText>
      </w:r>
      <w:r>
        <w:fldChar w:fldCharType="separate"/>
      </w:r>
      <w:r>
        <w:t>36</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Use of jetties</w:t>
      </w:r>
      <w:r>
        <w:tab/>
      </w:r>
      <w:r>
        <w:fldChar w:fldCharType="begin"/>
      </w:r>
      <w:r>
        <w:instrText xml:space="preserve"> PAGEREF _Toc375231100 \h </w:instrText>
      </w:r>
      <w:r>
        <w:fldChar w:fldCharType="separate"/>
      </w:r>
      <w:r>
        <w:t>36</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Jetties may be closed</w:t>
      </w:r>
      <w:r>
        <w:tab/>
      </w:r>
      <w:r>
        <w:fldChar w:fldCharType="begin"/>
      </w:r>
      <w:r>
        <w:instrText xml:space="preserve"> PAGEREF _Toc375231101 \h </w:instrText>
      </w:r>
      <w:r>
        <w:fldChar w:fldCharType="separate"/>
      </w:r>
      <w:r>
        <w:t>37</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Mooring and berthing of vessels</w:t>
      </w:r>
    </w:p>
    <w:p>
      <w:pPr>
        <w:pStyle w:val="TOC8"/>
        <w:rPr>
          <w:rFonts w:asciiTheme="minorHAnsi" w:eastAsiaTheme="minorEastAsia" w:hAnsiTheme="minorHAnsi" w:cstheme="minorBidi"/>
          <w:szCs w:val="22"/>
        </w:rPr>
      </w:pPr>
      <w:r>
        <w:t>71</w:t>
      </w:r>
      <w:r>
        <w:rPr>
          <w:snapToGrid w:val="0"/>
        </w:rPr>
        <w:t>.</w:t>
      </w:r>
      <w:r>
        <w:rPr>
          <w:snapToGrid w:val="0"/>
        </w:rPr>
        <w:tab/>
        <w:t>Permit required to moor etc. alongside jetty or buoy</w:t>
      </w:r>
      <w:r>
        <w:tab/>
      </w:r>
      <w:r>
        <w:fldChar w:fldCharType="begin"/>
      </w:r>
      <w:r>
        <w:instrText xml:space="preserve"> PAGEREF _Toc375231103 \h </w:instrText>
      </w:r>
      <w:r>
        <w:fldChar w:fldCharType="separate"/>
      </w:r>
      <w:r>
        <w:t>37</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Duration of, and charges for, permits</w:t>
      </w:r>
      <w:r>
        <w:tab/>
      </w:r>
      <w:r>
        <w:fldChar w:fldCharType="begin"/>
      </w:r>
      <w:r>
        <w:instrText xml:space="preserve"> PAGEREF _Toc375231104 \h </w:instrText>
      </w:r>
      <w:r>
        <w:fldChar w:fldCharType="separate"/>
      </w:r>
      <w:r>
        <w:t>37</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Permit for exclusive use of berth</w:t>
      </w:r>
      <w:r>
        <w:tab/>
      </w:r>
      <w:r>
        <w:fldChar w:fldCharType="begin"/>
      </w:r>
      <w:r>
        <w:instrText xml:space="preserve"> PAGEREF _Toc375231105 \h </w:instrText>
      </w:r>
      <w:r>
        <w:fldChar w:fldCharType="separate"/>
      </w:r>
      <w:r>
        <w:t>38</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Manner of mooring vessels</w:t>
      </w:r>
      <w:r>
        <w:tab/>
      </w:r>
      <w:r>
        <w:fldChar w:fldCharType="begin"/>
      </w:r>
      <w:r>
        <w:instrText xml:space="preserve"> PAGEREF _Toc375231106 \h </w:instrText>
      </w:r>
      <w:r>
        <w:fldChar w:fldCharType="separate"/>
      </w:r>
      <w:r>
        <w:t>39</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Vessels not to remain at jetties longer than necessary</w:t>
      </w:r>
      <w:r>
        <w:tab/>
      </w:r>
      <w:r>
        <w:fldChar w:fldCharType="begin"/>
      </w:r>
      <w:r>
        <w:instrText xml:space="preserve"> PAGEREF _Toc375231107 \h </w:instrText>
      </w:r>
      <w:r>
        <w:fldChar w:fldCharType="separate"/>
      </w:r>
      <w:r>
        <w:t>40</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Mooring of rafts and boathouses</w:t>
      </w:r>
      <w:r>
        <w:tab/>
      </w:r>
      <w:r>
        <w:fldChar w:fldCharType="begin"/>
      </w:r>
      <w:r>
        <w:instrText xml:space="preserve"> PAGEREF _Toc375231108 \h </w:instrText>
      </w:r>
      <w:r>
        <w:fldChar w:fldCharType="separate"/>
      </w:r>
      <w:r>
        <w:t>40</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Vessels to be in charge of competent person</w:t>
      </w:r>
      <w:r>
        <w:tab/>
      </w:r>
      <w:r>
        <w:fldChar w:fldCharType="begin"/>
      </w:r>
      <w:r>
        <w:instrText xml:space="preserve"> PAGEREF _Toc375231109 \h </w:instrText>
      </w:r>
      <w:r>
        <w:fldChar w:fldCharType="separate"/>
      </w:r>
      <w:r>
        <w:t>40</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Approaching jetties after sunset</w:t>
      </w:r>
      <w:r>
        <w:tab/>
      </w:r>
      <w:r>
        <w:fldChar w:fldCharType="begin"/>
      </w:r>
      <w:r>
        <w:instrText xml:space="preserve"> PAGEREF _Toc375231110 \h </w:instrText>
      </w:r>
      <w:r>
        <w:fldChar w:fldCharType="separate"/>
      </w:r>
      <w:r>
        <w:t>40</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Loading or discharging cargo</w:t>
      </w:r>
    </w:p>
    <w:p>
      <w:pPr>
        <w:pStyle w:val="TOC8"/>
        <w:rPr>
          <w:rFonts w:asciiTheme="minorHAnsi" w:eastAsiaTheme="minorEastAsia" w:hAnsiTheme="minorHAnsi" w:cstheme="minorBidi"/>
          <w:szCs w:val="22"/>
        </w:rPr>
      </w:pPr>
      <w:r>
        <w:t>80</w:t>
      </w:r>
      <w:r>
        <w:rPr>
          <w:snapToGrid w:val="0"/>
        </w:rPr>
        <w:t>.</w:t>
      </w:r>
      <w:r>
        <w:rPr>
          <w:snapToGrid w:val="0"/>
        </w:rPr>
        <w:tab/>
        <w:t>Vessels loading or discharging</w:t>
      </w:r>
      <w:r>
        <w:tab/>
      </w:r>
      <w:r>
        <w:fldChar w:fldCharType="begin"/>
      </w:r>
      <w:r>
        <w:instrText xml:space="preserve"> PAGEREF _Toc375231112 \h </w:instrText>
      </w:r>
      <w:r>
        <w:fldChar w:fldCharType="separate"/>
      </w:r>
      <w:r>
        <w:t>41</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Cargo to be removed</w:t>
      </w:r>
      <w:r>
        <w:tab/>
      </w:r>
      <w:r>
        <w:fldChar w:fldCharType="begin"/>
      </w:r>
      <w:r>
        <w:instrText xml:space="preserve"> PAGEREF _Toc375231113 \h </w:instrText>
      </w:r>
      <w:r>
        <w:fldChar w:fldCharType="separate"/>
      </w:r>
      <w:r>
        <w:t>41</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Cargo not to remain on jetties overnight</w:t>
      </w:r>
      <w:r>
        <w:tab/>
      </w:r>
      <w:r>
        <w:fldChar w:fldCharType="begin"/>
      </w:r>
      <w:r>
        <w:instrText xml:space="preserve"> PAGEREF _Toc375231114 \h </w:instrText>
      </w:r>
      <w:r>
        <w:fldChar w:fldCharType="separate"/>
      </w:r>
      <w:r>
        <w:t>42</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Explosives not to be handled without permission</w:t>
      </w:r>
      <w:r>
        <w:tab/>
      </w:r>
      <w:r>
        <w:fldChar w:fldCharType="begin"/>
      </w:r>
      <w:r>
        <w:instrText xml:space="preserve"> PAGEREF _Toc375231115 \h </w:instrText>
      </w:r>
      <w:r>
        <w:fldChar w:fldCharType="separate"/>
      </w:r>
      <w:r>
        <w:t>42</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Manner of handling cargo</w:t>
      </w:r>
      <w:r>
        <w:tab/>
      </w:r>
      <w:r>
        <w:fldChar w:fldCharType="begin"/>
      </w:r>
      <w:r>
        <w:instrText xml:space="preserve"> PAGEREF _Toc375231116 \h </w:instrText>
      </w:r>
      <w:r>
        <w:fldChar w:fldCharType="separate"/>
      </w:r>
      <w:r>
        <w:t>42</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Navigation of vessels</w:t>
      </w:r>
    </w:p>
    <w:p>
      <w:pPr>
        <w:pStyle w:val="TOC8"/>
        <w:rPr>
          <w:rFonts w:asciiTheme="minorHAnsi" w:eastAsiaTheme="minorEastAsia" w:hAnsiTheme="minorHAnsi" w:cstheme="minorBidi"/>
          <w:szCs w:val="22"/>
        </w:rPr>
      </w:pPr>
      <w:r>
        <w:t>85</w:t>
      </w:r>
      <w:r>
        <w:rPr>
          <w:snapToGrid w:val="0"/>
        </w:rPr>
        <w:t>.</w:t>
      </w:r>
      <w:r>
        <w:rPr>
          <w:snapToGrid w:val="0"/>
        </w:rPr>
        <w:tab/>
        <w:t>Power vessels approaching jetties</w:t>
      </w:r>
      <w:r>
        <w:tab/>
      </w:r>
      <w:r>
        <w:fldChar w:fldCharType="begin"/>
      </w:r>
      <w:r>
        <w:instrText xml:space="preserve"> PAGEREF _Toc375231118 \h </w:instrText>
      </w:r>
      <w:r>
        <w:fldChar w:fldCharType="separate"/>
      </w:r>
      <w:r>
        <w:t>42</w:t>
      </w:r>
      <w:r>
        <w:fldChar w:fldCharType="end"/>
      </w:r>
    </w:p>
    <w:p>
      <w:pPr>
        <w:pStyle w:val="TOC4"/>
        <w:tabs>
          <w:tab w:val="right" w:leader="dot" w:pos="7086"/>
        </w:tabs>
        <w:rPr>
          <w:rFonts w:asciiTheme="minorHAnsi" w:eastAsiaTheme="minorEastAsia" w:hAnsiTheme="minorHAnsi" w:cstheme="minorBidi"/>
          <w:b w:val="0"/>
          <w:szCs w:val="22"/>
        </w:rPr>
      </w:pPr>
      <w:r>
        <w:t>Division 6</w:t>
      </w:r>
      <w:r>
        <w:rPr>
          <w:snapToGrid w:val="0"/>
        </w:rPr>
        <w:t> — </w:t>
      </w:r>
      <w:r>
        <w:t>Miscellaneous</w:t>
      </w:r>
    </w:p>
    <w:p>
      <w:pPr>
        <w:pStyle w:val="TOC8"/>
        <w:rPr>
          <w:rFonts w:asciiTheme="minorHAnsi" w:eastAsiaTheme="minorEastAsia" w:hAnsiTheme="minorHAnsi" w:cstheme="minorBidi"/>
          <w:szCs w:val="22"/>
        </w:rPr>
      </w:pPr>
      <w:r>
        <w:t>86</w:t>
      </w:r>
      <w:r>
        <w:rPr>
          <w:snapToGrid w:val="0"/>
        </w:rPr>
        <w:t>.</w:t>
      </w:r>
      <w:r>
        <w:rPr>
          <w:snapToGrid w:val="0"/>
        </w:rPr>
        <w:tab/>
        <w:t>Bathing from jetties</w:t>
      </w:r>
      <w:r>
        <w:tab/>
      </w:r>
      <w:r>
        <w:fldChar w:fldCharType="begin"/>
      </w:r>
      <w:r>
        <w:instrText xml:space="preserve"> PAGEREF _Toc375231120 \h </w:instrText>
      </w:r>
      <w:r>
        <w:fldChar w:fldCharType="separate"/>
      </w:r>
      <w:r>
        <w:t>43</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Damage to jetties</w:t>
      </w:r>
      <w:r>
        <w:tab/>
      </w:r>
      <w:r>
        <w:fldChar w:fldCharType="begin"/>
      </w:r>
      <w:r>
        <w:instrText xml:space="preserve"> PAGEREF _Toc375231121 \h </w:instrText>
      </w:r>
      <w:r>
        <w:fldChar w:fldCharType="separate"/>
      </w:r>
      <w:r>
        <w:t>43</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Fishing from certain places prohibited</w:t>
      </w:r>
      <w:r>
        <w:tab/>
      </w:r>
      <w:r>
        <w:fldChar w:fldCharType="begin"/>
      </w:r>
      <w:r>
        <w:instrText xml:space="preserve"> PAGEREF _Toc375231122 \h </w:instrText>
      </w:r>
      <w:r>
        <w:fldChar w:fldCharType="separate"/>
      </w:r>
      <w:r>
        <w:t>43</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Fishing nets on jetties</w:t>
      </w:r>
      <w:r>
        <w:tab/>
      </w:r>
      <w:r>
        <w:fldChar w:fldCharType="begin"/>
      </w:r>
      <w:r>
        <w:instrText xml:space="preserve"> PAGEREF _Toc375231123 \h </w:instrText>
      </w:r>
      <w:r>
        <w:fldChar w:fldCharType="separate"/>
      </w:r>
      <w:r>
        <w:t>44</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Gangways to be provided</w:t>
      </w:r>
      <w:r>
        <w:tab/>
      </w:r>
      <w:r>
        <w:fldChar w:fldCharType="begin"/>
      </w:r>
      <w:r>
        <w:instrText xml:space="preserve"> PAGEREF _Toc375231124 \h </w:instrText>
      </w:r>
      <w:r>
        <w:fldChar w:fldCharType="separate"/>
      </w:r>
      <w:r>
        <w:t>44</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Interference with jetties or approaches</w:t>
      </w:r>
      <w:r>
        <w:tab/>
      </w:r>
      <w:r>
        <w:fldChar w:fldCharType="begin"/>
      </w:r>
      <w:r>
        <w:instrText xml:space="preserve"> PAGEREF _Toc375231125 \h </w:instrText>
      </w:r>
      <w:r>
        <w:fldChar w:fldCharType="separate"/>
      </w:r>
      <w:r>
        <w:t>44</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Lifebuoys on jetties</w:t>
      </w:r>
      <w:r>
        <w:tab/>
      </w:r>
      <w:r>
        <w:fldChar w:fldCharType="begin"/>
      </w:r>
      <w:r>
        <w:instrText xml:space="preserve"> PAGEREF _Toc375231126 \h </w:instrText>
      </w:r>
      <w:r>
        <w:fldChar w:fldCharType="separate"/>
      </w:r>
      <w:r>
        <w:t>44</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Obstruction of jetties or officers</w:t>
      </w:r>
      <w:r>
        <w:tab/>
      </w:r>
      <w:r>
        <w:fldChar w:fldCharType="begin"/>
      </w:r>
      <w:r>
        <w:instrText xml:space="preserve"> PAGEREF _Toc375231127 \h </w:instrText>
      </w:r>
      <w:r>
        <w:fldChar w:fldCharType="separate"/>
      </w:r>
      <w:r>
        <w:t>44</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Rubbish not to be thrown in river etc.</w:t>
      </w:r>
      <w:r>
        <w:tab/>
      </w:r>
      <w:r>
        <w:fldChar w:fldCharType="begin"/>
      </w:r>
      <w:r>
        <w:instrText xml:space="preserve"> PAGEREF _Toc375231128 \h </w:instrText>
      </w:r>
      <w:r>
        <w:fldChar w:fldCharType="separate"/>
      </w:r>
      <w:r>
        <w:t>45</w:t>
      </w:r>
      <w:r>
        <w:fldChar w:fldCharType="end"/>
      </w:r>
    </w:p>
    <w:p>
      <w:pPr>
        <w:pStyle w:val="TOC2"/>
        <w:tabs>
          <w:tab w:val="right" w:leader="dot" w:pos="7086"/>
        </w:tabs>
        <w:rPr>
          <w:rFonts w:asciiTheme="minorHAnsi" w:eastAsiaTheme="minorEastAsia" w:hAnsiTheme="minorHAnsi" w:cstheme="minorBidi"/>
          <w:b w:val="0"/>
          <w:sz w:val="22"/>
          <w:szCs w:val="22"/>
        </w:rPr>
      </w:pPr>
      <w:r>
        <w:t>Part 2A — Mooring and berthing other than in the Port of Perth</w:t>
      </w:r>
    </w:p>
    <w:p>
      <w:pPr>
        <w:pStyle w:val="TOC8"/>
        <w:rPr>
          <w:rFonts w:asciiTheme="minorHAnsi" w:eastAsiaTheme="minorEastAsia" w:hAnsiTheme="minorHAnsi" w:cstheme="minorBidi"/>
          <w:szCs w:val="22"/>
        </w:rPr>
      </w:pPr>
      <w:r>
        <w:t>94A.</w:t>
      </w:r>
      <w:r>
        <w:tab/>
        <w:t>Fees etc. for pen rentals and services</w:t>
      </w:r>
      <w:r>
        <w:tab/>
      </w:r>
      <w:r>
        <w:fldChar w:fldCharType="begin"/>
      </w:r>
      <w:r>
        <w:instrText xml:space="preserve"> PAGEREF _Toc375231130 \h </w:instrText>
      </w:r>
      <w:r>
        <w:fldChar w:fldCharType="separate"/>
      </w:r>
      <w:r>
        <w:t>46</w:t>
      </w:r>
      <w:r>
        <w:fldChar w:fldCharType="end"/>
      </w:r>
    </w:p>
    <w:p>
      <w:pPr>
        <w:pStyle w:val="TOC8"/>
        <w:rPr>
          <w:rFonts w:asciiTheme="minorHAnsi" w:eastAsiaTheme="minorEastAsia" w:hAnsiTheme="minorHAnsi" w:cstheme="minorBidi"/>
          <w:szCs w:val="22"/>
        </w:rPr>
      </w:pPr>
      <w:r>
        <w:t>94B</w:t>
      </w:r>
      <w:r>
        <w:rPr>
          <w:snapToGrid w:val="0"/>
        </w:rPr>
        <w:t>.</w:t>
      </w:r>
      <w:r>
        <w:rPr>
          <w:snapToGrid w:val="0"/>
        </w:rPr>
        <w:tab/>
        <w:t>Fees for pile mooring</w:t>
      </w:r>
      <w:r>
        <w:tab/>
      </w:r>
      <w:r>
        <w:fldChar w:fldCharType="begin"/>
      </w:r>
      <w:r>
        <w:instrText xml:space="preserve"> PAGEREF _Toc375231131 \h </w:instrText>
      </w:r>
      <w:r>
        <w:fldChar w:fldCharType="separate"/>
      </w:r>
      <w:r>
        <w:t>46</w:t>
      </w:r>
      <w:r>
        <w:fldChar w:fldCharType="end"/>
      </w:r>
    </w:p>
    <w:p>
      <w:pPr>
        <w:pStyle w:val="TOC8"/>
        <w:rPr>
          <w:rFonts w:asciiTheme="minorHAnsi" w:eastAsiaTheme="minorEastAsia" w:hAnsiTheme="minorHAnsi" w:cstheme="minorBidi"/>
          <w:szCs w:val="22"/>
        </w:rPr>
      </w:pPr>
      <w:r>
        <w:t>94C</w:t>
      </w:r>
      <w:r>
        <w:rPr>
          <w:snapToGrid w:val="0"/>
        </w:rPr>
        <w:t>.</w:t>
      </w:r>
      <w:r>
        <w:rPr>
          <w:snapToGrid w:val="0"/>
        </w:rPr>
        <w:tab/>
        <w:t>Fees for berthing or mooring on a casual basis</w:t>
      </w:r>
      <w:r>
        <w:tab/>
      </w:r>
      <w:r>
        <w:fldChar w:fldCharType="begin"/>
      </w:r>
      <w:r>
        <w:instrText xml:space="preserve"> PAGEREF _Toc375231132 \h </w:instrText>
      </w:r>
      <w:r>
        <w:fldChar w:fldCharType="separate"/>
      </w:r>
      <w:r>
        <w:t>46</w:t>
      </w:r>
      <w:r>
        <w:fldChar w:fldCharType="end"/>
      </w:r>
    </w:p>
    <w:p>
      <w:pPr>
        <w:pStyle w:val="TOC8"/>
        <w:rPr>
          <w:rFonts w:asciiTheme="minorHAnsi" w:eastAsiaTheme="minorEastAsia" w:hAnsiTheme="minorHAnsi" w:cstheme="minorBidi"/>
          <w:szCs w:val="22"/>
        </w:rPr>
      </w:pPr>
      <w:r>
        <w:t>94D.</w:t>
      </w:r>
      <w:r>
        <w:tab/>
        <w:t>Waiving fees or charges in emergencies</w:t>
      </w:r>
      <w:r>
        <w:tab/>
      </w:r>
      <w:r>
        <w:fldChar w:fldCharType="begin"/>
      </w:r>
      <w:r>
        <w:instrText xml:space="preserve"> PAGEREF _Toc375231133 \h </w:instrText>
      </w:r>
      <w:r>
        <w:fldChar w:fldCharType="separate"/>
      </w:r>
      <w:r>
        <w:t>46</w:t>
      </w:r>
      <w:r>
        <w:fldChar w:fldCharType="end"/>
      </w:r>
    </w:p>
    <w:p>
      <w:pPr>
        <w:pStyle w:val="TOC2"/>
        <w:tabs>
          <w:tab w:val="right" w:leader="dot" w:pos="7086"/>
        </w:tabs>
        <w:rPr>
          <w:rFonts w:asciiTheme="minorHAnsi" w:eastAsiaTheme="minorEastAsia" w:hAnsiTheme="minorHAnsi" w:cstheme="minorBidi"/>
          <w:b w:val="0"/>
          <w:sz w:val="22"/>
          <w:szCs w:val="22"/>
        </w:rPr>
      </w:pPr>
      <w:r>
        <w:t>Part 3 — Special provisions applying at particular ports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Use of slipways</w:t>
      </w:r>
    </w:p>
    <w:p>
      <w:pPr>
        <w:pStyle w:val="TOC8"/>
        <w:rPr>
          <w:rFonts w:asciiTheme="minorHAnsi" w:eastAsiaTheme="minorEastAsia" w:hAnsiTheme="minorHAnsi" w:cstheme="minorBidi"/>
          <w:szCs w:val="22"/>
        </w:rPr>
      </w:pPr>
      <w:r>
        <w:t>95.</w:t>
      </w:r>
      <w:r>
        <w:tab/>
        <w:t>Management and control of departmental slipways</w:t>
      </w:r>
      <w:r>
        <w:tab/>
      </w:r>
      <w:r>
        <w:fldChar w:fldCharType="begin"/>
      </w:r>
      <w:r>
        <w:instrText xml:space="preserve"> PAGEREF _Toc375231136 \h </w:instrText>
      </w:r>
      <w:r>
        <w:fldChar w:fldCharType="separate"/>
      </w:r>
      <w:r>
        <w:t>47</w:t>
      </w:r>
      <w:r>
        <w:fldChar w:fldCharType="end"/>
      </w:r>
    </w:p>
    <w:p>
      <w:pPr>
        <w:pStyle w:val="TOC8"/>
        <w:rPr>
          <w:rFonts w:asciiTheme="minorHAnsi" w:eastAsiaTheme="minorEastAsia" w:hAnsiTheme="minorHAnsi" w:cstheme="minorBidi"/>
          <w:szCs w:val="22"/>
        </w:rPr>
      </w:pPr>
      <w:r>
        <w:t>95A</w:t>
      </w:r>
      <w:r>
        <w:rPr>
          <w:snapToGrid w:val="0"/>
        </w:rPr>
        <w:t>.</w:t>
      </w:r>
      <w:r>
        <w:rPr>
          <w:snapToGrid w:val="0"/>
        </w:rPr>
        <w:tab/>
        <w:t>Application for use of slipway</w:t>
      </w:r>
      <w:r>
        <w:tab/>
      </w:r>
      <w:r>
        <w:fldChar w:fldCharType="begin"/>
      </w:r>
      <w:r>
        <w:instrText xml:space="preserve"> PAGEREF _Toc375231137 \h </w:instrText>
      </w:r>
      <w:r>
        <w:fldChar w:fldCharType="separate"/>
      </w:r>
      <w:r>
        <w:t>47</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Charges for use of slipway</w:t>
      </w:r>
      <w:r>
        <w:tab/>
      </w:r>
      <w:r>
        <w:fldChar w:fldCharType="begin"/>
      </w:r>
      <w:r>
        <w:instrText xml:space="preserve"> PAGEREF _Toc375231138 \h </w:instrText>
      </w:r>
      <w:r>
        <w:fldChar w:fldCharType="separate"/>
      </w:r>
      <w:r>
        <w:t>48</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Government vessels may take precedence</w:t>
      </w:r>
      <w:r>
        <w:tab/>
      </w:r>
      <w:r>
        <w:fldChar w:fldCharType="begin"/>
      </w:r>
      <w:r>
        <w:instrText xml:space="preserve"> PAGEREF _Toc375231139 \h </w:instrText>
      </w:r>
      <w:r>
        <w:fldChar w:fldCharType="separate"/>
      </w:r>
      <w:r>
        <w:t>48</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Vessels may forfeit their turn</w:t>
      </w:r>
      <w:r>
        <w:tab/>
      </w:r>
      <w:r>
        <w:fldChar w:fldCharType="begin"/>
      </w:r>
      <w:r>
        <w:instrText xml:space="preserve"> PAGEREF _Toc375231140 \h </w:instrText>
      </w:r>
      <w:r>
        <w:fldChar w:fldCharType="separate"/>
      </w:r>
      <w:r>
        <w:t>48</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Department will not undertake repairs etc.</w:t>
      </w:r>
      <w:r>
        <w:tab/>
      </w:r>
      <w:r>
        <w:fldChar w:fldCharType="begin"/>
      </w:r>
      <w:r>
        <w:instrText xml:space="preserve"> PAGEREF _Toc375231141 \h </w:instrText>
      </w:r>
      <w:r>
        <w:fldChar w:fldCharType="separate"/>
      </w:r>
      <w:r>
        <w:t>49</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Department not responsible for damage to vessel when in use of slip</w:t>
      </w:r>
      <w:r>
        <w:tab/>
      </w:r>
      <w:r>
        <w:fldChar w:fldCharType="begin"/>
      </w:r>
      <w:r>
        <w:instrText xml:space="preserve"> PAGEREF _Toc375231142 \h </w:instrText>
      </w:r>
      <w:r>
        <w:fldChar w:fldCharType="separate"/>
      </w:r>
      <w:r>
        <w:t>49</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Duties of owner or master using slipway</w:t>
      </w:r>
      <w:r>
        <w:tab/>
      </w:r>
      <w:r>
        <w:fldChar w:fldCharType="begin"/>
      </w:r>
      <w:r>
        <w:instrText xml:space="preserve"> PAGEREF _Toc375231143 \h </w:instrText>
      </w:r>
      <w:r>
        <w:fldChar w:fldCharType="separate"/>
      </w:r>
      <w:r>
        <w:t>49</w:t>
      </w:r>
      <w:r>
        <w:fldChar w:fldCharType="end"/>
      </w:r>
    </w:p>
    <w:p>
      <w:pPr>
        <w:pStyle w:val="TOC8"/>
        <w:rPr>
          <w:rFonts w:asciiTheme="minorHAnsi" w:eastAsiaTheme="minorEastAsia" w:hAnsiTheme="minorHAnsi" w:cstheme="minorBidi"/>
          <w:szCs w:val="22"/>
        </w:rPr>
      </w:pPr>
      <w:r>
        <w:t>101A</w:t>
      </w:r>
      <w:r>
        <w:rPr>
          <w:snapToGrid w:val="0"/>
        </w:rPr>
        <w:t>.</w:t>
      </w:r>
      <w:r>
        <w:rPr>
          <w:snapToGrid w:val="0"/>
        </w:rPr>
        <w:tab/>
        <w:t>Slipping of more than one vessel at a time</w:t>
      </w:r>
      <w:r>
        <w:tab/>
      </w:r>
      <w:r>
        <w:fldChar w:fldCharType="begin"/>
      </w:r>
      <w:r>
        <w:instrText xml:space="preserve"> PAGEREF _Toc375231144 \h </w:instrText>
      </w:r>
      <w:r>
        <w:fldChar w:fldCharType="separate"/>
      </w:r>
      <w:r>
        <w:t>50</w:t>
      </w:r>
      <w:r>
        <w:fldChar w:fldCharType="end"/>
      </w:r>
    </w:p>
    <w:p>
      <w:pPr>
        <w:pStyle w:val="TOC8"/>
        <w:rPr>
          <w:rFonts w:asciiTheme="minorHAnsi" w:eastAsiaTheme="minorEastAsia" w:hAnsiTheme="minorHAnsi" w:cstheme="minorBidi"/>
          <w:szCs w:val="22"/>
        </w:rPr>
      </w:pPr>
      <w:r>
        <w:t>101B</w:t>
      </w:r>
      <w:r>
        <w:rPr>
          <w:snapToGrid w:val="0"/>
        </w:rPr>
        <w:t>.</w:t>
      </w:r>
      <w:r>
        <w:rPr>
          <w:snapToGrid w:val="0"/>
        </w:rPr>
        <w:tab/>
        <w:t>Dispute procedure</w:t>
      </w:r>
      <w:r>
        <w:tab/>
      </w:r>
      <w:r>
        <w:fldChar w:fldCharType="begin"/>
      </w:r>
      <w:r>
        <w:instrText xml:space="preserve"> PAGEREF _Toc375231145 \h </w:instrText>
      </w:r>
      <w:r>
        <w:fldChar w:fldCharType="separate"/>
      </w:r>
      <w:r>
        <w:t>50</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Use of mooring springs</w:t>
      </w:r>
    </w:p>
    <w:p>
      <w:pPr>
        <w:pStyle w:val="TOC8"/>
        <w:rPr>
          <w:rFonts w:asciiTheme="minorHAnsi" w:eastAsiaTheme="minorEastAsia" w:hAnsiTheme="minorHAnsi" w:cstheme="minorBidi"/>
          <w:szCs w:val="22"/>
        </w:rPr>
      </w:pPr>
      <w:r>
        <w:t>105F</w:t>
      </w:r>
      <w:r>
        <w:rPr>
          <w:snapToGrid w:val="0"/>
        </w:rPr>
        <w:t>.</w:t>
      </w:r>
      <w:r>
        <w:rPr>
          <w:snapToGrid w:val="0"/>
        </w:rPr>
        <w:tab/>
        <w:t>Approaching bollard or jetty to which mooring spring or rope fastened</w:t>
      </w:r>
      <w:r>
        <w:tab/>
      </w:r>
      <w:r>
        <w:fldChar w:fldCharType="begin"/>
      </w:r>
      <w:r>
        <w:instrText xml:space="preserve"> PAGEREF _Toc375231147 \h </w:instrText>
      </w:r>
      <w:r>
        <w:fldChar w:fldCharType="separate"/>
      </w:r>
      <w:r>
        <w:t>50</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Use of weighbridges at Wyndham</w:t>
      </w:r>
    </w:p>
    <w:p>
      <w:pPr>
        <w:pStyle w:val="TOC8"/>
        <w:rPr>
          <w:rFonts w:asciiTheme="minorHAnsi" w:eastAsiaTheme="minorEastAsia" w:hAnsiTheme="minorHAnsi" w:cstheme="minorBidi"/>
          <w:szCs w:val="22"/>
        </w:rPr>
      </w:pPr>
      <w:r>
        <w:t>105I</w:t>
      </w:r>
      <w:r>
        <w:rPr>
          <w:snapToGrid w:val="0"/>
        </w:rPr>
        <w:t>.</w:t>
      </w:r>
      <w:r>
        <w:rPr>
          <w:snapToGrid w:val="0"/>
        </w:rPr>
        <w:tab/>
        <w:t>Weighbridge fees</w:t>
      </w:r>
      <w:r>
        <w:tab/>
      </w:r>
      <w:r>
        <w:fldChar w:fldCharType="begin"/>
      </w:r>
      <w:r>
        <w:instrText xml:space="preserve"> PAGEREF _Toc375231149 \h </w:instrText>
      </w:r>
      <w:r>
        <w:fldChar w:fldCharType="separate"/>
      </w:r>
      <w:r>
        <w:t>51</w:t>
      </w:r>
      <w:r>
        <w:fldChar w:fldCharType="end"/>
      </w:r>
    </w:p>
    <w:p>
      <w:pPr>
        <w:pStyle w:val="TOC2"/>
        <w:tabs>
          <w:tab w:val="right" w:leader="dot" w:pos="7086"/>
        </w:tabs>
        <w:rPr>
          <w:rFonts w:asciiTheme="minorHAnsi" w:eastAsiaTheme="minorEastAsia" w:hAnsiTheme="minorHAnsi" w:cstheme="minorBidi"/>
          <w:b w:val="0"/>
          <w:sz w:val="22"/>
          <w:szCs w:val="22"/>
        </w:rPr>
      </w:pPr>
      <w:r>
        <w:t>Part 4 — Breach of regulations and penalties</w:t>
      </w:r>
    </w:p>
    <w:p>
      <w:pPr>
        <w:pStyle w:val="TOC8"/>
        <w:rPr>
          <w:rFonts w:asciiTheme="minorHAnsi" w:eastAsiaTheme="minorEastAsia" w:hAnsiTheme="minorHAnsi" w:cstheme="minorBidi"/>
          <w:szCs w:val="22"/>
        </w:rPr>
      </w:pPr>
      <w:r>
        <w:t>106</w:t>
      </w:r>
      <w:r>
        <w:rPr>
          <w:snapToGrid w:val="0"/>
        </w:rPr>
        <w:t>.</w:t>
      </w:r>
      <w:r>
        <w:rPr>
          <w:snapToGrid w:val="0"/>
        </w:rPr>
        <w:tab/>
        <w:t>Powers of officer of Department</w:t>
      </w:r>
      <w:r>
        <w:tab/>
      </w:r>
      <w:r>
        <w:fldChar w:fldCharType="begin"/>
      </w:r>
      <w:r>
        <w:instrText xml:space="preserve"> PAGEREF _Toc375231151 \h </w:instrText>
      </w:r>
      <w:r>
        <w:fldChar w:fldCharType="separate"/>
      </w:r>
      <w:r>
        <w:t>52</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Recovery of expenses incurred by breaches of regulations</w:t>
      </w:r>
      <w:r>
        <w:tab/>
      </w:r>
      <w:r>
        <w:fldChar w:fldCharType="begin"/>
      </w:r>
      <w:r>
        <w:instrText xml:space="preserve"> PAGEREF _Toc375231152 \h </w:instrText>
      </w:r>
      <w:r>
        <w:fldChar w:fldCharType="separate"/>
      </w:r>
      <w:r>
        <w:t>52</w:t>
      </w:r>
      <w:r>
        <w:fldChar w:fldCharType="end"/>
      </w:r>
    </w:p>
    <w:p>
      <w:pPr>
        <w:pStyle w:val="TOC8"/>
        <w:rPr>
          <w:rFonts w:asciiTheme="minorHAnsi" w:eastAsiaTheme="minorEastAsia" w:hAnsiTheme="minorHAnsi" w:cstheme="minorBidi"/>
          <w:szCs w:val="22"/>
        </w:rPr>
      </w:pPr>
      <w:r>
        <w:t>107A</w:t>
      </w:r>
      <w:r>
        <w:rPr>
          <w:snapToGrid w:val="0"/>
        </w:rPr>
        <w:t>.</w:t>
      </w:r>
      <w:r>
        <w:rPr>
          <w:snapToGrid w:val="0"/>
        </w:rPr>
        <w:tab/>
        <w:t>Police have authority to enforce regulations</w:t>
      </w:r>
      <w:r>
        <w:tab/>
      </w:r>
      <w:r>
        <w:fldChar w:fldCharType="begin"/>
      </w:r>
      <w:r>
        <w:instrText xml:space="preserve"> PAGEREF _Toc375231153 \h </w:instrText>
      </w:r>
      <w:r>
        <w:fldChar w:fldCharType="separate"/>
      </w:r>
      <w:r>
        <w:t>52</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Penalty for offences</w:t>
      </w:r>
      <w:r>
        <w:tab/>
      </w:r>
      <w:r>
        <w:fldChar w:fldCharType="begin"/>
      </w:r>
      <w:r>
        <w:instrText xml:space="preserve"> PAGEREF _Toc375231154 \h </w:instrText>
      </w:r>
      <w:r>
        <w:fldChar w:fldCharType="separate"/>
      </w:r>
      <w:r>
        <w:t>53</w:t>
      </w:r>
      <w:r>
        <w:fldChar w:fldCharType="end"/>
      </w:r>
    </w:p>
    <w:p>
      <w:pPr>
        <w:pStyle w:val="TOC2"/>
        <w:tabs>
          <w:tab w:val="right" w:leader="dot" w:pos="7086"/>
        </w:tabs>
        <w:rPr>
          <w:rFonts w:asciiTheme="minorHAnsi" w:eastAsiaTheme="minorEastAsia" w:hAnsiTheme="minorHAnsi" w:cstheme="minorBidi"/>
          <w:b w:val="0"/>
          <w:sz w:val="22"/>
          <w:szCs w:val="22"/>
        </w:rPr>
      </w:pPr>
      <w:r>
        <w:t>Schedule 1 — Charges, dues and fees at places outside the Port of Perth</w:t>
      </w:r>
    </w:p>
    <w:p>
      <w:pPr>
        <w:pStyle w:val="TOC4"/>
        <w:tabs>
          <w:tab w:val="right" w:leader="dot" w:pos="7086"/>
        </w:tabs>
        <w:rPr>
          <w:rFonts w:asciiTheme="minorHAnsi" w:eastAsiaTheme="minorEastAsia" w:hAnsiTheme="minorHAnsi" w:cstheme="minorBidi"/>
          <w:b w:val="0"/>
          <w:szCs w:val="22"/>
        </w:rPr>
      </w:pPr>
      <w:r>
        <w:t>Division 1</w:t>
      </w:r>
      <w:r>
        <w:rPr>
          <w:b w:val="0"/>
        </w:rPr>
        <w:t> — </w:t>
      </w:r>
      <w:r>
        <w:t>Specified places</w:t>
      </w:r>
    </w:p>
    <w:p>
      <w:pPr>
        <w:pStyle w:val="TOC8"/>
        <w:rPr>
          <w:rFonts w:asciiTheme="minorHAnsi" w:eastAsiaTheme="minorEastAsia" w:hAnsiTheme="minorHAnsi" w:cstheme="minorBidi"/>
          <w:szCs w:val="22"/>
        </w:rPr>
      </w:pPr>
      <w:r>
        <w:t>1.</w:t>
      </w:r>
      <w:r>
        <w:tab/>
        <w:t>Albany, Albany Waterfront Marina</w:t>
      </w:r>
      <w:r>
        <w:tab/>
      </w:r>
      <w:r>
        <w:fldChar w:fldCharType="begin"/>
      </w:r>
      <w:r>
        <w:instrText xml:space="preserve"> PAGEREF _Toc375231157 \h </w:instrText>
      </w:r>
      <w:r>
        <w:fldChar w:fldCharType="separate"/>
      </w:r>
      <w:r>
        <w:t>54</w:t>
      </w:r>
      <w:r>
        <w:fldChar w:fldCharType="end"/>
      </w:r>
    </w:p>
    <w:p>
      <w:pPr>
        <w:pStyle w:val="TOC8"/>
        <w:rPr>
          <w:rFonts w:asciiTheme="minorHAnsi" w:eastAsiaTheme="minorEastAsia" w:hAnsiTheme="minorHAnsi" w:cstheme="minorBidi"/>
          <w:szCs w:val="22"/>
        </w:rPr>
      </w:pPr>
      <w:r>
        <w:t>2.</w:t>
      </w:r>
      <w:r>
        <w:tab/>
        <w:t>Albany, Emu Point Boat Harbour</w:t>
      </w:r>
      <w:r>
        <w:tab/>
      </w:r>
      <w:r>
        <w:fldChar w:fldCharType="begin"/>
      </w:r>
      <w:r>
        <w:instrText xml:space="preserve"> PAGEREF _Toc375231158 \h </w:instrText>
      </w:r>
      <w:r>
        <w:fldChar w:fldCharType="separate"/>
      </w:r>
      <w:r>
        <w:t>55</w:t>
      </w:r>
      <w:r>
        <w:fldChar w:fldCharType="end"/>
      </w:r>
    </w:p>
    <w:p>
      <w:pPr>
        <w:pStyle w:val="TOC8"/>
        <w:rPr>
          <w:rFonts w:asciiTheme="minorHAnsi" w:eastAsiaTheme="minorEastAsia" w:hAnsiTheme="minorHAnsi" w:cstheme="minorBidi"/>
          <w:szCs w:val="22"/>
        </w:rPr>
      </w:pPr>
      <w:r>
        <w:t>3.</w:t>
      </w:r>
      <w:r>
        <w:tab/>
        <w:t>Augusta</w:t>
      </w:r>
      <w:r>
        <w:tab/>
      </w:r>
      <w:r>
        <w:fldChar w:fldCharType="begin"/>
      </w:r>
      <w:r>
        <w:instrText xml:space="preserve"> PAGEREF _Toc375231159 \h </w:instrText>
      </w:r>
      <w:r>
        <w:fldChar w:fldCharType="separate"/>
      </w:r>
      <w:r>
        <w:t>57</w:t>
      </w:r>
      <w:r>
        <w:fldChar w:fldCharType="end"/>
      </w:r>
    </w:p>
    <w:p>
      <w:pPr>
        <w:pStyle w:val="TOC8"/>
        <w:rPr>
          <w:rFonts w:asciiTheme="minorHAnsi" w:eastAsiaTheme="minorEastAsia" w:hAnsiTheme="minorHAnsi" w:cstheme="minorBidi"/>
          <w:szCs w:val="22"/>
        </w:rPr>
      </w:pPr>
      <w:r>
        <w:t>4.</w:t>
      </w:r>
      <w:r>
        <w:tab/>
        <w:t>Bremer Bay</w:t>
      </w:r>
      <w:r>
        <w:tab/>
      </w:r>
      <w:r>
        <w:fldChar w:fldCharType="begin"/>
      </w:r>
      <w:r>
        <w:instrText xml:space="preserve"> PAGEREF _Toc375231160 \h </w:instrText>
      </w:r>
      <w:r>
        <w:fldChar w:fldCharType="separate"/>
      </w:r>
      <w:r>
        <w:t>57</w:t>
      </w:r>
      <w:r>
        <w:fldChar w:fldCharType="end"/>
      </w:r>
    </w:p>
    <w:p>
      <w:pPr>
        <w:pStyle w:val="TOC8"/>
        <w:rPr>
          <w:rFonts w:asciiTheme="minorHAnsi" w:eastAsiaTheme="minorEastAsia" w:hAnsiTheme="minorHAnsi" w:cstheme="minorBidi"/>
          <w:szCs w:val="22"/>
        </w:rPr>
      </w:pPr>
      <w:r>
        <w:t>5.</w:t>
      </w:r>
      <w:r>
        <w:tab/>
        <w:t>Bunbury, Casuarina Boat Harbour</w:t>
      </w:r>
      <w:r>
        <w:tab/>
      </w:r>
      <w:r>
        <w:fldChar w:fldCharType="begin"/>
      </w:r>
      <w:r>
        <w:instrText xml:space="preserve"> PAGEREF _Toc375231161 \h </w:instrText>
      </w:r>
      <w:r>
        <w:fldChar w:fldCharType="separate"/>
      </w:r>
      <w:r>
        <w:t>58</w:t>
      </w:r>
      <w:r>
        <w:fldChar w:fldCharType="end"/>
      </w:r>
    </w:p>
    <w:p>
      <w:pPr>
        <w:pStyle w:val="TOC8"/>
        <w:rPr>
          <w:rFonts w:asciiTheme="minorHAnsi" w:eastAsiaTheme="minorEastAsia" w:hAnsiTheme="minorHAnsi" w:cstheme="minorBidi"/>
          <w:szCs w:val="22"/>
        </w:rPr>
      </w:pPr>
      <w:r>
        <w:t>6.</w:t>
      </w:r>
      <w:r>
        <w:tab/>
        <w:t>Carnarvon Boat Harbour</w:t>
      </w:r>
      <w:r>
        <w:tab/>
      </w:r>
      <w:r>
        <w:fldChar w:fldCharType="begin"/>
      </w:r>
      <w:r>
        <w:instrText xml:space="preserve"> PAGEREF _Toc375231162 \h </w:instrText>
      </w:r>
      <w:r>
        <w:fldChar w:fldCharType="separate"/>
      </w:r>
      <w:r>
        <w:t>60</w:t>
      </w:r>
      <w:r>
        <w:fldChar w:fldCharType="end"/>
      </w:r>
    </w:p>
    <w:p>
      <w:pPr>
        <w:pStyle w:val="TOC8"/>
        <w:rPr>
          <w:rFonts w:asciiTheme="minorHAnsi" w:eastAsiaTheme="minorEastAsia" w:hAnsiTheme="minorHAnsi" w:cstheme="minorBidi"/>
          <w:szCs w:val="22"/>
        </w:rPr>
      </w:pPr>
      <w:r>
        <w:t>7.</w:t>
      </w:r>
      <w:r>
        <w:tab/>
        <w:t>Cervantes</w:t>
      </w:r>
      <w:r>
        <w:tab/>
      </w:r>
      <w:r>
        <w:fldChar w:fldCharType="begin"/>
      </w:r>
      <w:r>
        <w:instrText xml:space="preserve"> PAGEREF _Toc375231163 \h </w:instrText>
      </w:r>
      <w:r>
        <w:fldChar w:fldCharType="separate"/>
      </w:r>
      <w:r>
        <w:t>63</w:t>
      </w:r>
      <w:r>
        <w:fldChar w:fldCharType="end"/>
      </w:r>
    </w:p>
    <w:p>
      <w:pPr>
        <w:pStyle w:val="TOC8"/>
        <w:rPr>
          <w:rFonts w:asciiTheme="minorHAnsi" w:eastAsiaTheme="minorEastAsia" w:hAnsiTheme="minorHAnsi" w:cstheme="minorBidi"/>
          <w:szCs w:val="22"/>
        </w:rPr>
      </w:pPr>
      <w:r>
        <w:t>8.</w:t>
      </w:r>
      <w:r>
        <w:tab/>
        <w:t>Coral Bay Maritime Facility</w:t>
      </w:r>
      <w:r>
        <w:tab/>
      </w:r>
      <w:r>
        <w:fldChar w:fldCharType="begin"/>
      </w:r>
      <w:r>
        <w:instrText xml:space="preserve"> PAGEREF _Toc375231164 \h </w:instrText>
      </w:r>
      <w:r>
        <w:fldChar w:fldCharType="separate"/>
      </w:r>
      <w:r>
        <w:t>64</w:t>
      </w:r>
      <w:r>
        <w:fldChar w:fldCharType="end"/>
      </w:r>
    </w:p>
    <w:p>
      <w:pPr>
        <w:pStyle w:val="TOC8"/>
        <w:rPr>
          <w:rFonts w:asciiTheme="minorHAnsi" w:eastAsiaTheme="minorEastAsia" w:hAnsiTheme="minorHAnsi" w:cstheme="minorBidi"/>
          <w:szCs w:val="22"/>
        </w:rPr>
      </w:pPr>
      <w:r>
        <w:t>9.</w:t>
      </w:r>
      <w:r>
        <w:tab/>
        <w:t>Esperance, Bandy Creek Boat Harbour</w:t>
      </w:r>
      <w:r>
        <w:tab/>
      </w:r>
      <w:r>
        <w:fldChar w:fldCharType="begin"/>
      </w:r>
      <w:r>
        <w:instrText xml:space="preserve"> PAGEREF _Toc375231165 \h </w:instrText>
      </w:r>
      <w:r>
        <w:fldChar w:fldCharType="separate"/>
      </w:r>
      <w:r>
        <w:t>65</w:t>
      </w:r>
      <w:r>
        <w:fldChar w:fldCharType="end"/>
      </w:r>
    </w:p>
    <w:p>
      <w:pPr>
        <w:pStyle w:val="TOC8"/>
        <w:rPr>
          <w:rFonts w:asciiTheme="minorHAnsi" w:eastAsiaTheme="minorEastAsia" w:hAnsiTheme="minorHAnsi" w:cstheme="minorBidi"/>
          <w:szCs w:val="22"/>
        </w:rPr>
      </w:pPr>
      <w:r>
        <w:t>10.</w:t>
      </w:r>
      <w:r>
        <w:tab/>
        <w:t>Exmouth</w:t>
      </w:r>
      <w:r>
        <w:tab/>
      </w:r>
      <w:r>
        <w:fldChar w:fldCharType="begin"/>
      </w:r>
      <w:r>
        <w:instrText xml:space="preserve"> PAGEREF _Toc375231166 \h </w:instrText>
      </w:r>
      <w:r>
        <w:fldChar w:fldCharType="separate"/>
      </w:r>
      <w:r>
        <w:t>67</w:t>
      </w:r>
      <w:r>
        <w:fldChar w:fldCharType="end"/>
      </w:r>
    </w:p>
    <w:p>
      <w:pPr>
        <w:pStyle w:val="TOC8"/>
        <w:rPr>
          <w:rFonts w:asciiTheme="minorHAnsi" w:eastAsiaTheme="minorEastAsia" w:hAnsiTheme="minorHAnsi" w:cstheme="minorBidi"/>
          <w:szCs w:val="22"/>
        </w:rPr>
      </w:pPr>
      <w:r>
        <w:t>11.</w:t>
      </w:r>
      <w:r>
        <w:tab/>
        <w:t>Fremantle Fishing Boat Harbour</w:t>
      </w:r>
      <w:r>
        <w:tab/>
      </w:r>
      <w:r>
        <w:fldChar w:fldCharType="begin"/>
      </w:r>
      <w:r>
        <w:instrText xml:space="preserve"> PAGEREF _Toc375231167 \h </w:instrText>
      </w:r>
      <w:r>
        <w:fldChar w:fldCharType="separate"/>
      </w:r>
      <w:r>
        <w:t>74</w:t>
      </w:r>
      <w:r>
        <w:fldChar w:fldCharType="end"/>
      </w:r>
    </w:p>
    <w:p>
      <w:pPr>
        <w:pStyle w:val="TOC8"/>
        <w:rPr>
          <w:rFonts w:asciiTheme="minorHAnsi" w:eastAsiaTheme="minorEastAsia" w:hAnsiTheme="minorHAnsi" w:cstheme="minorBidi"/>
          <w:szCs w:val="22"/>
        </w:rPr>
      </w:pPr>
      <w:r>
        <w:t>12.</w:t>
      </w:r>
      <w:r>
        <w:tab/>
        <w:t>Geraldton, Batavia Coast Boat Harbour</w:t>
      </w:r>
      <w:r>
        <w:tab/>
      </w:r>
      <w:r>
        <w:fldChar w:fldCharType="begin"/>
      </w:r>
      <w:r>
        <w:instrText xml:space="preserve"> PAGEREF _Toc375231168 \h </w:instrText>
      </w:r>
      <w:r>
        <w:fldChar w:fldCharType="separate"/>
      </w:r>
      <w:r>
        <w:t>76</w:t>
      </w:r>
      <w:r>
        <w:fldChar w:fldCharType="end"/>
      </w:r>
    </w:p>
    <w:p>
      <w:pPr>
        <w:pStyle w:val="TOC8"/>
        <w:rPr>
          <w:rFonts w:asciiTheme="minorHAnsi" w:eastAsiaTheme="minorEastAsia" w:hAnsiTheme="minorHAnsi" w:cstheme="minorBidi"/>
          <w:szCs w:val="22"/>
        </w:rPr>
      </w:pPr>
      <w:r>
        <w:t>13.</w:t>
      </w:r>
      <w:r>
        <w:tab/>
        <w:t>Green Head</w:t>
      </w:r>
      <w:r>
        <w:tab/>
      </w:r>
      <w:r>
        <w:fldChar w:fldCharType="begin"/>
      </w:r>
      <w:r>
        <w:instrText xml:space="preserve"> PAGEREF _Toc375231169 \h </w:instrText>
      </w:r>
      <w:r>
        <w:fldChar w:fldCharType="separate"/>
      </w:r>
      <w:r>
        <w:t>79</w:t>
      </w:r>
      <w:r>
        <w:fldChar w:fldCharType="end"/>
      </w:r>
    </w:p>
    <w:p>
      <w:pPr>
        <w:pStyle w:val="TOC8"/>
        <w:rPr>
          <w:rFonts w:asciiTheme="minorHAnsi" w:eastAsiaTheme="minorEastAsia" w:hAnsiTheme="minorHAnsi" w:cstheme="minorBidi"/>
          <w:szCs w:val="22"/>
        </w:rPr>
      </w:pPr>
      <w:r>
        <w:t>14.</w:t>
      </w:r>
      <w:r>
        <w:tab/>
        <w:t>Hopetoun</w:t>
      </w:r>
      <w:r>
        <w:tab/>
      </w:r>
      <w:r>
        <w:fldChar w:fldCharType="begin"/>
      </w:r>
      <w:r>
        <w:instrText xml:space="preserve"> PAGEREF _Toc375231170 \h </w:instrText>
      </w:r>
      <w:r>
        <w:fldChar w:fldCharType="separate"/>
      </w:r>
      <w:r>
        <w:t>79</w:t>
      </w:r>
      <w:r>
        <w:fldChar w:fldCharType="end"/>
      </w:r>
    </w:p>
    <w:p>
      <w:pPr>
        <w:pStyle w:val="TOC8"/>
        <w:rPr>
          <w:rFonts w:asciiTheme="minorHAnsi" w:eastAsiaTheme="minorEastAsia" w:hAnsiTheme="minorHAnsi" w:cstheme="minorBidi"/>
          <w:szCs w:val="22"/>
        </w:rPr>
      </w:pPr>
      <w:r>
        <w:t>15.</w:t>
      </w:r>
      <w:r>
        <w:tab/>
        <w:t>Jurien</w:t>
      </w:r>
      <w:r>
        <w:tab/>
      </w:r>
      <w:r>
        <w:fldChar w:fldCharType="begin"/>
      </w:r>
      <w:r>
        <w:instrText xml:space="preserve"> PAGEREF _Toc375231171 \h </w:instrText>
      </w:r>
      <w:r>
        <w:fldChar w:fldCharType="separate"/>
      </w:r>
      <w:r>
        <w:t>80</w:t>
      </w:r>
      <w:r>
        <w:fldChar w:fldCharType="end"/>
      </w:r>
    </w:p>
    <w:p>
      <w:pPr>
        <w:pStyle w:val="TOC8"/>
        <w:rPr>
          <w:rFonts w:asciiTheme="minorHAnsi" w:eastAsiaTheme="minorEastAsia" w:hAnsiTheme="minorHAnsi" w:cstheme="minorBidi"/>
          <w:szCs w:val="22"/>
        </w:rPr>
      </w:pPr>
      <w:r>
        <w:t>16.</w:t>
      </w:r>
      <w:r>
        <w:tab/>
        <w:t>Kalbarri</w:t>
      </w:r>
      <w:r>
        <w:tab/>
      </w:r>
      <w:r>
        <w:fldChar w:fldCharType="begin"/>
      </w:r>
      <w:r>
        <w:instrText xml:space="preserve"> PAGEREF _Toc375231172 \h </w:instrText>
      </w:r>
      <w:r>
        <w:fldChar w:fldCharType="separate"/>
      </w:r>
      <w:r>
        <w:t>81</w:t>
      </w:r>
      <w:r>
        <w:fldChar w:fldCharType="end"/>
      </w:r>
    </w:p>
    <w:p>
      <w:pPr>
        <w:pStyle w:val="TOC8"/>
        <w:rPr>
          <w:rFonts w:asciiTheme="minorHAnsi" w:eastAsiaTheme="minorEastAsia" w:hAnsiTheme="minorHAnsi" w:cstheme="minorBidi"/>
          <w:szCs w:val="22"/>
        </w:rPr>
      </w:pPr>
      <w:r>
        <w:t>17.</w:t>
      </w:r>
      <w:r>
        <w:tab/>
        <w:t>Lancelin</w:t>
      </w:r>
      <w:r>
        <w:tab/>
      </w:r>
      <w:r>
        <w:fldChar w:fldCharType="begin"/>
      </w:r>
      <w:r>
        <w:instrText xml:space="preserve"> PAGEREF _Toc375231173 \h </w:instrText>
      </w:r>
      <w:r>
        <w:fldChar w:fldCharType="separate"/>
      </w:r>
      <w:r>
        <w:t>83</w:t>
      </w:r>
      <w:r>
        <w:fldChar w:fldCharType="end"/>
      </w:r>
    </w:p>
    <w:p>
      <w:pPr>
        <w:pStyle w:val="TOC8"/>
        <w:rPr>
          <w:rFonts w:asciiTheme="minorHAnsi" w:eastAsiaTheme="minorEastAsia" w:hAnsiTheme="minorHAnsi" w:cstheme="minorBidi"/>
          <w:szCs w:val="22"/>
        </w:rPr>
      </w:pPr>
      <w:r>
        <w:t>18.</w:t>
      </w:r>
      <w:r>
        <w:tab/>
        <w:t>Leeman</w:t>
      </w:r>
      <w:r>
        <w:tab/>
      </w:r>
      <w:r>
        <w:fldChar w:fldCharType="begin"/>
      </w:r>
      <w:r>
        <w:instrText xml:space="preserve"> PAGEREF _Toc375231174 \h </w:instrText>
      </w:r>
      <w:r>
        <w:fldChar w:fldCharType="separate"/>
      </w:r>
      <w:r>
        <w:t>83</w:t>
      </w:r>
      <w:r>
        <w:fldChar w:fldCharType="end"/>
      </w:r>
    </w:p>
    <w:p>
      <w:pPr>
        <w:pStyle w:val="TOC8"/>
        <w:rPr>
          <w:rFonts w:asciiTheme="minorHAnsi" w:eastAsiaTheme="minorEastAsia" w:hAnsiTheme="minorHAnsi" w:cstheme="minorBidi"/>
          <w:szCs w:val="22"/>
        </w:rPr>
      </w:pPr>
      <w:r>
        <w:t>19.</w:t>
      </w:r>
      <w:r>
        <w:tab/>
        <w:t>Onslow, Beadon Creek Boat Harbour</w:t>
      </w:r>
      <w:r>
        <w:tab/>
      </w:r>
      <w:r>
        <w:fldChar w:fldCharType="begin"/>
      </w:r>
      <w:r>
        <w:instrText xml:space="preserve"> PAGEREF _Toc375231175 \h </w:instrText>
      </w:r>
      <w:r>
        <w:fldChar w:fldCharType="separate"/>
      </w:r>
      <w:r>
        <w:t>84</w:t>
      </w:r>
      <w:r>
        <w:fldChar w:fldCharType="end"/>
      </w:r>
    </w:p>
    <w:p>
      <w:pPr>
        <w:pStyle w:val="TOC8"/>
        <w:rPr>
          <w:rFonts w:asciiTheme="minorHAnsi" w:eastAsiaTheme="minorEastAsia" w:hAnsiTheme="minorHAnsi" w:cstheme="minorBidi"/>
          <w:szCs w:val="22"/>
        </w:rPr>
      </w:pPr>
      <w:r>
        <w:t>20.</w:t>
      </w:r>
      <w:r>
        <w:tab/>
        <w:t>Point Samson, Johns Creek Boat Harbour</w:t>
      </w:r>
      <w:r>
        <w:tab/>
      </w:r>
      <w:r>
        <w:fldChar w:fldCharType="begin"/>
      </w:r>
      <w:r>
        <w:instrText xml:space="preserve"> PAGEREF _Toc375231176 \h </w:instrText>
      </w:r>
      <w:r>
        <w:fldChar w:fldCharType="separate"/>
      </w:r>
      <w:r>
        <w:t>86</w:t>
      </w:r>
      <w:r>
        <w:fldChar w:fldCharType="end"/>
      </w:r>
    </w:p>
    <w:p>
      <w:pPr>
        <w:pStyle w:val="TOC8"/>
        <w:rPr>
          <w:rFonts w:asciiTheme="minorHAnsi" w:eastAsiaTheme="minorEastAsia" w:hAnsiTheme="minorHAnsi" w:cstheme="minorBidi"/>
          <w:szCs w:val="22"/>
        </w:rPr>
      </w:pPr>
      <w:r>
        <w:t>21.</w:t>
      </w:r>
      <w:r>
        <w:tab/>
        <w:t>Port Denison</w:t>
      </w:r>
      <w:r>
        <w:tab/>
      </w:r>
      <w:r>
        <w:fldChar w:fldCharType="begin"/>
      </w:r>
      <w:r>
        <w:instrText xml:space="preserve"> PAGEREF _Toc375231177 \h </w:instrText>
      </w:r>
      <w:r>
        <w:fldChar w:fldCharType="separate"/>
      </w:r>
      <w:r>
        <w:t>90</w:t>
      </w:r>
      <w:r>
        <w:fldChar w:fldCharType="end"/>
      </w:r>
    </w:p>
    <w:p>
      <w:pPr>
        <w:pStyle w:val="TOC8"/>
        <w:rPr>
          <w:rFonts w:asciiTheme="minorHAnsi" w:eastAsiaTheme="minorEastAsia" w:hAnsiTheme="minorHAnsi" w:cstheme="minorBidi"/>
          <w:szCs w:val="22"/>
        </w:rPr>
      </w:pPr>
      <w:r>
        <w:t>22.</w:t>
      </w:r>
      <w:r>
        <w:tab/>
        <w:t>Port Gregory</w:t>
      </w:r>
      <w:r>
        <w:tab/>
      </w:r>
      <w:r>
        <w:fldChar w:fldCharType="begin"/>
      </w:r>
      <w:r>
        <w:instrText xml:space="preserve"> PAGEREF _Toc375231178 \h </w:instrText>
      </w:r>
      <w:r>
        <w:fldChar w:fldCharType="separate"/>
      </w:r>
      <w:r>
        <w:t>91</w:t>
      </w:r>
      <w:r>
        <w:fldChar w:fldCharType="end"/>
      </w:r>
    </w:p>
    <w:p>
      <w:pPr>
        <w:pStyle w:val="TOC8"/>
        <w:rPr>
          <w:rFonts w:asciiTheme="minorHAnsi" w:eastAsiaTheme="minorEastAsia" w:hAnsiTheme="minorHAnsi" w:cstheme="minorBidi"/>
          <w:szCs w:val="22"/>
        </w:rPr>
      </w:pPr>
      <w:r>
        <w:t>23.</w:t>
      </w:r>
      <w:r>
        <w:tab/>
        <w:t>Wyndham</w:t>
      </w:r>
      <w:r>
        <w:tab/>
      </w:r>
      <w:r>
        <w:fldChar w:fldCharType="begin"/>
      </w:r>
      <w:r>
        <w:instrText xml:space="preserve"> PAGEREF _Toc375231179 \h </w:instrText>
      </w:r>
      <w:r>
        <w:fldChar w:fldCharType="separate"/>
      </w:r>
      <w:r>
        <w:t>92</w:t>
      </w:r>
      <w:r>
        <w:fldChar w:fldCharType="end"/>
      </w:r>
    </w:p>
    <w:p>
      <w:pPr>
        <w:pStyle w:val="TOC4"/>
        <w:tabs>
          <w:tab w:val="right" w:leader="dot" w:pos="7086"/>
        </w:tabs>
        <w:rPr>
          <w:rFonts w:asciiTheme="minorHAnsi" w:eastAsiaTheme="minorEastAsia" w:hAnsiTheme="minorHAnsi" w:cstheme="minorBidi"/>
          <w:b w:val="0"/>
          <w:szCs w:val="22"/>
        </w:rPr>
      </w:pPr>
      <w:r>
        <w:t>Division 2</w:t>
      </w:r>
      <w:r>
        <w:rPr>
          <w:b w:val="0"/>
        </w:rPr>
        <w:t> — </w:t>
      </w:r>
      <w:r>
        <w:t>Charges, dues and fees not specified in Division 1</w:t>
      </w:r>
    </w:p>
    <w:p>
      <w:pPr>
        <w:pStyle w:val="TOC8"/>
        <w:rPr>
          <w:rFonts w:asciiTheme="minorHAnsi" w:eastAsiaTheme="minorEastAsia" w:hAnsiTheme="minorHAnsi" w:cstheme="minorBidi"/>
          <w:szCs w:val="22"/>
        </w:rPr>
      </w:pPr>
      <w:r>
        <w:t>24.</w:t>
      </w:r>
      <w:r>
        <w:tab/>
        <w:t>Wharfage (r. 10A)</w:t>
      </w:r>
      <w:r>
        <w:tab/>
      </w:r>
      <w:r>
        <w:fldChar w:fldCharType="begin"/>
      </w:r>
      <w:r>
        <w:instrText xml:space="preserve"> PAGEREF _Toc375231181 \h </w:instrText>
      </w:r>
      <w:r>
        <w:fldChar w:fldCharType="separate"/>
      </w:r>
      <w:r>
        <w:t>96</w:t>
      </w:r>
      <w:r>
        <w:fldChar w:fldCharType="end"/>
      </w:r>
    </w:p>
    <w:p>
      <w:pPr>
        <w:pStyle w:val="TOC8"/>
        <w:rPr>
          <w:rFonts w:asciiTheme="minorHAnsi" w:eastAsiaTheme="minorEastAsia" w:hAnsiTheme="minorHAnsi" w:cstheme="minorBidi"/>
          <w:szCs w:val="22"/>
        </w:rPr>
      </w:pPr>
      <w:r>
        <w:t>25.</w:t>
      </w:r>
      <w:r>
        <w:tab/>
        <w:t>Rubbish removal (r. 53A)</w:t>
      </w:r>
      <w:r>
        <w:tab/>
      </w:r>
      <w:r>
        <w:fldChar w:fldCharType="begin"/>
      </w:r>
      <w:r>
        <w:instrText xml:space="preserve"> PAGEREF _Toc375231182 \h </w:instrText>
      </w:r>
      <w:r>
        <w:fldChar w:fldCharType="separate"/>
      </w:r>
      <w:r>
        <w:t>96</w:t>
      </w:r>
      <w:r>
        <w:fldChar w:fldCharType="end"/>
      </w:r>
    </w:p>
    <w:p>
      <w:pPr>
        <w:pStyle w:val="TOC8"/>
        <w:rPr>
          <w:rFonts w:asciiTheme="minorHAnsi" w:eastAsiaTheme="minorEastAsia" w:hAnsiTheme="minorHAnsi" w:cstheme="minorBidi"/>
          <w:szCs w:val="22"/>
        </w:rPr>
      </w:pPr>
      <w:r>
        <w:t>26.</w:t>
      </w:r>
      <w:r>
        <w:tab/>
        <w:t>Pile mooring (r. 94B)</w:t>
      </w:r>
      <w:r>
        <w:tab/>
      </w:r>
      <w:r>
        <w:fldChar w:fldCharType="begin"/>
      </w:r>
      <w:r>
        <w:instrText xml:space="preserve"> PAGEREF _Toc375231183 \h </w:instrText>
      </w:r>
      <w:r>
        <w:fldChar w:fldCharType="separate"/>
      </w:r>
      <w:r>
        <w:t>97</w:t>
      </w:r>
      <w:r>
        <w:fldChar w:fldCharType="end"/>
      </w:r>
    </w:p>
    <w:p>
      <w:pPr>
        <w:pStyle w:val="TOC8"/>
        <w:rPr>
          <w:rFonts w:asciiTheme="minorHAnsi" w:eastAsiaTheme="minorEastAsia" w:hAnsiTheme="minorHAnsi" w:cstheme="minorBidi"/>
          <w:szCs w:val="22"/>
        </w:rPr>
      </w:pPr>
      <w:r>
        <w:t>27.</w:t>
      </w:r>
      <w:r>
        <w:tab/>
        <w:t>Berthing and mooring (r. 94C)</w:t>
      </w:r>
      <w:r>
        <w:tab/>
      </w:r>
      <w:r>
        <w:fldChar w:fldCharType="begin"/>
      </w:r>
      <w:r>
        <w:instrText xml:space="preserve"> PAGEREF _Toc375231184 \h </w:instrText>
      </w:r>
      <w:r>
        <w:fldChar w:fldCharType="separate"/>
      </w:r>
      <w:r>
        <w:t>97</w:t>
      </w:r>
      <w:r>
        <w:fldChar w:fldCharType="end"/>
      </w:r>
    </w:p>
    <w:p>
      <w:pPr>
        <w:pStyle w:val="TOC8"/>
        <w:rPr>
          <w:rFonts w:asciiTheme="minorHAnsi" w:eastAsiaTheme="minorEastAsia" w:hAnsiTheme="minorHAnsi" w:cstheme="minorBidi"/>
          <w:szCs w:val="22"/>
        </w:rPr>
      </w:pPr>
      <w:r>
        <w:t>28.</w:t>
      </w:r>
      <w:r>
        <w:tab/>
        <w:t>Slip services (r. 96)</w:t>
      </w:r>
      <w:r>
        <w:tab/>
      </w:r>
      <w:r>
        <w:fldChar w:fldCharType="begin"/>
      </w:r>
      <w:r>
        <w:instrText xml:space="preserve"> PAGEREF _Toc375231185 \h </w:instrText>
      </w:r>
      <w:r>
        <w:fldChar w:fldCharType="separate"/>
      </w:r>
      <w:r>
        <w:t>98</w:t>
      </w:r>
      <w:r>
        <w:fldChar w:fldCharType="end"/>
      </w:r>
    </w:p>
    <w:p>
      <w:pPr>
        <w:pStyle w:val="TOC2"/>
        <w:tabs>
          <w:tab w:val="right" w:leader="dot" w:pos="7086"/>
        </w:tabs>
        <w:rPr>
          <w:rFonts w:asciiTheme="minorHAnsi" w:eastAsiaTheme="minorEastAsia" w:hAnsiTheme="minorHAnsi" w:cstheme="minorBidi"/>
          <w:b w:val="0"/>
          <w:sz w:val="22"/>
          <w:szCs w:val="22"/>
        </w:rPr>
      </w:pPr>
      <w:r>
        <w:t>Schedule 1A — Fuel oil wharfage</w:t>
      </w:r>
    </w:p>
    <w:p>
      <w:pPr>
        <w:pStyle w:val="TOC8"/>
        <w:rPr>
          <w:rFonts w:asciiTheme="minorHAnsi" w:eastAsiaTheme="minorEastAsia" w:hAnsiTheme="minorHAnsi" w:cstheme="minorBidi"/>
          <w:szCs w:val="22"/>
        </w:rPr>
      </w:pPr>
      <w:r>
        <w:t>1.</w:t>
      </w:r>
      <w:r>
        <w:tab/>
        <w:t>Wharfage for fuel (r. 11B(2))</w:t>
      </w:r>
      <w:r>
        <w:tab/>
      </w:r>
      <w:r>
        <w:fldChar w:fldCharType="begin"/>
      </w:r>
      <w:r>
        <w:instrText xml:space="preserve"> PAGEREF _Toc375231187 \h </w:instrText>
      </w:r>
      <w:r>
        <w:fldChar w:fldCharType="separate"/>
      </w:r>
      <w:r>
        <w:t>99</w:t>
      </w:r>
      <w:r>
        <w:fldChar w:fldCharType="end"/>
      </w:r>
    </w:p>
    <w:p>
      <w:pPr>
        <w:pStyle w:val="TOC2"/>
        <w:tabs>
          <w:tab w:val="right" w:leader="dot" w:pos="7086"/>
        </w:tabs>
        <w:rPr>
          <w:rFonts w:asciiTheme="minorHAnsi" w:eastAsiaTheme="minorEastAsia" w:hAnsiTheme="minorHAnsi" w:cstheme="minorBidi"/>
          <w:b w:val="0"/>
          <w:sz w:val="22"/>
          <w:szCs w:val="22"/>
        </w:rPr>
      </w:pPr>
      <w:r>
        <w:t>Schedule 2 — Port of Perth fees</w:t>
      </w:r>
    </w:p>
    <w:p>
      <w:pPr>
        <w:pStyle w:val="TOC4"/>
        <w:tabs>
          <w:tab w:val="right" w:leader="dot" w:pos="7086"/>
        </w:tabs>
        <w:rPr>
          <w:rFonts w:asciiTheme="minorHAnsi" w:eastAsiaTheme="minorEastAsia" w:hAnsiTheme="minorHAnsi" w:cstheme="minorBidi"/>
          <w:b w:val="0"/>
          <w:szCs w:val="22"/>
        </w:rPr>
      </w:pPr>
      <w:r>
        <w:t>Division 1</w:t>
      </w:r>
      <w:r>
        <w:rPr>
          <w:bCs/>
        </w:rPr>
        <w:t> — </w:t>
      </w:r>
      <w:r>
        <w:t>Fees for jetties</w:t>
      </w:r>
    </w:p>
    <w:p>
      <w:pPr>
        <w:pStyle w:val="TOC8"/>
        <w:rPr>
          <w:rFonts w:asciiTheme="minorHAnsi" w:eastAsiaTheme="minorEastAsia" w:hAnsiTheme="minorHAnsi" w:cstheme="minorBidi"/>
          <w:szCs w:val="22"/>
        </w:rPr>
      </w:pPr>
      <w:r>
        <w:t>1.</w:t>
      </w:r>
      <w:r>
        <w:tab/>
        <w:t>Barrack Street and Mends Street jetties</w:t>
      </w:r>
      <w:r>
        <w:tab/>
      </w:r>
      <w:r>
        <w:fldChar w:fldCharType="begin"/>
      </w:r>
      <w:r>
        <w:instrText xml:space="preserve"> PAGEREF _Toc375231190 \h </w:instrText>
      </w:r>
      <w:r>
        <w:fldChar w:fldCharType="separate"/>
      </w:r>
      <w:r>
        <w:t>100</w:t>
      </w:r>
      <w:r>
        <w:fldChar w:fldCharType="end"/>
      </w:r>
    </w:p>
    <w:p>
      <w:pPr>
        <w:pStyle w:val="TOC8"/>
        <w:rPr>
          <w:rFonts w:asciiTheme="minorHAnsi" w:eastAsiaTheme="minorEastAsia" w:hAnsiTheme="minorHAnsi" w:cstheme="minorBidi"/>
          <w:szCs w:val="22"/>
        </w:rPr>
      </w:pPr>
      <w:r>
        <w:t>2.</w:t>
      </w:r>
      <w:r>
        <w:tab/>
        <w:t>Other jetties in Swan and Canning Rivers</w:t>
      </w:r>
      <w:r>
        <w:tab/>
      </w:r>
      <w:r>
        <w:fldChar w:fldCharType="begin"/>
      </w:r>
      <w:r>
        <w:instrText xml:space="preserve"> PAGEREF _Toc375231191 \h </w:instrText>
      </w:r>
      <w:r>
        <w:fldChar w:fldCharType="separate"/>
      </w:r>
      <w:r>
        <w:t>101</w:t>
      </w:r>
      <w:r>
        <w:fldChar w:fldCharType="end"/>
      </w:r>
    </w:p>
    <w:p>
      <w:pPr>
        <w:pStyle w:val="TOC4"/>
        <w:tabs>
          <w:tab w:val="right" w:leader="dot" w:pos="7086"/>
        </w:tabs>
        <w:rPr>
          <w:rFonts w:asciiTheme="minorHAnsi" w:eastAsiaTheme="minorEastAsia" w:hAnsiTheme="minorHAnsi" w:cstheme="minorBidi"/>
          <w:b w:val="0"/>
          <w:szCs w:val="22"/>
        </w:rPr>
      </w:pPr>
      <w:r>
        <w:t>Division 2</w:t>
      </w:r>
      <w:r>
        <w:rPr>
          <w:bCs/>
        </w:rPr>
        <w:t> — </w:t>
      </w:r>
      <w:r>
        <w:t>Fees for boat pens</w:t>
      </w:r>
    </w:p>
    <w:p>
      <w:pPr>
        <w:pStyle w:val="TOC8"/>
        <w:rPr>
          <w:rFonts w:asciiTheme="minorHAnsi" w:eastAsiaTheme="minorEastAsia" w:hAnsiTheme="minorHAnsi" w:cstheme="minorBidi"/>
          <w:szCs w:val="22"/>
        </w:rPr>
      </w:pPr>
      <w:r>
        <w:t>3.</w:t>
      </w:r>
      <w:r>
        <w:tab/>
        <w:t>Fremantle, Challenger Boat Harbour</w:t>
      </w:r>
      <w:r>
        <w:tab/>
      </w:r>
      <w:r>
        <w:fldChar w:fldCharType="begin"/>
      </w:r>
      <w:r>
        <w:instrText xml:space="preserve"> PAGEREF _Toc375231193 \h </w:instrText>
      </w:r>
      <w:r>
        <w:fldChar w:fldCharType="separate"/>
      </w:r>
      <w:r>
        <w:t>101</w:t>
      </w:r>
      <w:r>
        <w:fldChar w:fldCharType="end"/>
      </w:r>
    </w:p>
    <w:p>
      <w:pPr>
        <w:pStyle w:val="TOC8"/>
        <w:rPr>
          <w:rFonts w:asciiTheme="minorHAnsi" w:eastAsiaTheme="minorEastAsia" w:hAnsiTheme="minorHAnsi" w:cstheme="minorBidi"/>
          <w:szCs w:val="22"/>
        </w:rPr>
      </w:pPr>
      <w:r>
        <w:t>4.</w:t>
      </w:r>
      <w:r>
        <w:tab/>
        <w:t>Hillarys Boat Harbour</w:t>
      </w:r>
      <w:r>
        <w:tab/>
      </w:r>
      <w:r>
        <w:fldChar w:fldCharType="begin"/>
      </w:r>
      <w:r>
        <w:instrText xml:space="preserve"> PAGEREF _Toc375231194 \h </w:instrText>
      </w:r>
      <w:r>
        <w:fldChar w:fldCharType="separate"/>
      </w:r>
      <w:r>
        <w:t>102</w:t>
      </w:r>
      <w:r>
        <w:fldChar w:fldCharType="end"/>
      </w:r>
    </w:p>
    <w:p>
      <w:pPr>
        <w:pStyle w:val="TOC2"/>
        <w:tabs>
          <w:tab w:val="right" w:leader="dot" w:pos="7086"/>
        </w:tabs>
        <w:rPr>
          <w:rFonts w:asciiTheme="minorHAnsi" w:eastAsiaTheme="minorEastAsia" w:hAnsiTheme="minorHAnsi" w:cstheme="minorBidi"/>
          <w:b w:val="0"/>
          <w:sz w:val="22"/>
          <w:szCs w:val="22"/>
        </w:rPr>
      </w:pPr>
      <w:r>
        <w:t>Schedule 3 — Forms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_Toc375231197 \h </w:instrText>
      </w:r>
      <w:r>
        <w:fldChar w:fldCharType="separate"/>
      </w:r>
      <w:r>
        <w:t>108</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11</w:t>
            </w:r>
            <w:r>
              <w:rPr>
                <w:b/>
                <w:snapToGrid w:val="0"/>
                <w:sz w:val="22"/>
              </w:rPr>
              <w:t xml:space="preserve"> October 2013</w:t>
            </w:r>
          </w:p>
        </w:tc>
      </w:tr>
    </w:tbl>
    <w:p>
      <w:pPr>
        <w:pStyle w:val="WA"/>
        <w:spacing w:before="120"/>
      </w:pPr>
      <w:r>
        <w:t>Western Australia</w:t>
      </w:r>
    </w:p>
    <w:p>
      <w:pPr>
        <w:pStyle w:val="PrincipalActReg"/>
        <w:spacing w:before="120" w:after="600"/>
        <w:rPr>
          <w:snapToGrid w:val="0"/>
        </w:rPr>
      </w:pPr>
      <w:r>
        <w:rPr>
          <w:snapToGrid w:val="0"/>
        </w:rPr>
        <w:t>Jetties Act 1926</w:t>
      </w:r>
    </w:p>
    <w:p>
      <w:pPr>
        <w:pStyle w:val="NameofActReg"/>
        <w:spacing w:before="600" w:after="720"/>
      </w:pPr>
      <w:r>
        <w:t>Jetties Regulations 1940</w:t>
      </w:r>
    </w:p>
    <w:p>
      <w:pPr>
        <w:pStyle w:val="Heading5"/>
        <w:rPr>
          <w:snapToGrid w:val="0"/>
        </w:rPr>
      </w:pPr>
      <w:bookmarkStart w:id="1" w:name="_Toc375231016"/>
      <w:r>
        <w:rPr>
          <w:rStyle w:val="CharSectno"/>
        </w:rPr>
        <w:t>1</w:t>
      </w:r>
      <w:r>
        <w:rPr>
          <w:snapToGrid w:val="0"/>
        </w:rPr>
        <w:t>.</w:t>
      </w:r>
      <w:r>
        <w:rPr>
          <w:snapToGrid w:val="0"/>
        </w:rPr>
        <w:tab/>
        <w:t>Citation</w:t>
      </w:r>
      <w:bookmarkEnd w:id="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Jetties Regulations 1940</w:t>
      </w:r>
      <w:r>
        <w:rPr>
          <w:snapToGrid w:val="0"/>
        </w:rPr>
        <w:t> </w:t>
      </w:r>
      <w:r>
        <w:rPr>
          <w:snapToGrid w:val="0"/>
          <w:vertAlign w:val="superscript"/>
        </w:rPr>
        <w:t>1</w:t>
      </w:r>
      <w:r>
        <w:rPr>
          <w:snapToGrid w:val="0"/>
        </w:rPr>
        <w:t>.</w:t>
      </w:r>
    </w:p>
    <w:p>
      <w:pPr>
        <w:pStyle w:val="Footnotesection"/>
      </w:pPr>
      <w:r>
        <w:tab/>
        <w:t>[Regulation 1 amended in Gazette 24 Aug 2004 p. 3659.]</w:t>
      </w:r>
    </w:p>
    <w:p>
      <w:pPr>
        <w:pStyle w:val="Heading5"/>
      </w:pPr>
      <w:bookmarkStart w:id="2" w:name="_Toc375231017"/>
      <w:r>
        <w:rPr>
          <w:rStyle w:val="CharSectno"/>
        </w:rPr>
        <w:t>2</w:t>
      </w:r>
      <w:r>
        <w:t>.</w:t>
      </w:r>
      <w:r>
        <w:tab/>
        <w:t>Liability for dues, charges and fees</w:t>
      </w:r>
      <w:bookmarkEnd w:id="2"/>
    </w:p>
    <w:p>
      <w:pPr>
        <w:pStyle w:val="Subsection"/>
      </w:pPr>
      <w:r>
        <w:tab/>
      </w:r>
      <w:r>
        <w:tab/>
        <w:t>Unless otherwise stated in a specific regulation, the owner and the master of a vessel are jointly and severally liable for the dues, charges and fees incurred by, or in relation to, the vessel or its cargo under these regulations.</w:t>
      </w:r>
    </w:p>
    <w:p>
      <w:pPr>
        <w:pStyle w:val="Footnotesection"/>
      </w:pPr>
      <w:r>
        <w:tab/>
        <w:t>[Regulation 2 inserted in Gazette 14 Jun 2002 p. 2799.]</w:t>
      </w:r>
    </w:p>
    <w:p>
      <w:pPr>
        <w:pStyle w:val="Heading5"/>
        <w:rPr>
          <w:snapToGrid w:val="0"/>
        </w:rPr>
      </w:pPr>
      <w:bookmarkStart w:id="3" w:name="_Toc375231018"/>
      <w:r>
        <w:rPr>
          <w:rStyle w:val="CharSectno"/>
        </w:rPr>
        <w:t>3</w:t>
      </w:r>
      <w:r>
        <w:rPr>
          <w:snapToGrid w:val="0"/>
        </w:rPr>
        <w:t>.</w:t>
      </w:r>
      <w:r>
        <w:rPr>
          <w:snapToGrid w:val="0"/>
        </w:rPr>
        <w:tab/>
        <w:t>Terms used</w:t>
      </w:r>
      <w:bookmarkEnd w:id="3"/>
      <w:r>
        <w:rPr>
          <w:snapToGrid w:val="0"/>
        </w:rPr>
        <w:t xml:space="preserve"> </w:t>
      </w:r>
    </w:p>
    <w:p>
      <w:pPr>
        <w:pStyle w:val="Subsection"/>
        <w:rPr>
          <w:snapToGrid w:val="0"/>
        </w:rPr>
      </w:pPr>
      <w:r>
        <w:rPr>
          <w:snapToGrid w:val="0"/>
        </w:rPr>
        <w:tab/>
        <w:t>(1)</w:t>
      </w:r>
      <w:r>
        <w:rPr>
          <w:snapToGrid w:val="0"/>
        </w:rPr>
        <w:tab/>
        <w:t>In the construction and for the purposes of these regulations, the following terms shall, if not inconsistent with the context or subject</w:t>
      </w:r>
      <w:r>
        <w:rPr>
          <w:snapToGrid w:val="0"/>
        </w:rPr>
        <w:noBreakHyphen/>
        <w:t>matter, have the respective meanings hereby assigned to them:</w:t>
      </w:r>
    </w:p>
    <w:p>
      <w:pPr>
        <w:pStyle w:val="Defstart"/>
      </w:pPr>
      <w:r>
        <w:rPr>
          <w:b/>
        </w:rPr>
        <w:tab/>
      </w:r>
      <w:r>
        <w:rPr>
          <w:rStyle w:val="CharDefText"/>
        </w:rPr>
        <w:t>commercial vessel</w:t>
      </w:r>
      <w:r>
        <w:t xml:space="preserve"> has the meaning assigned to it in the </w:t>
      </w:r>
      <w:r>
        <w:rPr>
          <w:i/>
          <w:iCs/>
        </w:rPr>
        <w:t>Western Australian Marine Act 1982</w:t>
      </w:r>
      <w:r>
        <w:t>;</w:t>
      </w:r>
    </w:p>
    <w:p>
      <w:pPr>
        <w:pStyle w:val="Defstart"/>
      </w:pPr>
      <w:r>
        <w:rPr>
          <w:b/>
        </w:rPr>
        <w:tab/>
      </w:r>
      <w:r>
        <w:rPr>
          <w:rStyle w:val="CharDefText"/>
        </w:rPr>
        <w:t>Department</w:t>
      </w:r>
      <w:r>
        <w:t xml:space="preserve"> means the Department concerned, subject to the control of the Minister, with the administration of the Act;</w:t>
      </w:r>
    </w:p>
    <w:p>
      <w:pPr>
        <w:pStyle w:val="Defstart"/>
      </w:pPr>
      <w:r>
        <w:tab/>
      </w:r>
      <w:r>
        <w:rPr>
          <w:rStyle w:val="CharDefText"/>
        </w:rPr>
        <w:t>fishing vessel</w:t>
      </w:r>
      <w:r>
        <w:t xml:space="preserve"> has the meaning given to that term in the </w:t>
      </w:r>
      <w:r>
        <w:rPr>
          <w:i/>
        </w:rPr>
        <w:t>Western Australian Marine Act 1982</w:t>
      </w:r>
      <w:r>
        <w:t xml:space="preserve"> section 3(1);</w:t>
      </w:r>
    </w:p>
    <w:p>
      <w:pPr>
        <w:pStyle w:val="Defstart"/>
      </w:pPr>
      <w:r>
        <w:rPr>
          <w:b/>
        </w:rPr>
        <w:tab/>
      </w:r>
      <w:r>
        <w:rPr>
          <w:rStyle w:val="CharDefText"/>
        </w:rPr>
        <w:t>jetty</w:t>
      </w:r>
      <w:r>
        <w:t xml:space="preserve"> means any jetty, pier, wharf, grid, slip or landing place;</w:t>
      </w:r>
    </w:p>
    <w:p>
      <w:pPr>
        <w:pStyle w:val="Defstart"/>
      </w:pPr>
      <w:r>
        <w:tab/>
      </w:r>
      <w:r>
        <w:rPr>
          <w:rStyle w:val="CharDefText"/>
        </w:rPr>
        <w:t>master</w:t>
      </w:r>
      <w:r>
        <w:t xml:space="preserve"> means a person, other than a pilot, having command or charge of a vessel;</w:t>
      </w:r>
    </w:p>
    <w:p>
      <w:pPr>
        <w:pStyle w:val="Defstart"/>
      </w:pPr>
      <w:r>
        <w:rPr>
          <w:b/>
        </w:rPr>
        <w:tab/>
      </w:r>
      <w:r>
        <w:rPr>
          <w:rStyle w:val="CharDefText"/>
        </w:rPr>
        <w:t>officer</w:t>
      </w:r>
      <w:r>
        <w:t xml:space="preserve"> means any wharfinger or servant of the Department;</w:t>
      </w:r>
    </w:p>
    <w:p>
      <w:pPr>
        <w:pStyle w:val="Defstart"/>
      </w:pPr>
      <w:r>
        <w:tab/>
      </w:r>
      <w:r>
        <w:rPr>
          <w:rStyle w:val="CharDefText"/>
        </w:rPr>
        <w:t>owner</w:t>
      </w:r>
      <w:r>
        <w:t xml:space="preserve">, in relation to a vessel, means — </w:t>
      </w:r>
    </w:p>
    <w:p>
      <w:pPr>
        <w:pStyle w:val="Defpara"/>
      </w:pPr>
      <w:r>
        <w:tab/>
        <w:t>(a)</w:t>
      </w:r>
      <w:r>
        <w:tab/>
        <w:t>if the vessel is owned by an individual, that individual;</w:t>
      </w:r>
    </w:p>
    <w:p>
      <w:pPr>
        <w:pStyle w:val="Defpara"/>
      </w:pPr>
      <w:r>
        <w:tab/>
        <w:t>(b)</w:t>
      </w:r>
      <w:r>
        <w:tab/>
        <w:t>if the vessel is owned by a body corporate or unincorporate, that body;</w:t>
      </w:r>
    </w:p>
    <w:p>
      <w:pPr>
        <w:pStyle w:val="Defpara"/>
      </w:pPr>
      <w:r>
        <w:tab/>
        <w:t>(c)</w:t>
      </w:r>
      <w:r>
        <w:tab/>
        <w:t xml:space="preserve">a person who is purchasing the vessel under a contract that is a credit sale contract for the purposes of the </w:t>
      </w:r>
      <w:r>
        <w:rPr>
          <w:i/>
        </w:rPr>
        <w:t>Credit Act 1984</w:t>
      </w:r>
      <w:r>
        <w:t>;</w:t>
      </w:r>
    </w:p>
    <w:p>
      <w:pPr>
        <w:pStyle w:val="Defpara"/>
      </w:pPr>
      <w:r>
        <w:tab/>
        <w:t>(d)</w:t>
      </w:r>
      <w:r>
        <w:tab/>
        <w:t xml:space="preserve">a person who is the purchaser or hirer of the vessel under a contract that for the purposes of the </w:t>
      </w:r>
      <w:r>
        <w:rPr>
          <w:i/>
        </w:rPr>
        <w:t>Consumer Credit (</w:t>
      </w:r>
      <w:smartTag w:uri="urn:schemas-microsoft-com:office:smarttags" w:element="place">
        <w:smartTag w:uri="urn:schemas-microsoft-com:office:smarttags" w:element="State">
          <w:r>
            <w:rPr>
              <w:i/>
            </w:rPr>
            <w:t>Western Australia</w:t>
          </w:r>
        </w:smartTag>
      </w:smartTag>
      <w:r>
        <w:rPr>
          <w:i/>
        </w:rPr>
        <w:t>) Code</w:t>
      </w:r>
      <w:r>
        <w:rPr>
          <w:vertAlign w:val="superscript"/>
        </w:rPr>
        <w:t> 2</w:t>
      </w:r>
      <w:r>
        <w:t xml:space="preserve"> is a credit contract, or is to be regarded as a credit contract, to which that Code applies;</w:t>
      </w:r>
    </w:p>
    <w:p>
      <w:pPr>
        <w:pStyle w:val="Defpara"/>
      </w:pPr>
      <w:r>
        <w:tab/>
        <w:t>(e)</w:t>
      </w:r>
      <w:r>
        <w:tab/>
        <w:t xml:space="preserve">a person who has the use of the vessel under a hiring, hire purchase, lease, loan, charter or other agreement; </w:t>
      </w:r>
    </w:p>
    <w:p>
      <w:pPr>
        <w:pStyle w:val="Defpara"/>
      </w:pPr>
      <w:r>
        <w:tab/>
        <w:t>(f)</w:t>
      </w:r>
      <w:r>
        <w:tab/>
        <w:t>a person who holds a current Certificate of Survey of the vessel, or in whose name the vessel is registered, but does not include an unpaid vendor under a hire purchase agreement or the lessor under a lease;</w:t>
      </w:r>
    </w:p>
    <w:p>
      <w:pPr>
        <w:pStyle w:val="Defstart"/>
      </w:pPr>
      <w:r>
        <w:rPr>
          <w:b/>
        </w:rPr>
        <w:tab/>
      </w:r>
      <w:r>
        <w:rPr>
          <w:rStyle w:val="CharDefText"/>
        </w:rPr>
        <w:t>premises</w:t>
      </w:r>
      <w:r>
        <w:t xml:space="preserve"> means any premises appurtenant to jetties controlled by the Department;</w:t>
      </w:r>
    </w:p>
    <w:p>
      <w:pPr>
        <w:pStyle w:val="Defstart"/>
      </w:pPr>
      <w:r>
        <w:rPr>
          <w:b/>
        </w:rPr>
        <w:tab/>
      </w:r>
      <w:r>
        <w:rPr>
          <w:rStyle w:val="CharDefText"/>
        </w:rPr>
        <w:t>public jetty</w:t>
      </w:r>
      <w:r>
        <w:t xml:space="preserve"> means a jetty the property of Her Majesty and includes a jetty the property of Her Majesty vested in any person on behalf of Her Majesty;</w:t>
      </w:r>
    </w:p>
    <w:p>
      <w:pPr>
        <w:pStyle w:val="Defstart"/>
      </w:pPr>
      <w:r>
        <w:tab/>
      </w:r>
      <w:r>
        <w:rPr>
          <w:rStyle w:val="CharDefText"/>
        </w:rPr>
        <w:t>recreational vessel</w:t>
      </w:r>
      <w:r>
        <w:t xml:space="preserve"> has the meaning given to the term </w:t>
      </w:r>
      <w:r>
        <w:rPr>
          <w:b/>
          <w:i/>
        </w:rPr>
        <w:t>pleasure vessel</w:t>
      </w:r>
      <w:r>
        <w:t xml:space="preserve"> in the </w:t>
      </w:r>
      <w:r>
        <w:rPr>
          <w:i/>
        </w:rPr>
        <w:t>Western Australian Marine Act 1982</w:t>
      </w:r>
      <w:r>
        <w:t xml:space="preserve"> section 98(1);</w:t>
      </w:r>
    </w:p>
    <w:p>
      <w:pPr>
        <w:pStyle w:val="Defstart"/>
      </w:pPr>
      <w:r>
        <w:tab/>
      </w:r>
      <w:r>
        <w:rPr>
          <w:rStyle w:val="CharDefText"/>
        </w:rPr>
        <w:t>tourism vessel</w:t>
      </w:r>
      <w:r>
        <w:t xml:space="preserve"> means a vessel used for commercial tourism purposes;</w:t>
      </w:r>
    </w:p>
    <w:p>
      <w:pPr>
        <w:pStyle w:val="Defstart"/>
      </w:pPr>
      <w:r>
        <w:rPr>
          <w:b/>
        </w:rPr>
        <w:tab/>
      </w:r>
      <w:r>
        <w:rPr>
          <w:rStyle w:val="CharDefText"/>
        </w:rPr>
        <w:t>vessel</w:t>
      </w:r>
      <w:r>
        <w:t xml:space="preserve"> means any ship, lighter, barge, boat, raft or craft of whatsoever description and howsoever navigated.</w:t>
      </w:r>
    </w:p>
    <w:p>
      <w:pPr>
        <w:pStyle w:val="Subsection"/>
      </w:pPr>
      <w:r>
        <w:tab/>
        <w:t>(2)</w:t>
      </w:r>
      <w:r>
        <w:tab/>
        <w:t>For the purposes of calculation of fees, charges or dues under these regulations —</w:t>
      </w:r>
    </w:p>
    <w:p>
      <w:pPr>
        <w:pStyle w:val="Defstart"/>
      </w:pPr>
      <w:r>
        <w:tab/>
      </w:r>
      <w:r>
        <w:rPr>
          <w:rStyle w:val="CharDefText"/>
        </w:rPr>
        <w:t>day</w:t>
      </w:r>
      <w:r>
        <w:t xml:space="preserve"> means a period of 24 hours;</w:t>
      </w:r>
    </w:p>
    <w:p>
      <w:pPr>
        <w:pStyle w:val="Defstart"/>
      </w:pPr>
      <w:r>
        <w:tab/>
      </w:r>
      <w:r>
        <w:rPr>
          <w:rStyle w:val="CharDefText"/>
        </w:rPr>
        <w:t>week</w:t>
      </w:r>
      <w:r>
        <w:t xml:space="preserve"> means 7 consecutive days.</w:t>
      </w:r>
    </w:p>
    <w:p>
      <w:pPr>
        <w:pStyle w:val="Subsection"/>
      </w:pPr>
      <w:r>
        <w:tab/>
        <w:t>(3)</w:t>
      </w:r>
      <w:r>
        <w:tab/>
        <w:t>For the purposes of calculating fees, charges or dues prescribed in a schedule —</w:t>
      </w:r>
    </w:p>
    <w:p>
      <w:pPr>
        <w:pStyle w:val="Indenta"/>
      </w:pPr>
      <w:r>
        <w:tab/>
        <w:t>(a)</w:t>
      </w:r>
      <w:r>
        <w:tab/>
        <w:t>an amount payable per day is payable for any part of a day;</w:t>
      </w:r>
    </w:p>
    <w:p>
      <w:pPr>
        <w:pStyle w:val="Indenta"/>
      </w:pPr>
      <w:r>
        <w:tab/>
        <w:t>(b)</w:t>
      </w:r>
      <w:r>
        <w:tab/>
        <w:t xml:space="preserve">the length of a vessel is its overall length or, if it has a valid certificate of survey under the </w:t>
      </w:r>
      <w:r>
        <w:rPr>
          <w:i/>
        </w:rPr>
        <w:t>Western Australian Marine Act 1982</w:t>
      </w:r>
      <w:r>
        <w:t>, its measured length, measured to 2 decimal places.</w:t>
      </w:r>
    </w:p>
    <w:p>
      <w:pPr>
        <w:pStyle w:val="Footnotesection"/>
        <w:ind w:left="890" w:hanging="890"/>
      </w:pPr>
      <w:r>
        <w:tab/>
        <w:t>[Regulation 3 amended in Gazette 17 Mar 1960 p. 777; 7 May 1993 p. 2361; 27 Jul 2001 p. 3814; 14 Jun 2002 p. 2799</w:t>
      </w:r>
      <w:r>
        <w:noBreakHyphen/>
        <w:t>800; 24 Jun 2005 p. 2815-16; 22 Jun 2007 p. 2908; 8 Feb 2008 p. 315; 13 Jul 2012 p. 3173</w:t>
      </w:r>
      <w:r>
        <w:noBreakHyphen/>
        <w:t xml:space="preserve">4.] </w:t>
      </w:r>
    </w:p>
    <w:p>
      <w:pPr>
        <w:pStyle w:val="Heading2"/>
      </w:pPr>
      <w:bookmarkStart w:id="4" w:name="_Toc375231019"/>
      <w:r>
        <w:rPr>
          <w:rStyle w:val="CharPartNo"/>
        </w:rPr>
        <w:t>Part 1</w:t>
      </w:r>
      <w:r>
        <w:t> — </w:t>
      </w:r>
      <w:r>
        <w:rPr>
          <w:rStyle w:val="CharPartText"/>
        </w:rPr>
        <w:t>Regulations applying to jetties controlled by the Department</w:t>
      </w:r>
      <w:bookmarkEnd w:id="4"/>
      <w:r>
        <w:rPr>
          <w:rStyle w:val="CharPartText"/>
        </w:rPr>
        <w:t xml:space="preserve"> </w:t>
      </w:r>
    </w:p>
    <w:p>
      <w:pPr>
        <w:pStyle w:val="Footnoteheading"/>
      </w:pPr>
      <w:r>
        <w:tab/>
        <w:t xml:space="preserve">[Heading inserted in Gazette 19 May 1989 p. 1494.] </w:t>
      </w:r>
    </w:p>
    <w:p>
      <w:pPr>
        <w:pStyle w:val="Heading3"/>
        <w:rPr>
          <w:snapToGrid w:val="0"/>
        </w:rPr>
      </w:pPr>
      <w:bookmarkStart w:id="5" w:name="_Toc375231020"/>
      <w:r>
        <w:rPr>
          <w:rStyle w:val="CharDivNo"/>
        </w:rPr>
        <w:t>Division 1</w:t>
      </w:r>
      <w:r>
        <w:rPr>
          <w:snapToGrid w:val="0"/>
        </w:rPr>
        <w:t> — </w:t>
      </w:r>
      <w:r>
        <w:rPr>
          <w:rStyle w:val="CharDivText"/>
        </w:rPr>
        <w:t>Application of this Part</w:t>
      </w:r>
      <w:bookmarkEnd w:id="5"/>
      <w:r>
        <w:rPr>
          <w:rStyle w:val="CharDivText"/>
        </w:rPr>
        <w:t xml:space="preserve"> </w:t>
      </w:r>
    </w:p>
    <w:p>
      <w:pPr>
        <w:pStyle w:val="Footnoteheading"/>
      </w:pPr>
      <w:r>
        <w:tab/>
        <w:t xml:space="preserve">[Heading inserted in Gazette 19 May 1989 p. 1494.] </w:t>
      </w:r>
    </w:p>
    <w:p>
      <w:pPr>
        <w:pStyle w:val="Heading5"/>
        <w:rPr>
          <w:snapToGrid w:val="0"/>
        </w:rPr>
      </w:pPr>
      <w:bookmarkStart w:id="6" w:name="_Toc375231021"/>
      <w:r>
        <w:rPr>
          <w:rStyle w:val="CharSectno"/>
        </w:rPr>
        <w:t>3A</w:t>
      </w:r>
      <w:r>
        <w:rPr>
          <w:snapToGrid w:val="0"/>
        </w:rPr>
        <w:t>.</w:t>
      </w:r>
      <w:r>
        <w:rPr>
          <w:snapToGrid w:val="0"/>
        </w:rPr>
        <w:tab/>
        <w:t>Application</w:t>
      </w:r>
      <w:bookmarkEnd w:id="6"/>
      <w:r>
        <w:rPr>
          <w:snapToGrid w:val="0"/>
        </w:rPr>
        <w:t xml:space="preserve"> </w:t>
      </w:r>
    </w:p>
    <w:p>
      <w:pPr>
        <w:pStyle w:val="Subsection"/>
        <w:rPr>
          <w:snapToGrid w:val="0"/>
        </w:rPr>
      </w:pPr>
      <w:r>
        <w:rPr>
          <w:snapToGrid w:val="0"/>
        </w:rPr>
        <w:tab/>
      </w:r>
      <w:r>
        <w:rPr>
          <w:snapToGrid w:val="0"/>
        </w:rPr>
        <w:tab/>
        <w:t>This Part applies to all jetties controlled by the Department.</w:t>
      </w:r>
    </w:p>
    <w:p>
      <w:pPr>
        <w:pStyle w:val="Footnotesection"/>
        <w:ind w:left="890" w:hanging="890"/>
      </w:pPr>
      <w:r>
        <w:tab/>
        <w:t xml:space="preserve">[Regulation 3A inserted in Gazette 19 May 1989 p. 1494.] </w:t>
      </w:r>
    </w:p>
    <w:p>
      <w:pPr>
        <w:pStyle w:val="Heading3"/>
        <w:rPr>
          <w:snapToGrid w:val="0"/>
        </w:rPr>
      </w:pPr>
      <w:bookmarkStart w:id="7" w:name="_Toc375231022"/>
      <w:r>
        <w:rPr>
          <w:rStyle w:val="CharDivNo"/>
        </w:rPr>
        <w:t>Division 2</w:t>
      </w:r>
      <w:r>
        <w:rPr>
          <w:snapToGrid w:val="0"/>
        </w:rPr>
        <w:t> — </w:t>
      </w:r>
      <w:r>
        <w:rPr>
          <w:rStyle w:val="CharDivText"/>
        </w:rPr>
        <w:t>Arrival and movement of vessels</w:t>
      </w:r>
      <w:bookmarkEnd w:id="7"/>
      <w:r>
        <w:rPr>
          <w:rStyle w:val="CharDivText"/>
        </w:rPr>
        <w:t xml:space="preserve"> </w:t>
      </w:r>
    </w:p>
    <w:p>
      <w:pPr>
        <w:pStyle w:val="Footnoteheading"/>
      </w:pPr>
      <w:r>
        <w:tab/>
        <w:t xml:space="preserve">[Heading inserted in Gazette 19 May 1989 p. 1494.] </w:t>
      </w:r>
    </w:p>
    <w:p>
      <w:pPr>
        <w:pStyle w:val="Heading5"/>
        <w:rPr>
          <w:snapToGrid w:val="0"/>
        </w:rPr>
      </w:pPr>
      <w:bookmarkStart w:id="8" w:name="_Toc375231023"/>
      <w:r>
        <w:rPr>
          <w:rStyle w:val="CharSectno"/>
        </w:rPr>
        <w:t>4</w:t>
      </w:r>
      <w:r>
        <w:rPr>
          <w:snapToGrid w:val="0"/>
        </w:rPr>
        <w:t>.</w:t>
      </w:r>
      <w:r>
        <w:rPr>
          <w:snapToGrid w:val="0"/>
        </w:rPr>
        <w:tab/>
        <w:t>Master or agent to report arrival</w:t>
      </w:r>
      <w:bookmarkEnd w:id="8"/>
      <w:r>
        <w:rPr>
          <w:snapToGrid w:val="0"/>
        </w:rPr>
        <w:t xml:space="preserve"> </w:t>
      </w:r>
    </w:p>
    <w:p>
      <w:pPr>
        <w:pStyle w:val="Subsection"/>
        <w:rPr>
          <w:snapToGrid w:val="0"/>
        </w:rPr>
      </w:pPr>
      <w:r>
        <w:rPr>
          <w:snapToGrid w:val="0"/>
        </w:rPr>
        <w:tab/>
      </w:r>
      <w:r>
        <w:rPr>
          <w:snapToGrid w:val="0"/>
        </w:rPr>
        <w:tab/>
        <w:t>The master or agent of a vessel shall immediately report the arrival of the vessel at any jetty to the officer in charge and make all arrangements for the discharge and receipt of cargo in accordance with these regulations, and such vessel shall not leave the jetty until all charges have been paid in accordance with these regulations.</w:t>
      </w:r>
    </w:p>
    <w:p>
      <w:pPr>
        <w:pStyle w:val="Footnotesection"/>
      </w:pPr>
      <w:r>
        <w:tab/>
        <w:t xml:space="preserve">[Regulation 4 amended in Gazette 19 May 1989 p. 1494.] </w:t>
      </w:r>
    </w:p>
    <w:p>
      <w:pPr>
        <w:pStyle w:val="Heading5"/>
        <w:rPr>
          <w:snapToGrid w:val="0"/>
        </w:rPr>
      </w:pPr>
      <w:bookmarkStart w:id="9" w:name="_Toc375231024"/>
      <w:r>
        <w:rPr>
          <w:rStyle w:val="CharSectno"/>
        </w:rPr>
        <w:t>5</w:t>
      </w:r>
      <w:r>
        <w:rPr>
          <w:snapToGrid w:val="0"/>
        </w:rPr>
        <w:t>.</w:t>
      </w:r>
      <w:r>
        <w:rPr>
          <w:snapToGrid w:val="0"/>
        </w:rPr>
        <w:tab/>
        <w:t>Vessels to change berths</w:t>
      </w:r>
      <w:bookmarkEnd w:id="9"/>
      <w:r>
        <w:rPr>
          <w:snapToGrid w:val="0"/>
        </w:rPr>
        <w:t xml:space="preserve"> </w:t>
      </w:r>
    </w:p>
    <w:p>
      <w:pPr>
        <w:pStyle w:val="Subsection"/>
        <w:rPr>
          <w:snapToGrid w:val="0"/>
        </w:rPr>
      </w:pPr>
      <w:r>
        <w:rPr>
          <w:snapToGrid w:val="0"/>
        </w:rPr>
        <w:tab/>
      </w:r>
      <w:r>
        <w:rPr>
          <w:snapToGrid w:val="0"/>
        </w:rPr>
        <w:tab/>
        <w:t>Vessels, after having discharged or taken in their cargo, shall be moved to any berth or anchorage pointed out by the officer in charge.</w:t>
      </w:r>
    </w:p>
    <w:p>
      <w:pPr>
        <w:pStyle w:val="Footnotesection"/>
      </w:pPr>
      <w:r>
        <w:tab/>
        <w:t xml:space="preserve">[Regulation 5 amended in Gazette 19 May 1989 p. 1494.] </w:t>
      </w:r>
    </w:p>
    <w:p>
      <w:pPr>
        <w:pStyle w:val="Heading3"/>
        <w:keepLines/>
        <w:rPr>
          <w:snapToGrid w:val="0"/>
        </w:rPr>
      </w:pPr>
      <w:bookmarkStart w:id="10" w:name="_Toc375231025"/>
      <w:r>
        <w:rPr>
          <w:rStyle w:val="CharDivNo"/>
        </w:rPr>
        <w:t>Division 3</w:t>
      </w:r>
      <w:r>
        <w:rPr>
          <w:snapToGrid w:val="0"/>
        </w:rPr>
        <w:t> — </w:t>
      </w:r>
      <w:r>
        <w:rPr>
          <w:rStyle w:val="CharDivText"/>
        </w:rPr>
        <w:t>Berthing dues</w:t>
      </w:r>
      <w:bookmarkEnd w:id="10"/>
      <w:r>
        <w:rPr>
          <w:rStyle w:val="CharDivText"/>
        </w:rPr>
        <w:t xml:space="preserve"> </w:t>
      </w:r>
    </w:p>
    <w:p>
      <w:pPr>
        <w:pStyle w:val="Footnoteheading"/>
        <w:keepNext/>
        <w:keepLines/>
      </w:pPr>
      <w:r>
        <w:tab/>
        <w:t xml:space="preserve">[Heading inserted in Gazette 19 May 1989 p. 1494.] </w:t>
      </w:r>
    </w:p>
    <w:p>
      <w:pPr>
        <w:pStyle w:val="Heading5"/>
        <w:rPr>
          <w:snapToGrid w:val="0"/>
        </w:rPr>
      </w:pPr>
      <w:bookmarkStart w:id="11" w:name="_Toc375231026"/>
      <w:r>
        <w:rPr>
          <w:rStyle w:val="CharSectno"/>
        </w:rPr>
        <w:t>6</w:t>
      </w:r>
      <w:r>
        <w:rPr>
          <w:snapToGrid w:val="0"/>
        </w:rPr>
        <w:t>.</w:t>
      </w:r>
      <w:r>
        <w:rPr>
          <w:snapToGrid w:val="0"/>
        </w:rPr>
        <w:tab/>
        <w:t>Berthing dues to be charged</w:t>
      </w:r>
      <w:bookmarkEnd w:id="11"/>
      <w:r>
        <w:rPr>
          <w:snapToGrid w:val="0"/>
        </w:rPr>
        <w:t xml:space="preserve"> </w:t>
      </w:r>
    </w:p>
    <w:p>
      <w:pPr>
        <w:pStyle w:val="Subsection"/>
        <w:rPr>
          <w:snapToGrid w:val="0"/>
        </w:rPr>
      </w:pPr>
      <w:r>
        <w:rPr>
          <w:snapToGrid w:val="0"/>
        </w:rPr>
        <w:tab/>
        <w:t>(a)</w:t>
      </w:r>
      <w:r>
        <w:rPr>
          <w:snapToGrid w:val="0"/>
        </w:rPr>
        <w:tab/>
        <w:t xml:space="preserve">All vessels using jetties shall be charged berthing dues, as provided for in </w:t>
      </w:r>
      <w:r>
        <w:t>Schedule 1.</w:t>
      </w:r>
    </w:p>
    <w:p>
      <w:pPr>
        <w:pStyle w:val="Subsection"/>
        <w:rPr>
          <w:snapToGrid w:val="0"/>
        </w:rPr>
      </w:pPr>
      <w:r>
        <w:rPr>
          <w:snapToGrid w:val="0"/>
        </w:rPr>
        <w:tab/>
        <w:t>(b)</w:t>
      </w:r>
      <w:r>
        <w:rPr>
          <w:snapToGrid w:val="0"/>
        </w:rPr>
        <w:tab/>
        <w:t>All vessels lying alongside jetties and transhipping cargo to or from lighters or other vessels shall be charged the like berthing dues in respect thereof, as if the said cargo had been landed on or taken off the jetties in place of being taken from or placed in such lighters or vessels as aforesaid.</w:t>
      </w:r>
    </w:p>
    <w:p>
      <w:pPr>
        <w:pStyle w:val="Footnotesection"/>
      </w:pPr>
      <w:r>
        <w:tab/>
        <w:t xml:space="preserve">[Regulation 6 amended in Gazette 19 May 1989 p. 1494; 24 Jun 2005 p. 2816.] </w:t>
      </w:r>
    </w:p>
    <w:p>
      <w:pPr>
        <w:pStyle w:val="Heading5"/>
        <w:spacing w:before="240"/>
      </w:pPr>
      <w:bookmarkStart w:id="12" w:name="_Toc375231027"/>
      <w:r>
        <w:rPr>
          <w:rStyle w:val="CharSectno"/>
        </w:rPr>
        <w:t>6A</w:t>
      </w:r>
      <w:r>
        <w:t>.</w:t>
      </w:r>
      <w:r>
        <w:tab/>
        <w:t>Requirement to pay berthing dues</w:t>
      </w:r>
      <w:bookmarkEnd w:id="12"/>
    </w:p>
    <w:p>
      <w:pPr>
        <w:pStyle w:val="Subsection"/>
      </w:pPr>
      <w:r>
        <w:tab/>
        <w:t>(1)</w:t>
      </w:r>
      <w:r>
        <w:tab/>
        <w:t>If a service jetty is used by a vessel and the berthing dues, as provided for in Schedule 1, for that use of the jetty have not been paid in advance or within 7 days of that use, the chief executive officer may give the owner of the vessel a notice in writing requiring that the dues specified in the notice be paid to the Department by the day specified in the notice, which day must not be less than 28 days after the day on which the service jetty was used by vessel.</w:t>
      </w:r>
    </w:p>
    <w:p>
      <w:pPr>
        <w:pStyle w:val="Subsection"/>
      </w:pPr>
      <w:r>
        <w:tab/>
        <w:t>(2)</w:t>
      </w:r>
      <w:r>
        <w:tab/>
        <w:t>A person given a notice under subregulation (1) must pay the berthing dues specified in the notice before the day specified in the notice.</w:t>
      </w:r>
    </w:p>
    <w:p>
      <w:pPr>
        <w:pStyle w:val="Penstart"/>
      </w:pPr>
      <w:r>
        <w:tab/>
        <w:t>Penalty: a fine of $500.</w:t>
      </w:r>
    </w:p>
    <w:p>
      <w:pPr>
        <w:pStyle w:val="Footnotesection"/>
      </w:pPr>
      <w:r>
        <w:tab/>
        <w:t>[Regulation 6A inserted in Gazette 7 Dec 2007 p. 5984.]</w:t>
      </w:r>
    </w:p>
    <w:p>
      <w:pPr>
        <w:pStyle w:val="Heading5"/>
        <w:rPr>
          <w:snapToGrid w:val="0"/>
        </w:rPr>
      </w:pPr>
      <w:bookmarkStart w:id="13" w:name="_Toc375231028"/>
      <w:r>
        <w:rPr>
          <w:rStyle w:val="CharSectno"/>
        </w:rPr>
        <w:t>7</w:t>
      </w:r>
      <w:r>
        <w:rPr>
          <w:snapToGrid w:val="0"/>
        </w:rPr>
        <w:t>.</w:t>
      </w:r>
      <w:r>
        <w:rPr>
          <w:snapToGrid w:val="0"/>
        </w:rPr>
        <w:tab/>
        <w:t>Computation of berthing dues</w:t>
      </w:r>
      <w:bookmarkEnd w:id="13"/>
      <w:r>
        <w:rPr>
          <w:snapToGrid w:val="0"/>
        </w:rPr>
        <w:t xml:space="preserve"> </w:t>
      </w:r>
    </w:p>
    <w:p>
      <w:pPr>
        <w:pStyle w:val="Subsection"/>
        <w:rPr>
          <w:snapToGrid w:val="0"/>
        </w:rPr>
      </w:pPr>
      <w:r>
        <w:rPr>
          <w:snapToGrid w:val="0"/>
        </w:rPr>
        <w:tab/>
      </w:r>
      <w:r>
        <w:rPr>
          <w:snapToGrid w:val="0"/>
        </w:rPr>
        <w:tab/>
        <w:t>In the computation of berthing dues for cargo carrying vessels the officer in charge shall have the option in determining the dues of proceeding on a weight basis of a tonne or a measurement basis of 1 m</w:t>
      </w:r>
      <w:r>
        <w:rPr>
          <w:snapToGrid w:val="0"/>
          <w:vertAlign w:val="superscript"/>
        </w:rPr>
        <w:t>3</w:t>
      </w:r>
      <w:r>
        <w:rPr>
          <w:snapToGrid w:val="0"/>
        </w:rPr>
        <w:t xml:space="preserve"> or in the case of bulk oils and fuels 1 kL for the cargo in respect of which such dues are levied except as follows:</w:t>
      </w:r>
    </w:p>
    <w:p>
      <w:pPr>
        <w:pStyle w:val="Indenta"/>
        <w:rPr>
          <w:snapToGrid w:val="0"/>
        </w:rPr>
      </w:pPr>
      <w:r>
        <w:rPr>
          <w:snapToGrid w:val="0"/>
        </w:rPr>
        <w:tab/>
      </w:r>
      <w:r>
        <w:rPr>
          <w:snapToGrid w:val="0"/>
        </w:rPr>
        <w:tab/>
        <w:t>one bullock, cow, steer, heifer or suchlike animal 1 t, 15 sheep, pigs, goats or suchlike 1 t.</w:t>
      </w:r>
    </w:p>
    <w:p>
      <w:pPr>
        <w:pStyle w:val="Footnotesection"/>
      </w:pPr>
      <w:r>
        <w:tab/>
        <w:t xml:space="preserve">[Regulation 7 inserted in Gazette 15 Jun 1973 p. 2237; amended in Gazette 19 May 1989 p. 1494.] </w:t>
      </w:r>
    </w:p>
    <w:p>
      <w:pPr>
        <w:pStyle w:val="Heading5"/>
        <w:spacing w:before="240"/>
        <w:rPr>
          <w:snapToGrid w:val="0"/>
        </w:rPr>
      </w:pPr>
      <w:bookmarkStart w:id="14" w:name="_Toc375231029"/>
      <w:r>
        <w:rPr>
          <w:rStyle w:val="CharSectno"/>
        </w:rPr>
        <w:t>8</w:t>
      </w:r>
      <w:r>
        <w:rPr>
          <w:snapToGrid w:val="0"/>
        </w:rPr>
        <w:t>.</w:t>
      </w:r>
      <w:r>
        <w:rPr>
          <w:snapToGrid w:val="0"/>
        </w:rPr>
        <w:tab/>
        <w:t>Inwards manifests</w:t>
      </w:r>
      <w:bookmarkEnd w:id="14"/>
      <w:r>
        <w:rPr>
          <w:snapToGrid w:val="0"/>
        </w:rPr>
        <w:t xml:space="preserve"> </w:t>
      </w:r>
    </w:p>
    <w:p>
      <w:pPr>
        <w:pStyle w:val="Subsection"/>
        <w:spacing w:before="180"/>
        <w:rPr>
          <w:snapToGrid w:val="0"/>
        </w:rPr>
      </w:pPr>
      <w:r>
        <w:rPr>
          <w:snapToGrid w:val="0"/>
        </w:rPr>
        <w:tab/>
      </w:r>
      <w:r>
        <w:rPr>
          <w:snapToGrid w:val="0"/>
        </w:rPr>
        <w:tab/>
        <w:t>The master of every vessel arriving shall deliver at the office of the officer in charge, prior to commencing to discharge cargo, a true, legible, and complete copy of the manifest of the said vessel, certified to by himself as being true and complete, and shall also furnish within 48 hours a certified statement of all alterations (if any) which may be made in such manifest by reason of re</w:t>
      </w:r>
      <w:r>
        <w:rPr>
          <w:snapToGrid w:val="0"/>
        </w:rPr>
        <w:noBreakHyphen/>
        <w:t>measurement of goods included therein or otherwise. In the event of a vessel not discharging any cargo, a “Nil” manifest must be furnished.</w:t>
      </w:r>
    </w:p>
    <w:p>
      <w:pPr>
        <w:pStyle w:val="Footnotesection"/>
      </w:pPr>
      <w:r>
        <w:tab/>
        <w:t xml:space="preserve">[Regulation 8 amended in Gazette 19 May 1989 p. 1494.] </w:t>
      </w:r>
    </w:p>
    <w:p>
      <w:pPr>
        <w:pStyle w:val="Heading5"/>
        <w:spacing w:before="240"/>
        <w:rPr>
          <w:snapToGrid w:val="0"/>
        </w:rPr>
      </w:pPr>
      <w:bookmarkStart w:id="15" w:name="_Toc375231030"/>
      <w:r>
        <w:rPr>
          <w:rStyle w:val="CharSectno"/>
        </w:rPr>
        <w:t>9</w:t>
      </w:r>
      <w:r>
        <w:rPr>
          <w:snapToGrid w:val="0"/>
        </w:rPr>
        <w:t>.</w:t>
      </w:r>
      <w:r>
        <w:rPr>
          <w:snapToGrid w:val="0"/>
        </w:rPr>
        <w:tab/>
        <w:t>Outwards manifests</w:t>
      </w:r>
      <w:bookmarkEnd w:id="15"/>
      <w:r>
        <w:rPr>
          <w:snapToGrid w:val="0"/>
        </w:rPr>
        <w:t xml:space="preserve"> </w:t>
      </w:r>
    </w:p>
    <w:p>
      <w:pPr>
        <w:pStyle w:val="Subsection"/>
        <w:spacing w:before="180"/>
        <w:rPr>
          <w:snapToGrid w:val="0"/>
        </w:rPr>
      </w:pPr>
      <w:r>
        <w:rPr>
          <w:snapToGrid w:val="0"/>
        </w:rPr>
        <w:tab/>
      </w:r>
      <w:r>
        <w:rPr>
          <w:snapToGrid w:val="0"/>
        </w:rPr>
        <w:tab/>
        <w:t>The master of every vessel shall deliver at the office of the officer in charge, prior to the clearance of the vessel in which outward cargo is shipped, a certified copy of the manifest, giving true, legible, and complete particulars of such goods as will enable the amount of outward wharfage dues payable thereon to be readily computed. In the event of a vessel not shipping any cargo a “Nil” manifest must be furnished.</w:t>
      </w:r>
    </w:p>
    <w:p>
      <w:pPr>
        <w:pStyle w:val="Footnotesection"/>
      </w:pPr>
      <w:r>
        <w:tab/>
        <w:t xml:space="preserve">[Regulation 9 amended in Gazette 19 May 1989 p. 1494.] </w:t>
      </w:r>
    </w:p>
    <w:p>
      <w:pPr>
        <w:pStyle w:val="Heading3"/>
        <w:keepLines/>
        <w:rPr>
          <w:snapToGrid w:val="0"/>
        </w:rPr>
      </w:pPr>
      <w:bookmarkStart w:id="16" w:name="_Toc375231031"/>
      <w:r>
        <w:rPr>
          <w:rStyle w:val="CharDivNo"/>
        </w:rPr>
        <w:t>Division 4</w:t>
      </w:r>
      <w:r>
        <w:rPr>
          <w:snapToGrid w:val="0"/>
        </w:rPr>
        <w:t> — </w:t>
      </w:r>
      <w:r>
        <w:rPr>
          <w:rStyle w:val="CharDivText"/>
        </w:rPr>
        <w:t>Wharfage dues, handling and haulage charges</w:t>
      </w:r>
      <w:bookmarkEnd w:id="16"/>
      <w:r>
        <w:rPr>
          <w:rStyle w:val="CharDivText"/>
        </w:rPr>
        <w:t xml:space="preserve"> </w:t>
      </w:r>
    </w:p>
    <w:p>
      <w:pPr>
        <w:pStyle w:val="Footnoteheading"/>
        <w:keepNext/>
        <w:keepLines/>
        <w:rPr>
          <w:snapToGrid w:val="0"/>
        </w:rPr>
      </w:pPr>
      <w:r>
        <w:rPr>
          <w:snapToGrid w:val="0"/>
        </w:rPr>
        <w:tab/>
        <w:t xml:space="preserve">[Heading inserted in Gazette 19 May 1989 p. 1494.] </w:t>
      </w:r>
    </w:p>
    <w:p>
      <w:pPr>
        <w:pStyle w:val="Ednotesection"/>
        <w:keepNext/>
        <w:keepLines/>
        <w:spacing w:before="180"/>
        <w:ind w:left="0" w:firstLine="0"/>
      </w:pPr>
      <w:r>
        <w:t>[</w:t>
      </w:r>
      <w:r>
        <w:rPr>
          <w:b/>
        </w:rPr>
        <w:t>10.</w:t>
      </w:r>
      <w:r>
        <w:tab/>
        <w:t>Disallowed (see Gazette 6 Sep 1940 p. 1622).]</w:t>
      </w:r>
    </w:p>
    <w:p>
      <w:pPr>
        <w:pStyle w:val="Heading5"/>
        <w:spacing w:before="180"/>
        <w:rPr>
          <w:snapToGrid w:val="0"/>
        </w:rPr>
      </w:pPr>
      <w:bookmarkStart w:id="17" w:name="_Toc375231032"/>
      <w:r>
        <w:rPr>
          <w:rStyle w:val="CharSectno"/>
        </w:rPr>
        <w:t>10A</w:t>
      </w:r>
      <w:r>
        <w:rPr>
          <w:snapToGrid w:val="0"/>
        </w:rPr>
        <w:t>.</w:t>
      </w:r>
      <w:r>
        <w:rPr>
          <w:snapToGrid w:val="0"/>
        </w:rPr>
        <w:tab/>
        <w:t>Payment of dues and charges</w:t>
      </w:r>
      <w:bookmarkEnd w:id="17"/>
      <w:r>
        <w:rPr>
          <w:snapToGrid w:val="0"/>
        </w:rPr>
        <w:t xml:space="preserve"> </w:t>
      </w:r>
    </w:p>
    <w:p>
      <w:pPr>
        <w:pStyle w:val="Subsection"/>
        <w:rPr>
          <w:snapToGrid w:val="0"/>
        </w:rPr>
      </w:pPr>
      <w:r>
        <w:rPr>
          <w:snapToGrid w:val="0"/>
        </w:rPr>
        <w:tab/>
        <w:t>(1)</w:t>
      </w:r>
      <w:r>
        <w:rPr>
          <w:snapToGrid w:val="0"/>
        </w:rPr>
        <w:tab/>
        <w:t xml:space="preserve">The appropriate wharfage dues, and handling and haulage charges as prescribed in </w:t>
      </w:r>
      <w:r>
        <w:t xml:space="preserve">Schedule 1 </w:t>
      </w:r>
      <w:r>
        <w:rPr>
          <w:snapToGrid w:val="0"/>
        </w:rPr>
        <w:t>shall, unless otherwise provided, be paid in respect of goods landed from or loaded into any vessel.</w:t>
      </w:r>
    </w:p>
    <w:p>
      <w:pPr>
        <w:pStyle w:val="Subsection"/>
        <w:rPr>
          <w:snapToGrid w:val="0"/>
        </w:rPr>
      </w:pPr>
      <w:r>
        <w:rPr>
          <w:snapToGrid w:val="0"/>
        </w:rPr>
        <w:tab/>
        <w:t>(2)</w:t>
      </w:r>
      <w:r>
        <w:rPr>
          <w:snapToGrid w:val="0"/>
        </w:rPr>
        <w:tab/>
        <w:t>The dues and charges so payable shall be based, at the option of the wharfinger or officer in charge, on the measurement or weight of the goods as declared on the vessel’s manifest.</w:t>
      </w:r>
    </w:p>
    <w:p>
      <w:pPr>
        <w:pStyle w:val="Footnotesection"/>
      </w:pPr>
      <w:r>
        <w:tab/>
        <w:t xml:space="preserve">[Regulation 10A inserted in Gazette 12 Jul 1957 p. 2269; amended in Gazette 19 May 1989 p. 1495; 24 Jun 2005 p. 2816.] </w:t>
      </w:r>
    </w:p>
    <w:p>
      <w:pPr>
        <w:pStyle w:val="Ednotesection"/>
        <w:spacing w:before="180"/>
      </w:pPr>
      <w:r>
        <w:t>[</w:t>
      </w:r>
      <w:r>
        <w:rPr>
          <w:b/>
        </w:rPr>
        <w:t>10B.</w:t>
      </w:r>
      <w:r>
        <w:tab/>
        <w:t xml:space="preserve">Deleted in Gazette 30 Jun 1995 p. 2699.] </w:t>
      </w:r>
    </w:p>
    <w:p>
      <w:pPr>
        <w:pStyle w:val="Ednotesection"/>
        <w:spacing w:before="180"/>
      </w:pPr>
      <w:r>
        <w:t>[</w:t>
      </w:r>
      <w:r>
        <w:rPr>
          <w:b/>
        </w:rPr>
        <w:t>10C.</w:t>
      </w:r>
      <w:r>
        <w:tab/>
        <w:t xml:space="preserve">Deleted in Gazette 24 Nov 1972 p. 4487.] </w:t>
      </w:r>
    </w:p>
    <w:p>
      <w:pPr>
        <w:pStyle w:val="Heading5"/>
        <w:spacing w:before="180"/>
        <w:rPr>
          <w:snapToGrid w:val="0"/>
        </w:rPr>
      </w:pPr>
      <w:bookmarkStart w:id="18" w:name="_Toc375231033"/>
      <w:r>
        <w:rPr>
          <w:rStyle w:val="CharSectno"/>
        </w:rPr>
        <w:t>11</w:t>
      </w:r>
      <w:r>
        <w:rPr>
          <w:snapToGrid w:val="0"/>
        </w:rPr>
        <w:t>.</w:t>
      </w:r>
      <w:r>
        <w:rPr>
          <w:snapToGrid w:val="0"/>
        </w:rPr>
        <w:tab/>
        <w:t>Charges for transhipment cargo</w:t>
      </w:r>
      <w:bookmarkEnd w:id="18"/>
      <w:r>
        <w:rPr>
          <w:snapToGrid w:val="0"/>
        </w:rPr>
        <w:t xml:space="preserve"> </w:t>
      </w:r>
    </w:p>
    <w:p>
      <w:pPr>
        <w:pStyle w:val="Subsection"/>
        <w:rPr>
          <w:snapToGrid w:val="0"/>
        </w:rPr>
      </w:pPr>
      <w:r>
        <w:rPr>
          <w:snapToGrid w:val="0"/>
        </w:rPr>
        <w:tab/>
        <w:t>(1)</w:t>
      </w:r>
      <w:r>
        <w:rPr>
          <w:snapToGrid w:val="0"/>
        </w:rPr>
        <w:tab/>
        <w:t xml:space="preserve">Full wharfage dues one way only shall be payable on cargo for transhipment if landed on a jetty, but if passed overside from one vessel to another for conveyance to destination, or temporarily, the wharfage dues shall be those set out in </w:t>
      </w:r>
      <w:r>
        <w:t xml:space="preserve">Schedule 1; </w:t>
      </w:r>
      <w:r>
        <w:rPr>
          <w:snapToGrid w:val="0"/>
        </w:rPr>
        <w:t>in both cases handling and haulage charges shall be payable as per rates shown for other cargo, according to the services rendered in each case.</w:t>
      </w:r>
    </w:p>
    <w:p>
      <w:pPr>
        <w:pStyle w:val="Ednotesubsection"/>
        <w:spacing w:before="120"/>
      </w:pPr>
      <w:r>
        <w:tab/>
        <w:t>[(2)</w:t>
      </w:r>
      <w:r>
        <w:tab/>
        <w:t>deleted]</w:t>
      </w:r>
    </w:p>
    <w:p>
      <w:pPr>
        <w:pStyle w:val="Footnotesection"/>
      </w:pPr>
      <w:r>
        <w:tab/>
        <w:t xml:space="preserve">[Regulation 11 amended in Gazette 12 Jul 1957 p. 2270; 24 Nov 1972 p. 4487; 15 Jun 1973 p. 2237; 19 May 1989 p. 1495; 29 Jun 1993 p. 3191; 14 Jun 1994 p. 2476; 30 Jun 1995 p. 2699; 24 Jun 2005 p. 2816.] </w:t>
      </w:r>
    </w:p>
    <w:p>
      <w:pPr>
        <w:pStyle w:val="Ednotesection"/>
        <w:spacing w:before="160"/>
        <w:ind w:left="890" w:hanging="890"/>
      </w:pPr>
      <w:r>
        <w:t>[</w:t>
      </w:r>
      <w:r>
        <w:rPr>
          <w:b/>
        </w:rPr>
        <w:t>11A.</w:t>
      </w:r>
      <w:r>
        <w:rPr>
          <w:b/>
        </w:rPr>
        <w:tab/>
      </w:r>
      <w:r>
        <w:t xml:space="preserve">Deleted in Gazette 24 Nov 1972 p. 4487.] </w:t>
      </w:r>
    </w:p>
    <w:p>
      <w:pPr>
        <w:pStyle w:val="Heading5"/>
        <w:rPr>
          <w:snapToGrid w:val="0"/>
        </w:rPr>
      </w:pPr>
      <w:bookmarkStart w:id="19" w:name="_Toc375231034"/>
      <w:r>
        <w:rPr>
          <w:rStyle w:val="CharSectno"/>
        </w:rPr>
        <w:t>11B</w:t>
      </w:r>
      <w:r>
        <w:rPr>
          <w:snapToGrid w:val="0"/>
        </w:rPr>
        <w:t>.</w:t>
      </w:r>
      <w:r>
        <w:rPr>
          <w:snapToGrid w:val="0"/>
        </w:rPr>
        <w:tab/>
        <w:t>Charges on vessels’ stores, including fuel oil</w:t>
      </w:r>
      <w:bookmarkEnd w:id="19"/>
      <w:r>
        <w:rPr>
          <w:snapToGrid w:val="0"/>
        </w:rPr>
        <w:t xml:space="preserve"> </w:t>
      </w:r>
    </w:p>
    <w:p>
      <w:pPr>
        <w:pStyle w:val="Subsection"/>
        <w:rPr>
          <w:snapToGrid w:val="0"/>
        </w:rPr>
      </w:pPr>
      <w:r>
        <w:rPr>
          <w:snapToGrid w:val="0"/>
        </w:rPr>
        <w:tab/>
        <w:t>(1)</w:t>
      </w:r>
      <w:r>
        <w:rPr>
          <w:snapToGrid w:val="0"/>
        </w:rPr>
        <w:tab/>
        <w:t>Material and equipment passing over jetties and to be used for the repair and refitting of a vessel, its machinery or equipment whilst it is in the port, and all consumable stores loaded into a vessel for the vessel’s own use, excepting fuel oil on which an inwards wharfage rate has not been paid at the port, shall be exempt from the payment of outwards wharfage.</w:t>
      </w:r>
    </w:p>
    <w:p>
      <w:pPr>
        <w:pStyle w:val="Subsection"/>
      </w:pPr>
      <w:r>
        <w:tab/>
        <w:t>(2)</w:t>
      </w:r>
      <w:r>
        <w:tab/>
        <w:t>The outwards wharfage rate on fuel oil loaded into a vessel as bunkers for that vessel’s own use, and on which an inwards wharfage rate has not been paid, is set out in Schedule 1A and shall be paid by the supplier of the oil.</w:t>
      </w:r>
    </w:p>
    <w:p>
      <w:pPr>
        <w:pStyle w:val="Subsection"/>
        <w:rPr>
          <w:snapToGrid w:val="0"/>
        </w:rPr>
      </w:pPr>
      <w:r>
        <w:rPr>
          <w:snapToGrid w:val="0"/>
        </w:rPr>
        <w:tab/>
        <w:t>(3)</w:t>
      </w:r>
      <w:r>
        <w:rPr>
          <w:snapToGrid w:val="0"/>
        </w:rPr>
        <w:tab/>
        <w:t>The supplier of fuel oil under subregulation (2) shall compile and forward to the Department, within 28 days of the end of each calendar month, a record of the total volume of fuel oil dispensed from each facility by that supplier during that month.</w:t>
      </w:r>
    </w:p>
    <w:p>
      <w:pPr>
        <w:pStyle w:val="Footnotesection"/>
        <w:keepLines w:val="0"/>
      </w:pPr>
      <w:r>
        <w:tab/>
        <w:t>[Regulation 11B inserted as regulation 11A in Gazette 17 Mar 1960 p. 778; renumbered as regulation 11B in the reprint published in the Gazette 10 Dec 1974 p. 5291</w:t>
      </w:r>
      <w:r>
        <w:noBreakHyphen/>
        <w:t xml:space="preserve">318; amended in Gazette 24 Nov 1972 p. 4487; 15 Jun 1973 p. 2237; 19 May 1989 p. 1495; 30 Jun 1992 p. 2892; 29 Jun 1993 p. 3192; 30 Jun 1995 p. 2699; 20 Jun 2000 p. 3044; 24 Jun 2005 p. 2816-17; 22 Jun 2007 p. 2908.] </w:t>
      </w:r>
    </w:p>
    <w:p>
      <w:pPr>
        <w:pStyle w:val="Heading5"/>
        <w:rPr>
          <w:snapToGrid w:val="0"/>
        </w:rPr>
      </w:pPr>
      <w:bookmarkStart w:id="20" w:name="_Toc375231035"/>
      <w:r>
        <w:rPr>
          <w:rStyle w:val="CharSectno"/>
        </w:rPr>
        <w:t>12</w:t>
      </w:r>
      <w:r>
        <w:rPr>
          <w:snapToGrid w:val="0"/>
        </w:rPr>
        <w:t>.</w:t>
      </w:r>
      <w:r>
        <w:rPr>
          <w:snapToGrid w:val="0"/>
        </w:rPr>
        <w:tab/>
        <w:t>Charges to be paid before delivery of cargo</w:t>
      </w:r>
      <w:bookmarkEnd w:id="20"/>
      <w:r>
        <w:rPr>
          <w:snapToGrid w:val="0"/>
        </w:rPr>
        <w:t xml:space="preserve"> </w:t>
      </w:r>
    </w:p>
    <w:p>
      <w:pPr>
        <w:pStyle w:val="Subsection"/>
        <w:rPr>
          <w:snapToGrid w:val="0"/>
        </w:rPr>
      </w:pPr>
      <w:r>
        <w:rPr>
          <w:snapToGrid w:val="0"/>
        </w:rPr>
        <w:tab/>
      </w:r>
      <w:r>
        <w:rPr>
          <w:snapToGrid w:val="0"/>
        </w:rPr>
        <w:tab/>
        <w:t>All wharfage dues and handling or other charges incurred, payable in respect of cargo discharged or shipped, shall become payable to the officer in charge on the discharge or shipment of the said cargo, and shall be paid on demand, and each bill of lading, as shown on the manifest, must be cleared by one payment. No inward cargo shall be delivered to the consignee or owner thereof, nor outward cargo to the vessel in which it is intended that same shall be shipped, until the written receipt of the officer in charge shall have been presented to the consignee or owner, or to the shipper or master of the vessel, respectively, for the payment of all wharfage dues and charges as aforesaid in respect of such cargo: Provided always, that it shall be competent, but not compulsory (in the case of outward cargo) for the officer in charge to accept from the agent or the master a guarantee in writing that such dues shall be paid to him within 24 hours of the clearance of the vessel.</w:t>
      </w:r>
    </w:p>
    <w:p>
      <w:pPr>
        <w:pStyle w:val="Footnotesection"/>
      </w:pPr>
      <w:r>
        <w:tab/>
        <w:t xml:space="preserve">[Regulation 12 amended in Gazette 19 May 1989 p. 1495.] </w:t>
      </w:r>
    </w:p>
    <w:p>
      <w:pPr>
        <w:pStyle w:val="Heading5"/>
        <w:rPr>
          <w:snapToGrid w:val="0"/>
        </w:rPr>
      </w:pPr>
      <w:bookmarkStart w:id="21" w:name="_Toc375231036"/>
      <w:r>
        <w:rPr>
          <w:rStyle w:val="CharSectno"/>
        </w:rPr>
        <w:t>13</w:t>
      </w:r>
      <w:r>
        <w:rPr>
          <w:snapToGrid w:val="0"/>
        </w:rPr>
        <w:t>.</w:t>
      </w:r>
      <w:r>
        <w:rPr>
          <w:snapToGrid w:val="0"/>
        </w:rPr>
        <w:tab/>
        <w:t>Extra charges</w:t>
      </w:r>
      <w:bookmarkEnd w:id="21"/>
      <w:r>
        <w:rPr>
          <w:snapToGrid w:val="0"/>
        </w:rPr>
        <w:t xml:space="preserve"> </w:t>
      </w:r>
    </w:p>
    <w:p>
      <w:pPr>
        <w:pStyle w:val="Subsection"/>
        <w:rPr>
          <w:snapToGrid w:val="0"/>
        </w:rPr>
      </w:pPr>
      <w:r>
        <w:rPr>
          <w:snapToGrid w:val="0"/>
        </w:rPr>
        <w:tab/>
      </w:r>
      <w:r>
        <w:rPr>
          <w:snapToGrid w:val="0"/>
        </w:rPr>
        <w:tab/>
        <w:t>The officer in charge may make extra charges for handling packages over 1 t in weight, or of an exceptional shape, or where extra labour is required or unusual risk is involved.</w:t>
      </w:r>
    </w:p>
    <w:p>
      <w:pPr>
        <w:pStyle w:val="Footnotesection"/>
        <w:keepLines w:val="0"/>
      </w:pPr>
      <w:r>
        <w:tab/>
        <w:t xml:space="preserve">[Regulation 13 amended in Gazette 15 Jun 1973 p. 2237; 19 May 1989 p. 1495.] </w:t>
      </w:r>
    </w:p>
    <w:p>
      <w:pPr>
        <w:pStyle w:val="Ednotesection"/>
      </w:pPr>
      <w:r>
        <w:t>[</w:t>
      </w:r>
      <w:r>
        <w:rPr>
          <w:b/>
        </w:rPr>
        <w:t>13A.</w:t>
      </w:r>
      <w:r>
        <w:tab/>
        <w:t xml:space="preserve">Deleted in Gazette 30 Jun 1995 p. 2699.] </w:t>
      </w:r>
    </w:p>
    <w:p>
      <w:pPr>
        <w:pStyle w:val="Heading3"/>
        <w:rPr>
          <w:snapToGrid w:val="0"/>
        </w:rPr>
      </w:pPr>
      <w:bookmarkStart w:id="22" w:name="_Toc375231037"/>
      <w:r>
        <w:rPr>
          <w:rStyle w:val="CharDivNo"/>
        </w:rPr>
        <w:t>Division 5</w:t>
      </w:r>
      <w:r>
        <w:rPr>
          <w:snapToGrid w:val="0"/>
        </w:rPr>
        <w:t> — </w:t>
      </w:r>
      <w:r>
        <w:rPr>
          <w:rStyle w:val="CharDivText"/>
        </w:rPr>
        <w:t>Handling of cargo</w:t>
      </w:r>
      <w:bookmarkEnd w:id="22"/>
      <w:r>
        <w:rPr>
          <w:rStyle w:val="CharDivText"/>
        </w:rPr>
        <w:t xml:space="preserve"> </w:t>
      </w:r>
    </w:p>
    <w:p>
      <w:pPr>
        <w:pStyle w:val="Footnoteheading"/>
        <w:keepNext/>
      </w:pPr>
      <w:r>
        <w:tab/>
        <w:t xml:space="preserve">[Heading inserted in Gazette 19 May 1989 p. 1494.] </w:t>
      </w:r>
    </w:p>
    <w:p>
      <w:pPr>
        <w:pStyle w:val="Heading5"/>
        <w:keepNext w:val="0"/>
        <w:keepLines w:val="0"/>
        <w:rPr>
          <w:snapToGrid w:val="0"/>
        </w:rPr>
      </w:pPr>
      <w:bookmarkStart w:id="23" w:name="_Toc375231038"/>
      <w:r>
        <w:rPr>
          <w:rStyle w:val="CharSectno"/>
        </w:rPr>
        <w:t>14</w:t>
      </w:r>
      <w:r>
        <w:rPr>
          <w:snapToGrid w:val="0"/>
        </w:rPr>
        <w:t>.</w:t>
      </w:r>
      <w:r>
        <w:rPr>
          <w:snapToGrid w:val="0"/>
        </w:rPr>
        <w:tab/>
        <w:t>Cargo not to be placed on jetties or premises without authority</w:t>
      </w:r>
      <w:bookmarkEnd w:id="23"/>
      <w:r>
        <w:rPr>
          <w:snapToGrid w:val="0"/>
        </w:rPr>
        <w:t xml:space="preserve"> </w:t>
      </w:r>
    </w:p>
    <w:p>
      <w:pPr>
        <w:pStyle w:val="Subsection"/>
        <w:rPr>
          <w:snapToGrid w:val="0"/>
        </w:rPr>
      </w:pPr>
      <w:r>
        <w:rPr>
          <w:snapToGrid w:val="0"/>
        </w:rPr>
        <w:tab/>
      </w:r>
      <w:r>
        <w:rPr>
          <w:snapToGrid w:val="0"/>
        </w:rPr>
        <w:tab/>
        <w:t>No goods shall be landed or placed on any jetty or any premises appurtenant thereto or used in connection therewith without the written authority of the officer in charge. Cargo discharged without such authority having been first obtained shall not be deemed to be in the custody of the Department, nor shall the Department be held responsible for any loss or damage that may accrue to any such cargo from any cause whatsoever.</w:t>
      </w:r>
    </w:p>
    <w:p>
      <w:pPr>
        <w:pStyle w:val="Footnotesection"/>
        <w:keepLines w:val="0"/>
        <w:ind w:left="890" w:hanging="890"/>
      </w:pPr>
      <w:r>
        <w:tab/>
        <w:t xml:space="preserve">[Regulation 14 amended in Gazette 3 Nov 1950 p. 2461; 19 May 1989 p. 1495.] </w:t>
      </w:r>
    </w:p>
    <w:p>
      <w:pPr>
        <w:pStyle w:val="Heading5"/>
        <w:spacing w:before="180"/>
        <w:rPr>
          <w:snapToGrid w:val="0"/>
        </w:rPr>
      </w:pPr>
      <w:bookmarkStart w:id="24" w:name="_Toc375231039"/>
      <w:r>
        <w:rPr>
          <w:rStyle w:val="CharSectno"/>
        </w:rPr>
        <w:t>15</w:t>
      </w:r>
      <w:r>
        <w:rPr>
          <w:snapToGrid w:val="0"/>
        </w:rPr>
        <w:t>.</w:t>
      </w:r>
      <w:r>
        <w:rPr>
          <w:snapToGrid w:val="0"/>
        </w:rPr>
        <w:tab/>
        <w:t>Discharging of cargo may be stopped</w:t>
      </w:r>
      <w:bookmarkEnd w:id="24"/>
      <w:r>
        <w:rPr>
          <w:snapToGrid w:val="0"/>
        </w:rPr>
        <w:t xml:space="preserve"> </w:t>
      </w:r>
    </w:p>
    <w:p>
      <w:pPr>
        <w:pStyle w:val="Subsection"/>
        <w:rPr>
          <w:snapToGrid w:val="0"/>
        </w:rPr>
      </w:pPr>
      <w:r>
        <w:rPr>
          <w:snapToGrid w:val="0"/>
        </w:rPr>
        <w:tab/>
      </w:r>
      <w:r>
        <w:rPr>
          <w:snapToGrid w:val="0"/>
        </w:rPr>
        <w:tab/>
        <w:t>If it appears that goods are being landed and cannot, in the opinion of the officer in charge, be removed in time to prevent a “block”, the officer in charge may give notice in writing to the masters or person in charge of vessels, or lighters, from which goods are being discharged, to stop discharging cargo, and upon such notice being given no further cargo shall be discharged until such time as the officer in charge may direct.</w:t>
      </w:r>
    </w:p>
    <w:p>
      <w:pPr>
        <w:pStyle w:val="Footnotesection"/>
        <w:ind w:left="890" w:hanging="890"/>
      </w:pPr>
      <w:r>
        <w:tab/>
        <w:t xml:space="preserve">[Regulation 15 amended in Gazette 19 May 1989 p. 1495.] </w:t>
      </w:r>
    </w:p>
    <w:p>
      <w:pPr>
        <w:pStyle w:val="Heading5"/>
        <w:keepNext w:val="0"/>
        <w:keepLines w:val="0"/>
        <w:rPr>
          <w:snapToGrid w:val="0"/>
        </w:rPr>
      </w:pPr>
      <w:bookmarkStart w:id="25" w:name="_Toc375231040"/>
      <w:r>
        <w:rPr>
          <w:rStyle w:val="CharSectno"/>
        </w:rPr>
        <w:t>16</w:t>
      </w:r>
      <w:r>
        <w:rPr>
          <w:snapToGrid w:val="0"/>
        </w:rPr>
        <w:t>.</w:t>
      </w:r>
      <w:r>
        <w:rPr>
          <w:snapToGrid w:val="0"/>
        </w:rPr>
        <w:tab/>
        <w:t>Goods not to be shifted without authority</w:t>
      </w:r>
      <w:bookmarkEnd w:id="25"/>
      <w:r>
        <w:rPr>
          <w:snapToGrid w:val="0"/>
        </w:rPr>
        <w:t xml:space="preserve"> </w:t>
      </w:r>
    </w:p>
    <w:p>
      <w:pPr>
        <w:pStyle w:val="Subsection"/>
        <w:rPr>
          <w:snapToGrid w:val="0"/>
        </w:rPr>
      </w:pPr>
      <w:r>
        <w:rPr>
          <w:snapToGrid w:val="0"/>
        </w:rPr>
        <w:tab/>
      </w:r>
      <w:r>
        <w:rPr>
          <w:snapToGrid w:val="0"/>
        </w:rPr>
        <w:tab/>
        <w:t>No person shall shift from one vessel to another, or from any part of a jetty to any other part thereof, any goods or luggage without the authority of the officer in charge.</w:t>
      </w:r>
    </w:p>
    <w:p>
      <w:pPr>
        <w:pStyle w:val="Footnotesection"/>
        <w:ind w:left="890" w:hanging="890"/>
      </w:pPr>
      <w:r>
        <w:tab/>
        <w:t xml:space="preserve">[Regulation 16 amended in Gazette 19 May 1989 p. 1495.] </w:t>
      </w:r>
    </w:p>
    <w:p>
      <w:pPr>
        <w:pStyle w:val="Heading5"/>
        <w:keepLines w:val="0"/>
        <w:rPr>
          <w:snapToGrid w:val="0"/>
        </w:rPr>
      </w:pPr>
      <w:bookmarkStart w:id="26" w:name="_Toc375231041"/>
      <w:r>
        <w:rPr>
          <w:rStyle w:val="CharSectno"/>
        </w:rPr>
        <w:t>17</w:t>
      </w:r>
      <w:r>
        <w:rPr>
          <w:snapToGrid w:val="0"/>
        </w:rPr>
        <w:t>.</w:t>
      </w:r>
      <w:r>
        <w:rPr>
          <w:snapToGrid w:val="0"/>
        </w:rPr>
        <w:tab/>
        <w:t>Bulk cargo not to be deposited without authority</w:t>
      </w:r>
      <w:bookmarkEnd w:id="26"/>
      <w:r>
        <w:rPr>
          <w:snapToGrid w:val="0"/>
        </w:rPr>
        <w:t xml:space="preserve"> </w:t>
      </w:r>
    </w:p>
    <w:p>
      <w:pPr>
        <w:pStyle w:val="Subsection"/>
        <w:rPr>
          <w:snapToGrid w:val="0"/>
        </w:rPr>
      </w:pPr>
      <w:r>
        <w:rPr>
          <w:snapToGrid w:val="0"/>
        </w:rPr>
        <w:tab/>
      </w:r>
      <w:r>
        <w:rPr>
          <w:snapToGrid w:val="0"/>
        </w:rPr>
        <w:tab/>
        <w:t>No ballast, stone, coal, coke, timber, sand, or other goods or other materials in bulk shall be deposited on any jetty without special permission in writing of the officer in charge.</w:t>
      </w:r>
    </w:p>
    <w:p>
      <w:pPr>
        <w:pStyle w:val="Footnotesection"/>
        <w:keepLines w:val="0"/>
        <w:spacing w:before="100"/>
        <w:ind w:left="890" w:hanging="890"/>
      </w:pPr>
      <w:r>
        <w:tab/>
        <w:t xml:space="preserve">[Regulation 17 amended in Gazette 19 May 1989 p. 1495.] </w:t>
      </w:r>
    </w:p>
    <w:p>
      <w:pPr>
        <w:pStyle w:val="Heading5"/>
        <w:rPr>
          <w:snapToGrid w:val="0"/>
        </w:rPr>
      </w:pPr>
      <w:bookmarkStart w:id="27" w:name="_Toc375231042"/>
      <w:r>
        <w:rPr>
          <w:rStyle w:val="CharSectno"/>
        </w:rPr>
        <w:t>18</w:t>
      </w:r>
      <w:r>
        <w:rPr>
          <w:snapToGrid w:val="0"/>
        </w:rPr>
        <w:t>.</w:t>
      </w:r>
      <w:r>
        <w:rPr>
          <w:snapToGrid w:val="0"/>
        </w:rPr>
        <w:tab/>
        <w:t>Outward cargo advice notes</w:t>
      </w:r>
      <w:bookmarkEnd w:id="27"/>
      <w:r>
        <w:rPr>
          <w:snapToGrid w:val="0"/>
        </w:rPr>
        <w:t xml:space="preserve"> </w:t>
      </w:r>
    </w:p>
    <w:p>
      <w:pPr>
        <w:pStyle w:val="Subsection"/>
        <w:rPr>
          <w:snapToGrid w:val="0"/>
        </w:rPr>
      </w:pPr>
      <w:r>
        <w:rPr>
          <w:snapToGrid w:val="0"/>
        </w:rPr>
        <w:tab/>
      </w:r>
      <w:r>
        <w:rPr>
          <w:snapToGrid w:val="0"/>
        </w:rPr>
        <w:tab/>
        <w:t>No person shall enter on any jetty with goods for shipment without first delivering to the officer in charge an outward cargo advice note, as required by the Department, containing true and full account, with gross measurements or weights of such goods then under his immediate control.</w:t>
      </w:r>
    </w:p>
    <w:p>
      <w:pPr>
        <w:pStyle w:val="Footnotesection"/>
      </w:pPr>
      <w:r>
        <w:tab/>
        <w:t xml:space="preserve">[Regulation 18 amended in Gazette 19 May 1989 p. 1495.] </w:t>
      </w:r>
    </w:p>
    <w:p>
      <w:pPr>
        <w:pStyle w:val="Heading5"/>
        <w:rPr>
          <w:snapToGrid w:val="0"/>
        </w:rPr>
      </w:pPr>
      <w:bookmarkStart w:id="28" w:name="_Toc375231043"/>
      <w:r>
        <w:rPr>
          <w:rStyle w:val="CharSectno"/>
        </w:rPr>
        <w:t>19</w:t>
      </w:r>
      <w:r>
        <w:rPr>
          <w:snapToGrid w:val="0"/>
        </w:rPr>
        <w:t>.</w:t>
      </w:r>
      <w:r>
        <w:rPr>
          <w:snapToGrid w:val="0"/>
        </w:rPr>
        <w:tab/>
        <w:t>Outward cargo</w:t>
      </w:r>
      <w:bookmarkEnd w:id="28"/>
      <w:r>
        <w:rPr>
          <w:snapToGrid w:val="0"/>
        </w:rPr>
        <w:t xml:space="preserve"> </w:t>
      </w:r>
    </w:p>
    <w:p>
      <w:pPr>
        <w:pStyle w:val="Subsection"/>
        <w:rPr>
          <w:snapToGrid w:val="0"/>
        </w:rPr>
      </w:pPr>
      <w:r>
        <w:rPr>
          <w:snapToGrid w:val="0"/>
        </w:rPr>
        <w:tab/>
      </w:r>
      <w:r>
        <w:rPr>
          <w:snapToGrid w:val="0"/>
        </w:rPr>
        <w:tab/>
        <w:t>All outward cargo must be delivered into the shed at least 4 working hours prior to vessel’s advertised time of arrival.</w:t>
      </w:r>
    </w:p>
    <w:p>
      <w:pPr>
        <w:pStyle w:val="Footnotesection"/>
      </w:pPr>
      <w:r>
        <w:tab/>
        <w:t xml:space="preserve">[Regulation 19 amended in Gazette 19 Jul 1956 p. 1781; 19 May 1989 p. 1495.] </w:t>
      </w:r>
    </w:p>
    <w:p>
      <w:pPr>
        <w:pStyle w:val="Heading5"/>
        <w:rPr>
          <w:snapToGrid w:val="0"/>
        </w:rPr>
      </w:pPr>
      <w:bookmarkStart w:id="29" w:name="_Toc375231044"/>
      <w:r>
        <w:rPr>
          <w:rStyle w:val="CharSectno"/>
        </w:rPr>
        <w:t>20</w:t>
      </w:r>
      <w:r>
        <w:rPr>
          <w:snapToGrid w:val="0"/>
        </w:rPr>
        <w:t>.</w:t>
      </w:r>
      <w:r>
        <w:rPr>
          <w:snapToGrid w:val="0"/>
        </w:rPr>
        <w:tab/>
        <w:t>Dangerous cargo not to be shipped without permission</w:t>
      </w:r>
      <w:bookmarkEnd w:id="29"/>
      <w:r>
        <w:rPr>
          <w:snapToGrid w:val="0"/>
        </w:rPr>
        <w:t xml:space="preserve"> </w:t>
      </w:r>
    </w:p>
    <w:p>
      <w:pPr>
        <w:pStyle w:val="Subsection"/>
        <w:rPr>
          <w:snapToGrid w:val="0"/>
        </w:rPr>
      </w:pPr>
      <w:r>
        <w:rPr>
          <w:snapToGrid w:val="0"/>
        </w:rPr>
        <w:tab/>
      </w:r>
      <w:r>
        <w:rPr>
          <w:snapToGrid w:val="0"/>
        </w:rPr>
        <w:tab/>
        <w:t>No person shall carry, send or deposit, or attempt to carry, send, or deposit, or permit to be sent, carried, or deposited on any jetty or premises of the Department, any loaded firearm or dangerous cargo which is by these regulations or any other jetty regulations now or hereafter to be in force, declared to be of a dangerous nature, or any package containing such goods, without the consent in writing of the officer in charge of such jetty, and without distinctly marking such package on the outside with a description of its contents sufficiently for its identification.</w:t>
      </w:r>
    </w:p>
    <w:p>
      <w:pPr>
        <w:pStyle w:val="Footnotesection"/>
      </w:pPr>
      <w:r>
        <w:tab/>
        <w:t xml:space="preserve">[Regulation 20 amended in Gazette 19 May 1989 p. 1495.] </w:t>
      </w:r>
    </w:p>
    <w:p>
      <w:pPr>
        <w:pStyle w:val="Heading5"/>
        <w:rPr>
          <w:snapToGrid w:val="0"/>
        </w:rPr>
      </w:pPr>
      <w:bookmarkStart w:id="30" w:name="_Toc375231045"/>
      <w:r>
        <w:rPr>
          <w:rStyle w:val="CharSectno"/>
        </w:rPr>
        <w:t>21</w:t>
      </w:r>
      <w:r>
        <w:rPr>
          <w:snapToGrid w:val="0"/>
        </w:rPr>
        <w:t>.</w:t>
      </w:r>
      <w:r>
        <w:rPr>
          <w:snapToGrid w:val="0"/>
        </w:rPr>
        <w:tab/>
        <w:t>Dangerous cargo may be refused or examined</w:t>
      </w:r>
      <w:bookmarkEnd w:id="30"/>
      <w:r>
        <w:rPr>
          <w:snapToGrid w:val="0"/>
        </w:rPr>
        <w:t xml:space="preserve"> </w:t>
      </w:r>
    </w:p>
    <w:p>
      <w:pPr>
        <w:pStyle w:val="Subsection"/>
        <w:rPr>
          <w:snapToGrid w:val="0"/>
        </w:rPr>
      </w:pPr>
      <w:r>
        <w:rPr>
          <w:snapToGrid w:val="0"/>
        </w:rPr>
        <w:tab/>
      </w:r>
      <w:r>
        <w:rPr>
          <w:snapToGrid w:val="0"/>
        </w:rPr>
        <w:tab/>
        <w:t>The officer in charge of any jetty may refuse to take any parcel which he may suspect to contain goods of a dangerous nature, or may require any parcel to be opened and examined for the purpose of ascertaining its contents.</w:t>
      </w:r>
    </w:p>
    <w:p>
      <w:pPr>
        <w:pStyle w:val="Footnotesection"/>
        <w:ind w:left="890" w:hanging="890"/>
      </w:pPr>
      <w:r>
        <w:tab/>
        <w:t xml:space="preserve">[Regulation 21 amended in Gazette 19 May 1989 p. 1495.] </w:t>
      </w:r>
    </w:p>
    <w:p>
      <w:pPr>
        <w:pStyle w:val="Heading5"/>
        <w:rPr>
          <w:snapToGrid w:val="0"/>
        </w:rPr>
      </w:pPr>
      <w:bookmarkStart w:id="31" w:name="_Toc375231046"/>
      <w:r>
        <w:rPr>
          <w:rStyle w:val="CharSectno"/>
        </w:rPr>
        <w:t>22</w:t>
      </w:r>
      <w:r>
        <w:rPr>
          <w:snapToGrid w:val="0"/>
        </w:rPr>
        <w:t>.</w:t>
      </w:r>
      <w:r>
        <w:rPr>
          <w:snapToGrid w:val="0"/>
        </w:rPr>
        <w:tab/>
        <w:t>Marking of heavy packages</w:t>
      </w:r>
      <w:bookmarkEnd w:id="31"/>
      <w:r>
        <w:rPr>
          <w:snapToGrid w:val="0"/>
        </w:rPr>
        <w:t xml:space="preserve"> </w:t>
      </w:r>
    </w:p>
    <w:p>
      <w:pPr>
        <w:pStyle w:val="Subsection"/>
        <w:rPr>
          <w:snapToGrid w:val="0"/>
        </w:rPr>
      </w:pPr>
      <w:r>
        <w:rPr>
          <w:snapToGrid w:val="0"/>
        </w:rPr>
        <w:tab/>
        <w:t>(a)</w:t>
      </w:r>
      <w:r>
        <w:rPr>
          <w:snapToGrid w:val="0"/>
        </w:rPr>
        <w:tab/>
        <w:t>Every package or article of a gross weight of 1 t or over, intended for shipment as cargo, shall, before being delivered to and received by the Department for the purpose of being loaded on to a vessel, have prominently marked thereon, or on a label securely attached thereto, in legible and non</w:t>
      </w:r>
      <w:r>
        <w:rPr>
          <w:snapToGrid w:val="0"/>
        </w:rPr>
        <w:noBreakHyphen/>
        <w:t>erasable characters not less than 25 mm in height, a statement of the approximate gross weight set out in tonnes (expressed to one decimal place) of such package or article.</w:t>
      </w:r>
    </w:p>
    <w:p>
      <w:pPr>
        <w:pStyle w:val="Subsection"/>
        <w:rPr>
          <w:snapToGrid w:val="0"/>
        </w:rPr>
      </w:pPr>
      <w:r>
        <w:rPr>
          <w:snapToGrid w:val="0"/>
        </w:rPr>
        <w:tab/>
        <w:t>(b)</w:t>
      </w:r>
      <w:r>
        <w:rPr>
          <w:snapToGrid w:val="0"/>
        </w:rPr>
        <w:tab/>
        <w:t>No package or article of cargo of a gross weight of 1 t or over shall be unloaded from any vessel on to any jetty of the Department unless and until it shall have prominently marked thereon, or upon a label securely attached thereto, in legible and non</w:t>
      </w:r>
      <w:r>
        <w:rPr>
          <w:snapToGrid w:val="0"/>
        </w:rPr>
        <w:noBreakHyphen/>
        <w:t>erasable characters not less than 25 mm in height, a statement of the approximate gross weight set out in tonnes (expressed to one decimal place) of such package or article.</w:t>
      </w:r>
    </w:p>
    <w:p>
      <w:pPr>
        <w:pStyle w:val="Subsection"/>
        <w:rPr>
          <w:snapToGrid w:val="0"/>
        </w:rPr>
      </w:pPr>
      <w:r>
        <w:rPr>
          <w:snapToGrid w:val="0"/>
        </w:rPr>
        <w:tab/>
        <w:t>(c)</w:t>
      </w:r>
      <w:r>
        <w:rPr>
          <w:snapToGrid w:val="0"/>
        </w:rPr>
        <w:tab/>
        <w:t>Provided that — </w:t>
      </w:r>
    </w:p>
    <w:p>
      <w:pPr>
        <w:pStyle w:val="Indenta"/>
        <w:rPr>
          <w:snapToGrid w:val="0"/>
        </w:rPr>
      </w:pPr>
      <w:r>
        <w:rPr>
          <w:snapToGrid w:val="0"/>
        </w:rPr>
        <w:tab/>
        <w:t>(i)</w:t>
      </w:r>
      <w:r>
        <w:rPr>
          <w:snapToGrid w:val="0"/>
        </w:rPr>
        <w:tab/>
        <w:t>in the case of articles such as logs, baulks of timber, or other articles, which by reason of their nature or place of consignment or despatch for shipment, or for any other good reason it is not practicable to weigh, but which apparently weigh more than 1 t, the gross weight of the article may be stated approximately within a limit of 1 t, that is to say, as follows: “Over 1 but under 2 t,” or as the case may be;</w:t>
      </w:r>
    </w:p>
    <w:p>
      <w:pPr>
        <w:pStyle w:val="Indenta"/>
        <w:rPr>
          <w:snapToGrid w:val="0"/>
        </w:rPr>
      </w:pPr>
      <w:r>
        <w:rPr>
          <w:snapToGrid w:val="0"/>
        </w:rPr>
        <w:tab/>
        <w:t>(ii)</w:t>
      </w:r>
      <w:r>
        <w:rPr>
          <w:snapToGrid w:val="0"/>
        </w:rPr>
        <w:tab/>
        <w:t>when it is neither practicable to weigh nor to mark or label legibly any package or article as required by paragraph (a) or paragraph (b), and such package or article is sought to be unloaded from a vessel which has conveyed the same from a place beyond Australia, and, if the package or article is not marked or labelled with the gross weight thereof to a limit of 1 t, as exemplified in subparagraph (i) then, before such package or article is unloaded from such vessel on to any jetty of the Department, the master of such vessel shall arrange for some competent person, on his behalf, to supply the officer in charge of such jetty with particulars of the approximate weight of such package or article, if the same appears to weigh more than 1 t.</w:t>
      </w:r>
    </w:p>
    <w:p>
      <w:pPr>
        <w:pStyle w:val="Footnotesection"/>
      </w:pPr>
      <w:r>
        <w:tab/>
        <w:t xml:space="preserve">[Regulation 22 amended in Gazette 15 Jun 1973 p. 2237; 19 May 1989 p. 1495.] </w:t>
      </w:r>
    </w:p>
    <w:p>
      <w:pPr>
        <w:pStyle w:val="Heading5"/>
        <w:rPr>
          <w:snapToGrid w:val="0"/>
        </w:rPr>
      </w:pPr>
      <w:bookmarkStart w:id="32" w:name="_Toc375231047"/>
      <w:r>
        <w:rPr>
          <w:rStyle w:val="CharSectno"/>
        </w:rPr>
        <w:t>23</w:t>
      </w:r>
      <w:r>
        <w:rPr>
          <w:snapToGrid w:val="0"/>
        </w:rPr>
        <w:t>.</w:t>
      </w:r>
      <w:r>
        <w:rPr>
          <w:snapToGrid w:val="0"/>
        </w:rPr>
        <w:tab/>
        <w:t>False statements</w:t>
      </w:r>
      <w:bookmarkEnd w:id="32"/>
      <w:r>
        <w:rPr>
          <w:snapToGrid w:val="0"/>
        </w:rPr>
        <w:t xml:space="preserve"> </w:t>
      </w:r>
    </w:p>
    <w:p>
      <w:pPr>
        <w:pStyle w:val="Subsection"/>
        <w:rPr>
          <w:snapToGrid w:val="0"/>
        </w:rPr>
      </w:pPr>
      <w:r>
        <w:rPr>
          <w:snapToGrid w:val="0"/>
        </w:rPr>
        <w:tab/>
      </w:r>
      <w:r>
        <w:rPr>
          <w:snapToGrid w:val="0"/>
        </w:rPr>
        <w:tab/>
        <w:t>No person shall make a false statement as to the nature, quantity, weight, measurement, value or otherwise of any goods delivered upon any jetty or premises of the Department in any consignment note, waybill, exemption declaration, or other document which under any regulation now or which shall hereafter be in force he is required to deliver in respect to such goods.</w:t>
      </w:r>
    </w:p>
    <w:p>
      <w:pPr>
        <w:pStyle w:val="Footnotesection"/>
      </w:pPr>
      <w:r>
        <w:tab/>
        <w:t xml:space="preserve">[Regulation 23 amended in Gazette 19 May 1989 p. 1495.] </w:t>
      </w:r>
    </w:p>
    <w:p>
      <w:pPr>
        <w:pStyle w:val="Heading3"/>
        <w:rPr>
          <w:snapToGrid w:val="0"/>
        </w:rPr>
      </w:pPr>
      <w:bookmarkStart w:id="33" w:name="_Toc375231048"/>
      <w:r>
        <w:rPr>
          <w:rStyle w:val="CharDivNo"/>
        </w:rPr>
        <w:t>Division 6</w:t>
      </w:r>
      <w:r>
        <w:rPr>
          <w:snapToGrid w:val="0"/>
        </w:rPr>
        <w:t> — </w:t>
      </w:r>
      <w:r>
        <w:rPr>
          <w:rStyle w:val="CharDivText"/>
        </w:rPr>
        <w:t>Receipt, delivery and storage of cargo</w:t>
      </w:r>
      <w:bookmarkEnd w:id="33"/>
      <w:r>
        <w:rPr>
          <w:rStyle w:val="CharDivText"/>
        </w:rPr>
        <w:t xml:space="preserve"> </w:t>
      </w:r>
    </w:p>
    <w:p>
      <w:pPr>
        <w:pStyle w:val="Footnoteheading"/>
      </w:pPr>
      <w:r>
        <w:tab/>
        <w:t xml:space="preserve">[Heading inserted in Gazette 19 May 1989 p. 1494.] </w:t>
      </w:r>
    </w:p>
    <w:p>
      <w:pPr>
        <w:pStyle w:val="Heading5"/>
        <w:spacing w:before="160"/>
        <w:rPr>
          <w:snapToGrid w:val="0"/>
        </w:rPr>
      </w:pPr>
      <w:bookmarkStart w:id="34" w:name="_Toc375231049"/>
      <w:r>
        <w:rPr>
          <w:rStyle w:val="CharSectno"/>
        </w:rPr>
        <w:t>24</w:t>
      </w:r>
      <w:r>
        <w:rPr>
          <w:snapToGrid w:val="0"/>
        </w:rPr>
        <w:t>.</w:t>
      </w:r>
      <w:r>
        <w:rPr>
          <w:snapToGrid w:val="0"/>
        </w:rPr>
        <w:tab/>
        <w:t>Removal of cargo</w:t>
      </w:r>
      <w:bookmarkEnd w:id="34"/>
      <w:r>
        <w:rPr>
          <w:snapToGrid w:val="0"/>
        </w:rPr>
        <w:t xml:space="preserve"> </w:t>
      </w:r>
    </w:p>
    <w:p>
      <w:pPr>
        <w:pStyle w:val="Subsection"/>
        <w:rPr>
          <w:snapToGrid w:val="0"/>
        </w:rPr>
      </w:pPr>
      <w:r>
        <w:rPr>
          <w:snapToGrid w:val="0"/>
        </w:rPr>
        <w:tab/>
        <w:t>(1)</w:t>
      </w:r>
      <w:r>
        <w:rPr>
          <w:snapToGrid w:val="0"/>
        </w:rPr>
        <w:tab/>
        <w:t>The officer in charge shall, as early as possible, remove all cargo landed on a jetty to the goods shed, or other convenient place.</w:t>
      </w:r>
    </w:p>
    <w:p>
      <w:pPr>
        <w:pStyle w:val="Subsection"/>
        <w:keepNext/>
        <w:keepLines/>
        <w:rPr>
          <w:snapToGrid w:val="0"/>
        </w:rPr>
      </w:pPr>
      <w:r>
        <w:rPr>
          <w:snapToGrid w:val="0"/>
        </w:rPr>
        <w:tab/>
        <w:t>(2)</w:t>
      </w:r>
      <w:r>
        <w:rPr>
          <w:snapToGrid w:val="0"/>
        </w:rPr>
        <w:tab/>
        <w:t>Subject to subregulation (3) a consignee shall take delivery of and remove his cargo from the goods shed or yard within 3 days of the cargo being received into the goods shed or yard unless otherwise directed by the Minister.</w:t>
      </w:r>
    </w:p>
    <w:p>
      <w:pPr>
        <w:pStyle w:val="Subsection"/>
        <w:rPr>
          <w:snapToGrid w:val="0"/>
        </w:rPr>
      </w:pPr>
      <w:r>
        <w:rPr>
          <w:snapToGrid w:val="0"/>
        </w:rPr>
        <w:tab/>
        <w:t>(3)</w:t>
      </w:r>
      <w:r>
        <w:rPr>
          <w:snapToGrid w:val="0"/>
        </w:rPr>
        <w:tab/>
        <w:t xml:space="preserve">Cargo consigned through the ports of </w:t>
      </w:r>
      <w:smartTag w:uri="urn:schemas-microsoft-com:office:smarttags" w:element="place">
        <w:smartTag w:uri="urn:schemas-microsoft-com:office:smarttags" w:element="City">
          <w:r>
            <w:rPr>
              <w:snapToGrid w:val="0"/>
            </w:rPr>
            <w:t>Derby</w:t>
          </w:r>
        </w:smartTag>
      </w:smartTag>
      <w:r>
        <w:rPr>
          <w:snapToGrid w:val="0"/>
        </w:rPr>
        <w:t xml:space="preserve"> and Wyndham for delivery to stations or other isolated consignees outside those townsites, shall take delivery of and remove their cargo from the goods shed or yard within 7 days of it being received into the goods shed or yard.</w:t>
      </w:r>
    </w:p>
    <w:p>
      <w:pPr>
        <w:pStyle w:val="Footnotesection"/>
      </w:pPr>
      <w:r>
        <w:tab/>
        <w:t xml:space="preserve">[Regulation 24 inserted in Gazette 19 Oct 1973 p. 3818; amended in Gazette 19 May 1989 p. 1495; 20 Jun 2000 p. 3044.] </w:t>
      </w:r>
    </w:p>
    <w:p>
      <w:pPr>
        <w:pStyle w:val="Heading5"/>
        <w:spacing w:before="180"/>
        <w:rPr>
          <w:snapToGrid w:val="0"/>
        </w:rPr>
      </w:pPr>
      <w:bookmarkStart w:id="35" w:name="_Toc375231050"/>
      <w:r>
        <w:rPr>
          <w:rStyle w:val="CharSectno"/>
        </w:rPr>
        <w:t>25</w:t>
      </w:r>
      <w:r>
        <w:rPr>
          <w:snapToGrid w:val="0"/>
        </w:rPr>
        <w:t>.</w:t>
      </w:r>
      <w:r>
        <w:rPr>
          <w:snapToGrid w:val="0"/>
        </w:rPr>
        <w:tab/>
        <w:t>Storage charges</w:t>
      </w:r>
      <w:bookmarkEnd w:id="35"/>
      <w:r>
        <w:rPr>
          <w:snapToGrid w:val="0"/>
        </w:rPr>
        <w:t xml:space="preserve"> </w:t>
      </w:r>
    </w:p>
    <w:p>
      <w:pPr>
        <w:pStyle w:val="Subsection"/>
        <w:rPr>
          <w:snapToGrid w:val="0"/>
        </w:rPr>
      </w:pPr>
      <w:r>
        <w:rPr>
          <w:snapToGrid w:val="0"/>
        </w:rPr>
        <w:tab/>
        <w:t>(1)</w:t>
      </w:r>
      <w:r>
        <w:rPr>
          <w:snapToGrid w:val="0"/>
        </w:rPr>
        <w:tab/>
        <w:t xml:space="preserve">Subject to these regulations, where goods have not been removed from a jetty, shed or yard within the time prescribed by these regulations the storage charges set out in </w:t>
      </w:r>
      <w:r>
        <w:t xml:space="preserve">Schedule 1 </w:t>
      </w:r>
      <w:r>
        <w:rPr>
          <w:snapToGrid w:val="0"/>
        </w:rPr>
        <w:t>shall be payable to the officer in charge.</w:t>
      </w:r>
    </w:p>
    <w:p>
      <w:pPr>
        <w:pStyle w:val="Subsection"/>
        <w:rPr>
          <w:snapToGrid w:val="0"/>
        </w:rPr>
      </w:pPr>
      <w:r>
        <w:rPr>
          <w:snapToGrid w:val="0"/>
        </w:rPr>
        <w:tab/>
        <w:t>(1a)</w:t>
      </w:r>
      <w:r>
        <w:rPr>
          <w:snapToGrid w:val="0"/>
        </w:rPr>
        <w:tab/>
        <w:t>For the purposes of calculating storage charges set out in</w:t>
      </w:r>
      <w:r>
        <w:t xml:space="preserve"> Schedule 1</w:t>
      </w:r>
      <w:r>
        <w:rPr>
          <w:snapToGrid w:val="0"/>
        </w:rPr>
        <w:t> — </w:t>
      </w:r>
    </w:p>
    <w:p>
      <w:pPr>
        <w:pStyle w:val="Indenta"/>
        <w:rPr>
          <w:snapToGrid w:val="0"/>
        </w:rPr>
      </w:pPr>
      <w:r>
        <w:rPr>
          <w:snapToGrid w:val="0"/>
        </w:rPr>
        <w:tab/>
        <w:t>(a)</w:t>
      </w:r>
      <w:r>
        <w:rPr>
          <w:snapToGrid w:val="0"/>
        </w:rPr>
        <w:tab/>
        <w:t>a fraction of a tonne shall be deemed to be a tonne; and</w:t>
      </w:r>
    </w:p>
    <w:p>
      <w:pPr>
        <w:pStyle w:val="Indenta"/>
        <w:rPr>
          <w:snapToGrid w:val="0"/>
        </w:rPr>
      </w:pPr>
      <w:r>
        <w:rPr>
          <w:snapToGrid w:val="0"/>
        </w:rPr>
        <w:tab/>
        <w:t>(b)</w:t>
      </w:r>
      <w:r>
        <w:rPr>
          <w:snapToGrid w:val="0"/>
        </w:rPr>
        <w:tab/>
        <w:t>a fraction of a cubic metre shall be deemed to be a cubic metre; and</w:t>
      </w:r>
    </w:p>
    <w:p>
      <w:pPr>
        <w:pStyle w:val="Indenta"/>
        <w:rPr>
          <w:snapToGrid w:val="0"/>
        </w:rPr>
      </w:pPr>
      <w:r>
        <w:rPr>
          <w:snapToGrid w:val="0"/>
        </w:rPr>
        <w:tab/>
        <w:t>(c)</w:t>
      </w:r>
      <w:r>
        <w:rPr>
          <w:snapToGrid w:val="0"/>
        </w:rPr>
        <w:tab/>
        <w:t>a fraction of a kilolitre shall be deemed to be a kilolitre; and</w:t>
      </w:r>
    </w:p>
    <w:p>
      <w:pPr>
        <w:pStyle w:val="Indenta"/>
        <w:rPr>
          <w:snapToGrid w:val="0"/>
        </w:rPr>
      </w:pPr>
      <w:r>
        <w:rPr>
          <w:snapToGrid w:val="0"/>
        </w:rPr>
        <w:tab/>
        <w:t>(d)</w:t>
      </w:r>
      <w:r>
        <w:rPr>
          <w:snapToGrid w:val="0"/>
        </w:rPr>
        <w:tab/>
        <w:t>a part of a week shall be reckoned as one week.</w:t>
      </w:r>
    </w:p>
    <w:p>
      <w:pPr>
        <w:pStyle w:val="Subsection"/>
        <w:rPr>
          <w:snapToGrid w:val="0"/>
        </w:rPr>
      </w:pPr>
      <w:r>
        <w:rPr>
          <w:snapToGrid w:val="0"/>
        </w:rPr>
        <w:tab/>
        <w:t>(2)</w:t>
      </w:r>
      <w:r>
        <w:rPr>
          <w:snapToGrid w:val="0"/>
        </w:rPr>
        <w:tab/>
        <w:t>If the consignee or owner hands to the Department an indemnity in the form provided and approved by the officer in charge, relieving the Department from all liability, the storage charges on goods for which goods shed accommodation is not provided, and which are not protected from the weather, may be reduced by one</w:t>
      </w:r>
      <w:r>
        <w:rPr>
          <w:snapToGrid w:val="0"/>
        </w:rPr>
        <w:noBreakHyphen/>
        <w:t>half.</w:t>
      </w:r>
    </w:p>
    <w:p>
      <w:pPr>
        <w:pStyle w:val="Subsection"/>
        <w:rPr>
          <w:snapToGrid w:val="0"/>
        </w:rPr>
      </w:pPr>
      <w:r>
        <w:rPr>
          <w:snapToGrid w:val="0"/>
        </w:rPr>
        <w:tab/>
        <w:t>(3)</w:t>
      </w:r>
      <w:r>
        <w:rPr>
          <w:snapToGrid w:val="0"/>
        </w:rPr>
        <w:tab/>
        <w:t>Notwithstanding anything herein contained, the officer in charge may remove or order the removal of all or any goods at any time after the time hereinbefore appointed for their removal by the consignee, and in the event of such goods being removed by or on the orders of the officer in charge the Department shall not be responsible for any loss, damage or injury whatsoever or howsoever occasioned to the goods by reason of their being removed into the open.</w:t>
      </w:r>
    </w:p>
    <w:p>
      <w:pPr>
        <w:pStyle w:val="Footnotesection"/>
      </w:pPr>
      <w:r>
        <w:tab/>
        <w:t xml:space="preserve">[Regulation 25 inserted in Gazette 19 Oct 1973 p. 3818; amended in Gazette 9 Nov 1973 p. 4192; 5 Aug 1983 p. 2834; 8 Aug 1986 p. 2828; 19 May 1989 p. 1495; 30 Jun 1989 p. 917; 1 Aug 1990 p. 3633; 29 Jun 1993 p. 3192; 14 Jun 1994 p. 2476; 30 Jun 1995 p. 2699; 27 Jun 1997 p. 3152; 24 Jun 2005 p. 2817.] </w:t>
      </w:r>
    </w:p>
    <w:p>
      <w:pPr>
        <w:pStyle w:val="Ednotesection"/>
      </w:pPr>
      <w:r>
        <w:t>[</w:t>
      </w:r>
      <w:r>
        <w:rPr>
          <w:b/>
        </w:rPr>
        <w:t>25A.</w:t>
      </w:r>
      <w:r>
        <w:tab/>
        <w:t xml:space="preserve">Deleted in Gazette 24 Nov 1972 p. 4487.] </w:t>
      </w:r>
    </w:p>
    <w:p>
      <w:pPr>
        <w:pStyle w:val="Heading5"/>
        <w:rPr>
          <w:snapToGrid w:val="0"/>
        </w:rPr>
      </w:pPr>
      <w:bookmarkStart w:id="36" w:name="_Toc375231051"/>
      <w:r>
        <w:rPr>
          <w:rStyle w:val="CharSectno"/>
        </w:rPr>
        <w:t>26</w:t>
      </w:r>
      <w:r>
        <w:rPr>
          <w:snapToGrid w:val="0"/>
        </w:rPr>
        <w:t>.</w:t>
      </w:r>
      <w:r>
        <w:rPr>
          <w:snapToGrid w:val="0"/>
        </w:rPr>
        <w:tab/>
        <w:t>Department not bound to find storage accommodation</w:t>
      </w:r>
      <w:bookmarkEnd w:id="36"/>
      <w:r>
        <w:rPr>
          <w:snapToGrid w:val="0"/>
        </w:rPr>
        <w:t xml:space="preserve"> </w:t>
      </w:r>
    </w:p>
    <w:p>
      <w:pPr>
        <w:pStyle w:val="Subsection"/>
        <w:rPr>
          <w:snapToGrid w:val="0"/>
        </w:rPr>
      </w:pPr>
      <w:r>
        <w:rPr>
          <w:snapToGrid w:val="0"/>
        </w:rPr>
        <w:tab/>
      </w:r>
      <w:r>
        <w:rPr>
          <w:snapToGrid w:val="0"/>
        </w:rPr>
        <w:tab/>
        <w:t>The Department shall not be bound to find storage room for any goods, either in any shed or on any jetty. After notification to the owners, shippers, or consignees of any goods, or to the vessel’s agent, that room is not available for the storage of such goods within a shed, or that such goods are owing to their character not permitted by some authority other than the Department to be stored in a shed, the Department shall not be held responsible for any loss or damage that may accrue to the goods, by the elements or otherwise during the time they remain on the Department’s premises.</w:t>
      </w:r>
    </w:p>
    <w:p>
      <w:pPr>
        <w:pStyle w:val="Footnotesection"/>
      </w:pPr>
      <w:r>
        <w:tab/>
        <w:t xml:space="preserve">[Regulation 26 amended in Gazette 19 May 1989 p. 1495.] </w:t>
      </w:r>
    </w:p>
    <w:p>
      <w:pPr>
        <w:pStyle w:val="Heading5"/>
        <w:rPr>
          <w:snapToGrid w:val="0"/>
        </w:rPr>
      </w:pPr>
      <w:bookmarkStart w:id="37" w:name="_Toc375231052"/>
      <w:r>
        <w:rPr>
          <w:rStyle w:val="CharSectno"/>
        </w:rPr>
        <w:t>27</w:t>
      </w:r>
      <w:r>
        <w:rPr>
          <w:snapToGrid w:val="0"/>
        </w:rPr>
        <w:t>.</w:t>
      </w:r>
      <w:r>
        <w:rPr>
          <w:snapToGrid w:val="0"/>
        </w:rPr>
        <w:tab/>
        <w:t>Goods may be disposed of</w:t>
      </w:r>
      <w:bookmarkEnd w:id="37"/>
      <w:r>
        <w:rPr>
          <w:snapToGrid w:val="0"/>
        </w:rPr>
        <w:t xml:space="preserve"> </w:t>
      </w:r>
    </w:p>
    <w:p>
      <w:pPr>
        <w:pStyle w:val="Subsection"/>
        <w:rPr>
          <w:snapToGrid w:val="0"/>
        </w:rPr>
      </w:pPr>
      <w:r>
        <w:rPr>
          <w:snapToGrid w:val="0"/>
        </w:rPr>
        <w:tab/>
      </w:r>
      <w:r>
        <w:rPr>
          <w:snapToGrid w:val="0"/>
        </w:rPr>
        <w:tab/>
        <w:t>The officer in charge shall (unless an agreement has been made by the consignee with him to the contrary) be at liberty to sell by public auction any goods which have been left on the premises of the Department for a period exceeding 6 months, and out of the proceeds of such sale shall pay to the Department all charges due, and the balance of such proceeds, after deducting any expenses incurred by such sale, shall be paid by the officer in charge into the Trust Fund, and be refunded to the owner of the goods on demand.</w:t>
      </w:r>
    </w:p>
    <w:p>
      <w:pPr>
        <w:pStyle w:val="Footnotesection"/>
      </w:pPr>
      <w:r>
        <w:tab/>
        <w:t xml:space="preserve">[Regulation 27 amended in Gazette 19 May 1989 p. 1495.] </w:t>
      </w:r>
    </w:p>
    <w:p>
      <w:pPr>
        <w:pStyle w:val="Heading5"/>
        <w:spacing w:before="180"/>
        <w:rPr>
          <w:snapToGrid w:val="0"/>
        </w:rPr>
      </w:pPr>
      <w:bookmarkStart w:id="38" w:name="_Toc375231053"/>
      <w:r>
        <w:rPr>
          <w:rStyle w:val="CharSectno"/>
        </w:rPr>
        <w:t>28</w:t>
      </w:r>
      <w:r>
        <w:rPr>
          <w:snapToGrid w:val="0"/>
        </w:rPr>
        <w:t>.</w:t>
      </w:r>
      <w:r>
        <w:rPr>
          <w:snapToGrid w:val="0"/>
        </w:rPr>
        <w:tab/>
        <w:t>Goods to be checked before delivery</w:t>
      </w:r>
      <w:bookmarkEnd w:id="38"/>
      <w:r>
        <w:rPr>
          <w:snapToGrid w:val="0"/>
        </w:rPr>
        <w:t xml:space="preserve"> </w:t>
      </w:r>
    </w:p>
    <w:p>
      <w:pPr>
        <w:pStyle w:val="Subsection"/>
        <w:rPr>
          <w:snapToGrid w:val="0"/>
        </w:rPr>
      </w:pPr>
      <w:r>
        <w:rPr>
          <w:snapToGrid w:val="0"/>
        </w:rPr>
        <w:tab/>
      </w:r>
      <w:r>
        <w:rPr>
          <w:snapToGrid w:val="0"/>
        </w:rPr>
        <w:tab/>
        <w:t>No person shall remove any goods or luggage from any jetty or shed without first satisfying the officer in charge of his right to do so; and shall, before removing same, sign for such goods or luggage to the officer in charge.</w:t>
      </w:r>
    </w:p>
    <w:p>
      <w:pPr>
        <w:pStyle w:val="Footnotesection"/>
      </w:pPr>
      <w:r>
        <w:tab/>
        <w:t xml:space="preserve">[Regulation 28 amended in Gazette 19 May 1989 p. 1495.] </w:t>
      </w:r>
    </w:p>
    <w:p>
      <w:pPr>
        <w:pStyle w:val="Heading5"/>
        <w:rPr>
          <w:snapToGrid w:val="0"/>
        </w:rPr>
      </w:pPr>
      <w:bookmarkStart w:id="39" w:name="_Toc375231054"/>
      <w:r>
        <w:rPr>
          <w:rStyle w:val="CharSectno"/>
        </w:rPr>
        <w:t>29</w:t>
      </w:r>
      <w:r>
        <w:rPr>
          <w:snapToGrid w:val="0"/>
        </w:rPr>
        <w:t>.</w:t>
      </w:r>
      <w:r>
        <w:rPr>
          <w:snapToGrid w:val="0"/>
        </w:rPr>
        <w:tab/>
        <w:t>Delay in delivery</w:t>
      </w:r>
      <w:bookmarkEnd w:id="39"/>
      <w:r>
        <w:rPr>
          <w:snapToGrid w:val="0"/>
        </w:rPr>
        <w:t xml:space="preserve"> </w:t>
      </w:r>
    </w:p>
    <w:p>
      <w:pPr>
        <w:pStyle w:val="Subsection"/>
        <w:rPr>
          <w:snapToGrid w:val="0"/>
        </w:rPr>
      </w:pPr>
      <w:r>
        <w:rPr>
          <w:snapToGrid w:val="0"/>
        </w:rPr>
        <w:tab/>
      </w:r>
      <w:r>
        <w:rPr>
          <w:snapToGrid w:val="0"/>
        </w:rPr>
        <w:tab/>
        <w:t>The Department will not be responsible for any claim arising from delay in the delivery of goods from any cause whatsoever.</w:t>
      </w:r>
    </w:p>
    <w:p>
      <w:pPr>
        <w:pStyle w:val="Footnotesection"/>
      </w:pPr>
      <w:r>
        <w:tab/>
        <w:t xml:space="preserve">[Regulation 29 amended in Gazette 19 May 1989 p. 1495.] </w:t>
      </w:r>
    </w:p>
    <w:p>
      <w:pPr>
        <w:pStyle w:val="Heading5"/>
        <w:rPr>
          <w:snapToGrid w:val="0"/>
        </w:rPr>
      </w:pPr>
      <w:bookmarkStart w:id="40" w:name="_Toc375231055"/>
      <w:r>
        <w:rPr>
          <w:rStyle w:val="CharSectno"/>
        </w:rPr>
        <w:t>30</w:t>
      </w:r>
      <w:r>
        <w:rPr>
          <w:snapToGrid w:val="0"/>
        </w:rPr>
        <w:t>.</w:t>
      </w:r>
      <w:r>
        <w:rPr>
          <w:snapToGrid w:val="0"/>
        </w:rPr>
        <w:tab/>
        <w:t>Wrong delivery</w:t>
      </w:r>
      <w:bookmarkEnd w:id="40"/>
      <w:r>
        <w:rPr>
          <w:snapToGrid w:val="0"/>
        </w:rPr>
        <w:t xml:space="preserve"> </w:t>
      </w:r>
    </w:p>
    <w:p>
      <w:pPr>
        <w:pStyle w:val="Subsection"/>
        <w:rPr>
          <w:snapToGrid w:val="0"/>
        </w:rPr>
      </w:pPr>
      <w:r>
        <w:rPr>
          <w:snapToGrid w:val="0"/>
        </w:rPr>
        <w:tab/>
      </w:r>
      <w:r>
        <w:rPr>
          <w:snapToGrid w:val="0"/>
        </w:rPr>
        <w:tab/>
        <w:t>The Department will not be responsible for the wrong or non</w:t>
      </w:r>
      <w:r>
        <w:rPr>
          <w:snapToGrid w:val="0"/>
        </w:rPr>
        <w:noBreakHyphen/>
        <w:t>delivery of goods which are erroneously or deficiently marked, or which have numerous old or imperfectly erased marks thereon.</w:t>
      </w:r>
    </w:p>
    <w:p>
      <w:pPr>
        <w:pStyle w:val="Footnotesection"/>
      </w:pPr>
      <w:r>
        <w:tab/>
        <w:t xml:space="preserve">[Regulation 30 amended in Gazette 19 May 1989 p. 1495.] </w:t>
      </w:r>
    </w:p>
    <w:p>
      <w:pPr>
        <w:pStyle w:val="Heading3"/>
        <w:rPr>
          <w:snapToGrid w:val="0"/>
        </w:rPr>
      </w:pPr>
      <w:bookmarkStart w:id="41" w:name="_Toc375231056"/>
      <w:r>
        <w:rPr>
          <w:rStyle w:val="CharDivNo"/>
        </w:rPr>
        <w:t>Division 7</w:t>
      </w:r>
      <w:r>
        <w:rPr>
          <w:snapToGrid w:val="0"/>
        </w:rPr>
        <w:t> — </w:t>
      </w:r>
      <w:r>
        <w:rPr>
          <w:rStyle w:val="CharDivText"/>
        </w:rPr>
        <w:t>Responsibility of Department</w:t>
      </w:r>
      <w:bookmarkEnd w:id="41"/>
      <w:r>
        <w:rPr>
          <w:rStyle w:val="CharDivText"/>
        </w:rPr>
        <w:t xml:space="preserve"> </w:t>
      </w:r>
    </w:p>
    <w:p>
      <w:pPr>
        <w:pStyle w:val="Footnoteheading"/>
      </w:pPr>
      <w:r>
        <w:tab/>
        <w:t xml:space="preserve">[Heading inserted in Gazette of 19 May 1989 p. 1494.] </w:t>
      </w:r>
    </w:p>
    <w:p>
      <w:pPr>
        <w:pStyle w:val="Heading5"/>
        <w:spacing w:before="180"/>
        <w:rPr>
          <w:snapToGrid w:val="0"/>
        </w:rPr>
      </w:pPr>
      <w:bookmarkStart w:id="42" w:name="_Toc375231057"/>
      <w:r>
        <w:rPr>
          <w:rStyle w:val="CharSectno"/>
        </w:rPr>
        <w:t>31</w:t>
      </w:r>
      <w:r>
        <w:rPr>
          <w:snapToGrid w:val="0"/>
        </w:rPr>
        <w:t>.</w:t>
      </w:r>
      <w:r>
        <w:rPr>
          <w:snapToGrid w:val="0"/>
        </w:rPr>
        <w:tab/>
        <w:t>Custody of cargo</w:t>
      </w:r>
      <w:bookmarkEnd w:id="42"/>
      <w:r>
        <w:rPr>
          <w:snapToGrid w:val="0"/>
        </w:rPr>
        <w:t xml:space="preserve"> </w:t>
      </w:r>
    </w:p>
    <w:p>
      <w:pPr>
        <w:pStyle w:val="Subsection"/>
        <w:rPr>
          <w:snapToGrid w:val="0"/>
        </w:rPr>
      </w:pPr>
      <w:r>
        <w:rPr>
          <w:snapToGrid w:val="0"/>
        </w:rPr>
        <w:tab/>
        <w:t>(a)</w:t>
      </w:r>
      <w:r>
        <w:rPr>
          <w:snapToGrid w:val="0"/>
        </w:rPr>
        <w:tab/>
        <w:t>Inward cargo shall not for any purpose whatever be deemed to be in the custody of the officer in charge until the sling is released from the ship’s crane or hoisting hook, or deposited on the jetty or conveyance provided by the officer in charge to receive the same.</w:t>
      </w:r>
    </w:p>
    <w:p>
      <w:pPr>
        <w:pStyle w:val="Subsection"/>
        <w:rPr>
          <w:snapToGrid w:val="0"/>
        </w:rPr>
      </w:pPr>
      <w:r>
        <w:rPr>
          <w:snapToGrid w:val="0"/>
        </w:rPr>
        <w:tab/>
        <w:t>(b)</w:t>
      </w:r>
      <w:r>
        <w:rPr>
          <w:snapToGrid w:val="0"/>
        </w:rPr>
        <w:tab/>
        <w:t>Outward cargo shall be deemed to be in the custody of the vessel when the vessel’s crane, or hoisting hook, is inserted in the sling.</w:t>
      </w:r>
    </w:p>
    <w:p>
      <w:pPr>
        <w:pStyle w:val="Footnotesection"/>
      </w:pPr>
      <w:r>
        <w:tab/>
        <w:t xml:space="preserve">[Regulation 31 amended in Gazette 19 May 1989 p. 1495.] </w:t>
      </w:r>
    </w:p>
    <w:p>
      <w:pPr>
        <w:pStyle w:val="Heading5"/>
        <w:spacing w:before="180"/>
        <w:rPr>
          <w:snapToGrid w:val="0"/>
        </w:rPr>
      </w:pPr>
      <w:bookmarkStart w:id="43" w:name="_Toc375231058"/>
      <w:r>
        <w:rPr>
          <w:rStyle w:val="CharSectno"/>
        </w:rPr>
        <w:t>32</w:t>
      </w:r>
      <w:r>
        <w:rPr>
          <w:snapToGrid w:val="0"/>
        </w:rPr>
        <w:t>.</w:t>
      </w:r>
      <w:r>
        <w:rPr>
          <w:snapToGrid w:val="0"/>
        </w:rPr>
        <w:tab/>
        <w:t>Goods without receipts</w:t>
      </w:r>
      <w:bookmarkEnd w:id="43"/>
      <w:r>
        <w:rPr>
          <w:snapToGrid w:val="0"/>
        </w:rPr>
        <w:t xml:space="preserve"> </w:t>
      </w:r>
    </w:p>
    <w:p>
      <w:pPr>
        <w:pStyle w:val="Subsection"/>
        <w:rPr>
          <w:snapToGrid w:val="0"/>
        </w:rPr>
      </w:pPr>
      <w:r>
        <w:rPr>
          <w:snapToGrid w:val="0"/>
        </w:rPr>
        <w:tab/>
      </w:r>
      <w:r>
        <w:rPr>
          <w:snapToGrid w:val="0"/>
        </w:rPr>
        <w:tab/>
        <w:t>No goods for which receipts have not been given by the Department shall be deemed, for any purpose, to be in the custody of the Department as wharfingers, nor shall the Department be responsible for the safe custody, or for any loss or damage that may accrue to same in any manner whatsoever.</w:t>
      </w:r>
    </w:p>
    <w:p>
      <w:pPr>
        <w:pStyle w:val="Footnotesection"/>
      </w:pPr>
      <w:r>
        <w:tab/>
        <w:t xml:space="preserve">[Regulation 32 amended in Gazette 19 May 1989 p. 1495.] </w:t>
      </w:r>
    </w:p>
    <w:p>
      <w:pPr>
        <w:pStyle w:val="Heading5"/>
        <w:spacing w:before="180"/>
        <w:rPr>
          <w:snapToGrid w:val="0"/>
        </w:rPr>
      </w:pPr>
      <w:bookmarkStart w:id="44" w:name="_Toc375231059"/>
      <w:r>
        <w:rPr>
          <w:rStyle w:val="CharSectno"/>
        </w:rPr>
        <w:t>33</w:t>
      </w:r>
      <w:r>
        <w:rPr>
          <w:snapToGrid w:val="0"/>
        </w:rPr>
        <w:t>.</w:t>
      </w:r>
      <w:r>
        <w:rPr>
          <w:snapToGrid w:val="0"/>
        </w:rPr>
        <w:tab/>
        <w:t>Goods stacked on jetties</w:t>
      </w:r>
      <w:bookmarkEnd w:id="44"/>
      <w:r>
        <w:rPr>
          <w:snapToGrid w:val="0"/>
        </w:rPr>
        <w:t xml:space="preserve"> </w:t>
      </w:r>
    </w:p>
    <w:p>
      <w:pPr>
        <w:pStyle w:val="Subsection"/>
        <w:rPr>
          <w:snapToGrid w:val="0"/>
        </w:rPr>
      </w:pPr>
      <w:r>
        <w:rPr>
          <w:snapToGrid w:val="0"/>
        </w:rPr>
        <w:tab/>
      </w:r>
      <w:r>
        <w:rPr>
          <w:snapToGrid w:val="0"/>
        </w:rPr>
        <w:tab/>
        <w:t>The Department and the officer in charge shall not be liable for any loss, damage, or injury whatsoever or howsoever occasioned to any goods stacked on any jetty for the convenience of owners, consignors, or consignees, unless such loss, damage, or injury is proved to have been occasioned by the wilful misconduct of some officer of the Department.</w:t>
      </w:r>
    </w:p>
    <w:p>
      <w:pPr>
        <w:pStyle w:val="Footnotesection"/>
      </w:pPr>
      <w:r>
        <w:tab/>
        <w:t xml:space="preserve">[Regulation 33 amended in Gazette 19 May 1989 p. 1495.] </w:t>
      </w:r>
    </w:p>
    <w:p>
      <w:pPr>
        <w:pStyle w:val="Heading5"/>
        <w:rPr>
          <w:snapToGrid w:val="0"/>
        </w:rPr>
      </w:pPr>
      <w:bookmarkStart w:id="45" w:name="_Toc375231060"/>
      <w:r>
        <w:rPr>
          <w:rStyle w:val="CharSectno"/>
        </w:rPr>
        <w:t>34</w:t>
      </w:r>
      <w:r>
        <w:rPr>
          <w:snapToGrid w:val="0"/>
        </w:rPr>
        <w:t>.</w:t>
      </w:r>
      <w:r>
        <w:rPr>
          <w:snapToGrid w:val="0"/>
        </w:rPr>
        <w:tab/>
        <w:t>Cargo damaged by fire etc.</w:t>
      </w:r>
      <w:bookmarkEnd w:id="45"/>
      <w:r>
        <w:rPr>
          <w:snapToGrid w:val="0"/>
        </w:rPr>
        <w:t xml:space="preserve"> </w:t>
      </w:r>
    </w:p>
    <w:p>
      <w:pPr>
        <w:pStyle w:val="Subsection"/>
        <w:rPr>
          <w:snapToGrid w:val="0"/>
        </w:rPr>
      </w:pPr>
      <w:r>
        <w:rPr>
          <w:snapToGrid w:val="0"/>
        </w:rPr>
        <w:tab/>
      </w:r>
      <w:r>
        <w:rPr>
          <w:snapToGrid w:val="0"/>
        </w:rPr>
        <w:tab/>
        <w:t>The Department shall not be responsible for loss or damage to goods while in their custody, by fire, water used in extinguishing fire, or vermin.</w:t>
      </w:r>
    </w:p>
    <w:p>
      <w:pPr>
        <w:pStyle w:val="Footnotesection"/>
      </w:pPr>
      <w:r>
        <w:tab/>
        <w:t xml:space="preserve">[Regulation 34 amended in Gazette 19 May 1989 p. 1495.] </w:t>
      </w:r>
    </w:p>
    <w:p>
      <w:pPr>
        <w:pStyle w:val="Heading5"/>
        <w:rPr>
          <w:snapToGrid w:val="0"/>
        </w:rPr>
      </w:pPr>
      <w:bookmarkStart w:id="46" w:name="_Toc375231061"/>
      <w:r>
        <w:rPr>
          <w:rStyle w:val="CharSectno"/>
        </w:rPr>
        <w:t>35</w:t>
      </w:r>
      <w:r>
        <w:rPr>
          <w:snapToGrid w:val="0"/>
        </w:rPr>
        <w:t>.</w:t>
      </w:r>
      <w:r>
        <w:rPr>
          <w:snapToGrid w:val="0"/>
        </w:rPr>
        <w:tab/>
        <w:t>Goods insufficiently packed</w:t>
      </w:r>
      <w:bookmarkEnd w:id="46"/>
      <w:r>
        <w:rPr>
          <w:snapToGrid w:val="0"/>
        </w:rPr>
        <w:t xml:space="preserve"> </w:t>
      </w:r>
    </w:p>
    <w:p>
      <w:pPr>
        <w:pStyle w:val="Subsection"/>
        <w:rPr>
          <w:snapToGrid w:val="0"/>
        </w:rPr>
      </w:pPr>
      <w:r>
        <w:rPr>
          <w:snapToGrid w:val="0"/>
        </w:rPr>
        <w:tab/>
      </w:r>
      <w:r>
        <w:rPr>
          <w:snapToGrid w:val="0"/>
        </w:rPr>
        <w:tab/>
        <w:t>Whenever in the opinion of the officer in charge goods are wholly unprotected, or insufficiently packed or protected, so as, in his opinion to require additional labour in handling, or to involve the Department in additional risk in handling, an additional charge for labour shall be imposed on such goods, and the Department shall in no case be liable for damage to goods caused by or contributed to by insufficient packing or protection. The additional charge in each case shall be determined by the officer in charge.</w:t>
      </w:r>
    </w:p>
    <w:p>
      <w:pPr>
        <w:pStyle w:val="Footnotesection"/>
      </w:pPr>
      <w:r>
        <w:tab/>
        <w:t xml:space="preserve">[Regulation 35 amended in Gazette 19 May 1989 p. 1495.] </w:t>
      </w:r>
    </w:p>
    <w:p>
      <w:pPr>
        <w:pStyle w:val="Heading5"/>
        <w:rPr>
          <w:snapToGrid w:val="0"/>
        </w:rPr>
      </w:pPr>
      <w:bookmarkStart w:id="47" w:name="_Toc375231062"/>
      <w:r>
        <w:rPr>
          <w:rStyle w:val="CharSectno"/>
        </w:rPr>
        <w:t>36</w:t>
      </w:r>
      <w:r>
        <w:rPr>
          <w:snapToGrid w:val="0"/>
        </w:rPr>
        <w:t>.</w:t>
      </w:r>
      <w:r>
        <w:rPr>
          <w:snapToGrid w:val="0"/>
        </w:rPr>
        <w:tab/>
        <w:t>Claims in respect of cargo</w:t>
      </w:r>
      <w:bookmarkEnd w:id="47"/>
      <w:r>
        <w:rPr>
          <w:snapToGrid w:val="0"/>
        </w:rPr>
        <w:t xml:space="preserve"> </w:t>
      </w:r>
    </w:p>
    <w:p>
      <w:pPr>
        <w:pStyle w:val="Subsection"/>
        <w:rPr>
          <w:snapToGrid w:val="0"/>
        </w:rPr>
      </w:pPr>
      <w:r>
        <w:rPr>
          <w:snapToGrid w:val="0"/>
        </w:rPr>
        <w:tab/>
      </w:r>
      <w:r>
        <w:rPr>
          <w:snapToGrid w:val="0"/>
        </w:rPr>
        <w:tab/>
        <w:t>No claim will be entertained by the Department in respect of goods landed, or alleged to be landed, unless such claim has been received by the officer in charge, in writing within 4 days of the vessel leaving the port, nor in respect of outward goods, unless received by the officer in charge within 24 hours after the vessel in which it was intended to ship such goods leaves the port. Each claim must be rendered on the form recognised by the Department, which form will be supplied on application.</w:t>
      </w:r>
    </w:p>
    <w:p>
      <w:pPr>
        <w:pStyle w:val="Footnotesection"/>
      </w:pPr>
      <w:r>
        <w:tab/>
        <w:t xml:space="preserve">[Regulation 36 amended in Gazette 24 Nov 1972 p. 4487; 19 May 1989 p. 1495.] </w:t>
      </w:r>
    </w:p>
    <w:p>
      <w:pPr>
        <w:pStyle w:val="Heading3"/>
        <w:keepLines/>
        <w:rPr>
          <w:snapToGrid w:val="0"/>
        </w:rPr>
      </w:pPr>
      <w:bookmarkStart w:id="48" w:name="_Toc375231063"/>
      <w:r>
        <w:rPr>
          <w:rStyle w:val="CharDivNo"/>
        </w:rPr>
        <w:t>Division 8</w:t>
      </w:r>
      <w:r>
        <w:rPr>
          <w:snapToGrid w:val="0"/>
        </w:rPr>
        <w:t> — </w:t>
      </w:r>
      <w:r>
        <w:rPr>
          <w:rStyle w:val="CharDivText"/>
        </w:rPr>
        <w:t>Working hours</w:t>
      </w:r>
      <w:bookmarkEnd w:id="48"/>
      <w:r>
        <w:rPr>
          <w:rStyle w:val="CharDivText"/>
        </w:rPr>
        <w:t xml:space="preserve"> </w:t>
      </w:r>
    </w:p>
    <w:p>
      <w:pPr>
        <w:pStyle w:val="Footnoteheading"/>
        <w:keepNext/>
        <w:keepLines/>
      </w:pPr>
      <w:r>
        <w:tab/>
        <w:t xml:space="preserve">[Heading inserted in Gazette 19 May 1989 p. 1494.] </w:t>
      </w:r>
    </w:p>
    <w:p>
      <w:pPr>
        <w:pStyle w:val="Heading5"/>
        <w:rPr>
          <w:snapToGrid w:val="0"/>
        </w:rPr>
      </w:pPr>
      <w:bookmarkStart w:id="49" w:name="_Toc375231064"/>
      <w:r>
        <w:rPr>
          <w:rStyle w:val="CharSectno"/>
        </w:rPr>
        <w:t>37</w:t>
      </w:r>
      <w:r>
        <w:rPr>
          <w:snapToGrid w:val="0"/>
        </w:rPr>
        <w:t>.</w:t>
      </w:r>
      <w:r>
        <w:rPr>
          <w:snapToGrid w:val="0"/>
        </w:rPr>
        <w:tab/>
        <w:t>Ordinary time</w:t>
      </w:r>
      <w:bookmarkEnd w:id="49"/>
      <w:r>
        <w:rPr>
          <w:snapToGrid w:val="0"/>
        </w:rPr>
        <w:t xml:space="preserve"> </w:t>
      </w:r>
    </w:p>
    <w:p>
      <w:pPr>
        <w:pStyle w:val="Subsection"/>
        <w:rPr>
          <w:snapToGrid w:val="0"/>
        </w:rPr>
      </w:pPr>
      <w:r>
        <w:rPr>
          <w:snapToGrid w:val="0"/>
        </w:rPr>
        <w:tab/>
      </w:r>
      <w:r>
        <w:rPr>
          <w:snapToGrid w:val="0"/>
        </w:rPr>
        <w:tab/>
        <w:t>The working hours of any port shall be and include the hours from 8 a.m. till noon and from 1 p.m. to 5 p.m., Monday to Friday inclusive.</w:t>
      </w:r>
    </w:p>
    <w:p>
      <w:pPr>
        <w:pStyle w:val="Footnotesection"/>
      </w:pPr>
      <w:r>
        <w:tab/>
        <w:t xml:space="preserve">[Regulation 37 amended in Gazette 17 Mar 1960 p. 778; 19 May 1989 p. 1495.] </w:t>
      </w:r>
    </w:p>
    <w:p>
      <w:pPr>
        <w:pStyle w:val="Heading5"/>
        <w:rPr>
          <w:snapToGrid w:val="0"/>
        </w:rPr>
      </w:pPr>
      <w:bookmarkStart w:id="50" w:name="_Toc375231065"/>
      <w:r>
        <w:rPr>
          <w:rStyle w:val="CharSectno"/>
        </w:rPr>
        <w:t>38</w:t>
      </w:r>
      <w:r>
        <w:rPr>
          <w:snapToGrid w:val="0"/>
        </w:rPr>
        <w:t>.</w:t>
      </w:r>
      <w:r>
        <w:rPr>
          <w:snapToGrid w:val="0"/>
        </w:rPr>
        <w:tab/>
        <w:t>Overtime</w:t>
      </w:r>
      <w:bookmarkEnd w:id="50"/>
      <w:r>
        <w:rPr>
          <w:snapToGrid w:val="0"/>
        </w:rPr>
        <w:t xml:space="preserve"> </w:t>
      </w:r>
    </w:p>
    <w:p>
      <w:pPr>
        <w:pStyle w:val="Subsection"/>
        <w:rPr>
          <w:snapToGrid w:val="0"/>
        </w:rPr>
      </w:pPr>
      <w:r>
        <w:rPr>
          <w:snapToGrid w:val="0"/>
        </w:rPr>
        <w:tab/>
      </w:r>
      <w:r>
        <w:rPr>
          <w:snapToGrid w:val="0"/>
        </w:rPr>
        <w:tab/>
        <w:t>The cost over and above the ordinary cost of day work, of all labour and supervision, etc., employed during any hours, not being working hours as above defined, or on holidays, shall be paid for by the vessel in addition to the usual charges. The extra cost of lighting a shed or berth to enable a vessel to work during any hours, not being working hours, or on holidays as aforesaid, shall also be paid by the vessel.</w:t>
      </w:r>
    </w:p>
    <w:p>
      <w:pPr>
        <w:pStyle w:val="Footnotesection"/>
      </w:pPr>
      <w:r>
        <w:tab/>
        <w:t xml:space="preserve">[Regulation 38 amended in Gazette 19 May 1989 p. 1495.] </w:t>
      </w:r>
    </w:p>
    <w:p>
      <w:pPr>
        <w:pStyle w:val="Heading5"/>
        <w:rPr>
          <w:snapToGrid w:val="0"/>
        </w:rPr>
      </w:pPr>
      <w:bookmarkStart w:id="51" w:name="_Toc375231066"/>
      <w:r>
        <w:rPr>
          <w:rStyle w:val="CharSectno"/>
        </w:rPr>
        <w:t>38A</w:t>
      </w:r>
      <w:r>
        <w:rPr>
          <w:snapToGrid w:val="0"/>
        </w:rPr>
        <w:t>.</w:t>
      </w:r>
      <w:r>
        <w:rPr>
          <w:snapToGrid w:val="0"/>
        </w:rPr>
        <w:tab/>
        <w:t>Wages incurred through ships’ delays to be paid for</w:t>
      </w:r>
      <w:bookmarkEnd w:id="51"/>
      <w:r>
        <w:rPr>
          <w:snapToGrid w:val="0"/>
        </w:rPr>
        <w:t xml:space="preserve"> </w:t>
      </w:r>
    </w:p>
    <w:p>
      <w:pPr>
        <w:pStyle w:val="Subsection"/>
        <w:rPr>
          <w:snapToGrid w:val="0"/>
        </w:rPr>
      </w:pPr>
      <w:r>
        <w:rPr>
          <w:snapToGrid w:val="0"/>
        </w:rPr>
        <w:tab/>
      </w:r>
      <w:r>
        <w:rPr>
          <w:snapToGrid w:val="0"/>
        </w:rPr>
        <w:tab/>
        <w:t>Where by reason of delay which is caused by a vessel through the breakdown of the gear, or through the time occupied in the rigging of its gear, or through the fact that more than average time is taken in handling its cargo, the Department is involved in the payment of wages to persons engaged to handle its cargo, the master or owner of the vessel shall, on demand by the Department, pay to the Department the amount of those wages.</w:t>
      </w:r>
    </w:p>
    <w:p>
      <w:pPr>
        <w:pStyle w:val="Footnotesection"/>
      </w:pPr>
      <w:r>
        <w:tab/>
        <w:t xml:space="preserve">[Regulation 38A inserted in Gazette 12 Jul 1957 p. 2271; amended in Gazette 19 May 1989 p. 1495.] </w:t>
      </w:r>
    </w:p>
    <w:p>
      <w:pPr>
        <w:pStyle w:val="Heading5"/>
        <w:rPr>
          <w:snapToGrid w:val="0"/>
        </w:rPr>
      </w:pPr>
      <w:bookmarkStart w:id="52" w:name="_Toc375231067"/>
      <w:r>
        <w:rPr>
          <w:rStyle w:val="CharSectno"/>
        </w:rPr>
        <w:t>39</w:t>
      </w:r>
      <w:r>
        <w:rPr>
          <w:snapToGrid w:val="0"/>
        </w:rPr>
        <w:t>.</w:t>
      </w:r>
      <w:r>
        <w:rPr>
          <w:snapToGrid w:val="0"/>
        </w:rPr>
        <w:tab/>
        <w:t>Master to give notice of desire to work</w:t>
      </w:r>
      <w:bookmarkEnd w:id="52"/>
      <w:r>
        <w:rPr>
          <w:snapToGrid w:val="0"/>
        </w:rPr>
        <w:t xml:space="preserve"> </w:t>
      </w:r>
    </w:p>
    <w:p>
      <w:pPr>
        <w:pStyle w:val="Subsection"/>
        <w:rPr>
          <w:snapToGrid w:val="0"/>
        </w:rPr>
      </w:pPr>
      <w:r>
        <w:rPr>
          <w:snapToGrid w:val="0"/>
        </w:rPr>
        <w:tab/>
      </w:r>
      <w:r>
        <w:rPr>
          <w:snapToGrid w:val="0"/>
        </w:rPr>
        <w:tab/>
        <w:t>The master of a vessel desiring to work any hours, not being working hours as defined above, shall give to the officer in charge, 2 hours’ notice, and on holidays 12 hours’ notice, of his desire to do so.</w:t>
      </w:r>
    </w:p>
    <w:p>
      <w:pPr>
        <w:pStyle w:val="Footnotesection"/>
      </w:pPr>
      <w:r>
        <w:tab/>
        <w:t xml:space="preserve">[Regulation 39 amended in Gazette 19 May 1989 p. 1495.] </w:t>
      </w:r>
    </w:p>
    <w:p>
      <w:pPr>
        <w:pStyle w:val="Heading3"/>
        <w:rPr>
          <w:snapToGrid w:val="0"/>
        </w:rPr>
      </w:pPr>
      <w:bookmarkStart w:id="53" w:name="_Toc375231068"/>
      <w:r>
        <w:rPr>
          <w:rStyle w:val="CharDivNo"/>
        </w:rPr>
        <w:t>Division 9</w:t>
      </w:r>
      <w:r>
        <w:rPr>
          <w:snapToGrid w:val="0"/>
        </w:rPr>
        <w:t> — </w:t>
      </w:r>
      <w:r>
        <w:rPr>
          <w:rStyle w:val="CharDivText"/>
        </w:rPr>
        <w:t>Livestock or vehicles on jetties or premises</w:t>
      </w:r>
      <w:bookmarkEnd w:id="53"/>
      <w:r>
        <w:rPr>
          <w:rStyle w:val="CharDivText"/>
        </w:rPr>
        <w:t xml:space="preserve"> </w:t>
      </w:r>
    </w:p>
    <w:p>
      <w:pPr>
        <w:pStyle w:val="Footnoteheading"/>
      </w:pPr>
      <w:r>
        <w:tab/>
        <w:t xml:space="preserve">[Heading inserted in Gazette 19 May 1989 p. 1494.] </w:t>
      </w:r>
    </w:p>
    <w:p>
      <w:pPr>
        <w:pStyle w:val="Heading5"/>
        <w:rPr>
          <w:snapToGrid w:val="0"/>
        </w:rPr>
      </w:pPr>
      <w:bookmarkStart w:id="54" w:name="_Toc375231069"/>
      <w:r>
        <w:rPr>
          <w:rStyle w:val="CharSectno"/>
        </w:rPr>
        <w:t>40</w:t>
      </w:r>
      <w:r>
        <w:rPr>
          <w:snapToGrid w:val="0"/>
        </w:rPr>
        <w:t>.</w:t>
      </w:r>
      <w:r>
        <w:rPr>
          <w:snapToGrid w:val="0"/>
        </w:rPr>
        <w:tab/>
        <w:t>Livestock on jetties or premises</w:t>
      </w:r>
      <w:bookmarkEnd w:id="54"/>
      <w:r>
        <w:rPr>
          <w:snapToGrid w:val="0"/>
        </w:rPr>
        <w:t xml:space="preserve"> </w:t>
      </w:r>
    </w:p>
    <w:p>
      <w:pPr>
        <w:pStyle w:val="Subsection"/>
        <w:rPr>
          <w:snapToGrid w:val="0"/>
        </w:rPr>
      </w:pPr>
      <w:r>
        <w:rPr>
          <w:snapToGrid w:val="0"/>
        </w:rPr>
        <w:tab/>
      </w:r>
      <w:r>
        <w:rPr>
          <w:snapToGrid w:val="0"/>
        </w:rPr>
        <w:tab/>
        <w:t>No person shall drive or negligently allow any cattle, horse, sheep, swine, or other animal to stray upon any jetty or premises of the Department.</w:t>
      </w:r>
    </w:p>
    <w:p>
      <w:pPr>
        <w:pStyle w:val="Footnotesection"/>
      </w:pPr>
      <w:r>
        <w:tab/>
        <w:t xml:space="preserve">[Regulation 40 amended in Gazette 19 May 1989 p. 1495.] </w:t>
      </w:r>
    </w:p>
    <w:p>
      <w:pPr>
        <w:pStyle w:val="Heading5"/>
        <w:rPr>
          <w:snapToGrid w:val="0"/>
        </w:rPr>
      </w:pPr>
      <w:bookmarkStart w:id="55" w:name="_Toc375231070"/>
      <w:r>
        <w:rPr>
          <w:rStyle w:val="CharSectno"/>
        </w:rPr>
        <w:t>41</w:t>
      </w:r>
      <w:r>
        <w:rPr>
          <w:snapToGrid w:val="0"/>
        </w:rPr>
        <w:t>.</w:t>
      </w:r>
      <w:r>
        <w:rPr>
          <w:snapToGrid w:val="0"/>
        </w:rPr>
        <w:tab/>
        <w:t>Riding vehicles etc. on jetties or premises</w:t>
      </w:r>
      <w:bookmarkEnd w:id="55"/>
      <w:r>
        <w:rPr>
          <w:snapToGrid w:val="0"/>
        </w:rPr>
        <w:t xml:space="preserve"> </w:t>
      </w:r>
    </w:p>
    <w:p>
      <w:pPr>
        <w:pStyle w:val="Subsection"/>
        <w:rPr>
          <w:snapToGrid w:val="0"/>
        </w:rPr>
      </w:pPr>
      <w:r>
        <w:rPr>
          <w:snapToGrid w:val="0"/>
        </w:rPr>
        <w:tab/>
      </w:r>
      <w:r>
        <w:rPr>
          <w:snapToGrid w:val="0"/>
        </w:rPr>
        <w:tab/>
        <w:t>No person shall ride or drive any horse or bicycle, motor car, or other vehicle upon or along any jetty or premises, or any pathway or other way used in connection with the jetty or premises of the Department without the permission of the officer in charge of the jetty.</w:t>
      </w:r>
    </w:p>
    <w:p>
      <w:pPr>
        <w:pStyle w:val="Footnotesection"/>
      </w:pPr>
      <w:r>
        <w:tab/>
        <w:t xml:space="preserve">[Regulation 41 amended in Gazette 17 Mar 1960 p. 779; 19 May 1989 p. 1495.] </w:t>
      </w:r>
    </w:p>
    <w:p>
      <w:pPr>
        <w:pStyle w:val="Heading5"/>
        <w:rPr>
          <w:snapToGrid w:val="0"/>
        </w:rPr>
      </w:pPr>
      <w:bookmarkStart w:id="56" w:name="_Toc375231071"/>
      <w:r>
        <w:rPr>
          <w:rStyle w:val="CharSectno"/>
        </w:rPr>
        <w:t>41A</w:t>
      </w:r>
      <w:r>
        <w:rPr>
          <w:snapToGrid w:val="0"/>
        </w:rPr>
        <w:t>.</w:t>
      </w:r>
      <w:r>
        <w:rPr>
          <w:snapToGrid w:val="0"/>
        </w:rPr>
        <w:tab/>
        <w:t>Vehicles not to be parked on jetties</w:t>
      </w:r>
      <w:bookmarkEnd w:id="56"/>
      <w:r>
        <w:rPr>
          <w:snapToGrid w:val="0"/>
        </w:rPr>
        <w:t xml:space="preserve"> </w:t>
      </w:r>
    </w:p>
    <w:p>
      <w:pPr>
        <w:pStyle w:val="Subsection"/>
        <w:rPr>
          <w:snapToGrid w:val="0"/>
        </w:rPr>
      </w:pPr>
      <w:r>
        <w:rPr>
          <w:snapToGrid w:val="0"/>
        </w:rPr>
        <w:tab/>
      </w:r>
      <w:r>
        <w:rPr>
          <w:snapToGrid w:val="0"/>
        </w:rPr>
        <w:tab/>
        <w:t>No person shall drive, park, stand, or leave unattended a vehicle on a jetty or the approaches to a jetty unless he is expressly authorised to do so by the officer in charge of the jetty and then only if that person drives, parks, stands, or leaves unattended, the vehicle for the purpose of loading or unloading stores or cargo on or from the vehicle.</w:t>
      </w:r>
    </w:p>
    <w:p>
      <w:pPr>
        <w:pStyle w:val="Footnotesection"/>
      </w:pPr>
      <w:r>
        <w:tab/>
        <w:t xml:space="preserve">[Regulation 41A inserted in Gazette 17 Mar 1960 p. 779; amended in Gazette 19 May 1989 p. 1495.] </w:t>
      </w:r>
    </w:p>
    <w:p>
      <w:pPr>
        <w:pStyle w:val="Heading5"/>
        <w:rPr>
          <w:snapToGrid w:val="0"/>
        </w:rPr>
      </w:pPr>
      <w:bookmarkStart w:id="57" w:name="_Toc375231072"/>
      <w:r>
        <w:rPr>
          <w:rStyle w:val="CharSectno"/>
        </w:rPr>
        <w:t>41B</w:t>
      </w:r>
      <w:r>
        <w:rPr>
          <w:snapToGrid w:val="0"/>
        </w:rPr>
        <w:t>.</w:t>
      </w:r>
      <w:r>
        <w:rPr>
          <w:snapToGrid w:val="0"/>
        </w:rPr>
        <w:tab/>
        <w:t>Department not responsible for vehicles on jetties</w:t>
      </w:r>
      <w:bookmarkEnd w:id="57"/>
      <w:r>
        <w:rPr>
          <w:snapToGrid w:val="0"/>
        </w:rPr>
        <w:t xml:space="preserve"> </w:t>
      </w:r>
    </w:p>
    <w:p>
      <w:pPr>
        <w:pStyle w:val="Subsection"/>
        <w:rPr>
          <w:snapToGrid w:val="0"/>
        </w:rPr>
      </w:pPr>
      <w:r>
        <w:rPr>
          <w:snapToGrid w:val="0"/>
        </w:rPr>
        <w:tab/>
      </w:r>
      <w:r>
        <w:rPr>
          <w:snapToGrid w:val="0"/>
        </w:rPr>
        <w:tab/>
        <w:t>Where permission has been granted under these regulations to a person to drive a vehicle on to a jetty the Department will not be responsible to any person for damage caused to the vehicle, or to any other vehicle, or to any person by that vehicle while on the jetty or the approaches to the jetty.</w:t>
      </w:r>
    </w:p>
    <w:p>
      <w:pPr>
        <w:pStyle w:val="Footnotesection"/>
      </w:pPr>
      <w:r>
        <w:tab/>
        <w:t xml:space="preserve">[Regulation 41B inserted in Gazette 17 Mar 1960 p. 779; amended in Gazette 19 May 1989 p. 1495.] </w:t>
      </w:r>
    </w:p>
    <w:p>
      <w:pPr>
        <w:pStyle w:val="Heading5"/>
        <w:rPr>
          <w:snapToGrid w:val="0"/>
        </w:rPr>
      </w:pPr>
      <w:bookmarkStart w:id="58" w:name="_Toc375231073"/>
      <w:r>
        <w:rPr>
          <w:rStyle w:val="CharSectno"/>
        </w:rPr>
        <w:t>42</w:t>
      </w:r>
      <w:r>
        <w:rPr>
          <w:snapToGrid w:val="0"/>
        </w:rPr>
        <w:t>.</w:t>
      </w:r>
      <w:r>
        <w:rPr>
          <w:snapToGrid w:val="0"/>
        </w:rPr>
        <w:tab/>
        <w:t>Drivers of vehicles to obey instructions</w:t>
      </w:r>
      <w:bookmarkEnd w:id="58"/>
      <w:r>
        <w:rPr>
          <w:snapToGrid w:val="0"/>
        </w:rPr>
        <w:t xml:space="preserve"> </w:t>
      </w:r>
    </w:p>
    <w:p>
      <w:pPr>
        <w:pStyle w:val="Subsection"/>
        <w:rPr>
          <w:snapToGrid w:val="0"/>
        </w:rPr>
      </w:pPr>
      <w:r>
        <w:rPr>
          <w:snapToGrid w:val="0"/>
        </w:rPr>
        <w:tab/>
      </w:r>
      <w:r>
        <w:rPr>
          <w:snapToGrid w:val="0"/>
        </w:rPr>
        <w:tab/>
        <w:t>Every driver of a car, cart, dray, or other vehicle shall, while in or upon any jetty or premises of the Department, obey the reasonable instructions and directions of any authorised employee of the Department.</w:t>
      </w:r>
    </w:p>
    <w:p>
      <w:pPr>
        <w:pStyle w:val="Footnotesection"/>
        <w:keepLines w:val="0"/>
      </w:pPr>
      <w:r>
        <w:tab/>
        <w:t xml:space="preserve">[Regulation 42 amended in Gazette 19 May 1989 p. 1495.] </w:t>
      </w:r>
    </w:p>
    <w:p>
      <w:pPr>
        <w:pStyle w:val="Heading5"/>
      </w:pPr>
      <w:bookmarkStart w:id="59" w:name="_Toc375231074"/>
      <w:r>
        <w:rPr>
          <w:rStyle w:val="CharSectno"/>
        </w:rPr>
        <w:t>42A</w:t>
      </w:r>
      <w:r>
        <w:t>.</w:t>
      </w:r>
      <w:r>
        <w:tab/>
        <w:t>Fees for vehicular use of jetty</w:t>
      </w:r>
      <w:bookmarkEnd w:id="59"/>
    </w:p>
    <w:p>
      <w:pPr>
        <w:pStyle w:val="Subsection"/>
      </w:pPr>
      <w:r>
        <w:tab/>
      </w:r>
      <w:r>
        <w:tab/>
        <w:t>The fees (if any) payable for vehicular use of a jetty and land adjacent to it are as set out —</w:t>
      </w:r>
    </w:p>
    <w:p>
      <w:pPr>
        <w:pStyle w:val="Indenta"/>
      </w:pPr>
      <w:r>
        <w:tab/>
        <w:t>(a)</w:t>
      </w:r>
      <w:r>
        <w:tab/>
        <w:t xml:space="preserve">for a jetty at a place outside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Perth</w:t>
          </w:r>
        </w:smartTag>
      </w:smartTag>
      <w:r>
        <w:t>, in Schedule 1;</w:t>
      </w:r>
    </w:p>
    <w:p>
      <w:pPr>
        <w:pStyle w:val="Indenta"/>
      </w:pPr>
      <w:r>
        <w:tab/>
        <w:t>(b)</w:t>
      </w:r>
      <w:r>
        <w:tab/>
        <w:t xml:space="preserve">for a jetty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Perth</w:t>
          </w:r>
        </w:smartTag>
      </w:smartTag>
      <w:r>
        <w:t>, in Schedule 2.</w:t>
      </w:r>
    </w:p>
    <w:p>
      <w:pPr>
        <w:pStyle w:val="Footnotesection"/>
        <w:rPr>
          <w:rStyle w:val="CharSectno"/>
        </w:rPr>
      </w:pPr>
      <w:r>
        <w:tab/>
        <w:t>[Regulation 42A inserted in Gazette 22 Jun 2007 p. 2908</w:t>
      </w:r>
      <w:r>
        <w:noBreakHyphen/>
        <w:t>9.]</w:t>
      </w:r>
    </w:p>
    <w:p>
      <w:pPr>
        <w:pStyle w:val="Heading5"/>
        <w:rPr>
          <w:snapToGrid w:val="0"/>
        </w:rPr>
      </w:pPr>
      <w:bookmarkStart w:id="60" w:name="_Toc375231075"/>
      <w:r>
        <w:rPr>
          <w:rStyle w:val="CharSectno"/>
        </w:rPr>
        <w:t>43</w:t>
      </w:r>
      <w:r>
        <w:rPr>
          <w:snapToGrid w:val="0"/>
        </w:rPr>
        <w:t>.</w:t>
      </w:r>
      <w:r>
        <w:rPr>
          <w:snapToGrid w:val="0"/>
        </w:rPr>
        <w:tab/>
        <w:t>Persons not to be on jetties when livestock is being handled</w:t>
      </w:r>
      <w:bookmarkEnd w:id="60"/>
      <w:r>
        <w:rPr>
          <w:snapToGrid w:val="0"/>
        </w:rPr>
        <w:t xml:space="preserve"> </w:t>
      </w:r>
    </w:p>
    <w:p>
      <w:pPr>
        <w:pStyle w:val="Subsection"/>
        <w:rPr>
          <w:snapToGrid w:val="0"/>
        </w:rPr>
      </w:pPr>
      <w:r>
        <w:rPr>
          <w:snapToGrid w:val="0"/>
        </w:rPr>
        <w:tab/>
      </w:r>
      <w:r>
        <w:rPr>
          <w:snapToGrid w:val="0"/>
        </w:rPr>
        <w:tab/>
        <w:t>No person shall remain on or pass over any jetty while livestock is being landed or shipped, unless by the permission of the officer in charge.</w:t>
      </w:r>
    </w:p>
    <w:p>
      <w:pPr>
        <w:pStyle w:val="Footnotesection"/>
      </w:pPr>
      <w:r>
        <w:tab/>
        <w:t xml:space="preserve">[Regulation 43 amended in Gazette 19 May 1989 p. 1495.] </w:t>
      </w:r>
    </w:p>
    <w:p>
      <w:pPr>
        <w:pStyle w:val="Heading3"/>
        <w:keepLines/>
        <w:rPr>
          <w:snapToGrid w:val="0"/>
        </w:rPr>
      </w:pPr>
      <w:bookmarkStart w:id="61" w:name="_Toc375231076"/>
      <w:r>
        <w:rPr>
          <w:rStyle w:val="CharDivNo"/>
        </w:rPr>
        <w:t>Division 10</w:t>
      </w:r>
      <w:r>
        <w:rPr>
          <w:snapToGrid w:val="0"/>
        </w:rPr>
        <w:t> — </w:t>
      </w:r>
      <w:r>
        <w:rPr>
          <w:rStyle w:val="CharDivText"/>
        </w:rPr>
        <w:t>Miscellaneous</w:t>
      </w:r>
      <w:bookmarkEnd w:id="61"/>
      <w:r>
        <w:rPr>
          <w:rStyle w:val="CharDivText"/>
        </w:rPr>
        <w:t xml:space="preserve"> </w:t>
      </w:r>
    </w:p>
    <w:p>
      <w:pPr>
        <w:pStyle w:val="Footnoteheading"/>
        <w:keepNext/>
        <w:keepLines/>
      </w:pPr>
      <w:r>
        <w:tab/>
        <w:t xml:space="preserve">[Heading inserted in Gazette 19 May 1989 p. 1494.] </w:t>
      </w:r>
    </w:p>
    <w:p>
      <w:pPr>
        <w:pStyle w:val="Heading5"/>
        <w:rPr>
          <w:snapToGrid w:val="0"/>
        </w:rPr>
      </w:pPr>
      <w:bookmarkStart w:id="62" w:name="_Toc375231077"/>
      <w:r>
        <w:rPr>
          <w:rStyle w:val="CharSectno"/>
        </w:rPr>
        <w:t>44</w:t>
      </w:r>
      <w:r>
        <w:rPr>
          <w:snapToGrid w:val="0"/>
        </w:rPr>
        <w:t>.</w:t>
      </w:r>
      <w:r>
        <w:rPr>
          <w:snapToGrid w:val="0"/>
        </w:rPr>
        <w:tab/>
        <w:t>Bill posting, defacement and obscenity</w:t>
      </w:r>
      <w:bookmarkEnd w:id="62"/>
      <w:r>
        <w:rPr>
          <w:snapToGrid w:val="0"/>
        </w:rPr>
        <w:t xml:space="preserve"> </w:t>
      </w:r>
    </w:p>
    <w:p>
      <w:pPr>
        <w:pStyle w:val="Subsection"/>
        <w:rPr>
          <w:snapToGrid w:val="0"/>
        </w:rPr>
      </w:pPr>
      <w:r>
        <w:rPr>
          <w:snapToGrid w:val="0"/>
        </w:rPr>
        <w:tab/>
      </w:r>
      <w:r>
        <w:rPr>
          <w:snapToGrid w:val="0"/>
        </w:rPr>
        <w:tab/>
        <w:t>No person, unless authorised in writing by the Department, shall — </w:t>
      </w:r>
    </w:p>
    <w:p>
      <w:pPr>
        <w:pStyle w:val="Indenta"/>
        <w:rPr>
          <w:snapToGrid w:val="0"/>
        </w:rPr>
      </w:pPr>
      <w:r>
        <w:rPr>
          <w:snapToGrid w:val="0"/>
        </w:rPr>
        <w:tab/>
        <w:t>(a)</w:t>
      </w:r>
      <w:r>
        <w:rPr>
          <w:snapToGrid w:val="0"/>
        </w:rPr>
        <w:tab/>
        <w:t>post, stick, paint, or write, or cause to be posted, stuck, painted, or written any placard, bill, advertisement, sign, or other matter within or on any jetty post, fence, gate, platform, wall, building, or other property or premises of the Department;</w:t>
      </w:r>
    </w:p>
    <w:p>
      <w:pPr>
        <w:pStyle w:val="Indenta"/>
        <w:rPr>
          <w:snapToGrid w:val="0"/>
        </w:rPr>
      </w:pPr>
      <w:r>
        <w:rPr>
          <w:snapToGrid w:val="0"/>
        </w:rPr>
        <w:tab/>
        <w:t>(b)</w:t>
      </w:r>
      <w:r>
        <w:rPr>
          <w:snapToGrid w:val="0"/>
        </w:rPr>
        <w:tab/>
        <w:t>deface any writing or printing on or attached to any board or any notice authorised to be maintained on any jetty, or on any carriage or rolling stock, or on any fence or building upon any jetty or premises of the Department;</w:t>
      </w:r>
    </w:p>
    <w:p>
      <w:pPr>
        <w:pStyle w:val="Indenta"/>
        <w:rPr>
          <w:snapToGrid w:val="0"/>
        </w:rPr>
      </w:pPr>
      <w:r>
        <w:rPr>
          <w:snapToGrid w:val="0"/>
        </w:rPr>
        <w:tab/>
        <w:t>(c)</w:t>
      </w:r>
      <w:r>
        <w:rPr>
          <w:snapToGrid w:val="0"/>
        </w:rPr>
        <w:tab/>
        <w:t>write any indecent words or draw any indecent or obscene picture or representation on any part of any jetty, or on any carriage or rolling stock, or on any fence or building upon any jetty or premises of the Department.</w:t>
      </w:r>
    </w:p>
    <w:p>
      <w:pPr>
        <w:pStyle w:val="Footnotesection"/>
      </w:pPr>
      <w:r>
        <w:tab/>
        <w:t xml:space="preserve">[Regulation 44 amended in Gazette 19 May 1989 p. 1495.] </w:t>
      </w:r>
    </w:p>
    <w:p>
      <w:pPr>
        <w:pStyle w:val="Heading5"/>
        <w:rPr>
          <w:snapToGrid w:val="0"/>
        </w:rPr>
      </w:pPr>
      <w:bookmarkStart w:id="63" w:name="_Toc375231078"/>
      <w:r>
        <w:rPr>
          <w:rStyle w:val="CharSectno"/>
        </w:rPr>
        <w:t>45</w:t>
      </w:r>
      <w:r>
        <w:rPr>
          <w:snapToGrid w:val="0"/>
        </w:rPr>
        <w:t>.</w:t>
      </w:r>
      <w:r>
        <w:rPr>
          <w:snapToGrid w:val="0"/>
        </w:rPr>
        <w:tab/>
        <w:t>Disorderly persons</w:t>
      </w:r>
      <w:bookmarkEnd w:id="63"/>
      <w:r>
        <w:rPr>
          <w:snapToGrid w:val="0"/>
        </w:rPr>
        <w:t xml:space="preserve"> </w:t>
      </w:r>
    </w:p>
    <w:p>
      <w:pPr>
        <w:pStyle w:val="Subsection"/>
        <w:rPr>
          <w:snapToGrid w:val="0"/>
        </w:rPr>
      </w:pPr>
      <w:r>
        <w:rPr>
          <w:snapToGrid w:val="0"/>
        </w:rPr>
        <w:tab/>
        <w:t>(a)</w:t>
      </w:r>
      <w:r>
        <w:rPr>
          <w:snapToGrid w:val="0"/>
        </w:rPr>
        <w:tab/>
        <w:t>No drunk, idle, or disorderly person shall enter or remain in or upon any jetty, shed, vehicle, or premises of the Department.</w:t>
      </w:r>
    </w:p>
    <w:p>
      <w:pPr>
        <w:pStyle w:val="Subsection"/>
        <w:rPr>
          <w:snapToGrid w:val="0"/>
        </w:rPr>
      </w:pPr>
      <w:r>
        <w:rPr>
          <w:snapToGrid w:val="0"/>
        </w:rPr>
        <w:tab/>
        <w:t>(b)</w:t>
      </w:r>
      <w:r>
        <w:rPr>
          <w:snapToGrid w:val="0"/>
        </w:rPr>
        <w:tab/>
        <w:t>No person shall behave in a violent or offensive manner to the annoyance of others, or write or use any insulting, indecent, obscene, blasphemous, or abusive words, or wilfully interfere with the comfort of any person in or upon any jetty, shed, vehicle, or premises of the Department.</w:t>
      </w:r>
    </w:p>
    <w:p>
      <w:pPr>
        <w:pStyle w:val="Subsection"/>
        <w:keepNext/>
        <w:rPr>
          <w:snapToGrid w:val="0"/>
        </w:rPr>
      </w:pPr>
      <w:r>
        <w:rPr>
          <w:snapToGrid w:val="0"/>
        </w:rPr>
        <w:tab/>
        <w:t>(c)</w:t>
      </w:r>
      <w:r>
        <w:rPr>
          <w:snapToGrid w:val="0"/>
        </w:rPr>
        <w:tab/>
        <w:t>No person shall commit any nuisance or gamble in or upon any jetty, shed, vehicle, or premises of the Department.</w:t>
      </w:r>
    </w:p>
    <w:p>
      <w:pPr>
        <w:pStyle w:val="Footnotesection"/>
      </w:pPr>
      <w:r>
        <w:tab/>
        <w:t xml:space="preserve">[Regulation 45 amended in Gazette 19 May 1989 p. 1495.] </w:t>
      </w:r>
    </w:p>
    <w:p>
      <w:pPr>
        <w:pStyle w:val="Heading5"/>
        <w:rPr>
          <w:snapToGrid w:val="0"/>
        </w:rPr>
      </w:pPr>
      <w:bookmarkStart w:id="64" w:name="_Toc375231079"/>
      <w:r>
        <w:rPr>
          <w:rStyle w:val="CharSectno"/>
        </w:rPr>
        <w:t>46</w:t>
      </w:r>
      <w:r>
        <w:rPr>
          <w:snapToGrid w:val="0"/>
        </w:rPr>
        <w:t>.</w:t>
      </w:r>
      <w:r>
        <w:rPr>
          <w:snapToGrid w:val="0"/>
        </w:rPr>
        <w:tab/>
        <w:t>Fires not to be lit</w:t>
      </w:r>
      <w:bookmarkEnd w:id="64"/>
      <w:r>
        <w:rPr>
          <w:snapToGrid w:val="0"/>
        </w:rPr>
        <w:t xml:space="preserve"> </w:t>
      </w:r>
    </w:p>
    <w:p>
      <w:pPr>
        <w:pStyle w:val="Subsection"/>
        <w:rPr>
          <w:snapToGrid w:val="0"/>
        </w:rPr>
      </w:pPr>
      <w:r>
        <w:rPr>
          <w:snapToGrid w:val="0"/>
        </w:rPr>
        <w:tab/>
      </w:r>
      <w:r>
        <w:rPr>
          <w:snapToGrid w:val="0"/>
        </w:rPr>
        <w:tab/>
        <w:t>No person shall, under any pretext whatever, light, place, or keep a fire upon or so near as to endanger any jetty, shed, car, carriage, or other work of a like nature, nor in or upon any tramway or premises whatsoever of the Department constructed entirely or in part of wood.</w:t>
      </w:r>
    </w:p>
    <w:p>
      <w:pPr>
        <w:pStyle w:val="Footnotesection"/>
      </w:pPr>
      <w:r>
        <w:tab/>
        <w:t xml:space="preserve">[Regulation 46 amended in Gazette 19 May 1989 p. 1495.] </w:t>
      </w:r>
    </w:p>
    <w:p>
      <w:pPr>
        <w:pStyle w:val="Heading5"/>
        <w:rPr>
          <w:snapToGrid w:val="0"/>
        </w:rPr>
      </w:pPr>
      <w:bookmarkStart w:id="65" w:name="_Toc375231080"/>
      <w:r>
        <w:rPr>
          <w:rStyle w:val="CharSectno"/>
        </w:rPr>
        <w:t>47</w:t>
      </w:r>
      <w:r>
        <w:rPr>
          <w:snapToGrid w:val="0"/>
        </w:rPr>
        <w:t>.</w:t>
      </w:r>
      <w:r>
        <w:rPr>
          <w:snapToGrid w:val="0"/>
        </w:rPr>
        <w:tab/>
        <w:t>Gates to be shut</w:t>
      </w:r>
      <w:bookmarkEnd w:id="65"/>
      <w:r>
        <w:rPr>
          <w:snapToGrid w:val="0"/>
        </w:rPr>
        <w:t xml:space="preserve"> </w:t>
      </w:r>
    </w:p>
    <w:p>
      <w:pPr>
        <w:pStyle w:val="Subsection"/>
        <w:rPr>
          <w:snapToGrid w:val="0"/>
        </w:rPr>
      </w:pPr>
      <w:r>
        <w:rPr>
          <w:snapToGrid w:val="0"/>
        </w:rPr>
        <w:tab/>
      </w:r>
      <w:r>
        <w:rPr>
          <w:snapToGrid w:val="0"/>
        </w:rPr>
        <w:tab/>
        <w:t>No person shall neglect to shut any gate or slip panel in any fence forming the boundary of or upon or adjoining any jetty or premises of the Department.</w:t>
      </w:r>
    </w:p>
    <w:p>
      <w:pPr>
        <w:pStyle w:val="Footnotesection"/>
      </w:pPr>
      <w:r>
        <w:tab/>
        <w:t xml:space="preserve">[Regulation 47 amended in Gazette 19 May 1989 p. 1495.] </w:t>
      </w:r>
    </w:p>
    <w:p>
      <w:pPr>
        <w:pStyle w:val="Heading5"/>
        <w:rPr>
          <w:snapToGrid w:val="0"/>
        </w:rPr>
      </w:pPr>
      <w:bookmarkStart w:id="66" w:name="_Toc375231081"/>
      <w:r>
        <w:rPr>
          <w:rStyle w:val="CharSectno"/>
        </w:rPr>
        <w:t>48</w:t>
      </w:r>
      <w:r>
        <w:rPr>
          <w:snapToGrid w:val="0"/>
        </w:rPr>
        <w:t>.</w:t>
      </w:r>
      <w:r>
        <w:rPr>
          <w:snapToGrid w:val="0"/>
        </w:rPr>
        <w:tab/>
        <w:t>Interference with lights</w:t>
      </w:r>
      <w:bookmarkEnd w:id="66"/>
      <w:r>
        <w:rPr>
          <w:snapToGrid w:val="0"/>
        </w:rPr>
        <w:t xml:space="preserve"> </w:t>
      </w:r>
    </w:p>
    <w:p>
      <w:pPr>
        <w:pStyle w:val="Subsection"/>
        <w:rPr>
          <w:snapToGrid w:val="0"/>
        </w:rPr>
      </w:pPr>
      <w:r>
        <w:rPr>
          <w:snapToGrid w:val="0"/>
        </w:rPr>
        <w:tab/>
      </w:r>
      <w:r>
        <w:rPr>
          <w:snapToGrid w:val="0"/>
        </w:rPr>
        <w:tab/>
        <w:t>No person shall interfere with, damage, or remove any portion of any electric or other type of light or lamp or the mains or fittings thereof, on any jetty, vehicle or premises of the Department.</w:t>
      </w:r>
    </w:p>
    <w:p>
      <w:pPr>
        <w:pStyle w:val="Footnotesection"/>
      </w:pPr>
      <w:r>
        <w:tab/>
        <w:t xml:space="preserve">[Regulation 48 amended in Gazette 19 May 1989 p. 1495.] </w:t>
      </w:r>
    </w:p>
    <w:p>
      <w:pPr>
        <w:pStyle w:val="Heading5"/>
        <w:rPr>
          <w:snapToGrid w:val="0"/>
        </w:rPr>
      </w:pPr>
      <w:bookmarkStart w:id="67" w:name="_Toc375231082"/>
      <w:r>
        <w:rPr>
          <w:rStyle w:val="CharSectno"/>
        </w:rPr>
        <w:t>49</w:t>
      </w:r>
      <w:r>
        <w:rPr>
          <w:snapToGrid w:val="0"/>
        </w:rPr>
        <w:t>.</w:t>
      </w:r>
      <w:r>
        <w:rPr>
          <w:snapToGrid w:val="0"/>
        </w:rPr>
        <w:tab/>
        <w:t>Interference with or damaging property</w:t>
      </w:r>
      <w:bookmarkEnd w:id="67"/>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place any rolling stock or appliance on any tramway or premises without lawful authority so to do;</w:t>
      </w:r>
    </w:p>
    <w:p>
      <w:pPr>
        <w:pStyle w:val="Indenta"/>
        <w:rPr>
          <w:snapToGrid w:val="0"/>
        </w:rPr>
      </w:pPr>
      <w:r>
        <w:rPr>
          <w:snapToGrid w:val="0"/>
        </w:rPr>
        <w:tab/>
        <w:t>(b)</w:t>
      </w:r>
      <w:r>
        <w:rPr>
          <w:snapToGrid w:val="0"/>
        </w:rPr>
        <w:tab/>
        <w:t>move any part of the rolling stock or appliances on any tramway or premises, or leave the same on any part of the tramway or premises without lawful authority so to do;</w:t>
      </w:r>
    </w:p>
    <w:p>
      <w:pPr>
        <w:pStyle w:val="Indenta"/>
        <w:rPr>
          <w:snapToGrid w:val="0"/>
        </w:rPr>
      </w:pPr>
      <w:r>
        <w:rPr>
          <w:snapToGrid w:val="0"/>
        </w:rPr>
        <w:tab/>
        <w:t>(c)</w:t>
      </w:r>
      <w:r>
        <w:rPr>
          <w:snapToGrid w:val="0"/>
        </w:rPr>
        <w:tab/>
        <w:t>move or in any way interfere with any signals, points, stop blocks, or show any signal whatsoever likely to mislead;</w:t>
      </w:r>
    </w:p>
    <w:p>
      <w:pPr>
        <w:pStyle w:val="Indenta"/>
        <w:rPr>
          <w:snapToGrid w:val="0"/>
        </w:rPr>
      </w:pPr>
      <w:r>
        <w:rPr>
          <w:snapToGrid w:val="0"/>
        </w:rPr>
        <w:tab/>
        <w:t>(d)</w:t>
      </w:r>
      <w:r>
        <w:rPr>
          <w:snapToGrid w:val="0"/>
        </w:rPr>
        <w:tab/>
        <w:t>remove from any jetty or premises of the Department any rolling stock, tarpaulins, tools, appliances, or property of any kind, or permit any of such rolling stock, tarpaulins, tools, appliances, or property to be unlawfully in his possession or on his premises;</w:t>
      </w:r>
    </w:p>
    <w:p>
      <w:pPr>
        <w:pStyle w:val="Indenta"/>
        <w:rPr>
          <w:snapToGrid w:val="0"/>
        </w:rPr>
      </w:pPr>
      <w:r>
        <w:rPr>
          <w:snapToGrid w:val="0"/>
        </w:rPr>
        <w:tab/>
        <w:t>(e)</w:t>
      </w:r>
      <w:r>
        <w:rPr>
          <w:snapToGrid w:val="0"/>
        </w:rPr>
        <w:tab/>
        <w:t>damage any jetty or any locomotive, carriage, wagon, rolling stock, machinery, material, or thing used upon or belonging to any jetty or premises of the Department.</w:t>
      </w:r>
    </w:p>
    <w:p>
      <w:pPr>
        <w:pStyle w:val="Footnotesection"/>
      </w:pPr>
      <w:r>
        <w:tab/>
        <w:t xml:space="preserve">[Regulation 49 amended in Gazette 19 May 1985 p. 1495.] </w:t>
      </w:r>
    </w:p>
    <w:p>
      <w:pPr>
        <w:pStyle w:val="Heading5"/>
        <w:rPr>
          <w:snapToGrid w:val="0"/>
        </w:rPr>
      </w:pPr>
      <w:bookmarkStart w:id="68" w:name="_Toc375231083"/>
      <w:r>
        <w:rPr>
          <w:rStyle w:val="CharSectno"/>
        </w:rPr>
        <w:t>50</w:t>
      </w:r>
      <w:r>
        <w:rPr>
          <w:snapToGrid w:val="0"/>
        </w:rPr>
        <w:t>.</w:t>
      </w:r>
      <w:r>
        <w:rPr>
          <w:snapToGrid w:val="0"/>
        </w:rPr>
        <w:tab/>
        <w:t>Lost property</w:t>
      </w:r>
      <w:bookmarkEnd w:id="68"/>
      <w:r>
        <w:rPr>
          <w:snapToGrid w:val="0"/>
        </w:rPr>
        <w:t xml:space="preserve"> </w:t>
      </w:r>
    </w:p>
    <w:p>
      <w:pPr>
        <w:pStyle w:val="Subsection"/>
        <w:rPr>
          <w:snapToGrid w:val="0"/>
        </w:rPr>
      </w:pPr>
      <w:r>
        <w:rPr>
          <w:snapToGrid w:val="0"/>
        </w:rPr>
        <w:tab/>
      </w:r>
      <w:r>
        <w:rPr>
          <w:snapToGrid w:val="0"/>
        </w:rPr>
        <w:tab/>
        <w:t>Any person who finds any lost property upon any jetty or premises, or in any carriage or other vehicle of the Department shall immediately hand same over to the officer in charge, either of the jetty or premises, or in charge of the carriage or vehicle, as the case may be.</w:t>
      </w:r>
    </w:p>
    <w:p>
      <w:pPr>
        <w:pStyle w:val="Footnotesection"/>
        <w:ind w:left="890" w:hanging="890"/>
      </w:pPr>
      <w:r>
        <w:tab/>
        <w:t xml:space="preserve">[Regulation 50 amended in Gazette 19 May 1985 p. 1495.] </w:t>
      </w:r>
    </w:p>
    <w:p>
      <w:pPr>
        <w:pStyle w:val="Heading5"/>
        <w:rPr>
          <w:snapToGrid w:val="0"/>
        </w:rPr>
      </w:pPr>
      <w:bookmarkStart w:id="69" w:name="_Toc375231084"/>
      <w:r>
        <w:rPr>
          <w:rStyle w:val="CharSectno"/>
        </w:rPr>
        <w:t>51</w:t>
      </w:r>
      <w:r>
        <w:rPr>
          <w:snapToGrid w:val="0"/>
        </w:rPr>
        <w:t>.</w:t>
      </w:r>
      <w:r>
        <w:rPr>
          <w:snapToGrid w:val="0"/>
        </w:rPr>
        <w:tab/>
        <w:t>Obstruction of officers, or premises</w:t>
      </w:r>
      <w:bookmarkEnd w:id="69"/>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obstruct any officer or servant employed on any jetty or premises of the Department, in the due performance of his duty;</w:t>
      </w:r>
    </w:p>
    <w:p>
      <w:pPr>
        <w:pStyle w:val="Indenta"/>
        <w:rPr>
          <w:snapToGrid w:val="0"/>
        </w:rPr>
      </w:pPr>
      <w:r>
        <w:rPr>
          <w:snapToGrid w:val="0"/>
        </w:rPr>
        <w:tab/>
        <w:t>(b)</w:t>
      </w:r>
      <w:r>
        <w:rPr>
          <w:snapToGrid w:val="0"/>
        </w:rPr>
        <w:tab/>
        <w:t>do any act which obstructs or may obstruct the working of any jetty or premises of the Department, or endanger the lives of any person or persons travelling thereon.</w:t>
      </w:r>
    </w:p>
    <w:p>
      <w:pPr>
        <w:pStyle w:val="Footnotesection"/>
      </w:pPr>
      <w:r>
        <w:tab/>
        <w:t xml:space="preserve">[Regulation 51 amended in Gazette 19 May 1989 p. 1495.] </w:t>
      </w:r>
    </w:p>
    <w:p>
      <w:pPr>
        <w:pStyle w:val="Heading5"/>
        <w:spacing w:before="120"/>
        <w:rPr>
          <w:snapToGrid w:val="0"/>
        </w:rPr>
      </w:pPr>
      <w:bookmarkStart w:id="70" w:name="_Toc375231085"/>
      <w:r>
        <w:rPr>
          <w:rStyle w:val="CharSectno"/>
        </w:rPr>
        <w:t>52</w:t>
      </w:r>
      <w:r>
        <w:rPr>
          <w:snapToGrid w:val="0"/>
        </w:rPr>
        <w:t>.</w:t>
      </w:r>
      <w:r>
        <w:rPr>
          <w:snapToGrid w:val="0"/>
        </w:rPr>
        <w:tab/>
        <w:t>Obstruction of or damage to jetties or premises</w:t>
      </w:r>
      <w:bookmarkEnd w:id="70"/>
      <w:r>
        <w:rPr>
          <w:snapToGrid w:val="0"/>
        </w:rPr>
        <w:t xml:space="preserve"> </w:t>
      </w:r>
    </w:p>
    <w:p>
      <w:pPr>
        <w:pStyle w:val="Subsection"/>
        <w:keepNext/>
        <w:keepLines/>
        <w:rPr>
          <w:snapToGrid w:val="0"/>
        </w:rPr>
      </w:pPr>
      <w:r>
        <w:rPr>
          <w:snapToGrid w:val="0"/>
        </w:rPr>
        <w:tab/>
      </w:r>
      <w:r>
        <w:rPr>
          <w:snapToGrid w:val="0"/>
        </w:rPr>
        <w:tab/>
        <w:t>No person, without having lawful authority or written permission from the officer in charge of any jetty, shall cause or procure to be done any of the following acts:</w:t>
      </w:r>
    </w:p>
    <w:p>
      <w:pPr>
        <w:pStyle w:val="Indenta"/>
        <w:rPr>
          <w:snapToGrid w:val="0"/>
        </w:rPr>
      </w:pPr>
      <w:r>
        <w:rPr>
          <w:snapToGrid w:val="0"/>
        </w:rPr>
        <w:tab/>
        <w:t>(a)</w:t>
      </w:r>
      <w:r>
        <w:rPr>
          <w:snapToGrid w:val="0"/>
        </w:rPr>
        <w:tab/>
        <w:t>encroach upon any jetty or premises of the Department by making any building, fence, ditch, or other obstacle thereon;</w:t>
      </w:r>
    </w:p>
    <w:p>
      <w:pPr>
        <w:pStyle w:val="Indenta"/>
        <w:rPr>
          <w:snapToGrid w:val="0"/>
        </w:rPr>
      </w:pPr>
      <w:r>
        <w:rPr>
          <w:snapToGrid w:val="0"/>
        </w:rPr>
        <w:tab/>
        <w:t>(b)</w:t>
      </w:r>
      <w:r>
        <w:rPr>
          <w:snapToGrid w:val="0"/>
        </w:rPr>
        <w:tab/>
        <w:t>damage, dig up, destroy, remove, or alter in any way the material or soil thereof;</w:t>
      </w:r>
    </w:p>
    <w:p>
      <w:pPr>
        <w:pStyle w:val="Indenta"/>
        <w:rPr>
          <w:snapToGrid w:val="0"/>
        </w:rPr>
      </w:pPr>
      <w:r>
        <w:rPr>
          <w:snapToGrid w:val="0"/>
        </w:rPr>
        <w:tab/>
        <w:t>(c)</w:t>
      </w:r>
      <w:r>
        <w:rPr>
          <w:snapToGrid w:val="0"/>
        </w:rPr>
        <w:tab/>
        <w:t>fill up, divert, alter, or obstruct any drain or watercourse directly carrying water off, or made to protect the same, or do any act whereby any drain or watercourse is stopped or the flow of water therein is obstructed;</w:t>
      </w:r>
    </w:p>
    <w:p>
      <w:pPr>
        <w:pStyle w:val="Indenta"/>
        <w:rPr>
          <w:snapToGrid w:val="0"/>
        </w:rPr>
      </w:pPr>
      <w:r>
        <w:rPr>
          <w:snapToGrid w:val="0"/>
        </w:rPr>
        <w:tab/>
        <w:t>(d)</w:t>
      </w:r>
      <w:r>
        <w:rPr>
          <w:snapToGrid w:val="0"/>
        </w:rPr>
        <w:tab/>
        <w:t>interfere with or divert or dig any such drain or watercourse;</w:t>
      </w:r>
    </w:p>
    <w:p>
      <w:pPr>
        <w:pStyle w:val="Indenta"/>
        <w:rPr>
          <w:snapToGrid w:val="0"/>
        </w:rPr>
      </w:pPr>
      <w:r>
        <w:rPr>
          <w:snapToGrid w:val="0"/>
        </w:rPr>
        <w:tab/>
        <w:t>(e)</w:t>
      </w:r>
      <w:r>
        <w:rPr>
          <w:snapToGrid w:val="0"/>
        </w:rPr>
        <w:tab/>
        <w:t>unlawfully throw or put any stone, gravel, or timber, or any substance, whether solid or liquid, or any other matter or thing, on any jetty or premises of the Department;</w:t>
      </w:r>
    </w:p>
    <w:p>
      <w:pPr>
        <w:pStyle w:val="Indenta"/>
        <w:rPr>
          <w:snapToGrid w:val="0"/>
        </w:rPr>
      </w:pPr>
      <w:r>
        <w:rPr>
          <w:snapToGrid w:val="0"/>
        </w:rPr>
        <w:tab/>
        <w:t>(f)</w:t>
      </w:r>
      <w:r>
        <w:rPr>
          <w:snapToGrid w:val="0"/>
        </w:rPr>
        <w:tab/>
        <w:t>cut down, break, remove, or destroy any fence, building, or bridge, or any telegraph line or post in or upon any jetty or premises of the Department.</w:t>
      </w:r>
    </w:p>
    <w:p>
      <w:pPr>
        <w:pStyle w:val="Footnotesection"/>
        <w:keepLines w:val="0"/>
        <w:ind w:left="890" w:hanging="890"/>
      </w:pPr>
      <w:r>
        <w:tab/>
        <w:t xml:space="preserve">[Regulation 52 amended in Gazette 19 May 1989 p. 1495.] </w:t>
      </w:r>
    </w:p>
    <w:p>
      <w:pPr>
        <w:pStyle w:val="Heading5"/>
        <w:rPr>
          <w:snapToGrid w:val="0"/>
        </w:rPr>
      </w:pPr>
      <w:bookmarkStart w:id="71" w:name="_Toc375231086"/>
      <w:r>
        <w:rPr>
          <w:rStyle w:val="CharSectno"/>
        </w:rPr>
        <w:t>53</w:t>
      </w:r>
      <w:r>
        <w:rPr>
          <w:snapToGrid w:val="0"/>
        </w:rPr>
        <w:t>.</w:t>
      </w:r>
      <w:r>
        <w:rPr>
          <w:snapToGrid w:val="0"/>
        </w:rPr>
        <w:tab/>
        <w:t>Rubbish etc. not to be thrown</w:t>
      </w:r>
      <w:bookmarkEnd w:id="71"/>
      <w:r>
        <w:rPr>
          <w:snapToGrid w:val="0"/>
        </w:rPr>
        <w:t xml:space="preserve"> </w:t>
      </w:r>
    </w:p>
    <w:p>
      <w:pPr>
        <w:pStyle w:val="Subsection"/>
        <w:rPr>
          <w:snapToGrid w:val="0"/>
        </w:rPr>
      </w:pPr>
      <w:r>
        <w:rPr>
          <w:snapToGrid w:val="0"/>
        </w:rPr>
        <w:tab/>
      </w:r>
      <w:r>
        <w:rPr>
          <w:snapToGrid w:val="0"/>
        </w:rPr>
        <w:tab/>
        <w:t>No person shall throw or cause to be thrown at or from any car, carriage, or other vehicle of the Department, or on to any jetty, or premises vested in, used by, or under the control of the Department, any glass, stone, or other missile, or any filth, dirt, rubbish, or other matter of a similar nature.</w:t>
      </w:r>
    </w:p>
    <w:p>
      <w:pPr>
        <w:pStyle w:val="Footnotesection"/>
      </w:pPr>
      <w:r>
        <w:tab/>
        <w:t xml:space="preserve">[Regulation 53 amended in Gazette 19 May 1989 p. 1495.] </w:t>
      </w:r>
    </w:p>
    <w:p>
      <w:pPr>
        <w:pStyle w:val="Heading5"/>
      </w:pPr>
      <w:bookmarkStart w:id="72" w:name="_Toc375231087"/>
      <w:r>
        <w:rPr>
          <w:rStyle w:val="CharSectno"/>
        </w:rPr>
        <w:t>53A</w:t>
      </w:r>
      <w:r>
        <w:t>.</w:t>
      </w:r>
      <w:r>
        <w:tab/>
        <w:t>Fees for rubbish removal</w:t>
      </w:r>
      <w:bookmarkEnd w:id="72"/>
    </w:p>
    <w:p>
      <w:pPr>
        <w:pStyle w:val="Subsection"/>
      </w:pPr>
      <w:r>
        <w:tab/>
      </w:r>
      <w:r>
        <w:tab/>
        <w:t>The fees (if any) payable for removal of rubbish by the Department are as set out —</w:t>
      </w:r>
    </w:p>
    <w:p>
      <w:pPr>
        <w:pStyle w:val="Indenta"/>
      </w:pPr>
      <w:r>
        <w:tab/>
        <w:t>(a)</w:t>
      </w:r>
      <w:r>
        <w:tab/>
        <w:t xml:space="preserve">for a jetty at a place outside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Perth</w:t>
          </w:r>
        </w:smartTag>
      </w:smartTag>
      <w:r>
        <w:t>, in Schedule 1;</w:t>
      </w:r>
    </w:p>
    <w:p>
      <w:pPr>
        <w:pStyle w:val="Indenta"/>
      </w:pPr>
      <w:r>
        <w:tab/>
        <w:t>(b)</w:t>
      </w:r>
      <w:r>
        <w:tab/>
        <w:t xml:space="preserve">for a jetty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Perth</w:t>
          </w:r>
        </w:smartTag>
      </w:smartTag>
      <w:r>
        <w:t>, in Schedule 2.</w:t>
      </w:r>
    </w:p>
    <w:p>
      <w:pPr>
        <w:pStyle w:val="Footnotesection"/>
      </w:pPr>
      <w:r>
        <w:tab/>
        <w:t>[Regulation 53A inserted in Gazette 22 Jun 2007 p. 2909.]</w:t>
      </w:r>
    </w:p>
    <w:p>
      <w:pPr>
        <w:pStyle w:val="Heading5"/>
        <w:rPr>
          <w:snapToGrid w:val="0"/>
        </w:rPr>
      </w:pPr>
      <w:bookmarkStart w:id="73" w:name="_Toc375231088"/>
      <w:r>
        <w:rPr>
          <w:rStyle w:val="CharSectno"/>
        </w:rPr>
        <w:t>54</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articles prohibited</w:t>
      </w:r>
      <w:bookmarkEnd w:id="73"/>
      <w:r>
        <w:rPr>
          <w:snapToGrid w:val="0"/>
        </w:rPr>
        <w:t xml:space="preserve"> </w:t>
      </w:r>
    </w:p>
    <w:p>
      <w:pPr>
        <w:pStyle w:val="Subsection"/>
        <w:rPr>
          <w:snapToGrid w:val="0"/>
        </w:rPr>
      </w:pPr>
      <w:r>
        <w:rPr>
          <w:snapToGrid w:val="0"/>
        </w:rPr>
        <w:tab/>
      </w:r>
      <w:r>
        <w:rPr>
          <w:snapToGrid w:val="0"/>
        </w:rPr>
        <w:tab/>
        <w:t>No person, unless authorised by the Department, shall sell or attempt to sell any article on any jetty or premises, or in any car, carriage, or other vehicle of the Department.</w:t>
      </w:r>
    </w:p>
    <w:p>
      <w:pPr>
        <w:pStyle w:val="Footnotesection"/>
      </w:pPr>
      <w:r>
        <w:tab/>
        <w:t xml:space="preserve">[Regulation 54 amended in Gazette 19 May 1989 p. 1495.] </w:t>
      </w:r>
    </w:p>
    <w:p>
      <w:pPr>
        <w:pStyle w:val="Heading5"/>
        <w:rPr>
          <w:snapToGrid w:val="0"/>
        </w:rPr>
      </w:pPr>
      <w:bookmarkStart w:id="74" w:name="_Toc375231089"/>
      <w:r>
        <w:rPr>
          <w:rStyle w:val="CharSectno"/>
        </w:rPr>
        <w:t>55</w:t>
      </w:r>
      <w:r>
        <w:rPr>
          <w:snapToGrid w:val="0"/>
        </w:rPr>
        <w:t>.</w:t>
      </w:r>
      <w:r>
        <w:rPr>
          <w:snapToGrid w:val="0"/>
        </w:rPr>
        <w:tab/>
        <w:t>Smoking and loitering</w:t>
      </w:r>
      <w:bookmarkEnd w:id="74"/>
      <w:r>
        <w:rPr>
          <w:snapToGrid w:val="0"/>
        </w:rPr>
        <w:t xml:space="preserve"> </w:t>
      </w:r>
    </w:p>
    <w:p>
      <w:pPr>
        <w:pStyle w:val="Subsection"/>
        <w:rPr>
          <w:snapToGrid w:val="0"/>
        </w:rPr>
      </w:pPr>
      <w:r>
        <w:rPr>
          <w:snapToGrid w:val="0"/>
        </w:rPr>
        <w:tab/>
      </w:r>
      <w:r>
        <w:rPr>
          <w:snapToGrid w:val="0"/>
        </w:rPr>
        <w:tab/>
        <w:t>No person shall smoke in, under, or near to any shed, or loiter therein or thereunder, or upon any jetty, or lounge or sleep among the cargo placed in or under any shed or upon any jetty, or play at any game, or, without the written consent of the Department, address any assemblage of persons in any shed or on any jetty or any approach thereto.</w:t>
      </w:r>
    </w:p>
    <w:p>
      <w:pPr>
        <w:pStyle w:val="Footnotesection"/>
      </w:pPr>
      <w:r>
        <w:tab/>
        <w:t xml:space="preserve">[Regulation 55 amended in Gazette 19 May 1989 p. 1495.] </w:t>
      </w:r>
    </w:p>
    <w:p>
      <w:pPr>
        <w:pStyle w:val="Heading5"/>
        <w:rPr>
          <w:snapToGrid w:val="0"/>
        </w:rPr>
      </w:pPr>
      <w:bookmarkStart w:id="75" w:name="_Toc375231090"/>
      <w:r>
        <w:rPr>
          <w:rStyle w:val="CharSectno"/>
        </w:rPr>
        <w:t>56</w:t>
      </w:r>
      <w:r>
        <w:rPr>
          <w:snapToGrid w:val="0"/>
        </w:rPr>
        <w:t>.</w:t>
      </w:r>
      <w:r>
        <w:rPr>
          <w:snapToGrid w:val="0"/>
        </w:rPr>
        <w:tab/>
        <w:t>Trespassing</w:t>
      </w:r>
      <w:bookmarkEnd w:id="75"/>
      <w:r>
        <w:rPr>
          <w:snapToGrid w:val="0"/>
        </w:rPr>
        <w:t xml:space="preserve"> </w:t>
      </w:r>
    </w:p>
    <w:p>
      <w:pPr>
        <w:pStyle w:val="Subsection"/>
        <w:rPr>
          <w:snapToGrid w:val="0"/>
        </w:rPr>
      </w:pPr>
      <w:r>
        <w:rPr>
          <w:snapToGrid w:val="0"/>
        </w:rPr>
        <w:tab/>
      </w:r>
      <w:r>
        <w:rPr>
          <w:snapToGrid w:val="0"/>
        </w:rPr>
        <w:tab/>
        <w:t>No person shall trespass on any premises, or be in any vehicle or shed of the Department, unless he has business therein, and no person shall remain on such premises or in such vehicle or shed after having been directed by the officer in charge to withdraw.</w:t>
      </w:r>
    </w:p>
    <w:p>
      <w:pPr>
        <w:pStyle w:val="Footnotesection"/>
      </w:pPr>
      <w:r>
        <w:tab/>
        <w:t xml:space="preserve">[Regulation 56 amended in Gazette 19 May 1989 p. 1495.] </w:t>
      </w:r>
    </w:p>
    <w:p>
      <w:pPr>
        <w:pStyle w:val="Ednotesection"/>
      </w:pPr>
      <w:r>
        <w:t>[</w:t>
      </w:r>
      <w:r>
        <w:rPr>
          <w:b/>
        </w:rPr>
        <w:t>57</w:t>
      </w:r>
      <w:r>
        <w:rPr>
          <w:b/>
        </w:rPr>
        <w:noBreakHyphen/>
        <w:t>67.</w:t>
      </w:r>
      <w:r>
        <w:tab/>
        <w:t xml:space="preserve">Deleted in Gazette 24 Nov 1972 p. 4487.] </w:t>
      </w:r>
    </w:p>
    <w:p>
      <w:pPr>
        <w:pStyle w:val="Heading5"/>
        <w:rPr>
          <w:snapToGrid w:val="0"/>
        </w:rPr>
      </w:pPr>
      <w:bookmarkStart w:id="76" w:name="_Toc375231091"/>
      <w:r>
        <w:rPr>
          <w:rStyle w:val="CharSectno"/>
        </w:rPr>
        <w:t>67A</w:t>
      </w:r>
      <w:r>
        <w:rPr>
          <w:snapToGrid w:val="0"/>
        </w:rPr>
        <w:t>.</w:t>
      </w:r>
      <w:r>
        <w:rPr>
          <w:snapToGrid w:val="0"/>
        </w:rPr>
        <w:tab/>
        <w:t>Conditions for construction and installation of pipelines</w:t>
      </w:r>
      <w:bookmarkEnd w:id="76"/>
      <w:r>
        <w:rPr>
          <w:snapToGrid w:val="0"/>
        </w:rPr>
        <w:t xml:space="preserve"> </w:t>
      </w:r>
    </w:p>
    <w:p>
      <w:pPr>
        <w:pStyle w:val="Subsection"/>
        <w:rPr>
          <w:snapToGrid w:val="0"/>
        </w:rPr>
      </w:pPr>
      <w:r>
        <w:rPr>
          <w:snapToGrid w:val="0"/>
        </w:rPr>
        <w:tab/>
      </w:r>
      <w:r>
        <w:rPr>
          <w:snapToGrid w:val="0"/>
        </w:rPr>
        <w:tab/>
        <w:t>Standard conditions for construction and installation of pipelines for transmission of liquids derived from petroleum, coal and shale on and from jetties to storage tanks:</w:t>
      </w:r>
    </w:p>
    <w:p>
      <w:pPr>
        <w:pStyle w:val="Indenta"/>
        <w:spacing w:before="120"/>
        <w:rPr>
          <w:snapToGrid w:val="0"/>
        </w:rPr>
      </w:pPr>
      <w:r>
        <w:rPr>
          <w:snapToGrid w:val="0"/>
        </w:rPr>
        <w:tab/>
        <w:t>(1)</w:t>
      </w:r>
      <w:r>
        <w:rPr>
          <w:snapToGrid w:val="0"/>
        </w:rPr>
        <w:tab/>
        <w:t>This regulation applies to pipelines for the transmission of inflammable liquid, liquids derived from petroleum, coal or shale and liquids having a flash point less than 61°C from the point of discharge from or intake of the vessel to or from the storage point.</w:t>
      </w:r>
    </w:p>
    <w:p>
      <w:pPr>
        <w:pStyle w:val="Indenta"/>
        <w:spacing w:before="120"/>
        <w:rPr>
          <w:snapToGrid w:val="0"/>
        </w:rPr>
      </w:pPr>
      <w:r>
        <w:rPr>
          <w:snapToGrid w:val="0"/>
        </w:rPr>
        <w:tab/>
        <w:t>(2)</w:t>
      </w:r>
      <w:r>
        <w:rPr>
          <w:snapToGrid w:val="0"/>
        </w:rPr>
        <w:tab/>
        <w:t>The various directions and requirements contained in these conditions shall be read as addressed to the owner of the pipelines, valves, hoses or other appliances except where specifically stated otherwise, and he shall be entirely and solely responsible for their full and complete observance.</w:t>
      </w:r>
    </w:p>
    <w:p>
      <w:pPr>
        <w:pStyle w:val="Indenta"/>
        <w:spacing w:before="120"/>
        <w:rPr>
          <w:snapToGrid w:val="0"/>
        </w:rPr>
      </w:pPr>
      <w:r>
        <w:rPr>
          <w:snapToGrid w:val="0"/>
        </w:rPr>
        <w:tab/>
        <w:t>(3)</w:t>
      </w:r>
      <w:r>
        <w:rPr>
          <w:snapToGrid w:val="0"/>
        </w:rPr>
        <w:tab/>
        <w:t>Any proposal for the construction or installation of a pipeline on and from any jetty shall be submitted to the Department together with full specifications and details and such construction or installation shall not be commenced and no jetty shall be used for that purpose except by licence from the Minister or chief executive officer.</w:t>
      </w:r>
    </w:p>
    <w:p>
      <w:pPr>
        <w:pStyle w:val="Indenta"/>
        <w:spacing w:before="120"/>
        <w:rPr>
          <w:snapToGrid w:val="0"/>
        </w:rPr>
      </w:pPr>
      <w:r>
        <w:rPr>
          <w:snapToGrid w:val="0"/>
        </w:rPr>
        <w:tab/>
        <w:t>(4)(a)</w:t>
      </w:r>
      <w:r>
        <w:rPr>
          <w:snapToGrid w:val="0"/>
        </w:rPr>
        <w:tab/>
        <w:t>When an existing pipeline is to be relaid or renewed, or any major repairs are to be effected, such pipeline or such section thereof as the Department may determine shall be classified as a new pipeline and shall conform to this regulation.</w:t>
      </w:r>
    </w:p>
    <w:p>
      <w:pPr>
        <w:pStyle w:val="Indenta"/>
        <w:spacing w:before="120"/>
        <w:rPr>
          <w:snapToGrid w:val="0"/>
        </w:rPr>
      </w:pPr>
      <w:r>
        <w:rPr>
          <w:snapToGrid w:val="0"/>
        </w:rPr>
        <w:tab/>
        <w:t>(b)</w:t>
      </w:r>
      <w:r>
        <w:rPr>
          <w:snapToGrid w:val="0"/>
        </w:rPr>
        <w:tab/>
        <w:t>Major repairs include any repairs or alterations involving welding.</w:t>
      </w:r>
    </w:p>
    <w:p>
      <w:pPr>
        <w:pStyle w:val="Indenta"/>
        <w:spacing w:before="120"/>
        <w:rPr>
          <w:snapToGrid w:val="0"/>
        </w:rPr>
      </w:pPr>
      <w:r>
        <w:rPr>
          <w:snapToGrid w:val="0"/>
        </w:rPr>
        <w:tab/>
        <w:t>(5)</w:t>
      </w:r>
      <w:r>
        <w:rPr>
          <w:snapToGrid w:val="0"/>
        </w:rPr>
        <w:tab/>
        <w:t>Where the Department is of the opinion that it is in the interest of public safety so to do it may by notice in writing given to the owner of a pipeline require such owner to relay, renew or repair such pipeline in such manner and within such time as the notice requires.</w:t>
      </w:r>
    </w:p>
    <w:p>
      <w:pPr>
        <w:pStyle w:val="Indenta"/>
        <w:spacing w:before="120"/>
        <w:rPr>
          <w:snapToGrid w:val="0"/>
        </w:rPr>
      </w:pPr>
      <w:r>
        <w:rPr>
          <w:snapToGrid w:val="0"/>
        </w:rPr>
        <w:tab/>
        <w:t>(6)</w:t>
      </w:r>
      <w:r>
        <w:rPr>
          <w:snapToGrid w:val="0"/>
        </w:rPr>
        <w:tab/>
        <w:t>Pipelines, valves, flanges and fittings shall comply with the relevant requirements of British Standards, British Institute of Petroleum Safety Codes, American Petroleum Institute Specification for Line Pipe or other specifications approved by the Department.</w:t>
      </w:r>
    </w:p>
    <w:p>
      <w:pPr>
        <w:pStyle w:val="Indenta"/>
        <w:spacing w:before="120"/>
        <w:rPr>
          <w:snapToGrid w:val="0"/>
        </w:rPr>
      </w:pPr>
      <w:r>
        <w:rPr>
          <w:snapToGrid w:val="0"/>
        </w:rPr>
        <w:tab/>
        <w:t>(7)</w:t>
      </w:r>
      <w:r>
        <w:rPr>
          <w:snapToGrid w:val="0"/>
        </w:rPr>
        <w:tab/>
        <w:t>Joints in pipelines shall be welded wherever practicable, and otherwise shall be made with flanged ends or other means approved by the Department.</w:t>
      </w:r>
    </w:p>
    <w:p>
      <w:pPr>
        <w:pStyle w:val="Indenta"/>
        <w:spacing w:before="120"/>
        <w:rPr>
          <w:snapToGrid w:val="0"/>
        </w:rPr>
      </w:pPr>
      <w:r>
        <w:rPr>
          <w:snapToGrid w:val="0"/>
        </w:rPr>
        <w:tab/>
        <w:t>(8)</w:t>
      </w:r>
      <w:r>
        <w:rPr>
          <w:snapToGrid w:val="0"/>
        </w:rPr>
        <w:tab/>
        <w:t>Where pipelines are supported by a wharf, they shall be secured in an adequate manner, proper provision being made for expansion movement and anchorages.</w:t>
      </w:r>
    </w:p>
    <w:p>
      <w:pPr>
        <w:pStyle w:val="Indenta"/>
        <w:spacing w:before="120"/>
        <w:rPr>
          <w:snapToGrid w:val="0"/>
        </w:rPr>
      </w:pPr>
      <w:r>
        <w:rPr>
          <w:snapToGrid w:val="0"/>
        </w:rPr>
        <w:tab/>
        <w:t>(9)</w:t>
      </w:r>
      <w:r>
        <w:rPr>
          <w:snapToGrid w:val="0"/>
        </w:rPr>
        <w:tab/>
        <w:t>Where valves and outlets in pipelines are placed below the deck of a wharf, access openings, with covers, shall be provided to them.</w:t>
      </w:r>
    </w:p>
    <w:p>
      <w:pPr>
        <w:pStyle w:val="Indenta"/>
        <w:spacing w:before="120"/>
        <w:rPr>
          <w:snapToGrid w:val="0"/>
        </w:rPr>
      </w:pPr>
      <w:r>
        <w:rPr>
          <w:snapToGrid w:val="0"/>
        </w:rPr>
        <w:tab/>
        <w:t>(10)</w:t>
      </w:r>
      <w:r>
        <w:rPr>
          <w:snapToGrid w:val="0"/>
        </w:rPr>
        <w:tab/>
        <w:t>Pipelines on wharves shall be fitted with a stop valve at the outer or seaward end, and an approved non</w:t>
      </w:r>
      <w:r>
        <w:rPr>
          <w:snapToGrid w:val="0"/>
        </w:rPr>
        <w:noBreakHyphen/>
        <w:t>return valve shall be placed immediately behind the connections between the flexible hose and the shore pipeline. Where required by the Department an approved non</w:t>
      </w:r>
      <w:r>
        <w:rPr>
          <w:snapToGrid w:val="0"/>
        </w:rPr>
        <w:noBreakHyphen/>
        <w:t>return valve shall be placed in the pipeline at the shore end of the wharf or at the shore end of a submarine pipeline. Subject to the approval of the Department the requirement of a non</w:t>
      </w:r>
      <w:r>
        <w:rPr>
          <w:snapToGrid w:val="0"/>
        </w:rPr>
        <w:noBreakHyphen/>
        <w:t>return valve at the seaward end of the pipeline may be dispensed with, if the distance from the outer or seaward end of the line to the non</w:t>
      </w:r>
      <w:r>
        <w:rPr>
          <w:snapToGrid w:val="0"/>
        </w:rPr>
        <w:noBreakHyphen/>
        <w:t>return valve on shore does not exceed 15 m.</w:t>
      </w:r>
      <w:r>
        <w:rPr>
          <w:snapToGrid w:val="0"/>
        </w:rPr>
        <w:br/>
        <w:t>In special circumstances, and as approved in writing by the Department, a non</w:t>
      </w:r>
      <w:r>
        <w:rPr>
          <w:snapToGrid w:val="0"/>
        </w:rPr>
        <w:noBreakHyphen/>
        <w:t>return valve may be by</w:t>
      </w:r>
      <w:r>
        <w:rPr>
          <w:snapToGrid w:val="0"/>
        </w:rPr>
        <w:noBreakHyphen/>
        <w:t>passed by the installation of a rising spindle gate valve connected to an approved branch line for “Go</w:t>
      </w:r>
      <w:r>
        <w:rPr>
          <w:snapToGrid w:val="0"/>
        </w:rPr>
        <w:noBreakHyphen/>
        <w:t>Devil” or product separation device operation and back loading. This valve must be kept closed and locked except when the pipeline is to be cleared of contents or back loading is taking place or the operations are such as to require insertion of a product separation device.</w:t>
      </w:r>
    </w:p>
    <w:p>
      <w:pPr>
        <w:pStyle w:val="Indenta"/>
        <w:spacing w:before="120"/>
        <w:rPr>
          <w:snapToGrid w:val="0"/>
        </w:rPr>
      </w:pPr>
      <w:r>
        <w:rPr>
          <w:snapToGrid w:val="0"/>
        </w:rPr>
        <w:tab/>
        <w:t>(11)</w:t>
      </w:r>
      <w:r>
        <w:rPr>
          <w:snapToGrid w:val="0"/>
        </w:rPr>
        <w:tab/>
        <w:t>Rising spindle gate valves of a type approved by the Department shall be used at pipeline control points.</w:t>
      </w:r>
    </w:p>
    <w:p>
      <w:pPr>
        <w:pStyle w:val="Indenta"/>
        <w:spacing w:before="120"/>
        <w:rPr>
          <w:snapToGrid w:val="0"/>
        </w:rPr>
      </w:pPr>
      <w:r>
        <w:rPr>
          <w:snapToGrid w:val="0"/>
        </w:rPr>
        <w:tab/>
        <w:t>(12)</w:t>
      </w:r>
      <w:r>
        <w:rPr>
          <w:snapToGrid w:val="0"/>
        </w:rPr>
        <w:tab/>
        <w:t>Pipelines used for the transmission of inflammable liquid with a flash point less than 61°C shall be suitably bended and earthed in a manner approved by the Department. A suitably designed cathodic protection system may be accepted for the purpose of this paragraph.</w:t>
      </w:r>
    </w:p>
    <w:p>
      <w:pPr>
        <w:pStyle w:val="Indenta"/>
        <w:spacing w:before="120"/>
        <w:rPr>
          <w:snapToGrid w:val="0"/>
        </w:rPr>
      </w:pPr>
      <w:r>
        <w:rPr>
          <w:snapToGrid w:val="0"/>
        </w:rPr>
        <w:tab/>
        <w:t>(13)</w:t>
      </w:r>
      <w:r>
        <w:rPr>
          <w:snapToGrid w:val="0"/>
        </w:rPr>
        <w:tab/>
        <w:t>The seaward end of pipelines and hoses left connected thereto on wharves shall be made liquid</w:t>
      </w:r>
      <w:r>
        <w:rPr>
          <w:snapToGrid w:val="0"/>
        </w:rPr>
        <w:noBreakHyphen/>
        <w:t>tight by fitting with either blank flanges properly secured and fastened by at least 4 bolts, or screwed caps.</w:t>
      </w:r>
    </w:p>
    <w:p>
      <w:pPr>
        <w:pStyle w:val="Indenta"/>
        <w:spacing w:before="120"/>
        <w:rPr>
          <w:snapToGrid w:val="0"/>
        </w:rPr>
      </w:pPr>
      <w:r>
        <w:rPr>
          <w:snapToGrid w:val="0"/>
        </w:rPr>
        <w:tab/>
        <w:t>(14)</w:t>
      </w:r>
      <w:r>
        <w:rPr>
          <w:snapToGrid w:val="0"/>
        </w:rPr>
        <w:tab/>
        <w:t>Pipelines and the control valves shall be marked as required by the Department.</w:t>
      </w:r>
    </w:p>
    <w:p>
      <w:pPr>
        <w:pStyle w:val="Indenta"/>
        <w:spacing w:before="120"/>
        <w:rPr>
          <w:snapToGrid w:val="0"/>
        </w:rPr>
      </w:pPr>
      <w:r>
        <w:rPr>
          <w:snapToGrid w:val="0"/>
        </w:rPr>
        <w:tab/>
        <w:t>(15)</w:t>
      </w:r>
      <w:r>
        <w:rPr>
          <w:snapToGrid w:val="0"/>
        </w:rPr>
        <w:tab/>
        <w:t>Pipelines not situated on wharves shall be laid above ground wherever possible and shall be properly supported at a height of not less than 160 mm above ground, but shall not rest directly on wood.</w:t>
      </w:r>
    </w:p>
    <w:p>
      <w:pPr>
        <w:pStyle w:val="Indenta"/>
        <w:spacing w:before="120"/>
        <w:rPr>
          <w:snapToGrid w:val="0"/>
        </w:rPr>
      </w:pPr>
      <w:r>
        <w:rPr>
          <w:snapToGrid w:val="0"/>
        </w:rPr>
        <w:tab/>
        <w:t>(16)</w:t>
      </w:r>
      <w:r>
        <w:rPr>
          <w:snapToGrid w:val="0"/>
        </w:rPr>
        <w:tab/>
        <w:t>Pipelines shall receive adequate protection against corrosion and other injury.</w:t>
      </w:r>
    </w:p>
    <w:p>
      <w:pPr>
        <w:pStyle w:val="Indenta"/>
        <w:spacing w:before="120"/>
        <w:rPr>
          <w:snapToGrid w:val="0"/>
        </w:rPr>
      </w:pPr>
      <w:r>
        <w:rPr>
          <w:snapToGrid w:val="0"/>
        </w:rPr>
        <w:tab/>
        <w:t>(17)</w:t>
      </w:r>
      <w:r>
        <w:rPr>
          <w:snapToGrid w:val="0"/>
        </w:rPr>
        <w:tab/>
        <w:t>If so required by the Department any pipeline laid under water shall be afforded cathodic protection in an approved manner.</w:t>
      </w:r>
    </w:p>
    <w:p>
      <w:pPr>
        <w:pStyle w:val="Indenta"/>
        <w:spacing w:before="120"/>
        <w:rPr>
          <w:snapToGrid w:val="0"/>
        </w:rPr>
      </w:pPr>
      <w:r>
        <w:rPr>
          <w:snapToGrid w:val="0"/>
        </w:rPr>
        <w:tab/>
        <w:t>(18)</w:t>
      </w:r>
      <w:r>
        <w:rPr>
          <w:snapToGrid w:val="0"/>
        </w:rPr>
        <w:tab/>
        <w:t>Pipelines laid under railway tracks, roads or streets, or where they may be subjected to heavy loading, shall be installed in accordance with the plans and specifications of the “Recommended practice on form of agreement and specifications for pipelines crossings under railroad tracks” issued by the American Petroleum Institute (A.P.I. Code No. 26) or other specification or proposal in regard to sleeving or culverting approved by the Department.</w:t>
      </w:r>
    </w:p>
    <w:p>
      <w:pPr>
        <w:pStyle w:val="Indenta"/>
        <w:spacing w:before="120"/>
        <w:rPr>
          <w:snapToGrid w:val="0"/>
        </w:rPr>
      </w:pPr>
      <w:r>
        <w:rPr>
          <w:snapToGrid w:val="0"/>
        </w:rPr>
        <w:tab/>
        <w:t>(19)</w:t>
      </w:r>
      <w:r>
        <w:rPr>
          <w:snapToGrid w:val="0"/>
        </w:rPr>
        <w:tab/>
        <w:t>Pipelines laid in ground, the surface of which is subject to loading of vehicular traffic, shall have at least 610 mm of approved cover over the top of the pipe, excluding flanges; proper access pits, with covers, shall be provided for valves, and flanged joints shall be readily accessible.</w:t>
      </w:r>
    </w:p>
    <w:p>
      <w:pPr>
        <w:pStyle w:val="Indenta"/>
        <w:spacing w:before="120"/>
        <w:rPr>
          <w:snapToGrid w:val="0"/>
        </w:rPr>
      </w:pPr>
      <w:r>
        <w:rPr>
          <w:snapToGrid w:val="0"/>
        </w:rPr>
        <w:tab/>
        <w:t>(20)</w:t>
      </w:r>
      <w:r>
        <w:rPr>
          <w:snapToGrid w:val="0"/>
        </w:rPr>
        <w:tab/>
        <w:t>When first installed, pipe lines shall be tested to a pressure of 2 MPa with water in sections over the full length of the pipeline, each section not exceeding distance between consecutive flanged joints, and full pressure shall be maintained for the period of each test with a minimum period of 30 minutes.</w:t>
      </w:r>
    </w:p>
    <w:p>
      <w:pPr>
        <w:pStyle w:val="Indenta"/>
        <w:spacing w:before="120"/>
        <w:rPr>
          <w:snapToGrid w:val="0"/>
        </w:rPr>
      </w:pPr>
      <w:r>
        <w:rPr>
          <w:snapToGrid w:val="0"/>
        </w:rPr>
        <w:tab/>
        <w:t>(21)</w:t>
      </w:r>
      <w:r>
        <w:rPr>
          <w:snapToGrid w:val="0"/>
        </w:rPr>
        <w:tab/>
        <w:t>Provision shall be made to relieve excessive pressure due to temperature variations in pipelines left full of liquid.</w:t>
      </w:r>
    </w:p>
    <w:p>
      <w:pPr>
        <w:pStyle w:val="Footnotesection"/>
      </w:pPr>
      <w:r>
        <w:tab/>
        <w:t xml:space="preserve">[Regulation 67A inserted in Gazette 17 Mar 1960 p. 779; amended in Gazette 28 Sep 1960 p. 2987; 16 Sep 1963 p. 2829; 15 Jun 1973 p. 2237 (erratum 13 Dec 1974 p. 5344); 30 Dec 2004 p. 6953.] </w:t>
      </w:r>
    </w:p>
    <w:p>
      <w:pPr>
        <w:pStyle w:val="Heading5"/>
        <w:spacing w:before="240"/>
        <w:rPr>
          <w:snapToGrid w:val="0"/>
        </w:rPr>
      </w:pPr>
      <w:bookmarkStart w:id="77" w:name="_Toc375231092"/>
      <w:r>
        <w:rPr>
          <w:rStyle w:val="CharSectno"/>
        </w:rPr>
        <w:t>67B</w:t>
      </w:r>
      <w:r>
        <w:rPr>
          <w:snapToGrid w:val="0"/>
        </w:rPr>
        <w:t>.</w:t>
      </w:r>
      <w:r>
        <w:rPr>
          <w:snapToGrid w:val="0"/>
        </w:rPr>
        <w:tab/>
        <w:t>Maintenance and operation of pipelines</w:t>
      </w:r>
      <w:bookmarkEnd w:id="77"/>
      <w:r>
        <w:rPr>
          <w:snapToGrid w:val="0"/>
        </w:rPr>
        <w:t xml:space="preserve"> </w:t>
      </w:r>
    </w:p>
    <w:p>
      <w:pPr>
        <w:pStyle w:val="Subsection"/>
        <w:rPr>
          <w:snapToGrid w:val="0"/>
        </w:rPr>
      </w:pPr>
      <w:r>
        <w:rPr>
          <w:snapToGrid w:val="0"/>
        </w:rPr>
        <w:tab/>
      </w:r>
      <w:r>
        <w:rPr>
          <w:snapToGrid w:val="0"/>
        </w:rPr>
        <w:tab/>
        <w:t>Maintenance and operation of pipelines for transmission of liquids derived from petroleum, coal and shale on or from jetties to storage tanks:</w:t>
      </w:r>
    </w:p>
    <w:p>
      <w:pPr>
        <w:pStyle w:val="Indenta"/>
        <w:spacing w:before="100"/>
        <w:rPr>
          <w:snapToGrid w:val="0"/>
        </w:rPr>
      </w:pPr>
      <w:r>
        <w:rPr>
          <w:snapToGrid w:val="0"/>
        </w:rPr>
        <w:tab/>
        <w:t>(1)</w:t>
      </w:r>
      <w:r>
        <w:rPr>
          <w:snapToGrid w:val="0"/>
        </w:rPr>
        <w:tab/>
        <w:t>Underground pipelines between the wharf and the storage tanks shall be examined by the owner at intervals not exceeding 3 years and a certificate forwarded to the Department that the pipelines are in good order and condition and such certificate shall state the basis on which it is issued, e.g., visual examination, pressure tests or metal thickness tests.</w:t>
      </w:r>
    </w:p>
    <w:p>
      <w:pPr>
        <w:pStyle w:val="Indenta"/>
        <w:spacing w:before="100"/>
        <w:rPr>
          <w:snapToGrid w:val="0"/>
        </w:rPr>
      </w:pPr>
      <w:r>
        <w:rPr>
          <w:snapToGrid w:val="0"/>
        </w:rPr>
        <w:tab/>
        <w:t>(2)</w:t>
      </w:r>
      <w:r>
        <w:rPr>
          <w:snapToGrid w:val="0"/>
        </w:rPr>
        <w:tab/>
        <w:t>Valves and other appliances used during pumping operations shall be inspected to ensure certainty of operation on each occasion before pumping commences.</w:t>
      </w:r>
    </w:p>
    <w:p>
      <w:pPr>
        <w:pStyle w:val="Indenta"/>
        <w:rPr>
          <w:snapToGrid w:val="0"/>
        </w:rPr>
      </w:pPr>
      <w:r>
        <w:rPr>
          <w:snapToGrid w:val="0"/>
        </w:rPr>
        <w:tab/>
        <w:t>(3)(a)</w:t>
      </w:r>
      <w:r>
        <w:rPr>
          <w:snapToGrid w:val="0"/>
        </w:rPr>
        <w:tab/>
        <w:t>Flexible hoses used in connection with the pumping of liquids derived from inflammable liquid, liquids derived from petroleum, coal or shale and liquids having a flash point less than 61°C to or from a vessel shall be of approved quality with a safe working pressure of at least 700 kPa.</w:t>
      </w:r>
    </w:p>
    <w:p>
      <w:pPr>
        <w:pStyle w:val="Indenta"/>
        <w:rPr>
          <w:snapToGrid w:val="0"/>
        </w:rPr>
      </w:pPr>
      <w:r>
        <w:rPr>
          <w:snapToGrid w:val="0"/>
        </w:rPr>
        <w:tab/>
        <w:t>(b)</w:t>
      </w:r>
      <w:r>
        <w:rPr>
          <w:snapToGrid w:val="0"/>
        </w:rPr>
        <w:tab/>
        <w:t>Such flexible hoses shall be fitted with Turk’s heads of hemp or sisal rope, or other approved means of protection at intervals of 1 m.</w:t>
      </w:r>
    </w:p>
    <w:p>
      <w:pPr>
        <w:pStyle w:val="Indenta"/>
        <w:rPr>
          <w:snapToGrid w:val="0"/>
        </w:rPr>
      </w:pPr>
      <w:r>
        <w:rPr>
          <w:snapToGrid w:val="0"/>
        </w:rPr>
        <w:tab/>
        <w:t>(c)</w:t>
      </w:r>
      <w:r>
        <w:rPr>
          <w:snapToGrid w:val="0"/>
        </w:rPr>
        <w:tab/>
        <w:t>The number of the hose, the safe working pressure and the ownership thereof, shall be indicated on each such flexible hose, by means of an engraved metallic plate incorporated in and forming part of such hose, or in such other manner as may be approved by the Department.</w:t>
      </w:r>
    </w:p>
    <w:p>
      <w:pPr>
        <w:pStyle w:val="Indenta"/>
        <w:rPr>
          <w:snapToGrid w:val="0"/>
        </w:rPr>
      </w:pPr>
      <w:r>
        <w:rPr>
          <w:snapToGrid w:val="0"/>
        </w:rPr>
        <w:tab/>
        <w:t>(d)</w:t>
      </w:r>
      <w:r>
        <w:rPr>
          <w:snapToGrid w:val="0"/>
        </w:rPr>
        <w:tab/>
        <w:t>To prevent the flow of direct current between ship and pipeline an insulating flange shall be fitted in the shore pipeline, or one easily identifiable, non</w:t>
      </w:r>
      <w:r>
        <w:rPr>
          <w:snapToGrid w:val="0"/>
        </w:rPr>
        <w:noBreakHyphen/>
        <w:t>conductive hose inserted in the hose string and the insulating flange or non</w:t>
      </w:r>
      <w:r>
        <w:rPr>
          <w:snapToGrid w:val="0"/>
        </w:rPr>
        <w:noBreakHyphen/>
        <w:t>conductive hose, as the case may be, shall comply in all respects with the Association of Australian Port and Marine Authorities, Rules for the Handling of Dangerous Goods and Oils in Ports, Part 5.</w:t>
      </w:r>
    </w:p>
    <w:p>
      <w:pPr>
        <w:pStyle w:val="Indenta"/>
        <w:rPr>
          <w:snapToGrid w:val="0"/>
        </w:rPr>
      </w:pPr>
      <w:r>
        <w:rPr>
          <w:snapToGrid w:val="0"/>
        </w:rPr>
        <w:tab/>
        <w:t>(4)</w:t>
      </w:r>
      <w:r>
        <w:rPr>
          <w:snapToGrid w:val="0"/>
        </w:rPr>
        <w:tab/>
        <w:t>Flexible hoses used in connection with the pumping of liquids derived from inflammable liquid, liquids derived from petroleum, coal or shale and liquids having a flash point less than 61°C to or from a vessel shall be tested under working conditions at intervals of not more than 6 months to at least 25% in excess of the actual maximum working pressure under which it is operated and the results of such test shall be recorded in a register to be kept by the owner and such record shall be made available for examination by the Department as required. A report on tests of hoses used by an owner shall be provided to the Department in January and July of each year. Such flexible hoses shall be properly and adequately supported to prevent chafing and kinking during pumping operations.</w:t>
      </w:r>
    </w:p>
    <w:p>
      <w:pPr>
        <w:pStyle w:val="Indenta"/>
        <w:rPr>
          <w:snapToGrid w:val="0"/>
        </w:rPr>
      </w:pPr>
      <w:r>
        <w:rPr>
          <w:snapToGrid w:val="0"/>
        </w:rPr>
        <w:tab/>
        <w:t>(5)</w:t>
      </w:r>
      <w:r>
        <w:rPr>
          <w:snapToGrid w:val="0"/>
        </w:rPr>
        <w:tab/>
        <w:t>Pipelines used in connection with the pumping to or from a vessel of liquids derived from inflammable liquid, liquids derived from petroleum, coal or shale and liquids having a flash point less than 61°C and unrefined crude petroleum, shall be provided with drip trays or drums under the seaward end of the pipeline of a type approved by the Department.</w:t>
      </w:r>
    </w:p>
    <w:p>
      <w:pPr>
        <w:pStyle w:val="Indenta"/>
        <w:rPr>
          <w:snapToGrid w:val="0"/>
        </w:rPr>
      </w:pPr>
      <w:r>
        <w:rPr>
          <w:snapToGrid w:val="0"/>
        </w:rPr>
        <w:tab/>
        <w:t>(6)</w:t>
      </w:r>
      <w:r>
        <w:rPr>
          <w:snapToGrid w:val="0"/>
        </w:rPr>
        <w:tab/>
        <w:t>Pipelines and fittings shall be inspected each time before use in loading or discharge and tested to a pressure 25% in excess of normal operating pressure at 3 monthly intervals.</w:t>
      </w:r>
    </w:p>
    <w:p>
      <w:pPr>
        <w:pStyle w:val="Indenta"/>
        <w:rPr>
          <w:snapToGrid w:val="0"/>
        </w:rPr>
      </w:pPr>
      <w:r>
        <w:rPr>
          <w:snapToGrid w:val="0"/>
        </w:rPr>
        <w:tab/>
        <w:t>(7)</w:t>
      </w:r>
      <w:r>
        <w:rPr>
          <w:snapToGrid w:val="0"/>
        </w:rPr>
        <w:tab/>
        <w:t>Electrical equipment on oil wharves or located within 15 m of shore terminal valves in pipelines shall comply with the appropriate section of the Wiring Rules of the Standards Association of Australia</w:t>
      </w:r>
      <w:r>
        <w:rPr>
          <w:snapToGrid w:val="0"/>
          <w:vertAlign w:val="superscript"/>
        </w:rPr>
        <w:t> 3</w:t>
      </w:r>
      <w:r>
        <w:rPr>
          <w:snapToGrid w:val="0"/>
        </w:rPr>
        <w:t xml:space="preserve"> and the requirements of the proper local electrical authority, and shall be inspected at intervals of not more than 6 months to ensure their continued compliance with such rules or requirements.</w:t>
      </w:r>
    </w:p>
    <w:p>
      <w:pPr>
        <w:pStyle w:val="Indenta"/>
        <w:rPr>
          <w:snapToGrid w:val="0"/>
        </w:rPr>
      </w:pPr>
      <w:r>
        <w:rPr>
          <w:snapToGrid w:val="0"/>
        </w:rPr>
        <w:tab/>
        <w:t>(8)</w:t>
      </w:r>
      <w:r>
        <w:rPr>
          <w:snapToGrid w:val="0"/>
        </w:rPr>
        <w:tab/>
        <w:t>Pipelines for transmission of inflammable liquid with a flash point less than 61°C shall be tested at intervals of not more than 12 months to ensure that they are suitably bonded and earthed as required by the Department.</w:t>
      </w:r>
    </w:p>
    <w:p>
      <w:pPr>
        <w:pStyle w:val="Indenta"/>
        <w:rPr>
          <w:snapToGrid w:val="0"/>
        </w:rPr>
      </w:pPr>
      <w:r>
        <w:rPr>
          <w:snapToGrid w:val="0"/>
        </w:rPr>
        <w:tab/>
        <w:t>(9)</w:t>
      </w:r>
      <w:r>
        <w:rPr>
          <w:snapToGrid w:val="0"/>
        </w:rPr>
        <w:tab/>
        <w:t>At the commencement of pumping of inflammable liquids having a flash point less than 61°C, and after each change of grade of liquid at which water clearance is employed, the velocity in the pipelines shall be restricted to a maximum of 1 m per second for a period of 30 minutes, or sufficient time to clear the pipeline twice, whichever is the longer, but where a change of grade of inflammable liquid is made by face to face pumping or short water plug separation the velocity need not be so restricted.</w:t>
      </w:r>
      <w:r>
        <w:rPr>
          <w:snapToGrid w:val="0"/>
        </w:rPr>
        <w:br/>
        <w:t>This slow pumping rate shall also be observed when filling empty tanks until the fill pipe is covered. When pipelines vary in bore, the limiting rate shall be applied to that part having the smallest bore.</w:t>
      </w:r>
    </w:p>
    <w:p>
      <w:pPr>
        <w:pStyle w:val="Indenta"/>
        <w:rPr>
          <w:snapToGrid w:val="0"/>
        </w:rPr>
      </w:pPr>
      <w:r>
        <w:rPr>
          <w:snapToGrid w:val="0"/>
        </w:rPr>
        <w:tab/>
        <w:t>(10)</w:t>
      </w:r>
      <w:r>
        <w:rPr>
          <w:snapToGrid w:val="0"/>
        </w:rPr>
        <w:tab/>
        <w:t>During pumping operations, pipelines shall be regularly patrolled throughout their full length so that any leakage may be detected.</w:t>
      </w:r>
    </w:p>
    <w:p>
      <w:pPr>
        <w:pStyle w:val="Indenta"/>
        <w:rPr>
          <w:snapToGrid w:val="0"/>
        </w:rPr>
      </w:pPr>
      <w:r>
        <w:rPr>
          <w:snapToGrid w:val="0"/>
        </w:rPr>
        <w:tab/>
        <w:t>(11)</w:t>
      </w:r>
      <w:r>
        <w:rPr>
          <w:snapToGrid w:val="0"/>
        </w:rPr>
        <w:tab/>
        <w:t>During the whole period of pumping operations, the terminal valves on wharf or jetty, and the delivery or control valve on the vessel, shall be closely watched by competent persons who shall close the valves in the event of any untoward occurrence.</w:t>
      </w:r>
    </w:p>
    <w:p>
      <w:pPr>
        <w:pStyle w:val="Indenta"/>
        <w:rPr>
          <w:snapToGrid w:val="0"/>
        </w:rPr>
      </w:pPr>
      <w:r>
        <w:rPr>
          <w:snapToGrid w:val="0"/>
        </w:rPr>
        <w:tab/>
        <w:t>(12)</w:t>
      </w:r>
      <w:r>
        <w:rPr>
          <w:snapToGrid w:val="0"/>
        </w:rPr>
        <w:tab/>
        <w:t>Pipelines, valves, hoses and other appliances used for transferring inflammable liquids with a flash point less than 61°C shall be maintained free from leakage and gas</w:t>
      </w:r>
      <w:r>
        <w:rPr>
          <w:snapToGrid w:val="0"/>
        </w:rPr>
        <w:noBreakHyphen/>
        <w:t>tight and, unless otherwise authorised by the Department, on the completion of loading or unloading shall be thoroughly freed of inflammable liquid and the hoses disconnected from the shore pipelines. Pipelines, valves, hoses and other appliances used for transferring oil with a flash point not less than 61°C shall be kept in good condition and free from leakage and all due precautions shall be taken to prevent any oil escaping into tidal water.</w:t>
      </w:r>
    </w:p>
    <w:p>
      <w:pPr>
        <w:pStyle w:val="Indenta"/>
        <w:rPr>
          <w:snapToGrid w:val="0"/>
        </w:rPr>
      </w:pPr>
      <w:r>
        <w:rPr>
          <w:snapToGrid w:val="0"/>
        </w:rPr>
        <w:tab/>
        <w:t>(13)</w:t>
      </w:r>
      <w:r>
        <w:rPr>
          <w:snapToGrid w:val="0"/>
        </w:rPr>
        <w:tab/>
        <w:t>Necessary precautions shall be taken to ensure that boats, barges or other small craft shall not moor under or remain near the wharf where pumping operations are being carried out.</w:t>
      </w:r>
    </w:p>
    <w:p>
      <w:pPr>
        <w:pStyle w:val="Indenta"/>
        <w:rPr>
          <w:snapToGrid w:val="0"/>
        </w:rPr>
      </w:pPr>
      <w:r>
        <w:rPr>
          <w:snapToGrid w:val="0"/>
        </w:rPr>
        <w:tab/>
        <w:t>(14)</w:t>
      </w:r>
      <w:r>
        <w:rPr>
          <w:snapToGrid w:val="0"/>
        </w:rPr>
        <w:tab/>
        <w:t>No naked light, matches or other source of ignition shall be brought within a distance of 15 m of shore terminal valves when pumping operations are being carried out, and any torch used shall be of flame</w:t>
      </w:r>
      <w:r>
        <w:rPr>
          <w:snapToGrid w:val="0"/>
        </w:rPr>
        <w:noBreakHyphen/>
        <w:t>proof construction, and any artificial light used shall also be of flame</w:t>
      </w:r>
      <w:r>
        <w:rPr>
          <w:snapToGrid w:val="0"/>
        </w:rPr>
        <w:noBreakHyphen/>
        <w:t>proof construction unless mounted at least 7.5 m above the level of the wharf, when it shall be of a type approved by the Department.</w:t>
      </w:r>
    </w:p>
    <w:p>
      <w:pPr>
        <w:pStyle w:val="Indenta"/>
        <w:rPr>
          <w:snapToGrid w:val="0"/>
        </w:rPr>
      </w:pPr>
      <w:r>
        <w:rPr>
          <w:snapToGrid w:val="0"/>
        </w:rPr>
        <w:tab/>
        <w:t>(15)</w:t>
      </w:r>
      <w:r>
        <w:rPr>
          <w:snapToGrid w:val="0"/>
        </w:rPr>
        <w:tab/>
        <w:t>A reliable watchman or watchmen shall be stationed in the vicinity of the vessel during pumping operations and such watchman or watchmen shall be persons approved by the Department and in such number as it may require.</w:t>
      </w:r>
    </w:p>
    <w:p>
      <w:pPr>
        <w:pStyle w:val="Indenta"/>
        <w:rPr>
          <w:snapToGrid w:val="0"/>
        </w:rPr>
      </w:pPr>
      <w:r>
        <w:rPr>
          <w:snapToGrid w:val="0"/>
        </w:rPr>
        <w:tab/>
        <w:t>(16)</w:t>
      </w:r>
      <w:r>
        <w:rPr>
          <w:snapToGrid w:val="0"/>
        </w:rPr>
        <w:tab/>
        <w:t>A responsible representative of the master of a vessel and a representative of the installation to which or from which the inflammable liquid is being transmitted by pipelines, shall be on duty at all times at the point of discharge from or intake of the vessel during preparation for any pumping operation.</w:t>
      </w:r>
    </w:p>
    <w:p>
      <w:pPr>
        <w:pStyle w:val="Indenta"/>
        <w:rPr>
          <w:snapToGrid w:val="0"/>
        </w:rPr>
      </w:pPr>
      <w:r>
        <w:rPr>
          <w:snapToGrid w:val="0"/>
        </w:rPr>
        <w:tab/>
        <w:t>(17)</w:t>
      </w:r>
      <w:r>
        <w:rPr>
          <w:snapToGrid w:val="0"/>
        </w:rPr>
        <w:tab/>
        <w:t>The owner of the vessel and of the installation to or from which pumping operations will be made shall ensure, in his respective sphere, that sufficient fire</w:t>
      </w:r>
      <w:r>
        <w:rPr>
          <w:snapToGrid w:val="0"/>
        </w:rPr>
        <w:noBreakHyphen/>
        <w:t>fighting equipment as approved by the Department is available for immediate use should such be required.</w:t>
      </w:r>
    </w:p>
    <w:p>
      <w:pPr>
        <w:pStyle w:val="Indenta"/>
        <w:rPr>
          <w:snapToGrid w:val="0"/>
        </w:rPr>
      </w:pPr>
      <w:r>
        <w:rPr>
          <w:snapToGrid w:val="0"/>
        </w:rPr>
        <w:tab/>
        <w:t>(18)</w:t>
      </w:r>
      <w:r>
        <w:rPr>
          <w:snapToGrid w:val="0"/>
        </w:rPr>
        <w:tab/>
        <w:t>Any untoward occurrence shall be reported immediately to the Department or its representative.</w:t>
      </w:r>
    </w:p>
    <w:p>
      <w:pPr>
        <w:pStyle w:val="Indenta"/>
        <w:rPr>
          <w:snapToGrid w:val="0"/>
        </w:rPr>
      </w:pPr>
      <w:r>
        <w:rPr>
          <w:snapToGrid w:val="0"/>
        </w:rPr>
        <w:tab/>
        <w:t>(19)</w:t>
      </w:r>
      <w:r>
        <w:rPr>
          <w:snapToGrid w:val="0"/>
        </w:rPr>
        <w:tab/>
        <w:t>The approval of the Department shall be obtained on each occasion in respect of each particular vessel before pumping operations commence and any additional conditions stipulated by it shall be observed.</w:t>
      </w:r>
    </w:p>
    <w:p>
      <w:pPr>
        <w:pStyle w:val="Indenta"/>
        <w:rPr>
          <w:snapToGrid w:val="0"/>
        </w:rPr>
      </w:pPr>
      <w:r>
        <w:rPr>
          <w:snapToGrid w:val="0"/>
        </w:rPr>
        <w:tab/>
        <w:t>(20)</w:t>
      </w:r>
      <w:r>
        <w:rPr>
          <w:snapToGrid w:val="0"/>
        </w:rPr>
        <w:tab/>
        <w:t>Operations shall be discontinued should the Department consider such course necessary in the interests of safety.</w:t>
      </w:r>
    </w:p>
    <w:p>
      <w:pPr>
        <w:pStyle w:val="Indenta"/>
        <w:rPr>
          <w:snapToGrid w:val="0"/>
        </w:rPr>
      </w:pPr>
      <w:r>
        <w:rPr>
          <w:snapToGrid w:val="0"/>
        </w:rPr>
        <w:tab/>
        <w:t>(21)</w:t>
      </w:r>
      <w:r>
        <w:rPr>
          <w:snapToGrid w:val="0"/>
        </w:rPr>
        <w:tab/>
        <w:t>When pumping operations cease temporarily valves on the vessel and on the shore pipeline shall be closed.</w:t>
      </w:r>
    </w:p>
    <w:p>
      <w:pPr>
        <w:pStyle w:val="Indenta"/>
        <w:rPr>
          <w:snapToGrid w:val="0"/>
        </w:rPr>
      </w:pPr>
      <w:r>
        <w:rPr>
          <w:snapToGrid w:val="0"/>
        </w:rPr>
        <w:tab/>
        <w:t>(22)</w:t>
      </w:r>
      <w:r>
        <w:rPr>
          <w:snapToGrid w:val="0"/>
        </w:rPr>
        <w:tab/>
        <w:t>On completion of pumping operations pipelines outside storage installations and used for the transmission of inflammable liquids with a flash point less than 61°C shall be thoroughly cleared of the inflammable liquid by flushing with water and shall be kept full of water.</w:t>
      </w:r>
    </w:p>
    <w:p>
      <w:pPr>
        <w:pStyle w:val="Indenta"/>
        <w:rPr>
          <w:snapToGrid w:val="0"/>
        </w:rPr>
      </w:pPr>
      <w:r>
        <w:rPr>
          <w:snapToGrid w:val="0"/>
        </w:rPr>
        <w:tab/>
        <w:t>(23)</w:t>
      </w:r>
      <w:r>
        <w:rPr>
          <w:snapToGrid w:val="0"/>
        </w:rPr>
        <w:tab/>
        <w:t>Notwithstanding the requirements of subregulation (22), the Department may grant exemption from this provision in the case of underwater pipelines used for the transmission of crude oil having a flash point of less than 61°C or any pipeline provided it is patrolled to the satisfaction of the Department.</w:t>
      </w:r>
    </w:p>
    <w:p>
      <w:pPr>
        <w:pStyle w:val="Indenta"/>
        <w:rPr>
          <w:snapToGrid w:val="0"/>
        </w:rPr>
      </w:pPr>
      <w:r>
        <w:rPr>
          <w:snapToGrid w:val="0"/>
        </w:rPr>
        <w:tab/>
        <w:t>(23A)</w:t>
      </w:r>
      <w:r>
        <w:rPr>
          <w:snapToGrid w:val="0"/>
        </w:rPr>
        <w:tab/>
        <w:t>Petroleum substance that is heated above the ambient temperature shall not be pumped through a pipeline or flexible hose unless the pipeline or flexible hose is designed and constructed for use at the elevated temperature of the substance to be pumped.</w:t>
      </w:r>
    </w:p>
    <w:p>
      <w:pPr>
        <w:pStyle w:val="Indenta"/>
        <w:rPr>
          <w:snapToGrid w:val="0"/>
        </w:rPr>
      </w:pPr>
      <w:r>
        <w:rPr>
          <w:snapToGrid w:val="0"/>
        </w:rPr>
        <w:tab/>
        <w:t>(24)</w:t>
      </w:r>
      <w:r>
        <w:rPr>
          <w:snapToGrid w:val="0"/>
        </w:rPr>
        <w:tab/>
        <w:t>Except with the approval of the Department, on completion of pumping operations pipelines shall be cleared of oil with a flash point of not less than 65°C from the point of loading or discharge to the non</w:t>
      </w:r>
      <w:r>
        <w:rPr>
          <w:snapToGrid w:val="0"/>
        </w:rPr>
        <w:noBreakHyphen/>
        <w:t>return valve at the shore end of the wharf.</w:t>
      </w:r>
    </w:p>
    <w:p>
      <w:pPr>
        <w:pStyle w:val="Indenta"/>
        <w:rPr>
          <w:snapToGrid w:val="0"/>
        </w:rPr>
      </w:pPr>
      <w:r>
        <w:rPr>
          <w:snapToGrid w:val="0"/>
        </w:rPr>
        <w:tab/>
        <w:t>(25)</w:t>
      </w:r>
      <w:r>
        <w:rPr>
          <w:snapToGrid w:val="0"/>
        </w:rPr>
        <w:tab/>
        <w:t>Subject to the written approval of the Department, liquids derived from petroleum, coal and shale may be pumped to or from a vessel after sunset, provided that the following conditions and such other conditions as may be stipulated by the Department are complied with:</w:t>
      </w:r>
    </w:p>
    <w:p>
      <w:pPr>
        <w:pStyle w:val="Indenti"/>
        <w:rPr>
          <w:snapToGrid w:val="0"/>
        </w:rPr>
      </w:pPr>
      <w:r>
        <w:rPr>
          <w:snapToGrid w:val="0"/>
        </w:rPr>
        <w:tab/>
        <w:t>(a)</w:t>
      </w:r>
      <w:r>
        <w:rPr>
          <w:snapToGrid w:val="0"/>
        </w:rPr>
        <w:tab/>
        <w:t>Pipelines, hoses, valves and other appliances shall be coupled up and pumping commenced at least one hour before sunset, and such pipelines and hoses shall not be uncoupled or otherwise interfered with except in daylight unless with special permission of the Department and in the presence of its representative.</w:t>
      </w:r>
    </w:p>
    <w:p>
      <w:pPr>
        <w:pStyle w:val="Indenti"/>
        <w:rPr>
          <w:snapToGrid w:val="0"/>
        </w:rPr>
      </w:pPr>
      <w:r>
        <w:rPr>
          <w:snapToGrid w:val="0"/>
        </w:rPr>
        <w:tab/>
        <w:t>(b)</w:t>
      </w:r>
      <w:r>
        <w:rPr>
          <w:snapToGrid w:val="0"/>
        </w:rPr>
        <w:tab/>
        <w:t>Adequate lighting of an approved type shall be provided to the satisfaction of the Department.</w:t>
      </w:r>
    </w:p>
    <w:p>
      <w:pPr>
        <w:pStyle w:val="Indenta"/>
        <w:rPr>
          <w:snapToGrid w:val="0"/>
        </w:rPr>
      </w:pPr>
      <w:r>
        <w:rPr>
          <w:snapToGrid w:val="0"/>
        </w:rPr>
        <w:tab/>
        <w:t>(26)</w:t>
      </w:r>
      <w:r>
        <w:rPr>
          <w:snapToGrid w:val="0"/>
        </w:rPr>
        <w:tab/>
        <w:t>Arrangements shall be made by the master of the vessel to ensure that there shall be sufficient staff of officers and men available at all times to ensure the efficient carrying on of the work or to remove the vessel if so required.</w:t>
      </w:r>
    </w:p>
    <w:p>
      <w:pPr>
        <w:pStyle w:val="Footnotesection"/>
      </w:pPr>
      <w:r>
        <w:tab/>
        <w:t xml:space="preserve">[Regulation 67B inserted in Gazette 17 Mar 1960 p. 780; amended in Gazette 20 Dec 1962 p. 4054; 16 Sep 1963 p. 2829; 15 Jun 1973 p. 2237; 6 Feb 1981 p. 555; 24 Aug 2004 p. 3659.] </w:t>
      </w:r>
    </w:p>
    <w:p>
      <w:pPr>
        <w:pStyle w:val="Ednotesection"/>
      </w:pPr>
      <w:r>
        <w:t>[</w:t>
      </w:r>
      <w:r>
        <w:rPr>
          <w:b/>
        </w:rPr>
        <w:t>67C.</w:t>
      </w:r>
      <w:r>
        <w:tab/>
        <w:t xml:space="preserve">Deleted in Gazette 14 Apr 1966 p. 918.] </w:t>
      </w:r>
    </w:p>
    <w:p>
      <w:pPr>
        <w:pStyle w:val="Heading5"/>
        <w:rPr>
          <w:snapToGrid w:val="0"/>
        </w:rPr>
      </w:pPr>
      <w:bookmarkStart w:id="78" w:name="_Toc375231093"/>
      <w:r>
        <w:rPr>
          <w:rStyle w:val="CharSectno"/>
        </w:rPr>
        <w:t>67D</w:t>
      </w:r>
      <w:r>
        <w:rPr>
          <w:snapToGrid w:val="0"/>
        </w:rPr>
        <w:t>.</w:t>
      </w:r>
      <w:r>
        <w:rPr>
          <w:snapToGrid w:val="0"/>
        </w:rPr>
        <w:tab/>
        <w:t>Penalty for failure to remove or amend pipeline</w:t>
      </w:r>
      <w:bookmarkEnd w:id="78"/>
      <w:r>
        <w:rPr>
          <w:snapToGrid w:val="0"/>
        </w:rPr>
        <w:t xml:space="preserve"> </w:t>
      </w:r>
    </w:p>
    <w:p>
      <w:pPr>
        <w:pStyle w:val="Subsection"/>
        <w:rPr>
          <w:snapToGrid w:val="0"/>
        </w:rPr>
      </w:pPr>
      <w:r>
        <w:rPr>
          <w:snapToGrid w:val="0"/>
        </w:rPr>
        <w:tab/>
      </w:r>
      <w:r>
        <w:rPr>
          <w:snapToGrid w:val="0"/>
        </w:rPr>
        <w:tab/>
        <w:t>Where the Minister or chief executive officer requires a person to whom a licence has been granted or assigned under these regulations to remove or amend a pipeline on the expiration of the licence that person if he neglects or fails to comply in all respects with the direction, is guilty of an offence against these regulations.</w:t>
      </w:r>
    </w:p>
    <w:p>
      <w:pPr>
        <w:pStyle w:val="Footnotesection"/>
      </w:pPr>
      <w:r>
        <w:tab/>
        <w:t xml:space="preserve">[Regulation 67D inserted as regulation 67E in Gazette 17 Mar 1960 p. 783; renumbered 67D in Gazette 28 Sep 1960 p. 2988; amended in Gazette 30 Dec 2004 p. 6953.] </w:t>
      </w:r>
    </w:p>
    <w:p>
      <w:pPr>
        <w:pStyle w:val="Heading5"/>
      </w:pPr>
      <w:bookmarkStart w:id="79" w:name="_Toc375231094"/>
      <w:r>
        <w:rPr>
          <w:rStyle w:val="CharSectno"/>
        </w:rPr>
        <w:t>67DA</w:t>
      </w:r>
      <w:r>
        <w:t>.</w:t>
      </w:r>
      <w:r>
        <w:tab/>
        <w:t>Fuelling vessels at service jetties limited</w:t>
      </w:r>
      <w:bookmarkEnd w:id="79"/>
    </w:p>
    <w:p>
      <w:pPr>
        <w:pStyle w:val="Subsection"/>
      </w:pPr>
      <w:r>
        <w:tab/>
      </w:r>
      <w:r>
        <w:tab/>
        <w:t xml:space="preserve">A person must not fuel a vessel from a service jetty unless the person does so — </w:t>
      </w:r>
    </w:p>
    <w:p>
      <w:pPr>
        <w:pStyle w:val="Indenta"/>
      </w:pPr>
      <w:r>
        <w:tab/>
        <w:t>(a)</w:t>
      </w:r>
      <w:r>
        <w:tab/>
        <w:t xml:space="preserve">in accordance with a licence issued under the </w:t>
      </w:r>
      <w:r>
        <w:rPr>
          <w:i/>
        </w:rPr>
        <w:t>Jetties Act 1926</w:t>
      </w:r>
      <w:r>
        <w:t xml:space="preserve"> section 7(1); or</w:t>
      </w:r>
    </w:p>
    <w:p>
      <w:pPr>
        <w:pStyle w:val="Indenta"/>
      </w:pPr>
      <w:r>
        <w:tab/>
        <w:t>(b)</w:t>
      </w:r>
      <w:r>
        <w:tab/>
        <w:t>with the prior written approval of the chief executive officer or an Officer appointed by the chief executive officer in writing to give that permission.</w:t>
      </w:r>
    </w:p>
    <w:p>
      <w:pPr>
        <w:pStyle w:val="Penstart"/>
      </w:pPr>
      <w:r>
        <w:tab/>
        <w:t>Penalty: a fine of $500.</w:t>
      </w:r>
    </w:p>
    <w:p>
      <w:pPr>
        <w:pStyle w:val="Footnotesection"/>
      </w:pPr>
      <w:r>
        <w:tab/>
        <w:t>[Regulation 67DA inserted in Gazette 7 Dec 2007 p. 5984.]</w:t>
      </w:r>
    </w:p>
    <w:p>
      <w:pPr>
        <w:pStyle w:val="Heading2"/>
      </w:pPr>
      <w:bookmarkStart w:id="80" w:name="_Toc375231095"/>
      <w:r>
        <w:rPr>
          <w:rStyle w:val="CharPartNo"/>
        </w:rPr>
        <w:t>Part 2</w:t>
      </w:r>
      <w:r>
        <w:t> — </w:t>
      </w:r>
      <w:r>
        <w:rPr>
          <w:rStyle w:val="CharPartText"/>
        </w:rPr>
        <w:t xml:space="preserve">Regulations applying to jetties within the </w:t>
      </w:r>
      <w:smartTag w:uri="urn:schemas-microsoft-com:office:smarttags" w:element="place">
        <w:smartTag w:uri="urn:schemas-microsoft-com:office:smarttags" w:element="PlaceType">
          <w:r>
            <w:rPr>
              <w:rStyle w:val="CharPartText"/>
            </w:rPr>
            <w:t>Port</w:t>
          </w:r>
        </w:smartTag>
        <w:r>
          <w:rPr>
            <w:rStyle w:val="CharPartText"/>
          </w:rPr>
          <w:t xml:space="preserve"> of </w:t>
        </w:r>
        <w:smartTag w:uri="urn:schemas-microsoft-com:office:smarttags" w:element="PlaceName">
          <w:r>
            <w:rPr>
              <w:rStyle w:val="CharPartText"/>
            </w:rPr>
            <w:t>Perth</w:t>
          </w:r>
        </w:smartTag>
      </w:smartTag>
      <w:bookmarkEnd w:id="80"/>
      <w:r>
        <w:rPr>
          <w:rStyle w:val="CharPartText"/>
        </w:rPr>
        <w:t xml:space="preserve"> </w:t>
      </w:r>
    </w:p>
    <w:p>
      <w:pPr>
        <w:pStyle w:val="Footnoteheading"/>
      </w:pPr>
      <w:r>
        <w:tab/>
        <w:t xml:space="preserve">[Heading inserted in Gazette 19 May 1989 p. 1494.] </w:t>
      </w:r>
    </w:p>
    <w:p>
      <w:pPr>
        <w:pStyle w:val="Heading3"/>
        <w:rPr>
          <w:snapToGrid w:val="0"/>
        </w:rPr>
      </w:pPr>
      <w:bookmarkStart w:id="81" w:name="_Toc375231096"/>
      <w:r>
        <w:rPr>
          <w:rStyle w:val="CharDivNo"/>
        </w:rPr>
        <w:t>Division 1</w:t>
      </w:r>
      <w:r>
        <w:rPr>
          <w:snapToGrid w:val="0"/>
        </w:rPr>
        <w:t> — </w:t>
      </w:r>
      <w:r>
        <w:rPr>
          <w:rStyle w:val="CharDivText"/>
        </w:rPr>
        <w:t>Application of this Part</w:t>
      </w:r>
      <w:bookmarkEnd w:id="81"/>
      <w:r>
        <w:rPr>
          <w:rStyle w:val="CharDivText"/>
        </w:rPr>
        <w:t xml:space="preserve"> </w:t>
      </w:r>
    </w:p>
    <w:p>
      <w:pPr>
        <w:pStyle w:val="Footnoteheading"/>
      </w:pPr>
      <w:r>
        <w:tab/>
        <w:t xml:space="preserve">[Heading inserted in Gazette 19 May 1989 p. 1494.] </w:t>
      </w:r>
    </w:p>
    <w:p>
      <w:pPr>
        <w:pStyle w:val="Heading5"/>
        <w:rPr>
          <w:snapToGrid w:val="0"/>
        </w:rPr>
      </w:pPr>
      <w:bookmarkStart w:id="82" w:name="_Toc375231097"/>
      <w:r>
        <w:rPr>
          <w:rStyle w:val="CharSectno"/>
        </w:rPr>
        <w:t>67E</w:t>
      </w:r>
      <w:r>
        <w:rPr>
          <w:snapToGrid w:val="0"/>
        </w:rPr>
        <w:t>.</w:t>
      </w:r>
      <w:r>
        <w:rPr>
          <w:snapToGrid w:val="0"/>
        </w:rPr>
        <w:tab/>
        <w:t>Application</w:t>
      </w:r>
      <w:bookmarkEnd w:id="82"/>
      <w:r>
        <w:rPr>
          <w:snapToGrid w:val="0"/>
        </w:rPr>
        <w:t xml:space="preserve"> </w:t>
      </w:r>
    </w:p>
    <w:p>
      <w:pPr>
        <w:pStyle w:val="Subsection"/>
        <w:rPr>
          <w:snapToGrid w:val="0"/>
        </w:rPr>
      </w:pPr>
      <w:r>
        <w:rPr>
          <w:snapToGrid w:val="0"/>
        </w:rPr>
        <w:tab/>
      </w:r>
      <w:r>
        <w:rPr>
          <w:snapToGrid w:val="0"/>
        </w:rPr>
        <w:tab/>
        <w:t xml:space="preserve">This Part applies to all jetties within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w:t>
      </w:r>
    </w:p>
    <w:p>
      <w:pPr>
        <w:pStyle w:val="Footnoteheading"/>
      </w:pPr>
      <w:r>
        <w:tab/>
        <w:t xml:space="preserve">[Regulation 67E inserted in Gazette 19 May 1989 p. 1494.] </w:t>
      </w:r>
    </w:p>
    <w:p>
      <w:pPr>
        <w:pStyle w:val="Heading3"/>
        <w:rPr>
          <w:snapToGrid w:val="0"/>
        </w:rPr>
      </w:pPr>
      <w:bookmarkStart w:id="83" w:name="_Toc375231098"/>
      <w:r>
        <w:rPr>
          <w:rStyle w:val="CharDivNo"/>
        </w:rPr>
        <w:t>Division 2</w:t>
      </w:r>
      <w:r>
        <w:rPr>
          <w:snapToGrid w:val="0"/>
        </w:rPr>
        <w:t> — </w:t>
      </w:r>
      <w:r>
        <w:rPr>
          <w:rStyle w:val="CharDivText"/>
        </w:rPr>
        <w:t>Management and use of jetties</w:t>
      </w:r>
      <w:bookmarkEnd w:id="83"/>
      <w:r>
        <w:rPr>
          <w:rStyle w:val="CharDivText"/>
        </w:rPr>
        <w:t xml:space="preserve"> </w:t>
      </w:r>
    </w:p>
    <w:p>
      <w:pPr>
        <w:pStyle w:val="Footnoteheading"/>
        <w:rPr>
          <w:snapToGrid w:val="0"/>
        </w:rPr>
      </w:pPr>
      <w:r>
        <w:rPr>
          <w:snapToGrid w:val="0"/>
        </w:rPr>
        <w:tab/>
        <w:t xml:space="preserve">[Heading inserted in Gazette 19 May 1989 p. 1494.] </w:t>
      </w:r>
    </w:p>
    <w:p>
      <w:pPr>
        <w:pStyle w:val="Heading5"/>
        <w:rPr>
          <w:snapToGrid w:val="0"/>
        </w:rPr>
      </w:pPr>
      <w:bookmarkStart w:id="84" w:name="_Toc375231099"/>
      <w:r>
        <w:rPr>
          <w:rStyle w:val="CharSectno"/>
        </w:rPr>
        <w:t>68</w:t>
      </w:r>
      <w:r>
        <w:rPr>
          <w:snapToGrid w:val="0"/>
        </w:rPr>
        <w:t>.</w:t>
      </w:r>
      <w:r>
        <w:rPr>
          <w:snapToGrid w:val="0"/>
        </w:rPr>
        <w:tab/>
        <w:t>Control of jetties</w:t>
      </w:r>
      <w:bookmarkEnd w:id="84"/>
      <w:r>
        <w:rPr>
          <w:snapToGrid w:val="0"/>
        </w:rPr>
        <w:t xml:space="preserve"> </w:t>
      </w:r>
    </w:p>
    <w:p>
      <w:pPr>
        <w:pStyle w:val="Subsection"/>
        <w:rPr>
          <w:snapToGrid w:val="0"/>
        </w:rPr>
      </w:pPr>
      <w:r>
        <w:rPr>
          <w:snapToGrid w:val="0"/>
        </w:rPr>
        <w:tab/>
      </w:r>
      <w:r>
        <w:rPr>
          <w:snapToGrid w:val="0"/>
        </w:rPr>
        <w:tab/>
        <w:t xml:space="preserve">All public jetties in the </w:t>
      </w:r>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r>
        <w:t xml:space="preserve">, except the Main Ferry Jetty at </w:t>
      </w: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w:t>
      </w:r>
      <w:r>
        <w:rPr>
          <w:snapToGrid w:val="0"/>
        </w:rPr>
        <w:t>shall henceforth be under the control of the Department.</w:t>
      </w:r>
    </w:p>
    <w:p>
      <w:pPr>
        <w:pStyle w:val="Footnotesection"/>
      </w:pPr>
      <w:r>
        <w:tab/>
        <w:t xml:space="preserve">[Regulation 68 amended in Gazette 19 May 1989 p. 1495; </w:t>
      </w:r>
      <w:r>
        <w:rPr>
          <w:color w:val="000000"/>
        </w:rPr>
        <w:t>27 Jun 2003 p. </w:t>
      </w:r>
      <w:r>
        <w:t xml:space="preserve">2502.] </w:t>
      </w:r>
    </w:p>
    <w:p>
      <w:pPr>
        <w:pStyle w:val="Heading5"/>
        <w:rPr>
          <w:snapToGrid w:val="0"/>
        </w:rPr>
      </w:pPr>
      <w:bookmarkStart w:id="85" w:name="_Toc375231100"/>
      <w:r>
        <w:rPr>
          <w:rStyle w:val="CharSectno"/>
        </w:rPr>
        <w:t>69</w:t>
      </w:r>
      <w:r>
        <w:rPr>
          <w:snapToGrid w:val="0"/>
        </w:rPr>
        <w:t>.</w:t>
      </w:r>
      <w:r>
        <w:rPr>
          <w:snapToGrid w:val="0"/>
        </w:rPr>
        <w:tab/>
        <w:t>Use of jetties</w:t>
      </w:r>
      <w:bookmarkEnd w:id="85"/>
      <w:r>
        <w:rPr>
          <w:snapToGrid w:val="0"/>
        </w:rPr>
        <w:t xml:space="preserve"> </w:t>
      </w:r>
    </w:p>
    <w:p>
      <w:pPr>
        <w:pStyle w:val="Subsection"/>
        <w:rPr>
          <w:snapToGrid w:val="0"/>
        </w:rPr>
      </w:pPr>
      <w:r>
        <w:rPr>
          <w:snapToGrid w:val="0"/>
        </w:rPr>
        <w:tab/>
        <w:t>(a)</w:t>
      </w:r>
      <w:r>
        <w:rPr>
          <w:snapToGrid w:val="0"/>
        </w:rPr>
        <w:tab/>
        <w:t>No person shall land at, use, or enter upon any public jetty except in accordance with these regulations.</w:t>
      </w:r>
    </w:p>
    <w:p>
      <w:pPr>
        <w:pStyle w:val="Subsection"/>
        <w:rPr>
          <w:snapToGrid w:val="0"/>
        </w:rPr>
      </w:pPr>
      <w:r>
        <w:rPr>
          <w:snapToGrid w:val="0"/>
        </w:rPr>
        <w:tab/>
        <w:t>(b)</w:t>
      </w:r>
      <w:r>
        <w:rPr>
          <w:snapToGrid w:val="0"/>
        </w:rPr>
        <w:tab/>
        <w:t xml:space="preserve">No person shall in any way whatsoever make use of any public jetty under construction, or before the same shall have been declared open to the public by notice published in the </w:t>
      </w:r>
      <w:r>
        <w:rPr>
          <w:i/>
          <w:snapToGrid w:val="0"/>
        </w:rPr>
        <w:t>Government Gazette</w:t>
      </w:r>
      <w:r>
        <w:rPr>
          <w:snapToGrid w:val="0"/>
        </w:rPr>
        <w:t>.</w:t>
      </w:r>
    </w:p>
    <w:p>
      <w:pPr>
        <w:pStyle w:val="Footnotesection"/>
      </w:pPr>
      <w:r>
        <w:tab/>
        <w:t xml:space="preserve">[Regulation 69 amended in Gazette 19 May 1989 p. 1495.] </w:t>
      </w:r>
    </w:p>
    <w:p>
      <w:pPr>
        <w:pStyle w:val="Heading5"/>
        <w:keepLines w:val="0"/>
        <w:rPr>
          <w:snapToGrid w:val="0"/>
        </w:rPr>
      </w:pPr>
      <w:bookmarkStart w:id="86" w:name="_Toc375231101"/>
      <w:r>
        <w:rPr>
          <w:rStyle w:val="CharSectno"/>
        </w:rPr>
        <w:t>70</w:t>
      </w:r>
      <w:r>
        <w:rPr>
          <w:snapToGrid w:val="0"/>
        </w:rPr>
        <w:t>.</w:t>
      </w:r>
      <w:r>
        <w:rPr>
          <w:snapToGrid w:val="0"/>
        </w:rPr>
        <w:tab/>
        <w:t>Jetties may be closed</w:t>
      </w:r>
      <w:bookmarkEnd w:id="86"/>
      <w:r>
        <w:rPr>
          <w:snapToGrid w:val="0"/>
        </w:rPr>
        <w:t xml:space="preserve"> </w:t>
      </w:r>
    </w:p>
    <w:p>
      <w:pPr>
        <w:pStyle w:val="Subsection"/>
        <w:rPr>
          <w:snapToGrid w:val="0"/>
        </w:rPr>
      </w:pPr>
      <w:r>
        <w:rPr>
          <w:snapToGrid w:val="0"/>
        </w:rPr>
        <w:tab/>
        <w:t>(a)</w:t>
      </w:r>
      <w:r>
        <w:rPr>
          <w:snapToGrid w:val="0"/>
        </w:rPr>
        <w:tab/>
        <w:t>The Department may at any time temporarily or permanently close any public jetty, because of inclemency of weather, or for any other reason whatsoever, by posting a notice on same to that effect, or by otherwise publicly declaring such public jetty to be closed.</w:t>
      </w:r>
    </w:p>
    <w:p>
      <w:pPr>
        <w:pStyle w:val="Subsection"/>
        <w:rPr>
          <w:snapToGrid w:val="0"/>
        </w:rPr>
      </w:pPr>
      <w:r>
        <w:rPr>
          <w:snapToGrid w:val="0"/>
        </w:rPr>
        <w:tab/>
        <w:t>(b)</w:t>
      </w:r>
      <w:r>
        <w:rPr>
          <w:snapToGrid w:val="0"/>
        </w:rPr>
        <w:tab/>
        <w:t>The Minister for Transport may at any time temporarily or permanently close any public jetty for repairs, alterations, additions, or any other reason whatsoever, by posting a notice on same to that effect, or otherwise publicly declaring such public jetty to be closed.</w:t>
      </w:r>
    </w:p>
    <w:p>
      <w:pPr>
        <w:pStyle w:val="Footnotesection"/>
      </w:pPr>
      <w:r>
        <w:tab/>
        <w:t xml:space="preserve">[Regulation 70 amended in Gazette 19 May 1989 p. 1495.] </w:t>
      </w:r>
    </w:p>
    <w:p>
      <w:pPr>
        <w:pStyle w:val="Ednotesection"/>
      </w:pPr>
      <w:r>
        <w:t>[</w:t>
      </w:r>
      <w:r>
        <w:rPr>
          <w:b/>
        </w:rPr>
        <w:t>70A.</w:t>
      </w:r>
      <w:r>
        <w:tab/>
        <w:t xml:space="preserve">Deleted in Gazette </w:t>
      </w:r>
      <w:r>
        <w:rPr>
          <w:color w:val="000000"/>
        </w:rPr>
        <w:t>27 Jun 2003 p. </w:t>
      </w:r>
      <w:r>
        <w:t>2502.]</w:t>
      </w:r>
    </w:p>
    <w:p>
      <w:pPr>
        <w:pStyle w:val="Ednotesection"/>
      </w:pPr>
      <w:r>
        <w:t>[</w:t>
      </w:r>
      <w:r>
        <w:rPr>
          <w:b/>
        </w:rPr>
        <w:t>70B.</w:t>
      </w:r>
      <w:r>
        <w:rPr>
          <w:b/>
        </w:rPr>
        <w:tab/>
      </w:r>
      <w:r>
        <w:t>Deleted in Gazette 25 Jun 2004 p. 2270.]</w:t>
      </w:r>
    </w:p>
    <w:p>
      <w:pPr>
        <w:pStyle w:val="Heading3"/>
        <w:rPr>
          <w:snapToGrid w:val="0"/>
        </w:rPr>
      </w:pPr>
      <w:bookmarkStart w:id="87" w:name="_Toc375231102"/>
      <w:r>
        <w:rPr>
          <w:rStyle w:val="CharDivNo"/>
        </w:rPr>
        <w:t>Division 3</w:t>
      </w:r>
      <w:r>
        <w:rPr>
          <w:snapToGrid w:val="0"/>
        </w:rPr>
        <w:t> — </w:t>
      </w:r>
      <w:r>
        <w:rPr>
          <w:rStyle w:val="CharDivText"/>
        </w:rPr>
        <w:t>Mooring and berthing of vessels</w:t>
      </w:r>
      <w:bookmarkEnd w:id="87"/>
      <w:r>
        <w:rPr>
          <w:rStyle w:val="CharDivText"/>
        </w:rPr>
        <w:t xml:space="preserve"> </w:t>
      </w:r>
    </w:p>
    <w:p>
      <w:pPr>
        <w:pStyle w:val="Footnoteheading"/>
      </w:pPr>
      <w:r>
        <w:tab/>
        <w:t xml:space="preserve">[Heading inserted in Gazette 19 May 1989 p. 1494.] </w:t>
      </w:r>
    </w:p>
    <w:p>
      <w:pPr>
        <w:pStyle w:val="Heading5"/>
        <w:keepNext w:val="0"/>
        <w:keepLines w:val="0"/>
        <w:rPr>
          <w:snapToGrid w:val="0"/>
        </w:rPr>
      </w:pPr>
      <w:bookmarkStart w:id="88" w:name="_Toc375231103"/>
      <w:r>
        <w:rPr>
          <w:rStyle w:val="CharSectno"/>
        </w:rPr>
        <w:t>71</w:t>
      </w:r>
      <w:r>
        <w:rPr>
          <w:snapToGrid w:val="0"/>
        </w:rPr>
        <w:t>.</w:t>
      </w:r>
      <w:r>
        <w:rPr>
          <w:snapToGrid w:val="0"/>
        </w:rPr>
        <w:tab/>
        <w:t>Permit required to moor etc. alongside jetty or buoy</w:t>
      </w:r>
      <w:bookmarkEnd w:id="88"/>
      <w:r>
        <w:rPr>
          <w:snapToGrid w:val="0"/>
        </w:rPr>
        <w:t xml:space="preserve"> </w:t>
      </w:r>
    </w:p>
    <w:p>
      <w:pPr>
        <w:pStyle w:val="Subsection"/>
        <w:rPr>
          <w:snapToGrid w:val="0"/>
        </w:rPr>
      </w:pPr>
      <w:r>
        <w:rPr>
          <w:snapToGrid w:val="0"/>
        </w:rPr>
        <w:tab/>
      </w:r>
      <w:r>
        <w:rPr>
          <w:snapToGrid w:val="0"/>
        </w:rPr>
        <w:tab/>
        <w:t>No person shall moor, fasten, or take any vessel alongside any public jetty or buoy in the port, or cause or permit any vessel to be so moored, fastened, or taken, unless the owner of such vessel shall have first obtained from the Department permission in writing to make use of such public jetty or buoy.</w:t>
      </w:r>
    </w:p>
    <w:p>
      <w:pPr>
        <w:pStyle w:val="Footnotesection"/>
      </w:pPr>
      <w:r>
        <w:tab/>
        <w:t xml:space="preserve">[Regulation 71 amended in Gazette 19 May 1989 p. 1495.] </w:t>
      </w:r>
    </w:p>
    <w:p>
      <w:pPr>
        <w:pStyle w:val="Heading5"/>
        <w:rPr>
          <w:snapToGrid w:val="0"/>
        </w:rPr>
      </w:pPr>
      <w:bookmarkStart w:id="89" w:name="_Toc375231104"/>
      <w:r>
        <w:rPr>
          <w:rStyle w:val="CharSectno"/>
        </w:rPr>
        <w:t>72</w:t>
      </w:r>
      <w:r>
        <w:rPr>
          <w:snapToGrid w:val="0"/>
        </w:rPr>
        <w:t>.</w:t>
      </w:r>
      <w:r>
        <w:rPr>
          <w:snapToGrid w:val="0"/>
        </w:rPr>
        <w:tab/>
        <w:t>Duration of, and charges for, permits</w:t>
      </w:r>
      <w:bookmarkEnd w:id="89"/>
      <w:r>
        <w:rPr>
          <w:snapToGrid w:val="0"/>
        </w:rPr>
        <w:t xml:space="preserve"> </w:t>
      </w:r>
    </w:p>
    <w:p>
      <w:pPr>
        <w:pStyle w:val="Subsection"/>
        <w:rPr>
          <w:snapToGrid w:val="0"/>
        </w:rPr>
      </w:pPr>
      <w:r>
        <w:rPr>
          <w:snapToGrid w:val="0"/>
        </w:rPr>
        <w:tab/>
        <w:t>(1)</w:t>
      </w:r>
      <w:r>
        <w:rPr>
          <w:snapToGrid w:val="0"/>
        </w:rPr>
        <w:tab/>
        <w:t>A permit issued under regulation 71 shall remain in force for one year from the date of issue or such lesser time as is specified on the permit and shall have effect subject to regulation 70 and regulation 75.</w:t>
      </w:r>
    </w:p>
    <w:p>
      <w:pPr>
        <w:pStyle w:val="Subsection"/>
        <w:rPr>
          <w:snapToGrid w:val="0"/>
        </w:rPr>
      </w:pPr>
      <w:r>
        <w:rPr>
          <w:snapToGrid w:val="0"/>
        </w:rPr>
        <w:tab/>
        <w:t>(2)</w:t>
      </w:r>
      <w:r>
        <w:rPr>
          <w:snapToGrid w:val="0"/>
        </w:rPr>
        <w:tab/>
        <w:t>Payment for a permit shall be made in advance unless, in respect of a permit to be issued for one year, the General Manager approves of payment quarterly in advance.</w:t>
      </w:r>
    </w:p>
    <w:p>
      <w:pPr>
        <w:pStyle w:val="Subsection"/>
        <w:rPr>
          <w:snapToGrid w:val="0"/>
        </w:rPr>
      </w:pPr>
      <w:r>
        <w:rPr>
          <w:snapToGrid w:val="0"/>
        </w:rPr>
        <w:tab/>
        <w:t>(3)</w:t>
      </w:r>
      <w:r>
        <w:rPr>
          <w:snapToGrid w:val="0"/>
        </w:rPr>
        <w:tab/>
        <w:t xml:space="preserve">Subject to this regulation, permission or a permit shall not be granted under regulation 71 or 73 until the appropriate fee set out in </w:t>
      </w:r>
      <w:r>
        <w:t xml:space="preserve">Schedule 2 </w:t>
      </w:r>
      <w:r>
        <w:rPr>
          <w:snapToGrid w:val="0"/>
        </w:rPr>
        <w:t>has been paid to the Department.</w:t>
      </w:r>
    </w:p>
    <w:p>
      <w:pPr>
        <w:pStyle w:val="Subsection"/>
        <w:rPr>
          <w:snapToGrid w:val="0"/>
        </w:rPr>
      </w:pPr>
      <w:r>
        <w:rPr>
          <w:snapToGrid w:val="0"/>
        </w:rPr>
        <w:tab/>
        <w:t>(4)</w:t>
      </w:r>
      <w:r>
        <w:rPr>
          <w:snapToGrid w:val="0"/>
        </w:rPr>
        <w:tab/>
        <w:t>A permit may be cancelled and the berth reallocated by the Department where payment is not made in advance.</w:t>
      </w:r>
    </w:p>
    <w:p>
      <w:pPr>
        <w:pStyle w:val="Subsection"/>
        <w:rPr>
          <w:snapToGrid w:val="0"/>
        </w:rPr>
      </w:pPr>
      <w:r>
        <w:rPr>
          <w:snapToGrid w:val="0"/>
        </w:rPr>
        <w:tab/>
        <w:t>(5)</w:t>
      </w:r>
      <w:r>
        <w:rPr>
          <w:snapToGrid w:val="0"/>
        </w:rPr>
        <w:tab/>
        <w:t>Where a vessel permanently vacates the berth for which it holds a permit, the Department may cancel the permit.</w:t>
      </w:r>
    </w:p>
    <w:p>
      <w:pPr>
        <w:pStyle w:val="Subsection"/>
        <w:rPr>
          <w:snapToGrid w:val="0"/>
        </w:rPr>
      </w:pPr>
      <w:r>
        <w:rPr>
          <w:snapToGrid w:val="0"/>
        </w:rPr>
        <w:tab/>
        <w:t>(6)</w:t>
      </w:r>
      <w:r>
        <w:rPr>
          <w:snapToGrid w:val="0"/>
        </w:rPr>
        <w:tab/>
        <w:t>The provisions of subregulation (3) do not apply to any vessels owned and operated by the Police Department</w:t>
      </w:r>
      <w:r>
        <w:rPr>
          <w:snapToGrid w:val="0"/>
          <w:vertAlign w:val="superscript"/>
        </w:rPr>
        <w:t> 4</w:t>
      </w:r>
      <w:r>
        <w:rPr>
          <w:snapToGrid w:val="0"/>
        </w:rPr>
        <w:t xml:space="preserve"> or other Government department or instrumentality exempted in writing by the Department.</w:t>
      </w:r>
    </w:p>
    <w:p>
      <w:pPr>
        <w:pStyle w:val="Subsection"/>
        <w:rPr>
          <w:snapToGrid w:val="0"/>
        </w:rPr>
      </w:pPr>
      <w:r>
        <w:rPr>
          <w:snapToGrid w:val="0"/>
        </w:rPr>
        <w:tab/>
        <w:t>(7)</w:t>
      </w:r>
      <w:r>
        <w:rPr>
          <w:snapToGrid w:val="0"/>
        </w:rPr>
        <w:tab/>
        <w:t xml:space="preserve">A vessel shall not be subject to charges pursuant to this regulation where a charge is paid in respect of that vessel for the berth pursuant to regulation 57 of the </w:t>
      </w:r>
      <w:r>
        <w:rPr>
          <w:i/>
          <w:snapToGrid w:val="0"/>
        </w:rPr>
        <w:t>Navigable Waters Regulations 1958</w:t>
      </w:r>
      <w:r>
        <w:rPr>
          <w:snapToGrid w:val="0"/>
          <w:vertAlign w:val="superscript"/>
        </w:rPr>
        <w:t> 5</w:t>
      </w:r>
      <w:r>
        <w:rPr>
          <w:snapToGrid w:val="0"/>
        </w:rPr>
        <w:t>.</w:t>
      </w:r>
    </w:p>
    <w:p>
      <w:pPr>
        <w:pStyle w:val="Footnotesection"/>
      </w:pPr>
      <w:r>
        <w:tab/>
        <w:t>[Regulation 72 inserted in Gazette 25 Nov 1983 p. 4669</w:t>
      </w:r>
      <w:r>
        <w:noBreakHyphen/>
        <w:t>70; amended in Gazette 30 Aug 1985 p. 3077; 16 Oct 1987 p. 3893; 29 Jun 1989 p. 1917</w:t>
      </w:r>
      <w:r>
        <w:noBreakHyphen/>
        <w:t xml:space="preserve">18; 1 Aug 1990 p. 3633; 30 Jun 1992 p. 2893; 24 Jun 2005 p. 2817.] </w:t>
      </w:r>
    </w:p>
    <w:p>
      <w:pPr>
        <w:pStyle w:val="Heading5"/>
        <w:rPr>
          <w:snapToGrid w:val="0"/>
        </w:rPr>
      </w:pPr>
      <w:bookmarkStart w:id="90" w:name="_Toc375231105"/>
      <w:r>
        <w:rPr>
          <w:rStyle w:val="CharSectno"/>
        </w:rPr>
        <w:t>73</w:t>
      </w:r>
      <w:r>
        <w:rPr>
          <w:snapToGrid w:val="0"/>
        </w:rPr>
        <w:t>.</w:t>
      </w:r>
      <w:r>
        <w:rPr>
          <w:snapToGrid w:val="0"/>
        </w:rPr>
        <w:tab/>
        <w:t>Permit for exclusive use of berth</w:t>
      </w:r>
      <w:bookmarkEnd w:id="90"/>
      <w:r>
        <w:rPr>
          <w:snapToGrid w:val="0"/>
        </w:rPr>
        <w:t xml:space="preserve"> </w:t>
      </w:r>
    </w:p>
    <w:p>
      <w:pPr>
        <w:pStyle w:val="Subsection"/>
        <w:rPr>
          <w:snapToGrid w:val="0"/>
        </w:rPr>
      </w:pPr>
      <w:r>
        <w:rPr>
          <w:snapToGrid w:val="0"/>
        </w:rPr>
        <w:tab/>
        <w:t>(1)</w:t>
      </w:r>
      <w:r>
        <w:rPr>
          <w:snapToGrid w:val="0"/>
        </w:rPr>
        <w:tab/>
        <w:t>Subject to the payment of the charge payable under regulation 72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 xml:space="preserve">any other berth or jetty within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 xml:space="preserve">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Manager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A person who, by act or omission, contravenes the conditions of a permit issued under this regulation or under regulation 71 is liable on conviction to a penalty not exceeding $200.</w:t>
      </w:r>
    </w:p>
    <w:p>
      <w:pPr>
        <w:pStyle w:val="Subsection"/>
        <w:rPr>
          <w:snapToGrid w:val="0"/>
        </w:rPr>
      </w:pPr>
      <w:r>
        <w:rPr>
          <w:snapToGrid w:val="0"/>
        </w:rPr>
        <w:tab/>
        <w:t>(6)</w:t>
      </w:r>
      <w:r>
        <w:rPr>
          <w:snapToGrid w:val="0"/>
        </w:rPr>
        <w:tab/>
        <w:t>The Minister may cancel any permit issued under regulation 71 or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 xml:space="preserve">[Regulation 73 inserted in Gazette 31 Mar 1978 p. 990; amended in Gazette 25 Nov 1983 p. 4670.] </w:t>
      </w:r>
    </w:p>
    <w:p>
      <w:pPr>
        <w:pStyle w:val="Heading5"/>
        <w:rPr>
          <w:snapToGrid w:val="0"/>
        </w:rPr>
      </w:pPr>
      <w:bookmarkStart w:id="91" w:name="_Toc375231106"/>
      <w:r>
        <w:rPr>
          <w:rStyle w:val="CharSectno"/>
        </w:rPr>
        <w:t>74</w:t>
      </w:r>
      <w:r>
        <w:rPr>
          <w:snapToGrid w:val="0"/>
        </w:rPr>
        <w:t>.</w:t>
      </w:r>
      <w:r>
        <w:rPr>
          <w:snapToGrid w:val="0"/>
        </w:rPr>
        <w:tab/>
        <w:t>Manner of mooring vessels</w:t>
      </w:r>
      <w:bookmarkEnd w:id="91"/>
      <w:r>
        <w:rPr>
          <w:snapToGrid w:val="0"/>
        </w:rPr>
        <w:t xml:space="preserve"> </w:t>
      </w:r>
    </w:p>
    <w:p>
      <w:pPr>
        <w:pStyle w:val="Subsection"/>
        <w:rPr>
          <w:snapToGrid w:val="0"/>
        </w:rPr>
      </w:pPr>
      <w:r>
        <w:rPr>
          <w:snapToGrid w:val="0"/>
        </w:rPr>
        <w:tab/>
        <w:t>(a)</w:t>
      </w:r>
      <w:r>
        <w:rPr>
          <w:snapToGrid w:val="0"/>
        </w:rPr>
        <w:tab/>
        <w:t>No vessel shall be moored or made fast to any public jetty or any part thereof, except to such mooring piles, ringbolts, or other fastenings as are or may be provided, and no vessel shall remain alongside any public jetty unless so fastened.</w:t>
      </w:r>
    </w:p>
    <w:p>
      <w:pPr>
        <w:pStyle w:val="Subsection"/>
        <w:rPr>
          <w:snapToGrid w:val="0"/>
        </w:rPr>
      </w:pPr>
      <w:r>
        <w:rPr>
          <w:snapToGrid w:val="0"/>
        </w:rPr>
        <w:tab/>
        <w:t>(b)</w:t>
      </w:r>
      <w:r>
        <w:rPr>
          <w:snapToGrid w:val="0"/>
        </w:rPr>
        <w:tab/>
        <w:t>No vessel or any obstruction shall be fastened to or near any public steps or landing place for passengers in such a manner as to impede free access to such public steps or landing places.</w:t>
      </w:r>
    </w:p>
    <w:p>
      <w:pPr>
        <w:pStyle w:val="Footnotesection"/>
      </w:pPr>
      <w:r>
        <w:tab/>
        <w:t xml:space="preserve">[Regulation 74 amended in Gazette 19 May 1989 p. 1495.] </w:t>
      </w:r>
    </w:p>
    <w:p>
      <w:pPr>
        <w:pStyle w:val="Heading5"/>
        <w:rPr>
          <w:snapToGrid w:val="0"/>
        </w:rPr>
      </w:pPr>
      <w:bookmarkStart w:id="92" w:name="_Toc375231107"/>
      <w:r>
        <w:rPr>
          <w:rStyle w:val="CharSectno"/>
        </w:rPr>
        <w:t>75</w:t>
      </w:r>
      <w:r>
        <w:rPr>
          <w:snapToGrid w:val="0"/>
        </w:rPr>
        <w:t>.</w:t>
      </w:r>
      <w:r>
        <w:rPr>
          <w:snapToGrid w:val="0"/>
        </w:rPr>
        <w:tab/>
        <w:t>Vessels not to remain at jetties longer than necessary</w:t>
      </w:r>
      <w:bookmarkEnd w:id="92"/>
      <w:r>
        <w:rPr>
          <w:snapToGrid w:val="0"/>
        </w:rPr>
        <w:t xml:space="preserve"> </w:t>
      </w:r>
    </w:p>
    <w:p>
      <w:pPr>
        <w:pStyle w:val="Subsection"/>
        <w:rPr>
          <w:snapToGrid w:val="0"/>
        </w:rPr>
      </w:pPr>
      <w:r>
        <w:rPr>
          <w:snapToGrid w:val="0"/>
        </w:rPr>
        <w:tab/>
      </w:r>
      <w:r>
        <w:rPr>
          <w:snapToGrid w:val="0"/>
        </w:rPr>
        <w:tab/>
        <w:t>No vessel shall be fastened to or remain alongside any public jetty longer than is necessary, and shall immediately be removed therefrom, on the master or person in charge of such vessel receiving orders to that effect from an officer of the Department.</w:t>
      </w:r>
    </w:p>
    <w:p>
      <w:pPr>
        <w:pStyle w:val="Footnotesection"/>
      </w:pPr>
      <w:r>
        <w:tab/>
        <w:t xml:space="preserve">[Regulation 75 amended in Gazette 19 May 1989 p. 1495.] </w:t>
      </w:r>
    </w:p>
    <w:p>
      <w:pPr>
        <w:pStyle w:val="Heading5"/>
        <w:rPr>
          <w:snapToGrid w:val="0"/>
        </w:rPr>
      </w:pPr>
      <w:bookmarkStart w:id="93" w:name="_Toc375231108"/>
      <w:r>
        <w:rPr>
          <w:rStyle w:val="CharSectno"/>
        </w:rPr>
        <w:t>76</w:t>
      </w:r>
      <w:r>
        <w:rPr>
          <w:snapToGrid w:val="0"/>
        </w:rPr>
        <w:t>.</w:t>
      </w:r>
      <w:r>
        <w:rPr>
          <w:snapToGrid w:val="0"/>
        </w:rPr>
        <w:tab/>
        <w:t>Mooring of rafts and boathouses</w:t>
      </w:r>
      <w:bookmarkEnd w:id="93"/>
      <w:r>
        <w:rPr>
          <w:snapToGrid w:val="0"/>
        </w:rPr>
        <w:t xml:space="preserve"> </w:t>
      </w:r>
    </w:p>
    <w:p>
      <w:pPr>
        <w:pStyle w:val="Subsection"/>
        <w:rPr>
          <w:snapToGrid w:val="0"/>
        </w:rPr>
      </w:pPr>
      <w:r>
        <w:rPr>
          <w:snapToGrid w:val="0"/>
        </w:rPr>
        <w:tab/>
      </w:r>
      <w:r>
        <w:rPr>
          <w:snapToGrid w:val="0"/>
        </w:rPr>
        <w:tab/>
        <w:t>No raft or boathouse shall be moored within 91 m of any public jetty overnight; nor shall any raft or boathouse be moored in the fairway by day or by night, and any raft or boathouse moored overnight shall burn 2 bright lights from sunset to sunrise, one at each end, and fixed at least 2.4 m above water level.</w:t>
      </w:r>
    </w:p>
    <w:p>
      <w:pPr>
        <w:pStyle w:val="Footnotesection"/>
      </w:pPr>
      <w:r>
        <w:tab/>
        <w:t xml:space="preserve">[Regulation 76 amended in Gazette 15 Jun 1973 p. 2238; 19 May 1989 p. 1495; 24 Aug 2004 p. 3659.] </w:t>
      </w:r>
    </w:p>
    <w:p>
      <w:pPr>
        <w:pStyle w:val="Heading5"/>
        <w:rPr>
          <w:snapToGrid w:val="0"/>
        </w:rPr>
      </w:pPr>
      <w:bookmarkStart w:id="94" w:name="_Toc375231109"/>
      <w:r>
        <w:rPr>
          <w:rStyle w:val="CharSectno"/>
        </w:rPr>
        <w:t>77</w:t>
      </w:r>
      <w:r>
        <w:rPr>
          <w:snapToGrid w:val="0"/>
        </w:rPr>
        <w:t>.</w:t>
      </w:r>
      <w:r>
        <w:rPr>
          <w:snapToGrid w:val="0"/>
        </w:rPr>
        <w:tab/>
        <w:t>Vessels to be in charge of competent person</w:t>
      </w:r>
      <w:bookmarkEnd w:id="94"/>
      <w:r>
        <w:rPr>
          <w:snapToGrid w:val="0"/>
        </w:rPr>
        <w:t xml:space="preserve"> </w:t>
      </w:r>
    </w:p>
    <w:p>
      <w:pPr>
        <w:pStyle w:val="Subsection"/>
        <w:rPr>
          <w:snapToGrid w:val="0"/>
        </w:rPr>
      </w:pPr>
      <w:r>
        <w:rPr>
          <w:snapToGrid w:val="0"/>
        </w:rPr>
        <w:tab/>
      </w:r>
      <w:r>
        <w:rPr>
          <w:snapToGrid w:val="0"/>
        </w:rPr>
        <w:tab/>
        <w:t>No vessel (except small rowing boats) shall come alongside or remain fastened to any public jetty unless in charge of a competent person.</w:t>
      </w:r>
    </w:p>
    <w:p>
      <w:pPr>
        <w:pStyle w:val="Footnotesection"/>
      </w:pPr>
      <w:r>
        <w:tab/>
        <w:t>[Regulation 77 amended in Gazette 19 May 1989 p. 1495.]</w:t>
      </w:r>
    </w:p>
    <w:p>
      <w:pPr>
        <w:pStyle w:val="Heading5"/>
        <w:rPr>
          <w:snapToGrid w:val="0"/>
        </w:rPr>
      </w:pPr>
      <w:bookmarkStart w:id="95" w:name="_Toc375231110"/>
      <w:r>
        <w:rPr>
          <w:rStyle w:val="CharSectno"/>
        </w:rPr>
        <w:t>78</w:t>
      </w:r>
      <w:r>
        <w:rPr>
          <w:snapToGrid w:val="0"/>
        </w:rPr>
        <w:t>.</w:t>
      </w:r>
      <w:r>
        <w:rPr>
          <w:snapToGrid w:val="0"/>
        </w:rPr>
        <w:tab/>
        <w:t>Approaching jetties after sunset</w:t>
      </w:r>
      <w:bookmarkEnd w:id="95"/>
      <w:r>
        <w:rPr>
          <w:snapToGrid w:val="0"/>
        </w:rPr>
        <w:t xml:space="preserve"> </w:t>
      </w:r>
    </w:p>
    <w:p>
      <w:pPr>
        <w:pStyle w:val="Subsection"/>
        <w:rPr>
          <w:snapToGrid w:val="0"/>
        </w:rPr>
      </w:pPr>
      <w:r>
        <w:rPr>
          <w:snapToGrid w:val="0"/>
        </w:rPr>
        <w:tab/>
      </w:r>
      <w:r>
        <w:rPr>
          <w:snapToGrid w:val="0"/>
        </w:rPr>
        <w:tab/>
        <w:t>No vessel (except small rowing boats) shall approach any jetty after sunset without burning the lights usually used by steamers or sailing vessels when under way.</w:t>
      </w:r>
    </w:p>
    <w:p>
      <w:pPr>
        <w:pStyle w:val="Footnotesection"/>
      </w:pPr>
      <w:r>
        <w:tab/>
        <w:t xml:space="preserve">[Regulation 78 amended in Gazette 19 May 1989 p. 1495.] </w:t>
      </w:r>
    </w:p>
    <w:p>
      <w:pPr>
        <w:pStyle w:val="Heading3"/>
        <w:keepLines/>
        <w:rPr>
          <w:snapToGrid w:val="0"/>
        </w:rPr>
      </w:pPr>
      <w:bookmarkStart w:id="96" w:name="_Toc375231111"/>
      <w:r>
        <w:rPr>
          <w:rStyle w:val="CharDivNo"/>
        </w:rPr>
        <w:t>Division 4</w:t>
      </w:r>
      <w:r>
        <w:rPr>
          <w:snapToGrid w:val="0"/>
        </w:rPr>
        <w:t> — </w:t>
      </w:r>
      <w:r>
        <w:rPr>
          <w:rStyle w:val="CharDivText"/>
        </w:rPr>
        <w:t>Loading or discharging cargo</w:t>
      </w:r>
      <w:bookmarkEnd w:id="96"/>
      <w:r>
        <w:rPr>
          <w:rStyle w:val="CharDivText"/>
        </w:rPr>
        <w:t xml:space="preserve"> </w:t>
      </w:r>
    </w:p>
    <w:p>
      <w:pPr>
        <w:pStyle w:val="Footnoteheading"/>
        <w:keepNext/>
        <w:keepLines/>
      </w:pPr>
      <w:r>
        <w:tab/>
        <w:t xml:space="preserve">[Heading inserted in Gazette 19 May 1989 p. 1494.] </w:t>
      </w:r>
    </w:p>
    <w:p>
      <w:pPr>
        <w:pStyle w:val="Ednotesection"/>
        <w:keepNext/>
        <w:keepLines/>
      </w:pPr>
      <w:r>
        <w:t>[</w:t>
      </w:r>
      <w:r>
        <w:rPr>
          <w:b/>
        </w:rPr>
        <w:t>79.</w:t>
      </w:r>
      <w:r>
        <w:tab/>
        <w:t xml:space="preserve">Deleted in Gazette 30 Jun 1992 p. 2893.] </w:t>
      </w:r>
    </w:p>
    <w:p>
      <w:pPr>
        <w:pStyle w:val="Heading5"/>
        <w:rPr>
          <w:snapToGrid w:val="0"/>
        </w:rPr>
      </w:pPr>
      <w:bookmarkStart w:id="97" w:name="_Toc375231112"/>
      <w:r>
        <w:rPr>
          <w:rStyle w:val="CharSectno"/>
        </w:rPr>
        <w:t>80</w:t>
      </w:r>
      <w:r>
        <w:rPr>
          <w:snapToGrid w:val="0"/>
        </w:rPr>
        <w:t>.</w:t>
      </w:r>
      <w:r>
        <w:rPr>
          <w:snapToGrid w:val="0"/>
        </w:rPr>
        <w:tab/>
        <w:t>Vessels loading or discharging</w:t>
      </w:r>
      <w:bookmarkEnd w:id="97"/>
      <w:r>
        <w:rPr>
          <w:snapToGrid w:val="0"/>
        </w:rPr>
        <w:t xml:space="preserve"> </w:t>
      </w:r>
    </w:p>
    <w:p>
      <w:pPr>
        <w:pStyle w:val="Subsection"/>
        <w:rPr>
          <w:snapToGrid w:val="0"/>
        </w:rPr>
      </w:pPr>
      <w:r>
        <w:rPr>
          <w:snapToGrid w:val="0"/>
        </w:rPr>
        <w:tab/>
      </w:r>
      <w:r>
        <w:rPr>
          <w:snapToGrid w:val="0"/>
        </w:rPr>
        <w:tab/>
        <w:t>No vessel loading or discharging cargo shall come alongside any public jetty until the cargo is ready to be loaded or vehicles are ready to receive delivery, in the case of a vessel discharging, and no vessel shall occupy a berth at any public jetty while waiting to load or discharge cargo, but only when actually occupied in loading or discharging, and between sunrise and sunset and on week days, except by written permission of the Department.</w:t>
      </w:r>
    </w:p>
    <w:p>
      <w:pPr>
        <w:pStyle w:val="Footnotesection"/>
      </w:pPr>
      <w:r>
        <w:tab/>
        <w:t xml:space="preserve">[Regulation 80 amended in Gazette 19 May 1989 p. 1495.] </w:t>
      </w:r>
    </w:p>
    <w:p>
      <w:pPr>
        <w:pStyle w:val="Heading5"/>
        <w:rPr>
          <w:snapToGrid w:val="0"/>
        </w:rPr>
      </w:pPr>
      <w:bookmarkStart w:id="98" w:name="_Toc375231113"/>
      <w:r>
        <w:rPr>
          <w:rStyle w:val="CharSectno"/>
        </w:rPr>
        <w:t>81</w:t>
      </w:r>
      <w:r>
        <w:rPr>
          <w:snapToGrid w:val="0"/>
        </w:rPr>
        <w:t>.</w:t>
      </w:r>
      <w:r>
        <w:rPr>
          <w:snapToGrid w:val="0"/>
        </w:rPr>
        <w:tab/>
        <w:t>Cargo to be removed</w:t>
      </w:r>
      <w:bookmarkEnd w:id="98"/>
      <w:r>
        <w:rPr>
          <w:snapToGrid w:val="0"/>
        </w:rPr>
        <w:t xml:space="preserve"> </w:t>
      </w:r>
    </w:p>
    <w:p>
      <w:pPr>
        <w:pStyle w:val="Subsection"/>
        <w:rPr>
          <w:snapToGrid w:val="0"/>
        </w:rPr>
      </w:pPr>
      <w:r>
        <w:rPr>
          <w:snapToGrid w:val="0"/>
        </w:rPr>
        <w:tab/>
        <w:t>(a)</w:t>
      </w:r>
      <w:r>
        <w:rPr>
          <w:snapToGrid w:val="0"/>
        </w:rPr>
        <w:tab/>
        <w:t>When any goods, merchandise, or plant of any description are placed on any public jetty for shipment or ex ship, the removal of the same shall proceed concurrently with the delivery on such public jetty.</w:t>
      </w:r>
    </w:p>
    <w:p>
      <w:pPr>
        <w:pStyle w:val="Subsection"/>
        <w:rPr>
          <w:snapToGrid w:val="0"/>
        </w:rPr>
      </w:pPr>
      <w:r>
        <w:rPr>
          <w:snapToGrid w:val="0"/>
        </w:rPr>
        <w:tab/>
        <w:t>(b)</w:t>
      </w:r>
      <w:r>
        <w:rPr>
          <w:snapToGrid w:val="0"/>
        </w:rPr>
        <w:tab/>
        <w:t>All cargo or other material must be removed from any public jetty within 24 hours of the time it is deposited there, or at any time, upon the receipt by the consignor or consignee of such cargo or material, of notice from an officer of the Department.</w:t>
      </w:r>
    </w:p>
    <w:p>
      <w:pPr>
        <w:pStyle w:val="Subsection"/>
        <w:rPr>
          <w:snapToGrid w:val="0"/>
        </w:rPr>
      </w:pPr>
      <w:r>
        <w:rPr>
          <w:snapToGrid w:val="0"/>
        </w:rPr>
        <w:tab/>
        <w:t>(c)</w:t>
      </w:r>
      <w:r>
        <w:rPr>
          <w:snapToGrid w:val="0"/>
        </w:rPr>
        <w:tab/>
        <w:t>In the event of the consignor or consignee refusing or neglecting to remove any cargo or other material from any public jetty when required so to do by an officer of the Department, such cargo or material may be ordered to be removed, and the cost of removal shall be borne by the said consignor or consignee, and he shall, in addition to such cost, be liable to the penalty prescribed for breach of these regulations.</w:t>
      </w:r>
    </w:p>
    <w:p>
      <w:pPr>
        <w:pStyle w:val="Footnotesection"/>
      </w:pPr>
      <w:r>
        <w:tab/>
        <w:t xml:space="preserve">[Regulation 81 amended in Gazette 19 May 1989 p. 1495.] </w:t>
      </w:r>
    </w:p>
    <w:p>
      <w:pPr>
        <w:pStyle w:val="Heading5"/>
        <w:rPr>
          <w:snapToGrid w:val="0"/>
        </w:rPr>
      </w:pPr>
      <w:bookmarkStart w:id="99" w:name="_Toc375231114"/>
      <w:r>
        <w:rPr>
          <w:rStyle w:val="CharSectno"/>
        </w:rPr>
        <w:t>82</w:t>
      </w:r>
      <w:r>
        <w:rPr>
          <w:snapToGrid w:val="0"/>
        </w:rPr>
        <w:t>.</w:t>
      </w:r>
      <w:r>
        <w:rPr>
          <w:snapToGrid w:val="0"/>
        </w:rPr>
        <w:tab/>
        <w:t>Cargo not to remain on jetties overnight</w:t>
      </w:r>
      <w:bookmarkEnd w:id="99"/>
      <w:r>
        <w:rPr>
          <w:snapToGrid w:val="0"/>
        </w:rPr>
        <w:t xml:space="preserve"> </w:t>
      </w:r>
    </w:p>
    <w:p>
      <w:pPr>
        <w:pStyle w:val="Subsection"/>
        <w:rPr>
          <w:snapToGrid w:val="0"/>
        </w:rPr>
      </w:pPr>
      <w:r>
        <w:rPr>
          <w:snapToGrid w:val="0"/>
        </w:rPr>
        <w:tab/>
      </w:r>
      <w:r>
        <w:rPr>
          <w:snapToGrid w:val="0"/>
        </w:rPr>
        <w:tab/>
        <w:t>No cargo shall remain on any public jetty overnight, without written permission from the Department, and then the said cargo shall remain at the owner’s risk, and such owner will be held responsible for any damage whatsoever incurred thereby. Under no circumstances shall any dangerous cargo or volatile spirit be allowed to remain on any public jetty overnight.</w:t>
      </w:r>
    </w:p>
    <w:p>
      <w:pPr>
        <w:pStyle w:val="Footnotesection"/>
      </w:pPr>
      <w:r>
        <w:tab/>
        <w:t xml:space="preserve">[Regulation 82 amended in Gazette 19 May 1989 p. 1495.] </w:t>
      </w:r>
    </w:p>
    <w:p>
      <w:pPr>
        <w:pStyle w:val="Heading5"/>
        <w:rPr>
          <w:snapToGrid w:val="0"/>
        </w:rPr>
      </w:pPr>
      <w:bookmarkStart w:id="100" w:name="_Toc375231115"/>
      <w:r>
        <w:rPr>
          <w:rStyle w:val="CharSectno"/>
        </w:rPr>
        <w:t>83</w:t>
      </w:r>
      <w:r>
        <w:rPr>
          <w:snapToGrid w:val="0"/>
        </w:rPr>
        <w:t>.</w:t>
      </w:r>
      <w:r>
        <w:rPr>
          <w:snapToGrid w:val="0"/>
        </w:rPr>
        <w:tab/>
        <w:t>Explosives not to be handled without permission</w:t>
      </w:r>
      <w:bookmarkEnd w:id="100"/>
      <w:r>
        <w:rPr>
          <w:snapToGrid w:val="0"/>
        </w:rPr>
        <w:t xml:space="preserve"> </w:t>
      </w:r>
    </w:p>
    <w:p>
      <w:pPr>
        <w:pStyle w:val="Subsection"/>
        <w:rPr>
          <w:snapToGrid w:val="0"/>
        </w:rPr>
      </w:pPr>
      <w:r>
        <w:rPr>
          <w:snapToGrid w:val="0"/>
        </w:rPr>
        <w:tab/>
      </w:r>
      <w:r>
        <w:rPr>
          <w:snapToGrid w:val="0"/>
        </w:rPr>
        <w:tab/>
        <w:t xml:space="preserve">No explosives, as defined by section 4 of the </w:t>
      </w:r>
      <w:r>
        <w:rPr>
          <w:i/>
          <w:snapToGrid w:val="0"/>
        </w:rPr>
        <w:t>Explosives Act 1895</w:t>
      </w:r>
      <w:r>
        <w:rPr>
          <w:snapToGrid w:val="0"/>
          <w:vertAlign w:val="superscript"/>
        </w:rPr>
        <w:t> 6</w:t>
      </w:r>
      <w:r>
        <w:rPr>
          <w:snapToGrid w:val="0"/>
        </w:rPr>
        <w:t>, shall be landed or discharged on any public jetty without the permission of the Department.</w:t>
      </w:r>
    </w:p>
    <w:p>
      <w:pPr>
        <w:pStyle w:val="Footnotesection"/>
      </w:pPr>
      <w:r>
        <w:tab/>
        <w:t xml:space="preserve">[Regulation 83 amended in Gazette 19 May 1989 p. 1495.] </w:t>
      </w:r>
    </w:p>
    <w:p>
      <w:pPr>
        <w:pStyle w:val="Heading5"/>
        <w:rPr>
          <w:snapToGrid w:val="0"/>
        </w:rPr>
      </w:pPr>
      <w:bookmarkStart w:id="101" w:name="_Toc375231116"/>
      <w:r>
        <w:rPr>
          <w:rStyle w:val="CharSectno"/>
        </w:rPr>
        <w:t>84</w:t>
      </w:r>
      <w:r>
        <w:rPr>
          <w:snapToGrid w:val="0"/>
        </w:rPr>
        <w:t>.</w:t>
      </w:r>
      <w:r>
        <w:rPr>
          <w:snapToGrid w:val="0"/>
        </w:rPr>
        <w:tab/>
        <w:t>Manner of handling cargo</w:t>
      </w:r>
      <w:bookmarkEnd w:id="101"/>
      <w:r>
        <w:rPr>
          <w:snapToGrid w:val="0"/>
        </w:rPr>
        <w:t xml:space="preserve"> </w:t>
      </w:r>
    </w:p>
    <w:p>
      <w:pPr>
        <w:pStyle w:val="Subsection"/>
        <w:rPr>
          <w:snapToGrid w:val="0"/>
        </w:rPr>
      </w:pPr>
      <w:r>
        <w:rPr>
          <w:snapToGrid w:val="0"/>
        </w:rPr>
        <w:tab/>
      </w:r>
      <w:r>
        <w:rPr>
          <w:snapToGrid w:val="0"/>
        </w:rPr>
        <w:tab/>
        <w:t>All cargo carted or conveyed on to any public jetty shall be carefully removed from the vehicles carrying the same into the vessel receiving the same, and shall in no case be tipped from such vessel on to the said public jetty. Provided that this regulation shall not apply to sand, stone, gravel, soil or manure, which is carefully loaded on any such public jetty by special permission, in writing, of the Department.</w:t>
      </w:r>
    </w:p>
    <w:p>
      <w:pPr>
        <w:pStyle w:val="Footnotesection"/>
      </w:pPr>
      <w:r>
        <w:tab/>
        <w:t xml:space="preserve">[Regulation 84 amended in Gazette 19 May 1989 p. 1495.] </w:t>
      </w:r>
    </w:p>
    <w:p>
      <w:pPr>
        <w:pStyle w:val="Heading3"/>
        <w:rPr>
          <w:snapToGrid w:val="0"/>
        </w:rPr>
      </w:pPr>
      <w:bookmarkStart w:id="102" w:name="_Toc375231117"/>
      <w:r>
        <w:rPr>
          <w:rStyle w:val="CharDivNo"/>
        </w:rPr>
        <w:t>Division 5</w:t>
      </w:r>
      <w:r>
        <w:rPr>
          <w:snapToGrid w:val="0"/>
        </w:rPr>
        <w:t> — </w:t>
      </w:r>
      <w:r>
        <w:rPr>
          <w:rStyle w:val="CharDivText"/>
        </w:rPr>
        <w:t>Navigation of vessels</w:t>
      </w:r>
      <w:bookmarkEnd w:id="102"/>
      <w:r>
        <w:rPr>
          <w:rStyle w:val="CharDivText"/>
        </w:rPr>
        <w:t xml:space="preserve"> </w:t>
      </w:r>
    </w:p>
    <w:p>
      <w:pPr>
        <w:pStyle w:val="Footnoteheading"/>
      </w:pPr>
      <w:r>
        <w:tab/>
        <w:t xml:space="preserve">[Heading inserted in Gazette 19 May 1989 p. 1494.] </w:t>
      </w:r>
    </w:p>
    <w:p>
      <w:pPr>
        <w:pStyle w:val="Heading5"/>
        <w:rPr>
          <w:snapToGrid w:val="0"/>
        </w:rPr>
      </w:pPr>
      <w:bookmarkStart w:id="103" w:name="_Toc375231118"/>
      <w:r>
        <w:rPr>
          <w:rStyle w:val="CharSectno"/>
        </w:rPr>
        <w:t>85</w:t>
      </w:r>
      <w:r>
        <w:rPr>
          <w:snapToGrid w:val="0"/>
        </w:rPr>
        <w:t>.</w:t>
      </w:r>
      <w:r>
        <w:rPr>
          <w:snapToGrid w:val="0"/>
        </w:rPr>
        <w:tab/>
        <w:t>Power vessels approaching jetties</w:t>
      </w:r>
      <w:bookmarkEnd w:id="103"/>
      <w:r>
        <w:rPr>
          <w:snapToGrid w:val="0"/>
        </w:rPr>
        <w:t xml:space="preserve"> </w:t>
      </w:r>
    </w:p>
    <w:p>
      <w:pPr>
        <w:pStyle w:val="Subsection"/>
        <w:rPr>
          <w:snapToGrid w:val="0"/>
        </w:rPr>
      </w:pPr>
      <w:r>
        <w:rPr>
          <w:snapToGrid w:val="0"/>
        </w:rPr>
        <w:tab/>
        <w:t>(a)</w:t>
      </w:r>
      <w:r>
        <w:rPr>
          <w:snapToGrid w:val="0"/>
        </w:rPr>
        <w:tab/>
        <w:t>In the case of 2 power vessels approaching the same public jetty at the same time from opposite directions, the power vessel bound down a river shall give way to the power vessel bound up a river.</w:t>
      </w:r>
    </w:p>
    <w:p>
      <w:pPr>
        <w:pStyle w:val="Subsection"/>
        <w:rPr>
          <w:snapToGrid w:val="0"/>
        </w:rPr>
      </w:pPr>
      <w:r>
        <w:rPr>
          <w:snapToGrid w:val="0"/>
        </w:rPr>
        <w:tab/>
        <w:t>(b)</w:t>
      </w:r>
      <w:r>
        <w:rPr>
          <w:snapToGrid w:val="0"/>
        </w:rPr>
        <w:tab/>
        <w:t>In the case of 2 power vessels approaching the same public jetty at the same time in the same direction, the power vessel on the outer course shall give way to the power vessel on the inner course.</w:t>
      </w:r>
    </w:p>
    <w:p>
      <w:pPr>
        <w:pStyle w:val="Footnotesection"/>
      </w:pPr>
      <w:r>
        <w:tab/>
        <w:t xml:space="preserve">[Regulation 85 amended in Gazette 19 May 1989 p. 1494.] </w:t>
      </w:r>
    </w:p>
    <w:p>
      <w:pPr>
        <w:pStyle w:val="Heading3"/>
        <w:rPr>
          <w:snapToGrid w:val="0"/>
        </w:rPr>
      </w:pPr>
      <w:bookmarkStart w:id="104" w:name="_Toc375231119"/>
      <w:r>
        <w:rPr>
          <w:rStyle w:val="CharDivNo"/>
        </w:rPr>
        <w:t>Division 6</w:t>
      </w:r>
      <w:r>
        <w:rPr>
          <w:snapToGrid w:val="0"/>
        </w:rPr>
        <w:t> — </w:t>
      </w:r>
      <w:r>
        <w:rPr>
          <w:rStyle w:val="CharDivText"/>
        </w:rPr>
        <w:t>Miscellaneous</w:t>
      </w:r>
      <w:bookmarkEnd w:id="104"/>
      <w:r>
        <w:rPr>
          <w:rStyle w:val="CharDivText"/>
        </w:rPr>
        <w:t xml:space="preserve"> </w:t>
      </w:r>
    </w:p>
    <w:p>
      <w:pPr>
        <w:pStyle w:val="Footnoteheading"/>
      </w:pPr>
      <w:r>
        <w:tab/>
        <w:t xml:space="preserve">[Heading inserted in Gazette 19 May 1989 p. 1494.] </w:t>
      </w:r>
    </w:p>
    <w:p>
      <w:pPr>
        <w:pStyle w:val="Heading5"/>
        <w:rPr>
          <w:snapToGrid w:val="0"/>
        </w:rPr>
      </w:pPr>
      <w:bookmarkStart w:id="105" w:name="_Toc375231120"/>
      <w:r>
        <w:rPr>
          <w:rStyle w:val="CharSectno"/>
        </w:rPr>
        <w:t>86</w:t>
      </w:r>
      <w:r>
        <w:rPr>
          <w:snapToGrid w:val="0"/>
        </w:rPr>
        <w:t>.</w:t>
      </w:r>
      <w:r>
        <w:rPr>
          <w:snapToGrid w:val="0"/>
        </w:rPr>
        <w:tab/>
        <w:t>Bathing from jetties</w:t>
      </w:r>
      <w:bookmarkEnd w:id="105"/>
      <w:r>
        <w:rPr>
          <w:snapToGrid w:val="0"/>
        </w:rPr>
        <w:t xml:space="preserve"> </w:t>
      </w:r>
    </w:p>
    <w:p>
      <w:pPr>
        <w:pStyle w:val="Subsection"/>
        <w:rPr>
          <w:snapToGrid w:val="0"/>
        </w:rPr>
      </w:pPr>
      <w:r>
        <w:rPr>
          <w:snapToGrid w:val="0"/>
        </w:rPr>
        <w:tab/>
      </w:r>
      <w:r>
        <w:rPr>
          <w:snapToGrid w:val="0"/>
        </w:rPr>
        <w:tab/>
        <w:t>Bathing between the hours of 7.30 a.m. and 9.30 p.m. from any public jetty is prohibited.</w:t>
      </w:r>
    </w:p>
    <w:p>
      <w:pPr>
        <w:pStyle w:val="Footnotesection"/>
      </w:pPr>
      <w:r>
        <w:tab/>
        <w:t xml:space="preserve">[Regulation 86 amended in Gazette 19 May 1989 p. 1495.] </w:t>
      </w:r>
    </w:p>
    <w:p>
      <w:pPr>
        <w:pStyle w:val="Heading5"/>
        <w:rPr>
          <w:snapToGrid w:val="0"/>
        </w:rPr>
      </w:pPr>
      <w:bookmarkStart w:id="106" w:name="_Toc375231121"/>
      <w:r>
        <w:rPr>
          <w:rStyle w:val="CharSectno"/>
        </w:rPr>
        <w:t>87</w:t>
      </w:r>
      <w:r>
        <w:rPr>
          <w:snapToGrid w:val="0"/>
        </w:rPr>
        <w:t>.</w:t>
      </w:r>
      <w:r>
        <w:rPr>
          <w:snapToGrid w:val="0"/>
        </w:rPr>
        <w:tab/>
        <w:t>Damage to jetties</w:t>
      </w:r>
      <w:bookmarkEnd w:id="106"/>
      <w:r>
        <w:rPr>
          <w:snapToGrid w:val="0"/>
        </w:rPr>
        <w:t xml:space="preserve"> </w:t>
      </w:r>
    </w:p>
    <w:p>
      <w:pPr>
        <w:pStyle w:val="Subsection"/>
        <w:rPr>
          <w:snapToGrid w:val="0"/>
        </w:rPr>
      </w:pPr>
      <w:r>
        <w:rPr>
          <w:snapToGrid w:val="0"/>
        </w:rPr>
        <w:tab/>
      </w:r>
      <w:r>
        <w:rPr>
          <w:snapToGrid w:val="0"/>
        </w:rPr>
        <w:tab/>
        <w:t>The owner or owners of every vessel shall be personally liable for all damage to any public jetty done or occasioned by any person employed in such vessel, or in loading or discharging thereof; also for any penalties incurred by the master or crew or person employed on or in connection with such vessel, and any repairs rendered necessary may be executed by the Department, and the cost of such repairs shall be paid by the owner or owners liable for such damage, within 7 days after demand, and may be recovered by the Department summarily or otherwise, and any default in payment shall render such owner or owners liable to the penalty provided for breach of these regulations.</w:t>
      </w:r>
    </w:p>
    <w:p>
      <w:pPr>
        <w:pStyle w:val="Footnotesection"/>
      </w:pPr>
      <w:r>
        <w:tab/>
        <w:t xml:space="preserve">[Regulation 87 amended in Gazette 19 May 1989 p. 1495.] </w:t>
      </w:r>
    </w:p>
    <w:p>
      <w:pPr>
        <w:pStyle w:val="Heading5"/>
        <w:rPr>
          <w:snapToGrid w:val="0"/>
        </w:rPr>
      </w:pPr>
      <w:bookmarkStart w:id="107" w:name="_Toc375231122"/>
      <w:r>
        <w:rPr>
          <w:rStyle w:val="CharSectno"/>
        </w:rPr>
        <w:t>88</w:t>
      </w:r>
      <w:r>
        <w:rPr>
          <w:snapToGrid w:val="0"/>
        </w:rPr>
        <w:t>.</w:t>
      </w:r>
      <w:r>
        <w:rPr>
          <w:snapToGrid w:val="0"/>
        </w:rPr>
        <w:tab/>
        <w:t>Fishing from certain places prohibited</w:t>
      </w:r>
      <w:bookmarkEnd w:id="107"/>
      <w:r>
        <w:rPr>
          <w:snapToGrid w:val="0"/>
        </w:rPr>
        <w:t xml:space="preserve"> </w:t>
      </w:r>
    </w:p>
    <w:p>
      <w:pPr>
        <w:pStyle w:val="Subsection"/>
        <w:rPr>
          <w:snapToGrid w:val="0"/>
        </w:rPr>
      </w:pPr>
      <w:r>
        <w:rPr>
          <w:snapToGrid w:val="0"/>
        </w:rPr>
        <w:tab/>
      </w:r>
      <w:r>
        <w:rPr>
          <w:snapToGrid w:val="0"/>
        </w:rPr>
        <w:tab/>
        <w:t xml:space="preserve">No person shall fish from any portion of the road bridge over the </w:t>
      </w:r>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r>
        <w:rPr>
          <w:snapToGrid w:val="0"/>
        </w:rPr>
        <w:t xml:space="preserve"> at Fremantle, or from the Canning bridge, or from the bridge or embankment across the </w:t>
      </w:r>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r>
        <w:rPr>
          <w:snapToGrid w:val="0"/>
        </w:rPr>
        <w:t xml:space="preserve">, at </w:t>
      </w:r>
      <w:smartTag w:uri="urn:schemas-microsoft-com:office:smarttags" w:element="City">
        <w:r>
          <w:rPr>
            <w:snapToGrid w:val="0"/>
          </w:rPr>
          <w:t>Perth</w:t>
        </w:r>
      </w:smartTag>
      <w:r>
        <w:rPr>
          <w:snapToGrid w:val="0"/>
        </w:rPr>
        <w:t xml:space="preserve">, known as the </w:t>
      </w:r>
      <w:smartTag w:uri="urn:schemas-microsoft-com:office:smarttags" w:element="place">
        <w:smartTag w:uri="urn:schemas-microsoft-com:office:smarttags" w:element="City">
          <w:r>
            <w:rPr>
              <w:snapToGrid w:val="0"/>
            </w:rPr>
            <w:t>Perth</w:t>
          </w:r>
        </w:smartTag>
      </w:smartTag>
      <w:r>
        <w:rPr>
          <w:snapToGrid w:val="0"/>
        </w:rPr>
        <w:t xml:space="preserve"> causeway.</w:t>
      </w:r>
    </w:p>
    <w:p>
      <w:pPr>
        <w:pStyle w:val="Footnotesection"/>
      </w:pPr>
      <w:r>
        <w:tab/>
        <w:t xml:space="preserve">[Regulation 88 amended in Gazette 19 May 1989 p. 1495.] </w:t>
      </w:r>
    </w:p>
    <w:p>
      <w:pPr>
        <w:pStyle w:val="Heading5"/>
        <w:rPr>
          <w:snapToGrid w:val="0"/>
        </w:rPr>
      </w:pPr>
      <w:bookmarkStart w:id="108" w:name="_Toc375231123"/>
      <w:r>
        <w:rPr>
          <w:rStyle w:val="CharSectno"/>
        </w:rPr>
        <w:t>89</w:t>
      </w:r>
      <w:r>
        <w:rPr>
          <w:snapToGrid w:val="0"/>
        </w:rPr>
        <w:t>.</w:t>
      </w:r>
      <w:r>
        <w:rPr>
          <w:snapToGrid w:val="0"/>
        </w:rPr>
        <w:tab/>
        <w:t>Fishing nets on jetties</w:t>
      </w:r>
      <w:bookmarkEnd w:id="108"/>
      <w:r>
        <w:rPr>
          <w:snapToGrid w:val="0"/>
        </w:rPr>
        <w:t xml:space="preserve"> </w:t>
      </w:r>
    </w:p>
    <w:p>
      <w:pPr>
        <w:pStyle w:val="Subsection"/>
        <w:rPr>
          <w:snapToGrid w:val="0"/>
        </w:rPr>
      </w:pPr>
      <w:r>
        <w:rPr>
          <w:snapToGrid w:val="0"/>
        </w:rPr>
        <w:tab/>
      </w:r>
      <w:r>
        <w:rPr>
          <w:snapToGrid w:val="0"/>
        </w:rPr>
        <w:tab/>
        <w:t>No fishing nets shall be hung on or spread about any part of any public jetty.</w:t>
      </w:r>
    </w:p>
    <w:p>
      <w:pPr>
        <w:pStyle w:val="Footnotesection"/>
      </w:pPr>
      <w:r>
        <w:tab/>
        <w:t xml:space="preserve">[Regulation 89 amended in Gazette 19 May 1989 p. 1495.] </w:t>
      </w:r>
    </w:p>
    <w:p>
      <w:pPr>
        <w:pStyle w:val="Heading5"/>
        <w:rPr>
          <w:snapToGrid w:val="0"/>
        </w:rPr>
      </w:pPr>
      <w:bookmarkStart w:id="109" w:name="_Toc375231124"/>
      <w:r>
        <w:rPr>
          <w:rStyle w:val="CharSectno"/>
        </w:rPr>
        <w:t>90</w:t>
      </w:r>
      <w:r>
        <w:rPr>
          <w:snapToGrid w:val="0"/>
        </w:rPr>
        <w:t>.</w:t>
      </w:r>
      <w:r>
        <w:rPr>
          <w:snapToGrid w:val="0"/>
        </w:rPr>
        <w:tab/>
        <w:t>Gangways to be provided</w:t>
      </w:r>
      <w:bookmarkEnd w:id="109"/>
      <w:r>
        <w:rPr>
          <w:snapToGrid w:val="0"/>
        </w:rPr>
        <w:t xml:space="preserve"> </w:t>
      </w:r>
    </w:p>
    <w:p>
      <w:pPr>
        <w:pStyle w:val="Subsection"/>
        <w:rPr>
          <w:snapToGrid w:val="0"/>
        </w:rPr>
      </w:pPr>
      <w:r>
        <w:rPr>
          <w:snapToGrid w:val="0"/>
        </w:rPr>
        <w:tab/>
      </w:r>
      <w:r>
        <w:rPr>
          <w:snapToGrid w:val="0"/>
        </w:rPr>
        <w:tab/>
        <w:t>Steam vessels landing or shipping passengers at any public jetty shall provide suitable gangways of not less than 770 mm in width, having a hand</w:t>
      </w:r>
      <w:r>
        <w:rPr>
          <w:snapToGrid w:val="0"/>
        </w:rPr>
        <w:noBreakHyphen/>
        <w:t>rail on both sides, and, after sunset, these gangways shall be sufficiently lighted.</w:t>
      </w:r>
    </w:p>
    <w:p>
      <w:pPr>
        <w:pStyle w:val="Footnotesection"/>
      </w:pPr>
      <w:r>
        <w:tab/>
        <w:t xml:space="preserve">[Regulation 90 amended in Gazette 15 Jun 1973 p. 2239; 19 May 1989 p. 1495.] </w:t>
      </w:r>
    </w:p>
    <w:p>
      <w:pPr>
        <w:pStyle w:val="Heading5"/>
        <w:rPr>
          <w:snapToGrid w:val="0"/>
        </w:rPr>
      </w:pPr>
      <w:bookmarkStart w:id="110" w:name="_Toc375231125"/>
      <w:r>
        <w:rPr>
          <w:rStyle w:val="CharSectno"/>
        </w:rPr>
        <w:t>91</w:t>
      </w:r>
      <w:r>
        <w:rPr>
          <w:snapToGrid w:val="0"/>
        </w:rPr>
        <w:t>.</w:t>
      </w:r>
      <w:r>
        <w:rPr>
          <w:snapToGrid w:val="0"/>
        </w:rPr>
        <w:tab/>
        <w:t>Interference with jetties or approaches</w:t>
      </w:r>
      <w:bookmarkEnd w:id="110"/>
      <w:r>
        <w:rPr>
          <w:snapToGrid w:val="0"/>
        </w:rPr>
        <w:t xml:space="preserve"> </w:t>
      </w:r>
    </w:p>
    <w:p>
      <w:pPr>
        <w:pStyle w:val="Subsection"/>
        <w:rPr>
          <w:snapToGrid w:val="0"/>
        </w:rPr>
      </w:pPr>
      <w:r>
        <w:rPr>
          <w:snapToGrid w:val="0"/>
        </w:rPr>
        <w:tab/>
      </w:r>
      <w:r>
        <w:rPr>
          <w:snapToGrid w:val="0"/>
        </w:rPr>
        <w:tab/>
        <w:t>No person shall remove or cause to be removed from any public jetty, or the approaches thereto, any gravel, stone, timber, trees, shrubs, grasses, or other material, without the written permission of the Minister for Transport or his representative.</w:t>
      </w:r>
    </w:p>
    <w:p>
      <w:pPr>
        <w:pStyle w:val="Footnotesection"/>
      </w:pPr>
      <w:r>
        <w:tab/>
        <w:t xml:space="preserve">[Regulation 91 amended in Gazette 19 May 1989 p. 1495.] </w:t>
      </w:r>
    </w:p>
    <w:p>
      <w:pPr>
        <w:pStyle w:val="Heading5"/>
        <w:rPr>
          <w:snapToGrid w:val="0"/>
        </w:rPr>
      </w:pPr>
      <w:bookmarkStart w:id="111" w:name="_Toc375231126"/>
      <w:r>
        <w:rPr>
          <w:rStyle w:val="CharSectno"/>
        </w:rPr>
        <w:t>92</w:t>
      </w:r>
      <w:r>
        <w:rPr>
          <w:snapToGrid w:val="0"/>
        </w:rPr>
        <w:t>.</w:t>
      </w:r>
      <w:r>
        <w:rPr>
          <w:snapToGrid w:val="0"/>
        </w:rPr>
        <w:tab/>
        <w:t>Lifebuoys on jetties</w:t>
      </w:r>
      <w:bookmarkEnd w:id="111"/>
      <w:r>
        <w:rPr>
          <w:snapToGrid w:val="0"/>
        </w:rPr>
        <w:t xml:space="preserve"> </w:t>
      </w:r>
    </w:p>
    <w:p>
      <w:pPr>
        <w:pStyle w:val="Subsection"/>
        <w:rPr>
          <w:snapToGrid w:val="0"/>
        </w:rPr>
      </w:pPr>
      <w:r>
        <w:rPr>
          <w:snapToGrid w:val="0"/>
        </w:rPr>
        <w:tab/>
      </w:r>
      <w:r>
        <w:rPr>
          <w:snapToGrid w:val="0"/>
        </w:rPr>
        <w:tab/>
        <w:t>No person shall remove, damage, or destroy any lifebuoy on any public jetty or use the same for any purpose other than saving life.</w:t>
      </w:r>
    </w:p>
    <w:p>
      <w:pPr>
        <w:pStyle w:val="Footnotesection"/>
      </w:pPr>
      <w:r>
        <w:tab/>
        <w:t xml:space="preserve">[Regulation 92 amended in Gazette 19 May 1989 p. 1495.] </w:t>
      </w:r>
    </w:p>
    <w:p>
      <w:pPr>
        <w:pStyle w:val="Heading5"/>
        <w:rPr>
          <w:snapToGrid w:val="0"/>
        </w:rPr>
      </w:pPr>
      <w:bookmarkStart w:id="112" w:name="_Toc375231127"/>
      <w:r>
        <w:rPr>
          <w:rStyle w:val="CharSectno"/>
        </w:rPr>
        <w:t>93</w:t>
      </w:r>
      <w:r>
        <w:rPr>
          <w:snapToGrid w:val="0"/>
        </w:rPr>
        <w:t>.</w:t>
      </w:r>
      <w:r>
        <w:rPr>
          <w:snapToGrid w:val="0"/>
        </w:rPr>
        <w:tab/>
        <w:t>Obstruction of jetties or officers</w:t>
      </w:r>
      <w:bookmarkEnd w:id="112"/>
      <w:r>
        <w:rPr>
          <w:snapToGrid w:val="0"/>
        </w:rPr>
        <w:t xml:space="preserve"> </w:t>
      </w:r>
    </w:p>
    <w:p>
      <w:pPr>
        <w:pStyle w:val="Subsection"/>
        <w:rPr>
          <w:snapToGrid w:val="0"/>
        </w:rPr>
      </w:pPr>
      <w:r>
        <w:rPr>
          <w:snapToGrid w:val="0"/>
        </w:rPr>
        <w:tab/>
        <w:t>(a)</w:t>
      </w:r>
      <w:r>
        <w:rPr>
          <w:snapToGrid w:val="0"/>
        </w:rPr>
        <w:tab/>
        <w:t>No person shall erect any bench, shear legs, crane, stocks, or other plant whatsoever, or in any way obstruct any public jetty, without first obtaining, in writing, the permission of the Minister for Transport or his representative.</w:t>
      </w:r>
    </w:p>
    <w:p>
      <w:pPr>
        <w:pStyle w:val="Subsection"/>
        <w:rPr>
          <w:snapToGrid w:val="0"/>
        </w:rPr>
      </w:pPr>
      <w:r>
        <w:rPr>
          <w:snapToGrid w:val="0"/>
        </w:rPr>
        <w:tab/>
        <w:t>(b)</w:t>
      </w:r>
      <w:r>
        <w:rPr>
          <w:snapToGrid w:val="0"/>
        </w:rPr>
        <w:tab/>
        <w:t>No person or persons shall obstruct any representative of the Minister for Transport in carrying out the construction of, or repairs or additions to, any public jetty.</w:t>
      </w:r>
    </w:p>
    <w:p>
      <w:pPr>
        <w:pStyle w:val="Footnotesection"/>
      </w:pPr>
      <w:r>
        <w:tab/>
        <w:t xml:space="preserve">[Regulation 93 amended in Gazette 19 May 1989 p. 1495.] </w:t>
      </w:r>
    </w:p>
    <w:p>
      <w:pPr>
        <w:pStyle w:val="Heading5"/>
        <w:rPr>
          <w:snapToGrid w:val="0"/>
        </w:rPr>
      </w:pPr>
      <w:bookmarkStart w:id="113" w:name="_Toc375231128"/>
      <w:r>
        <w:rPr>
          <w:rStyle w:val="CharSectno"/>
        </w:rPr>
        <w:t>94</w:t>
      </w:r>
      <w:r>
        <w:rPr>
          <w:snapToGrid w:val="0"/>
        </w:rPr>
        <w:t>.</w:t>
      </w:r>
      <w:r>
        <w:rPr>
          <w:snapToGrid w:val="0"/>
        </w:rPr>
        <w:tab/>
        <w:t>Rubbish not to be thrown in river etc.</w:t>
      </w:r>
      <w:bookmarkEnd w:id="113"/>
    </w:p>
    <w:p>
      <w:pPr>
        <w:pStyle w:val="Subsection"/>
        <w:rPr>
          <w:snapToGrid w:val="0"/>
        </w:rPr>
      </w:pPr>
      <w:r>
        <w:rPr>
          <w:snapToGrid w:val="0"/>
        </w:rPr>
        <w:tab/>
      </w:r>
      <w:r>
        <w:rPr>
          <w:snapToGrid w:val="0"/>
        </w:rPr>
        <w:tab/>
        <w:t>No stones, rubbish, ashes, or any other substance shall be thrown into any part of the river or discharged upon a public jetty, except at such places, if any, as may be defined for such purpose by the Department.</w:t>
      </w:r>
    </w:p>
    <w:p>
      <w:pPr>
        <w:pStyle w:val="Footnotesection"/>
      </w:pPr>
      <w:r>
        <w:tab/>
        <w:t xml:space="preserve">[Regulation 94 amended in Gazette 19 May 1989 p. 1495.] </w:t>
      </w:r>
    </w:p>
    <w:p>
      <w:pPr>
        <w:pStyle w:val="Heading2"/>
      </w:pPr>
      <w:bookmarkStart w:id="114" w:name="_Toc375231129"/>
      <w:r>
        <w:rPr>
          <w:rStyle w:val="CharPartNo"/>
        </w:rPr>
        <w:t>Part 2A</w:t>
      </w:r>
      <w:r>
        <w:rPr>
          <w:rStyle w:val="CharDivNo"/>
        </w:rPr>
        <w:t> </w:t>
      </w:r>
      <w:r>
        <w:t>—</w:t>
      </w:r>
      <w:r>
        <w:rPr>
          <w:rStyle w:val="CharDivText"/>
        </w:rPr>
        <w:t> </w:t>
      </w:r>
      <w:r>
        <w:rPr>
          <w:rStyle w:val="CharPartText"/>
        </w:rPr>
        <w:t xml:space="preserve">Mooring and berthing other than in the </w:t>
      </w:r>
      <w:smartTag w:uri="urn:schemas-microsoft-com:office:smarttags" w:element="place">
        <w:smartTag w:uri="urn:schemas-microsoft-com:office:smarttags" w:element="PlaceType">
          <w:r>
            <w:rPr>
              <w:rStyle w:val="CharPartText"/>
            </w:rPr>
            <w:t>Port</w:t>
          </w:r>
        </w:smartTag>
        <w:r>
          <w:rPr>
            <w:rStyle w:val="CharPartText"/>
          </w:rPr>
          <w:t xml:space="preserve"> of </w:t>
        </w:r>
        <w:smartTag w:uri="urn:schemas-microsoft-com:office:smarttags" w:element="PlaceName">
          <w:r>
            <w:rPr>
              <w:rStyle w:val="CharPartText"/>
            </w:rPr>
            <w:t>Perth</w:t>
          </w:r>
        </w:smartTag>
      </w:smartTag>
      <w:bookmarkEnd w:id="114"/>
      <w:r>
        <w:rPr>
          <w:rStyle w:val="CharPartText"/>
        </w:rPr>
        <w:t xml:space="preserve"> </w:t>
      </w:r>
    </w:p>
    <w:p>
      <w:pPr>
        <w:pStyle w:val="Footnoteheading"/>
      </w:pPr>
      <w:r>
        <w:tab/>
        <w:t>[Heading inserted in Gazette 1 Aug 1990 p. 3633</w:t>
      </w:r>
      <w:r>
        <w:noBreakHyphen/>
        <w:t xml:space="preserve">4.] </w:t>
      </w:r>
    </w:p>
    <w:p>
      <w:pPr>
        <w:pStyle w:val="Heading5"/>
      </w:pPr>
      <w:bookmarkStart w:id="115" w:name="_Toc375231130"/>
      <w:r>
        <w:rPr>
          <w:rStyle w:val="CharSectno"/>
        </w:rPr>
        <w:t>94A</w:t>
      </w:r>
      <w:r>
        <w:t>.</w:t>
      </w:r>
      <w:r>
        <w:tab/>
        <w:t>Fees etc. for pen rentals and services</w:t>
      </w:r>
      <w:bookmarkEnd w:id="115"/>
    </w:p>
    <w:p>
      <w:pPr>
        <w:pStyle w:val="Subsection"/>
      </w:pPr>
      <w:r>
        <w:tab/>
      </w:r>
      <w:r>
        <w:tab/>
        <w:t xml:space="preserve">The fees and charges payable for pen rentals and services in particular ports and harbours (other than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Perth</w:t>
          </w:r>
        </w:smartTag>
      </w:smartTag>
      <w:r>
        <w:t>) are as set out in Schedule 1.</w:t>
      </w:r>
    </w:p>
    <w:p>
      <w:pPr>
        <w:pStyle w:val="Footnotesection"/>
      </w:pPr>
      <w:r>
        <w:tab/>
        <w:t>[Regulation 94A inserted in Gazette 14 Jun 2002 p. 2800; amended in Gazette 24 Jun 2005 p. 2817; 22 Jun 2007 p. 2909.]</w:t>
      </w:r>
    </w:p>
    <w:p>
      <w:pPr>
        <w:pStyle w:val="Heading5"/>
        <w:rPr>
          <w:snapToGrid w:val="0"/>
        </w:rPr>
      </w:pPr>
      <w:bookmarkStart w:id="116" w:name="_Toc375231131"/>
      <w:r>
        <w:rPr>
          <w:rStyle w:val="CharSectno"/>
        </w:rPr>
        <w:t>94B</w:t>
      </w:r>
      <w:r>
        <w:rPr>
          <w:snapToGrid w:val="0"/>
        </w:rPr>
        <w:t>.</w:t>
      </w:r>
      <w:r>
        <w:rPr>
          <w:snapToGrid w:val="0"/>
        </w:rPr>
        <w:tab/>
        <w:t>Fees for pile mooring</w:t>
      </w:r>
      <w:bookmarkEnd w:id="116"/>
      <w:r>
        <w:rPr>
          <w:snapToGrid w:val="0"/>
        </w:rPr>
        <w:t xml:space="preserve"> </w:t>
      </w:r>
    </w:p>
    <w:p>
      <w:pPr>
        <w:pStyle w:val="Subsection"/>
        <w:rPr>
          <w:snapToGrid w:val="0"/>
        </w:rPr>
      </w:pPr>
      <w:r>
        <w:rPr>
          <w:snapToGrid w:val="0"/>
        </w:rPr>
        <w:tab/>
      </w:r>
      <w:r>
        <w:rPr>
          <w:snapToGrid w:val="0"/>
        </w:rPr>
        <w:tab/>
        <w:t xml:space="preserve">The fees for pile mooring rental set out in </w:t>
      </w:r>
      <w:r>
        <w:t xml:space="preserve">Schedule 1 </w:t>
      </w:r>
      <w:r>
        <w:rPr>
          <w:snapToGrid w:val="0"/>
        </w:rPr>
        <w:t>are payable in respect to a pile mooring rented by any vessel in any boat harbour or fishing boat harbour in the State, according to the size of that vessel.</w:t>
      </w:r>
    </w:p>
    <w:p>
      <w:pPr>
        <w:pStyle w:val="Footnotesection"/>
      </w:pPr>
      <w:r>
        <w:tab/>
        <w:t>[Regulation 94B inserted in Gazette 1 Aug 1990 p. 3633</w:t>
      </w:r>
      <w:r>
        <w:noBreakHyphen/>
        <w:t xml:space="preserve">4; amended in Gazette 25 Jun 1996 p. 2981; 24 Jun 2005 p. 2817; 22 Jun 2007 p. 2909.] </w:t>
      </w:r>
    </w:p>
    <w:p>
      <w:pPr>
        <w:pStyle w:val="Heading5"/>
        <w:rPr>
          <w:snapToGrid w:val="0"/>
        </w:rPr>
      </w:pPr>
      <w:bookmarkStart w:id="117" w:name="_Toc375231132"/>
      <w:r>
        <w:rPr>
          <w:rStyle w:val="CharSectno"/>
        </w:rPr>
        <w:t>94C</w:t>
      </w:r>
      <w:r>
        <w:rPr>
          <w:snapToGrid w:val="0"/>
        </w:rPr>
        <w:t>.</w:t>
      </w:r>
      <w:r>
        <w:rPr>
          <w:snapToGrid w:val="0"/>
        </w:rPr>
        <w:tab/>
        <w:t>Fees for berthing or mooring on a casual basis</w:t>
      </w:r>
      <w:bookmarkEnd w:id="117"/>
      <w:r>
        <w:rPr>
          <w:snapToGrid w:val="0"/>
        </w:rPr>
        <w:t xml:space="preserve"> </w:t>
      </w:r>
    </w:p>
    <w:p>
      <w:pPr>
        <w:pStyle w:val="Subsection"/>
        <w:rPr>
          <w:snapToGrid w:val="0"/>
        </w:rPr>
      </w:pPr>
      <w:r>
        <w:rPr>
          <w:snapToGrid w:val="0"/>
        </w:rPr>
        <w:tab/>
      </w:r>
      <w:r>
        <w:rPr>
          <w:snapToGrid w:val="0"/>
        </w:rPr>
        <w:tab/>
        <w:t xml:space="preserve">Where no other fee is prescribed for berthing or mooring at a wharf or public jetty, the fee set out in </w:t>
      </w:r>
      <w:r>
        <w:t xml:space="preserve">Schedule 1 </w:t>
      </w:r>
      <w:r>
        <w:rPr>
          <w:snapToGrid w:val="0"/>
        </w:rPr>
        <w:t>is payable for berthing or mooring on a casual basis at a wharf or public jetty, other than those within the Port of Perth.</w:t>
      </w:r>
    </w:p>
    <w:p>
      <w:pPr>
        <w:pStyle w:val="Footnotesection"/>
      </w:pPr>
      <w:r>
        <w:tab/>
        <w:t xml:space="preserve">[Regulation 94C inserted in Gazette 30 Jun 1992 p. 2893; amended in Gazette 24 Jun 2005 p. 2817; 22 Jun 2007 p. 2909.] </w:t>
      </w:r>
    </w:p>
    <w:p>
      <w:pPr>
        <w:pStyle w:val="Heading5"/>
      </w:pPr>
      <w:bookmarkStart w:id="118" w:name="_Toc375231133"/>
      <w:r>
        <w:rPr>
          <w:rStyle w:val="CharSectno"/>
        </w:rPr>
        <w:t>94D</w:t>
      </w:r>
      <w:r>
        <w:t>.</w:t>
      </w:r>
      <w:r>
        <w:tab/>
        <w:t>Waiving fees or charges in emergencies</w:t>
      </w:r>
      <w:bookmarkEnd w:id="118"/>
    </w:p>
    <w:p>
      <w:pPr>
        <w:pStyle w:val="Subsection"/>
      </w:pPr>
      <w:r>
        <w:tab/>
      </w:r>
      <w:r>
        <w:tab/>
        <w:t>The chief executive officer of the Department may waive a fee or charge payable under this Division for the use of a service jetty by a vessel in need of emergency repair.</w:t>
      </w:r>
    </w:p>
    <w:p>
      <w:pPr>
        <w:pStyle w:val="Footnotesection"/>
      </w:pPr>
      <w:r>
        <w:tab/>
        <w:t>[Regulation 94D inserted in Gazette 22 Jun 2007 p. 2910.]</w:t>
      </w:r>
    </w:p>
    <w:p>
      <w:pPr>
        <w:pStyle w:val="Heading2"/>
      </w:pPr>
      <w:bookmarkStart w:id="119" w:name="_Toc375231134"/>
      <w:r>
        <w:rPr>
          <w:rStyle w:val="CharPartNo"/>
        </w:rPr>
        <w:t>Part 3</w:t>
      </w:r>
      <w:r>
        <w:t> — </w:t>
      </w:r>
      <w:r>
        <w:rPr>
          <w:rStyle w:val="CharPartText"/>
        </w:rPr>
        <w:t>Special provisions applying at particular ports</w:t>
      </w:r>
      <w:bookmarkEnd w:id="119"/>
      <w:r>
        <w:rPr>
          <w:rStyle w:val="CharPartText"/>
        </w:rPr>
        <w:t xml:space="preserve"> </w:t>
      </w:r>
    </w:p>
    <w:p>
      <w:pPr>
        <w:pStyle w:val="Footnoteheading"/>
      </w:pPr>
      <w:r>
        <w:tab/>
        <w:t xml:space="preserve">[Heading inserted in Gazette 19 May 1989 p. 1494.] </w:t>
      </w:r>
    </w:p>
    <w:p>
      <w:pPr>
        <w:pStyle w:val="Heading3"/>
        <w:rPr>
          <w:snapToGrid w:val="0"/>
        </w:rPr>
      </w:pPr>
      <w:bookmarkStart w:id="120" w:name="_Toc375231135"/>
      <w:r>
        <w:rPr>
          <w:rStyle w:val="CharDivNo"/>
        </w:rPr>
        <w:t>Division 1</w:t>
      </w:r>
      <w:r>
        <w:rPr>
          <w:snapToGrid w:val="0"/>
        </w:rPr>
        <w:t> — </w:t>
      </w:r>
      <w:r>
        <w:rPr>
          <w:rStyle w:val="CharDivText"/>
        </w:rPr>
        <w:t>Use of slipways</w:t>
      </w:r>
      <w:bookmarkEnd w:id="120"/>
      <w:r>
        <w:rPr>
          <w:rStyle w:val="CharDivText"/>
        </w:rPr>
        <w:t xml:space="preserve"> </w:t>
      </w:r>
    </w:p>
    <w:p>
      <w:pPr>
        <w:pStyle w:val="Footnoteheading"/>
      </w:pPr>
      <w:r>
        <w:tab/>
        <w:t xml:space="preserve">[Heading inserted in Gazette 19 May 1989 p. 1494.] </w:t>
      </w:r>
    </w:p>
    <w:p>
      <w:pPr>
        <w:pStyle w:val="Heading5"/>
      </w:pPr>
      <w:bookmarkStart w:id="121" w:name="_Toc375231136"/>
      <w:r>
        <w:rPr>
          <w:rStyle w:val="CharSectno"/>
        </w:rPr>
        <w:t>95</w:t>
      </w:r>
      <w:r>
        <w:t>.</w:t>
      </w:r>
      <w:r>
        <w:tab/>
        <w:t>Management and control of departmental slipways</w:t>
      </w:r>
      <w:bookmarkEnd w:id="121"/>
    </w:p>
    <w:p>
      <w:pPr>
        <w:pStyle w:val="Subsection"/>
      </w:pPr>
      <w:r>
        <w:tab/>
        <w:t>(1)</w:t>
      </w:r>
      <w:r>
        <w:tab/>
        <w:t>Part 3 Division 1 applies to slipways under the direct control of the Department.</w:t>
      </w:r>
    </w:p>
    <w:p>
      <w:pPr>
        <w:pStyle w:val="Subsection"/>
        <w:ind w:left="851" w:hanging="851"/>
      </w:pPr>
      <w:r>
        <w:tab/>
        <w:t>(2)</w:t>
      </w:r>
      <w:r>
        <w:tab/>
        <w:t>The official designated by the Director General as the “regional coordinator” for a region in which any slipways under the control of the Department are situated shall have the management and control of those slipways.</w:t>
      </w:r>
    </w:p>
    <w:p>
      <w:pPr>
        <w:pStyle w:val="Footnotesection"/>
      </w:pPr>
      <w:r>
        <w:tab/>
        <w:t>[Regulation 95 inserted in Gazette 20 Jun 2000 p. 3044.]</w:t>
      </w:r>
    </w:p>
    <w:p>
      <w:pPr>
        <w:pStyle w:val="Heading5"/>
        <w:rPr>
          <w:snapToGrid w:val="0"/>
        </w:rPr>
      </w:pPr>
      <w:bookmarkStart w:id="122" w:name="_Toc375231137"/>
      <w:r>
        <w:rPr>
          <w:rStyle w:val="CharSectno"/>
        </w:rPr>
        <w:t>95A</w:t>
      </w:r>
      <w:r>
        <w:rPr>
          <w:snapToGrid w:val="0"/>
        </w:rPr>
        <w:t>.</w:t>
      </w:r>
      <w:r>
        <w:rPr>
          <w:snapToGrid w:val="0"/>
        </w:rPr>
        <w:tab/>
        <w:t>Application for use of slipway</w:t>
      </w:r>
      <w:bookmarkEnd w:id="122"/>
      <w:r>
        <w:rPr>
          <w:snapToGrid w:val="0"/>
        </w:rPr>
        <w:t xml:space="preserve"> </w:t>
      </w:r>
    </w:p>
    <w:p>
      <w:pPr>
        <w:pStyle w:val="Subsection"/>
        <w:rPr>
          <w:snapToGrid w:val="0"/>
        </w:rPr>
      </w:pPr>
      <w:r>
        <w:rPr>
          <w:snapToGrid w:val="0"/>
        </w:rPr>
        <w:tab/>
        <w:t>(a)</w:t>
      </w:r>
      <w:r>
        <w:rPr>
          <w:snapToGrid w:val="0"/>
        </w:rPr>
        <w:tab/>
        <w:t xml:space="preserve">All applications for the use of the slipway shall be made by the owner or master of the vessel, in writing in the Form 3 set out in </w:t>
      </w:r>
      <w:r>
        <w:t xml:space="preserve">Schedule 3, </w:t>
      </w:r>
      <w:r>
        <w:rPr>
          <w:snapToGrid w:val="0"/>
        </w:rPr>
        <w:t>and he shall be bound by the conditions and schedule of charges.</w:t>
      </w:r>
    </w:p>
    <w:p>
      <w:pPr>
        <w:pStyle w:val="Subsection"/>
        <w:rPr>
          <w:snapToGrid w:val="0"/>
        </w:rPr>
      </w:pPr>
      <w:r>
        <w:rPr>
          <w:snapToGrid w:val="0"/>
        </w:rPr>
        <w:tab/>
        <w:t>(b)</w:t>
      </w:r>
      <w:r>
        <w:rPr>
          <w:snapToGrid w:val="0"/>
        </w:rPr>
        <w:tab/>
        <w:t xml:space="preserve">The priority for the use of the slipway shall be determined by the </w:t>
      </w:r>
      <w:r>
        <w:rPr>
          <w:spacing w:val="-2"/>
        </w:rPr>
        <w:t xml:space="preserve">regional coordinator (designated under regulation 95) </w:t>
      </w:r>
      <w:r>
        <w:rPr>
          <w:snapToGrid w:val="0"/>
        </w:rPr>
        <w:t>having the management and control of the slipway who shall have authority to grant or refuse any application.</w:t>
      </w:r>
    </w:p>
    <w:p>
      <w:pPr>
        <w:pStyle w:val="Footnotesection"/>
      </w:pPr>
      <w:r>
        <w:tab/>
        <w:t xml:space="preserve">[Regulation 95A inserted in Gazette 11 Jan 1946 p. 13; amended in Gazette 2 May 1952 p. 1106; 17 Mar 1960 p. 783; 24 Nov 1972 p. 4488; 19 Oct 1973 p. 3818; 19 May 1987 p. 1495; 30 Jun 1995 p. 2699; 20 Jun 2000 p. 3044; 24 Jun 2005 p. 2818.] </w:t>
      </w:r>
    </w:p>
    <w:p>
      <w:pPr>
        <w:pStyle w:val="Heading5"/>
        <w:rPr>
          <w:snapToGrid w:val="0"/>
        </w:rPr>
      </w:pPr>
      <w:bookmarkStart w:id="123" w:name="_Toc375231138"/>
      <w:r>
        <w:rPr>
          <w:rStyle w:val="CharSectno"/>
        </w:rPr>
        <w:t>96</w:t>
      </w:r>
      <w:r>
        <w:rPr>
          <w:snapToGrid w:val="0"/>
        </w:rPr>
        <w:t>.</w:t>
      </w:r>
      <w:r>
        <w:rPr>
          <w:snapToGrid w:val="0"/>
        </w:rPr>
        <w:tab/>
        <w:t>Charges for use of slipway</w:t>
      </w:r>
      <w:bookmarkEnd w:id="123"/>
      <w:r>
        <w:rPr>
          <w:snapToGrid w:val="0"/>
        </w:rPr>
        <w:t xml:space="preserve"> </w:t>
      </w:r>
    </w:p>
    <w:p>
      <w:pPr>
        <w:pStyle w:val="Subsection"/>
        <w:rPr>
          <w:snapToGrid w:val="0"/>
        </w:rPr>
      </w:pPr>
      <w:r>
        <w:rPr>
          <w:snapToGrid w:val="0"/>
        </w:rPr>
        <w:tab/>
        <w:t>(a)</w:t>
      </w:r>
      <w:r>
        <w:rPr>
          <w:snapToGrid w:val="0"/>
        </w:rPr>
        <w:tab/>
        <w:t xml:space="preserve">All vessels shall be charged for services rendered </w:t>
      </w:r>
      <w:r>
        <w:t xml:space="preserve">at or in relation to a slip </w:t>
      </w:r>
      <w:r>
        <w:rPr>
          <w:snapToGrid w:val="0"/>
        </w:rPr>
        <w:t xml:space="preserve">as prescribed in </w:t>
      </w:r>
      <w:r>
        <w:t>Schedule 1.</w:t>
      </w:r>
    </w:p>
    <w:p>
      <w:pPr>
        <w:pStyle w:val="Subsection"/>
        <w:rPr>
          <w:snapToGrid w:val="0"/>
        </w:rPr>
      </w:pPr>
      <w:r>
        <w:rPr>
          <w:snapToGrid w:val="0"/>
        </w:rPr>
        <w:tab/>
        <w:t>(b)</w:t>
      </w:r>
      <w:r>
        <w:rPr>
          <w:snapToGrid w:val="0"/>
        </w:rPr>
        <w:tab/>
        <w:t xml:space="preserve">The dues charged shall cover the use of the slip, the haulage of the vessel to the slip and the supply of water and electric power. The owner or master of the vessel must arrange for the proper wedging, blocking, etc., to the satisfaction of the </w:t>
      </w:r>
      <w:r>
        <w:rPr>
          <w:spacing w:val="-2"/>
        </w:rPr>
        <w:t xml:space="preserve">regional coordinator (designated under regulation 95) </w:t>
      </w:r>
      <w:r>
        <w:rPr>
          <w:snapToGrid w:val="0"/>
        </w:rPr>
        <w:t>having the management and control of the slipway. Any damage done to the structure and/or cradle shall be repaired at the expense of the owner or master of the vessel causing the damage.</w:t>
      </w:r>
    </w:p>
    <w:p>
      <w:pPr>
        <w:pStyle w:val="Subsection"/>
        <w:rPr>
          <w:snapToGrid w:val="0"/>
        </w:rPr>
      </w:pPr>
      <w:r>
        <w:rPr>
          <w:snapToGrid w:val="0"/>
        </w:rPr>
        <w:tab/>
        <w:t>(c)</w:t>
      </w:r>
      <w:r>
        <w:rPr>
          <w:snapToGrid w:val="0"/>
        </w:rPr>
        <w:tab/>
        <w:t>The owner or master of any vessel using the slip shall be responsible for the payment of all charges which he shall pay before the vessel is removed from the slip.</w:t>
      </w:r>
    </w:p>
    <w:p>
      <w:pPr>
        <w:pStyle w:val="Footnotesection"/>
      </w:pPr>
      <w:r>
        <w:tab/>
        <w:t xml:space="preserve">[Regulation 96 inserted in Gazette 11 Jan 1946 p. 13; amended in Gazette 2 May 1952 p. 1106; 17 Mar 1960 p. 783; 24 Nov 1972 p. 4488; 19 Oct 1973 p. 3818; 19 May 1989 p. 1495; 20 Jun 2000 p. 3044; 24 Jun 2005 p. 2818; 22 Jun 2007 p. 2910.] </w:t>
      </w:r>
    </w:p>
    <w:p>
      <w:pPr>
        <w:pStyle w:val="Heading5"/>
        <w:rPr>
          <w:snapToGrid w:val="0"/>
        </w:rPr>
      </w:pPr>
      <w:bookmarkStart w:id="124" w:name="_Toc375231139"/>
      <w:r>
        <w:rPr>
          <w:rStyle w:val="CharSectno"/>
        </w:rPr>
        <w:t>97</w:t>
      </w:r>
      <w:r>
        <w:rPr>
          <w:snapToGrid w:val="0"/>
        </w:rPr>
        <w:t>.</w:t>
      </w:r>
      <w:r>
        <w:rPr>
          <w:snapToGrid w:val="0"/>
        </w:rPr>
        <w:tab/>
        <w:t>Government vessels may take precedence</w:t>
      </w:r>
      <w:bookmarkEnd w:id="124"/>
      <w:r>
        <w:rPr>
          <w:snapToGrid w:val="0"/>
        </w:rPr>
        <w:t xml:space="preserve"> </w:t>
      </w:r>
    </w:p>
    <w:p>
      <w:pPr>
        <w:pStyle w:val="Subsection"/>
        <w:rPr>
          <w:snapToGrid w:val="0"/>
        </w:rPr>
      </w:pPr>
      <w:r>
        <w:rPr>
          <w:snapToGrid w:val="0"/>
        </w:rPr>
        <w:tab/>
      </w:r>
      <w:r>
        <w:rPr>
          <w:snapToGrid w:val="0"/>
        </w:rPr>
        <w:tab/>
        <w:t>Government vessels shall, when considered necessary, take precedence of all other craft, notwithstanding any previous application by private owners for the use of the slip.</w:t>
      </w:r>
    </w:p>
    <w:p>
      <w:pPr>
        <w:pStyle w:val="Footnotesection"/>
      </w:pPr>
      <w:r>
        <w:tab/>
        <w:t xml:space="preserve">[Regulation 97 inserted in Gazette 11 Jan 1946 p. 13; amended in Gazette 19 May 1989 p. 1495.] </w:t>
      </w:r>
    </w:p>
    <w:p>
      <w:pPr>
        <w:pStyle w:val="Heading5"/>
        <w:rPr>
          <w:snapToGrid w:val="0"/>
        </w:rPr>
      </w:pPr>
      <w:bookmarkStart w:id="125" w:name="_Toc375231140"/>
      <w:r>
        <w:rPr>
          <w:rStyle w:val="CharSectno"/>
        </w:rPr>
        <w:t>98</w:t>
      </w:r>
      <w:r>
        <w:rPr>
          <w:snapToGrid w:val="0"/>
        </w:rPr>
        <w:t>.</w:t>
      </w:r>
      <w:r>
        <w:rPr>
          <w:snapToGrid w:val="0"/>
        </w:rPr>
        <w:tab/>
        <w:t>Vessels may forfeit their turn</w:t>
      </w:r>
      <w:bookmarkEnd w:id="125"/>
      <w:r>
        <w:rPr>
          <w:snapToGrid w:val="0"/>
        </w:rPr>
        <w:t xml:space="preserve"> </w:t>
      </w:r>
    </w:p>
    <w:p>
      <w:pPr>
        <w:pStyle w:val="Subsection"/>
        <w:rPr>
          <w:snapToGrid w:val="0"/>
        </w:rPr>
      </w:pPr>
      <w:r>
        <w:rPr>
          <w:snapToGrid w:val="0"/>
        </w:rPr>
        <w:tab/>
      </w:r>
      <w:r>
        <w:rPr>
          <w:snapToGrid w:val="0"/>
        </w:rPr>
        <w:tab/>
        <w:t>Vessels registered for and not arriving at the slip at the appointed time will be liable to the forfeiture of their turn.</w:t>
      </w:r>
    </w:p>
    <w:p>
      <w:pPr>
        <w:pStyle w:val="Footnotesection"/>
      </w:pPr>
      <w:r>
        <w:tab/>
        <w:t xml:space="preserve">[Regulation 98 inserted in Gazette 11 Jan 1946 p. 13; amended in Gazette 19 May 1989 p. 1496.] </w:t>
      </w:r>
    </w:p>
    <w:p>
      <w:pPr>
        <w:pStyle w:val="Heading5"/>
        <w:rPr>
          <w:snapToGrid w:val="0"/>
        </w:rPr>
      </w:pPr>
      <w:bookmarkStart w:id="126" w:name="_Toc375231141"/>
      <w:r>
        <w:rPr>
          <w:rStyle w:val="CharSectno"/>
        </w:rPr>
        <w:t>99</w:t>
      </w:r>
      <w:r>
        <w:rPr>
          <w:snapToGrid w:val="0"/>
        </w:rPr>
        <w:t>.</w:t>
      </w:r>
      <w:r>
        <w:rPr>
          <w:snapToGrid w:val="0"/>
        </w:rPr>
        <w:tab/>
        <w:t>Department will not undertake repairs etc.</w:t>
      </w:r>
      <w:bookmarkEnd w:id="126"/>
    </w:p>
    <w:p>
      <w:pPr>
        <w:pStyle w:val="Subsection"/>
        <w:keepNext/>
        <w:rPr>
          <w:snapToGrid w:val="0"/>
        </w:rPr>
      </w:pPr>
      <w:r>
        <w:rPr>
          <w:snapToGrid w:val="0"/>
        </w:rPr>
        <w:tab/>
      </w:r>
      <w:r>
        <w:rPr>
          <w:snapToGrid w:val="0"/>
        </w:rPr>
        <w:tab/>
        <w:t>The Department will not undertake the repairs of vessels; all parties availing themselves of the use of the slip will be required to make their own arrangements for these and provide all necessary material.</w:t>
      </w:r>
    </w:p>
    <w:p>
      <w:pPr>
        <w:pStyle w:val="Footnotesection"/>
      </w:pPr>
      <w:r>
        <w:tab/>
        <w:t xml:space="preserve">[Regulation 99 inserted in Gazette 11 Jan 1946 p. 13; amended in Gazette 19 May 1989 p. 1496.] </w:t>
      </w:r>
    </w:p>
    <w:p>
      <w:pPr>
        <w:pStyle w:val="Heading5"/>
        <w:rPr>
          <w:snapToGrid w:val="0"/>
        </w:rPr>
      </w:pPr>
      <w:bookmarkStart w:id="127" w:name="_Toc375231142"/>
      <w:r>
        <w:rPr>
          <w:rStyle w:val="CharSectno"/>
        </w:rPr>
        <w:t>100</w:t>
      </w:r>
      <w:r>
        <w:rPr>
          <w:snapToGrid w:val="0"/>
        </w:rPr>
        <w:t>.</w:t>
      </w:r>
      <w:r>
        <w:rPr>
          <w:snapToGrid w:val="0"/>
        </w:rPr>
        <w:tab/>
        <w:t>Department not responsible for damage to vessel when in use of slip</w:t>
      </w:r>
      <w:bookmarkEnd w:id="127"/>
      <w:r>
        <w:rPr>
          <w:snapToGrid w:val="0"/>
        </w:rPr>
        <w:t xml:space="preserve"> </w:t>
      </w:r>
    </w:p>
    <w:p>
      <w:pPr>
        <w:pStyle w:val="Subsection"/>
        <w:rPr>
          <w:snapToGrid w:val="0"/>
        </w:rPr>
      </w:pPr>
      <w:r>
        <w:rPr>
          <w:snapToGrid w:val="0"/>
        </w:rPr>
        <w:tab/>
      </w:r>
      <w:r>
        <w:rPr>
          <w:snapToGrid w:val="0"/>
        </w:rPr>
        <w:tab/>
        <w:t>The Department will not be responsible for and shall incur no liability in respect of any damage to any vessel while being hauled up, remaining on, or being lowered from the slip, or in any way in connection with the use of the slip.</w:t>
      </w:r>
    </w:p>
    <w:p>
      <w:pPr>
        <w:pStyle w:val="Footnotesection"/>
      </w:pPr>
      <w:r>
        <w:tab/>
        <w:t xml:space="preserve">[Regulation 100 inserted in Gazette 11 Jan 1946 p. 13; amended in Gazette 19 May 1989 p. 1496.] </w:t>
      </w:r>
    </w:p>
    <w:p>
      <w:pPr>
        <w:pStyle w:val="Heading5"/>
        <w:rPr>
          <w:snapToGrid w:val="0"/>
        </w:rPr>
      </w:pPr>
      <w:bookmarkStart w:id="128" w:name="_Toc375231143"/>
      <w:r>
        <w:rPr>
          <w:rStyle w:val="CharSectno"/>
        </w:rPr>
        <w:t>101</w:t>
      </w:r>
      <w:r>
        <w:rPr>
          <w:snapToGrid w:val="0"/>
        </w:rPr>
        <w:t>.</w:t>
      </w:r>
      <w:r>
        <w:rPr>
          <w:snapToGrid w:val="0"/>
        </w:rPr>
        <w:tab/>
        <w:t>Duties of owner or master using slipway</w:t>
      </w:r>
      <w:bookmarkEnd w:id="128"/>
      <w:r>
        <w:rPr>
          <w:snapToGrid w:val="0"/>
        </w:rPr>
        <w:t xml:space="preserve"> </w:t>
      </w:r>
    </w:p>
    <w:p>
      <w:pPr>
        <w:pStyle w:val="Subsection"/>
        <w:rPr>
          <w:snapToGrid w:val="0"/>
        </w:rPr>
      </w:pPr>
      <w:r>
        <w:rPr>
          <w:snapToGrid w:val="0"/>
        </w:rPr>
        <w:tab/>
        <w:t>(1)</w:t>
      </w:r>
      <w:r>
        <w:rPr>
          <w:snapToGrid w:val="0"/>
        </w:rPr>
        <w:tab/>
        <w:t>The owner or master of a vessel using the slipway shall — </w:t>
      </w:r>
    </w:p>
    <w:p>
      <w:pPr>
        <w:pStyle w:val="Indenta"/>
        <w:rPr>
          <w:snapToGrid w:val="0"/>
        </w:rPr>
      </w:pPr>
      <w:r>
        <w:rPr>
          <w:snapToGrid w:val="0"/>
        </w:rPr>
        <w:tab/>
        <w:t>(a)</w:t>
      </w:r>
      <w:r>
        <w:rPr>
          <w:snapToGrid w:val="0"/>
        </w:rPr>
        <w:tab/>
        <w:t xml:space="preserve">keep it in a clean and tidy condition to the satisfaction of the </w:t>
      </w:r>
      <w:r>
        <w:rPr>
          <w:spacing w:val="-2"/>
        </w:rPr>
        <w:t xml:space="preserve">regional coordinator (designated under regulation 95) </w:t>
      </w:r>
      <w:r>
        <w:rPr>
          <w:snapToGrid w:val="0"/>
        </w:rPr>
        <w:t>having the management and control of the slipway; and</w:t>
      </w:r>
    </w:p>
    <w:p>
      <w:pPr>
        <w:pStyle w:val="Indenta"/>
        <w:rPr>
          <w:snapToGrid w:val="0"/>
        </w:rPr>
      </w:pPr>
      <w:r>
        <w:rPr>
          <w:snapToGrid w:val="0"/>
        </w:rPr>
        <w:tab/>
        <w:t>(b)</w:t>
      </w:r>
      <w:r>
        <w:rPr>
          <w:snapToGrid w:val="0"/>
        </w:rPr>
        <w:tab/>
        <w:t>remove all barnacles and weed from the slipway area on the day that the vessel is hauled from the water.</w:t>
      </w:r>
    </w:p>
    <w:p>
      <w:pPr>
        <w:pStyle w:val="Subsection"/>
        <w:rPr>
          <w:snapToGrid w:val="0"/>
        </w:rPr>
      </w:pPr>
      <w:r>
        <w:rPr>
          <w:snapToGrid w:val="0"/>
        </w:rPr>
        <w:tab/>
        <w:t>(2)</w:t>
      </w:r>
      <w:r>
        <w:rPr>
          <w:snapToGrid w:val="0"/>
        </w:rPr>
        <w:tab/>
        <w:t>Where the owner or master fails to comply with subregulation (1) the Department may arrange for the cleaning of the slipway area and may recover the cost thereof from the owner or master of the vessel.</w:t>
      </w:r>
    </w:p>
    <w:p>
      <w:pPr>
        <w:pStyle w:val="Footnotesection"/>
      </w:pPr>
      <w:r>
        <w:tab/>
        <w:t xml:space="preserve">[Regulation 101 inserted in Gazette 19 Oct 1973 p. 3819; amended in Gazette 20 Jun 2000 p. 3044.] </w:t>
      </w:r>
    </w:p>
    <w:p>
      <w:pPr>
        <w:pStyle w:val="Heading5"/>
        <w:rPr>
          <w:snapToGrid w:val="0"/>
        </w:rPr>
      </w:pPr>
      <w:bookmarkStart w:id="129" w:name="_Toc375231144"/>
      <w:r>
        <w:rPr>
          <w:rStyle w:val="CharSectno"/>
        </w:rPr>
        <w:t>101A</w:t>
      </w:r>
      <w:r>
        <w:rPr>
          <w:snapToGrid w:val="0"/>
        </w:rPr>
        <w:t>.</w:t>
      </w:r>
      <w:r>
        <w:rPr>
          <w:snapToGrid w:val="0"/>
        </w:rPr>
        <w:tab/>
        <w:t>Slipping of more than one vessel at a time</w:t>
      </w:r>
      <w:bookmarkEnd w:id="129"/>
      <w:r>
        <w:rPr>
          <w:snapToGrid w:val="0"/>
        </w:rPr>
        <w:t xml:space="preserve"> </w:t>
      </w:r>
    </w:p>
    <w:p>
      <w:pPr>
        <w:pStyle w:val="Subsection"/>
        <w:rPr>
          <w:snapToGrid w:val="0"/>
        </w:rPr>
      </w:pPr>
      <w:r>
        <w:rPr>
          <w:snapToGrid w:val="0"/>
        </w:rPr>
        <w:tab/>
      </w:r>
      <w:r>
        <w:rPr>
          <w:snapToGrid w:val="0"/>
        </w:rPr>
        <w:tab/>
        <w:t xml:space="preserve">The </w:t>
      </w:r>
      <w:r>
        <w:rPr>
          <w:spacing w:val="-2"/>
        </w:rPr>
        <w:t xml:space="preserve">regional coordinator (designated under regulation 95) </w:t>
      </w:r>
      <w:r>
        <w:rPr>
          <w:snapToGrid w:val="0"/>
        </w:rPr>
        <w:t>in charge may by special permission allow more than one vessel to be taken on a slipway at the one time.</w:t>
      </w:r>
    </w:p>
    <w:p>
      <w:pPr>
        <w:pStyle w:val="Footnotesection"/>
      </w:pPr>
      <w:r>
        <w:tab/>
        <w:t xml:space="preserve">[Regulation 101A inserted in Gazette 24 Nov 1972 p. 4488; amended in Gazette 19 May 1989 p. 1496; 20 Jun 2000 p. 3044.] </w:t>
      </w:r>
    </w:p>
    <w:p>
      <w:pPr>
        <w:pStyle w:val="Heading5"/>
        <w:spacing w:before="180"/>
        <w:rPr>
          <w:snapToGrid w:val="0"/>
        </w:rPr>
      </w:pPr>
      <w:bookmarkStart w:id="130" w:name="_Toc375231145"/>
      <w:r>
        <w:rPr>
          <w:rStyle w:val="CharSectno"/>
        </w:rPr>
        <w:t>101B</w:t>
      </w:r>
      <w:r>
        <w:rPr>
          <w:snapToGrid w:val="0"/>
        </w:rPr>
        <w:t>.</w:t>
      </w:r>
      <w:r>
        <w:rPr>
          <w:snapToGrid w:val="0"/>
        </w:rPr>
        <w:tab/>
        <w:t>Dispute procedure</w:t>
      </w:r>
      <w:bookmarkEnd w:id="130"/>
      <w:r>
        <w:rPr>
          <w:snapToGrid w:val="0"/>
        </w:rPr>
        <w:t xml:space="preserve"> </w:t>
      </w:r>
    </w:p>
    <w:p>
      <w:pPr>
        <w:pStyle w:val="Subsection"/>
        <w:rPr>
          <w:snapToGrid w:val="0"/>
        </w:rPr>
      </w:pPr>
      <w:r>
        <w:rPr>
          <w:snapToGrid w:val="0"/>
        </w:rPr>
        <w:tab/>
      </w:r>
      <w:r>
        <w:rPr>
          <w:snapToGrid w:val="0"/>
        </w:rPr>
        <w:tab/>
        <w:t>If any dispute shall arise between the owner or master and the Department, such dispute shall be referred to and be determined by the Minister whose decision shall be final and binding upon the Department and the owner or master of the vessel.</w:t>
      </w:r>
    </w:p>
    <w:p>
      <w:pPr>
        <w:pStyle w:val="Footnotesection"/>
      </w:pPr>
      <w:r>
        <w:tab/>
        <w:t xml:space="preserve">[Regulation 101B inserted in Gazette 11 Jan 1946 p. 13; amended in Gazette 19 May 1989 p. 1496.] </w:t>
      </w:r>
    </w:p>
    <w:p>
      <w:pPr>
        <w:pStyle w:val="Ednotesection"/>
        <w:spacing w:before="180"/>
        <w:ind w:left="890" w:hanging="890"/>
      </w:pPr>
      <w:r>
        <w:t>[</w:t>
      </w:r>
      <w:r>
        <w:rPr>
          <w:b/>
        </w:rPr>
        <w:t>102-105.</w:t>
      </w:r>
      <w:r>
        <w:tab/>
        <w:t>Deleted in Gazette 24 Nov 1972 p. 4488.]</w:t>
      </w:r>
    </w:p>
    <w:p>
      <w:pPr>
        <w:pStyle w:val="Heading3"/>
        <w:rPr>
          <w:snapToGrid w:val="0"/>
        </w:rPr>
      </w:pPr>
      <w:bookmarkStart w:id="131" w:name="_Toc375231146"/>
      <w:r>
        <w:rPr>
          <w:rStyle w:val="CharDivNo"/>
        </w:rPr>
        <w:t>Division 2</w:t>
      </w:r>
      <w:r>
        <w:rPr>
          <w:snapToGrid w:val="0"/>
        </w:rPr>
        <w:t> — </w:t>
      </w:r>
      <w:r>
        <w:rPr>
          <w:rStyle w:val="CharDivText"/>
        </w:rPr>
        <w:t>Use of mooring springs</w:t>
      </w:r>
      <w:bookmarkEnd w:id="131"/>
      <w:r>
        <w:rPr>
          <w:snapToGrid w:val="0"/>
        </w:rPr>
        <w:t xml:space="preserve"> </w:t>
      </w:r>
    </w:p>
    <w:p>
      <w:pPr>
        <w:pStyle w:val="Footnoteheading"/>
      </w:pPr>
      <w:r>
        <w:tab/>
        <w:t xml:space="preserve">[Heading inserted in Gazette 19 May 1989 p. 1494.] </w:t>
      </w:r>
    </w:p>
    <w:p>
      <w:pPr>
        <w:pStyle w:val="Ednotesection"/>
        <w:spacing w:before="180"/>
      </w:pPr>
      <w:r>
        <w:t>[</w:t>
      </w:r>
      <w:r>
        <w:rPr>
          <w:b/>
        </w:rPr>
        <w:t>105A</w:t>
      </w:r>
      <w:r>
        <w:rPr>
          <w:b/>
        </w:rPr>
        <w:noBreakHyphen/>
        <w:t>105E.</w:t>
      </w:r>
      <w:r>
        <w:tab/>
        <w:t>Deleted in Gazette 30 Jun 1995 p. 2700.]</w:t>
      </w:r>
    </w:p>
    <w:p>
      <w:pPr>
        <w:pStyle w:val="Heading5"/>
        <w:spacing w:before="180"/>
        <w:rPr>
          <w:snapToGrid w:val="0"/>
        </w:rPr>
      </w:pPr>
      <w:bookmarkStart w:id="132" w:name="_Toc375231147"/>
      <w:r>
        <w:rPr>
          <w:rStyle w:val="CharSectno"/>
        </w:rPr>
        <w:t>105F</w:t>
      </w:r>
      <w:r>
        <w:rPr>
          <w:snapToGrid w:val="0"/>
        </w:rPr>
        <w:t>.</w:t>
      </w:r>
      <w:r>
        <w:rPr>
          <w:snapToGrid w:val="0"/>
        </w:rPr>
        <w:tab/>
        <w:t>Approaching bollard or jetty to which mooring spring or rope fastened</w:t>
      </w:r>
      <w:bookmarkEnd w:id="132"/>
      <w:r>
        <w:rPr>
          <w:snapToGrid w:val="0"/>
        </w:rPr>
        <w:t xml:space="preserve"> </w:t>
      </w:r>
    </w:p>
    <w:p>
      <w:pPr>
        <w:pStyle w:val="Subsection"/>
        <w:rPr>
          <w:snapToGrid w:val="0"/>
        </w:rPr>
      </w:pPr>
      <w:r>
        <w:rPr>
          <w:snapToGrid w:val="0"/>
        </w:rPr>
        <w:tab/>
      </w:r>
      <w:r>
        <w:rPr>
          <w:snapToGrid w:val="0"/>
        </w:rPr>
        <w:tab/>
        <w:t>A person shall not, unless authorised by the officer in charge, approach within 4 m of any bollard, or any other part of such public jetty to which any mooring spring or rope is fastened.</w:t>
      </w:r>
    </w:p>
    <w:p>
      <w:pPr>
        <w:pStyle w:val="Footnotesection"/>
      </w:pPr>
      <w:r>
        <w:tab/>
        <w:t xml:space="preserve">[Regulation 105F inserted in Gazette 3 Jan 1947 p. 7; amended in Gazette 15 Jun 1973 p. 2238.] </w:t>
      </w:r>
    </w:p>
    <w:p>
      <w:pPr>
        <w:pStyle w:val="Ednotesection"/>
        <w:spacing w:before="180"/>
        <w:ind w:left="890" w:hanging="890"/>
      </w:pPr>
      <w:r>
        <w:t>[</w:t>
      </w:r>
      <w:r>
        <w:rPr>
          <w:b/>
        </w:rPr>
        <w:t>105G, 105H, 105HA, 105HB.</w:t>
      </w:r>
      <w:r>
        <w:tab/>
        <w:t>Deleted in Gazette 30 Jun 1995 p. 2700.]</w:t>
      </w:r>
    </w:p>
    <w:p>
      <w:pPr>
        <w:pStyle w:val="Ednotedivision"/>
        <w:spacing w:before="180"/>
      </w:pPr>
      <w:r>
        <w:t>[Division 3 (r. 105HC) deleted in Gazette 30 Jun 1995 p. 2700.]</w:t>
      </w:r>
    </w:p>
    <w:p>
      <w:pPr>
        <w:pStyle w:val="Heading3"/>
        <w:rPr>
          <w:snapToGrid w:val="0"/>
        </w:rPr>
      </w:pPr>
      <w:bookmarkStart w:id="133" w:name="_Toc375231148"/>
      <w:r>
        <w:rPr>
          <w:rStyle w:val="CharDivNo"/>
        </w:rPr>
        <w:t>Division 4</w:t>
      </w:r>
      <w:r>
        <w:rPr>
          <w:snapToGrid w:val="0"/>
        </w:rPr>
        <w:t> — </w:t>
      </w:r>
      <w:r>
        <w:rPr>
          <w:rStyle w:val="CharDivText"/>
        </w:rPr>
        <w:t>Use of weighbridges at Wyndham</w:t>
      </w:r>
      <w:bookmarkEnd w:id="133"/>
    </w:p>
    <w:p>
      <w:pPr>
        <w:pStyle w:val="Footnoteheading"/>
      </w:pPr>
      <w:r>
        <w:tab/>
        <w:t xml:space="preserve">[Heading inserted in Gazette 19 May 1989 p. 1494; amended in Gazette 20 Jun 2000 p. 3044.] </w:t>
      </w:r>
    </w:p>
    <w:p>
      <w:pPr>
        <w:pStyle w:val="Heading5"/>
        <w:rPr>
          <w:snapToGrid w:val="0"/>
        </w:rPr>
      </w:pPr>
      <w:bookmarkStart w:id="134" w:name="_Toc375231149"/>
      <w:r>
        <w:rPr>
          <w:rStyle w:val="CharSectno"/>
        </w:rPr>
        <w:t>105I</w:t>
      </w:r>
      <w:r>
        <w:rPr>
          <w:snapToGrid w:val="0"/>
        </w:rPr>
        <w:t>.</w:t>
      </w:r>
      <w:r>
        <w:rPr>
          <w:snapToGrid w:val="0"/>
        </w:rPr>
        <w:tab/>
        <w:t>Weighbridge fees</w:t>
      </w:r>
      <w:bookmarkEnd w:id="134"/>
    </w:p>
    <w:p>
      <w:pPr>
        <w:pStyle w:val="Subsection"/>
        <w:rPr>
          <w:snapToGrid w:val="0"/>
        </w:rPr>
      </w:pPr>
      <w:r>
        <w:rPr>
          <w:snapToGrid w:val="0"/>
        </w:rPr>
        <w:tab/>
        <w:t>(1)</w:t>
      </w:r>
      <w:r>
        <w:rPr>
          <w:snapToGrid w:val="0"/>
        </w:rPr>
        <w:tab/>
        <w:t xml:space="preserve">A person making use of the 50 t weighbridges at Wyndham shall pay the fee set out in </w:t>
      </w:r>
      <w:r>
        <w:t>Schedule 1.</w:t>
      </w:r>
    </w:p>
    <w:p>
      <w:pPr>
        <w:pStyle w:val="Subsection"/>
        <w:rPr>
          <w:snapToGrid w:val="0"/>
        </w:rPr>
      </w:pPr>
      <w:r>
        <w:rPr>
          <w:snapToGrid w:val="0"/>
        </w:rPr>
        <w:tab/>
        <w:t>(2)</w:t>
      </w:r>
      <w:r>
        <w:rPr>
          <w:snapToGrid w:val="0"/>
        </w:rPr>
        <w:tab/>
        <w:t>A person making use of the weighbridge outside of normal working hours shall pay the wages of the operator, in addition to the fees prescribed by subregulation (1).</w:t>
      </w:r>
    </w:p>
    <w:p>
      <w:pPr>
        <w:pStyle w:val="Subsection"/>
        <w:rPr>
          <w:snapToGrid w:val="0"/>
        </w:rPr>
      </w:pPr>
      <w:r>
        <w:rPr>
          <w:snapToGrid w:val="0"/>
        </w:rPr>
        <w:tab/>
        <w:t>(3)</w:t>
      </w:r>
      <w:r>
        <w:rPr>
          <w:snapToGrid w:val="0"/>
        </w:rPr>
        <w:tab/>
        <w:t>Where multi</w:t>
      </w:r>
      <w:r>
        <w:rPr>
          <w:snapToGrid w:val="0"/>
        </w:rPr>
        <w:noBreakHyphen/>
        <w:t>unit vehicles are weighed, under this regulation, each unit shall be weighed separately and a ticket issued for each unit.</w:t>
      </w:r>
    </w:p>
    <w:p>
      <w:pPr>
        <w:pStyle w:val="Footnotesection"/>
      </w:pPr>
      <w:r>
        <w:tab/>
        <w:t xml:space="preserve">[Regulation 105I inserted in Gazette 11 Aug 1964 p. 2880; amended in Gazette 17 Mar 1966 p. 731; 30 Dec 1968 p. 3949; 24 Nov 1972 p. 4488; 15 Jun 1973 p. 2238; 20 Jun 1980 p. 1835; 26 Jun 1981 p. 2410; 9 Jul 1982 p. 2510; 5 Aug 1983 p. 2835; 8 Aug 1986 p. 2828; 16 Oct 1987 p. 3894; 14 Oct 1988 p. 4164; 30 Jun 1989 p. 1918; 1 Aug 1990 p. 3634; 26 Jul 1991 p. 3920; 30 Jun 1992 p. 2893; 29 Jun 1993 p. 3192; 30 Jun 1995 p. 2700; 20 Jun 2000 p. 3045; 24 Jun 2005 p. 2818.] </w:t>
      </w:r>
    </w:p>
    <w:p>
      <w:pPr>
        <w:pStyle w:val="Ednotedivision"/>
      </w:pPr>
      <w:r>
        <w:t>[Division 5 (r. 105J) deleted in Gazette 30 Jun 1992 p. 2893.]</w:t>
      </w:r>
    </w:p>
    <w:p>
      <w:pPr>
        <w:pStyle w:val="Heading2"/>
      </w:pPr>
      <w:bookmarkStart w:id="135" w:name="_Toc375231150"/>
      <w:r>
        <w:rPr>
          <w:rStyle w:val="CharPartNo"/>
        </w:rPr>
        <w:t>Part 4</w:t>
      </w:r>
      <w:r>
        <w:rPr>
          <w:rStyle w:val="CharDivNo"/>
        </w:rPr>
        <w:t> </w:t>
      </w:r>
      <w:r>
        <w:t>—</w:t>
      </w:r>
      <w:r>
        <w:rPr>
          <w:rStyle w:val="CharDivText"/>
        </w:rPr>
        <w:t> </w:t>
      </w:r>
      <w:r>
        <w:rPr>
          <w:rStyle w:val="CharPartText"/>
        </w:rPr>
        <w:t>Breach of regulations and penalties</w:t>
      </w:r>
      <w:bookmarkEnd w:id="135"/>
    </w:p>
    <w:p>
      <w:pPr>
        <w:pStyle w:val="Footnoteheading"/>
      </w:pPr>
      <w:r>
        <w:tab/>
        <w:t xml:space="preserve">[Heading inserted in Gazette 19 May 1989 p. 1494.] </w:t>
      </w:r>
    </w:p>
    <w:p>
      <w:pPr>
        <w:pStyle w:val="Heading5"/>
        <w:rPr>
          <w:snapToGrid w:val="0"/>
        </w:rPr>
      </w:pPr>
      <w:bookmarkStart w:id="136" w:name="_Toc375231151"/>
      <w:r>
        <w:rPr>
          <w:rStyle w:val="CharSectno"/>
        </w:rPr>
        <w:t>106</w:t>
      </w:r>
      <w:r>
        <w:rPr>
          <w:snapToGrid w:val="0"/>
        </w:rPr>
        <w:t>.</w:t>
      </w:r>
      <w:r>
        <w:rPr>
          <w:snapToGrid w:val="0"/>
        </w:rPr>
        <w:tab/>
        <w:t>Powers of officer of Department</w:t>
      </w:r>
      <w:bookmarkEnd w:id="136"/>
      <w:r>
        <w:rPr>
          <w:snapToGrid w:val="0"/>
        </w:rPr>
        <w:t xml:space="preserve"> </w:t>
      </w:r>
    </w:p>
    <w:p>
      <w:pPr>
        <w:pStyle w:val="Subsection"/>
        <w:rPr>
          <w:snapToGrid w:val="0"/>
        </w:rPr>
      </w:pPr>
      <w:r>
        <w:rPr>
          <w:snapToGrid w:val="0"/>
        </w:rPr>
        <w:tab/>
      </w:r>
      <w:r>
        <w:rPr>
          <w:snapToGrid w:val="0"/>
        </w:rPr>
        <w:tab/>
        <w:t>When the breach of these regulations is attended with any danger or annoyance to the public or any person, any officer of the Department may summarily interfere to obviate or remove such danger or annoyance or the person causing the same, without prejudice to any proceedings against the offender for any penalty to which he may be liable.</w:t>
      </w:r>
    </w:p>
    <w:p>
      <w:pPr>
        <w:pStyle w:val="Footnotesection"/>
      </w:pPr>
      <w:r>
        <w:tab/>
        <w:t xml:space="preserve">[Regulation 106 amended in Gazette 19 May 1989 p. 1496.] </w:t>
      </w:r>
    </w:p>
    <w:p>
      <w:pPr>
        <w:pStyle w:val="Heading5"/>
        <w:rPr>
          <w:snapToGrid w:val="0"/>
        </w:rPr>
      </w:pPr>
      <w:bookmarkStart w:id="137" w:name="_Toc375231152"/>
      <w:r>
        <w:rPr>
          <w:rStyle w:val="CharSectno"/>
        </w:rPr>
        <w:t>107</w:t>
      </w:r>
      <w:r>
        <w:rPr>
          <w:snapToGrid w:val="0"/>
        </w:rPr>
        <w:t>.</w:t>
      </w:r>
      <w:r>
        <w:rPr>
          <w:snapToGrid w:val="0"/>
        </w:rPr>
        <w:tab/>
        <w:t>Recovery of expenses incurred by breaches of regulations</w:t>
      </w:r>
      <w:bookmarkEnd w:id="137"/>
      <w:r>
        <w:rPr>
          <w:snapToGrid w:val="0"/>
        </w:rPr>
        <w:t xml:space="preserve"> </w:t>
      </w:r>
    </w:p>
    <w:p>
      <w:pPr>
        <w:pStyle w:val="Subsection"/>
        <w:rPr>
          <w:snapToGrid w:val="0"/>
        </w:rPr>
      </w:pPr>
      <w:r>
        <w:rPr>
          <w:snapToGrid w:val="0"/>
        </w:rPr>
        <w:tab/>
      </w:r>
      <w:r>
        <w:rPr>
          <w:snapToGrid w:val="0"/>
        </w:rPr>
        <w:tab/>
        <w:t>Where any person or persons by the foregoing regulations or any of them are required to do or perform any act or thing, and any such act or thing remains undone, the Minister for Transport or the Department may cause the same to be performed, and charge the cost and expenses against such person or persons, and the amount thereof may be recovered as a debt due to the Crown in any court of competent jurisdiction.</w:t>
      </w:r>
    </w:p>
    <w:p>
      <w:pPr>
        <w:pStyle w:val="Footnotesection"/>
      </w:pPr>
      <w:r>
        <w:tab/>
        <w:t xml:space="preserve">[Regulation 107 amended in Gazette 19 May 1989 p. 1496.] </w:t>
      </w:r>
    </w:p>
    <w:p>
      <w:pPr>
        <w:pStyle w:val="Heading5"/>
        <w:rPr>
          <w:snapToGrid w:val="0"/>
        </w:rPr>
      </w:pPr>
      <w:bookmarkStart w:id="138" w:name="_Toc375231153"/>
      <w:r>
        <w:rPr>
          <w:rStyle w:val="CharSectno"/>
        </w:rPr>
        <w:t>107A</w:t>
      </w:r>
      <w:r>
        <w:rPr>
          <w:snapToGrid w:val="0"/>
        </w:rPr>
        <w:t>.</w:t>
      </w:r>
      <w:r>
        <w:rPr>
          <w:snapToGrid w:val="0"/>
        </w:rPr>
        <w:tab/>
        <w:t>Police have authority to enforce regulations</w:t>
      </w:r>
      <w:bookmarkEnd w:id="138"/>
      <w:r>
        <w:rPr>
          <w:snapToGrid w:val="0"/>
        </w:rPr>
        <w:t xml:space="preserve"> </w:t>
      </w:r>
    </w:p>
    <w:p>
      <w:pPr>
        <w:pStyle w:val="Subsection"/>
        <w:rPr>
          <w:snapToGrid w:val="0"/>
        </w:rPr>
      </w:pPr>
      <w:r>
        <w:rPr>
          <w:snapToGrid w:val="0"/>
        </w:rPr>
        <w:tab/>
      </w:r>
      <w:r>
        <w:rPr>
          <w:snapToGrid w:val="0"/>
        </w:rPr>
        <w:tab/>
        <w:t>For the purpose of seeing that all or any of these regulations are carried out and to preserve order, Police officers in uniform shall have access to any jetty or premises of the Department at any hour of the day or night, and shall be allowed and authorised to ask any reasonable question of any person thereon, and any information required shall in all cases be furnished.</w:t>
      </w:r>
    </w:p>
    <w:p>
      <w:pPr>
        <w:pStyle w:val="Footnotesection"/>
      </w:pPr>
      <w:r>
        <w:tab/>
        <w:t xml:space="preserve">[Regulation 107A inserted in Gazette 17 Mar 1960 p. 784; amended in Gazette 19 May 1989 p. 1496.] </w:t>
      </w:r>
    </w:p>
    <w:p>
      <w:pPr>
        <w:pStyle w:val="Heading5"/>
        <w:rPr>
          <w:snapToGrid w:val="0"/>
        </w:rPr>
      </w:pPr>
      <w:bookmarkStart w:id="139" w:name="_Toc375231154"/>
      <w:r>
        <w:rPr>
          <w:rStyle w:val="CharSectno"/>
        </w:rPr>
        <w:t>108</w:t>
      </w:r>
      <w:r>
        <w:rPr>
          <w:snapToGrid w:val="0"/>
        </w:rPr>
        <w:t>.</w:t>
      </w:r>
      <w:r>
        <w:rPr>
          <w:snapToGrid w:val="0"/>
        </w:rPr>
        <w:tab/>
        <w:t>Penalty for offences</w:t>
      </w:r>
      <w:bookmarkEnd w:id="139"/>
      <w:r>
        <w:rPr>
          <w:snapToGrid w:val="0"/>
        </w:rPr>
        <w:t xml:space="preserve"> </w:t>
      </w:r>
    </w:p>
    <w:p>
      <w:pPr>
        <w:pStyle w:val="Subsection"/>
        <w:rPr>
          <w:snapToGrid w:val="0"/>
        </w:rPr>
      </w:pPr>
      <w:r>
        <w:rPr>
          <w:snapToGrid w:val="0"/>
        </w:rPr>
        <w:tab/>
      </w:r>
      <w:r>
        <w:rPr>
          <w:snapToGrid w:val="0"/>
        </w:rPr>
        <w:tab/>
        <w:t>Every person who by any act or omission fails in any respect to observe, perform, or comply with any provision or requirement of any of the foregoing regulations shall be guilty of an offence against these regulations, and where no particular penalty is prescribed by these regulations, shall on conviction be liable to a penalty not exceeding $200.</w:t>
      </w:r>
    </w:p>
    <w:p>
      <w:pPr>
        <w:pStyle w:val="Footnotesection"/>
      </w:pPr>
      <w:r>
        <w:tab/>
        <w:t xml:space="preserve">[Regulation 108 amended by Act No. 113 of 1965 s. 8(1); amended in Gazette 17 Sep 1976 p. 3463; 19 May 1989 p. 1496.] </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bookmarkStart w:id="140" w:name="_Toc375231155"/>
      <w:r>
        <w:rPr>
          <w:rStyle w:val="CharSchNo"/>
        </w:rPr>
        <w:t>Schedule 1</w:t>
      </w:r>
      <w:r>
        <w:t> — </w:t>
      </w:r>
      <w:r>
        <w:rPr>
          <w:rStyle w:val="CharSchText"/>
        </w:rPr>
        <w:t>Charges, dues and fees at places outside the Port of Perth</w:t>
      </w:r>
      <w:bookmarkEnd w:id="140"/>
    </w:p>
    <w:p>
      <w:pPr>
        <w:pStyle w:val="yShoulderClause"/>
        <w:spacing w:before="80"/>
      </w:pPr>
      <w:r>
        <w:t>[r. 6, 10A, 11, 25, 42A, 53A, 94A, 94B, 94C, 96 and 105I]</w:t>
      </w:r>
    </w:p>
    <w:p>
      <w:pPr>
        <w:pStyle w:val="yFootnoteheading"/>
        <w:spacing w:before="100"/>
      </w:pPr>
      <w:r>
        <w:tab/>
        <w:t>[Heading inserted in Gazette 28 Jun 2013 p. 2831.]</w:t>
      </w:r>
    </w:p>
    <w:p>
      <w:pPr>
        <w:pStyle w:val="yHeading3"/>
        <w:spacing w:before="200"/>
      </w:pPr>
      <w:bookmarkStart w:id="141" w:name="_Toc375231156"/>
      <w:r>
        <w:rPr>
          <w:rStyle w:val="CharSDivNo"/>
        </w:rPr>
        <w:t>Division 1</w:t>
      </w:r>
      <w:r>
        <w:rPr>
          <w:b w:val="0"/>
        </w:rPr>
        <w:t> — </w:t>
      </w:r>
      <w:r>
        <w:rPr>
          <w:rStyle w:val="CharSDivText"/>
        </w:rPr>
        <w:t>Specified places</w:t>
      </w:r>
      <w:bookmarkEnd w:id="141"/>
    </w:p>
    <w:p>
      <w:pPr>
        <w:pStyle w:val="yFootnoteheading"/>
        <w:spacing w:before="100"/>
      </w:pPr>
      <w:r>
        <w:tab/>
        <w:t>[Heading inserted in Gazette 28 Jun 2013 p. 2832.]</w:t>
      </w:r>
    </w:p>
    <w:p>
      <w:pPr>
        <w:pStyle w:val="yHeading5"/>
        <w:spacing w:before="180"/>
      </w:pPr>
      <w:bookmarkStart w:id="142" w:name="_Toc375231157"/>
      <w:r>
        <w:rPr>
          <w:rStyle w:val="CharSClsNo"/>
        </w:rPr>
        <w:t>1</w:t>
      </w:r>
      <w:r>
        <w:t>.</w:t>
      </w:r>
      <w:r>
        <w:tab/>
      </w:r>
      <w:smartTag w:uri="urn:schemas-microsoft-com:office:smarttags" w:element="City">
        <w:r>
          <w:t>Albany</w:t>
        </w:r>
      </w:smartTag>
      <w:r>
        <w:t xml:space="preserve">, </w:t>
      </w:r>
      <w:smartTag w:uri="urn:schemas-microsoft-com:office:smarttags" w:element="City">
        <w:r>
          <w:t>Albany</w:t>
        </w:r>
      </w:smartTag>
      <w:r>
        <w:t xml:space="preserve"> Waterfront </w:t>
      </w:r>
      <w:smartTag w:uri="urn:schemas-microsoft-com:office:smarttags" w:element="place">
        <w:smartTag w:uri="urn:schemas-microsoft-com:office:smarttags" w:element="City">
          <w:r>
            <w:t>Marina</w:t>
          </w:r>
        </w:smartTag>
      </w:smartTag>
      <w:bookmarkEnd w:id="142"/>
    </w:p>
    <w:p>
      <w:pPr>
        <w:pStyle w:val="ySubsection"/>
        <w:spacing w:before="120"/>
      </w:pPr>
      <w:r>
        <w:tab/>
        <w:t>(1)</w:t>
      </w:r>
      <w:r>
        <w:tab/>
        <w:t xml:space="preserve">This clause applies to the Albany Waterfront Marina at </w:t>
      </w:r>
      <w:smartTag w:uri="urn:schemas-microsoft-com:office:smarttags" w:element="place">
        <w:smartTag w:uri="urn:schemas-microsoft-com:office:smarttags" w:element="City">
          <w:r>
            <w:t>Albany</w:t>
          </w:r>
        </w:smartTag>
      </w:smartTag>
      <w:r>
        <w:t>.</w:t>
      </w:r>
    </w:p>
    <w:p>
      <w:pPr>
        <w:pStyle w:val="ySubsection"/>
        <w:spacing w:before="120"/>
      </w:pPr>
      <w:r>
        <w:tab/>
        <w:t>(2)</w:t>
      </w:r>
      <w:r>
        <w:tab/>
        <w:t>The fees and charges to be paid under regulations 6 and 94A are set out in Table 1.1.</w:t>
      </w:r>
    </w:p>
    <w:p>
      <w:pPr>
        <w:pStyle w:val="yTHeadingNAm"/>
        <w:spacing w:before="120" w:after="40"/>
      </w:pPr>
      <w:r>
        <w:t>Table 1.1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4" w:type="dxa"/>
            <w:tcBorders>
              <w:top w:val="single" w:sz="4" w:space="0" w:color="auto"/>
              <w:bottom w:val="single" w:sz="4" w:space="0" w:color="auto"/>
            </w:tcBorders>
          </w:tcPr>
          <w:p>
            <w:pPr>
              <w:pStyle w:val="yTableNAm"/>
              <w:rPr>
                <w:b/>
              </w:rPr>
            </w:pPr>
            <w:r>
              <w:rPr>
                <w:b/>
              </w:rPr>
              <w:t>Service</w:t>
            </w:r>
          </w:p>
        </w:tc>
        <w:tc>
          <w:tcPr>
            <w:tcW w:w="992"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4" w:type="dxa"/>
          </w:tcPr>
          <w:p>
            <w:pPr>
              <w:pStyle w:val="yTableNAm"/>
            </w:pPr>
            <w:r>
              <w:t>For pen for commercial vessel, per m of the longer of the vessel’s length and the pen’s length —</w:t>
            </w:r>
          </w:p>
        </w:tc>
        <w:tc>
          <w:tcPr>
            <w:tcW w:w="992" w:type="dxa"/>
          </w:tcPr>
          <w:p>
            <w:pPr>
              <w:pStyle w:val="yTableNAm"/>
              <w:jc w:val="right"/>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12 months paid in advance</w:t>
            </w:r>
          </w:p>
        </w:tc>
        <w:tc>
          <w:tcPr>
            <w:tcW w:w="992" w:type="dxa"/>
          </w:tcPr>
          <w:p>
            <w:pPr>
              <w:pStyle w:val="yTableNAm"/>
              <w:jc w:val="right"/>
            </w:pPr>
            <w:r>
              <w:t>389.54</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3 months or more, per month, paid in advance</w:t>
            </w:r>
          </w:p>
        </w:tc>
        <w:tc>
          <w:tcPr>
            <w:tcW w:w="992" w:type="dxa"/>
          </w:tcPr>
          <w:p>
            <w:pPr>
              <w:pStyle w:val="yTableNAm"/>
              <w:jc w:val="right"/>
            </w:pPr>
            <w:r>
              <w:br/>
              <w:t>38.95</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one month or more, per month, paid in advance</w:t>
            </w:r>
          </w:p>
        </w:tc>
        <w:tc>
          <w:tcPr>
            <w:tcW w:w="992" w:type="dxa"/>
          </w:tcPr>
          <w:p>
            <w:pPr>
              <w:pStyle w:val="yTableNAm"/>
              <w:jc w:val="right"/>
            </w:pPr>
            <w:r>
              <w:br/>
              <w:t>58.43</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one week or more, per week, paid in advance</w:t>
            </w:r>
          </w:p>
        </w:tc>
        <w:tc>
          <w:tcPr>
            <w:tcW w:w="992" w:type="dxa"/>
          </w:tcPr>
          <w:p>
            <w:pPr>
              <w:pStyle w:val="yTableNAm"/>
              <w:jc w:val="right"/>
            </w:pPr>
            <w:r>
              <w:br/>
              <w:t>40.57</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 xml:space="preserve">otherwise, per day </w:t>
            </w:r>
          </w:p>
        </w:tc>
        <w:tc>
          <w:tcPr>
            <w:tcW w:w="992" w:type="dxa"/>
          </w:tcPr>
          <w:p>
            <w:pPr>
              <w:pStyle w:val="yTableNAm"/>
              <w:jc w:val="right"/>
            </w:pPr>
            <w:r>
              <w:t>8.12</w:t>
            </w:r>
          </w:p>
        </w:tc>
      </w:tr>
      <w:tr>
        <w:trPr>
          <w:cantSplit/>
        </w:trPr>
        <w:tc>
          <w:tcPr>
            <w:tcW w:w="567" w:type="dxa"/>
          </w:tcPr>
          <w:p>
            <w:pPr>
              <w:pStyle w:val="yTableNAm"/>
            </w:pPr>
            <w:r>
              <w:t>2.</w:t>
            </w:r>
          </w:p>
        </w:tc>
        <w:tc>
          <w:tcPr>
            <w:tcW w:w="4394" w:type="dxa"/>
          </w:tcPr>
          <w:p>
            <w:pPr>
              <w:pStyle w:val="yTableNAm"/>
            </w:pPr>
            <w:r>
              <w:t xml:space="preserve">For pen for recreational vessel, per m of the longer of the vessel’s length and the pen’s length — </w:t>
            </w:r>
          </w:p>
        </w:tc>
        <w:tc>
          <w:tcPr>
            <w:tcW w:w="992" w:type="dxa"/>
          </w:tcPr>
          <w:p>
            <w:pPr>
              <w:pStyle w:val="yTableNAm"/>
              <w:jc w:val="right"/>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 xml:space="preserve">for 12 months paid in advance </w:t>
            </w:r>
          </w:p>
        </w:tc>
        <w:tc>
          <w:tcPr>
            <w:tcW w:w="992" w:type="dxa"/>
          </w:tcPr>
          <w:p>
            <w:pPr>
              <w:pStyle w:val="yTableNAm"/>
              <w:jc w:val="right"/>
            </w:pPr>
            <w:r>
              <w:t>389.54</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3 months or more, per month, paid in advance</w:t>
            </w:r>
          </w:p>
        </w:tc>
        <w:tc>
          <w:tcPr>
            <w:tcW w:w="992" w:type="dxa"/>
          </w:tcPr>
          <w:p>
            <w:pPr>
              <w:pStyle w:val="yTableNAm"/>
              <w:jc w:val="right"/>
            </w:pPr>
            <w:r>
              <w:br/>
              <w:t>38.95</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one month or more, per month, paid in advance</w:t>
            </w:r>
          </w:p>
        </w:tc>
        <w:tc>
          <w:tcPr>
            <w:tcW w:w="992" w:type="dxa"/>
          </w:tcPr>
          <w:p>
            <w:pPr>
              <w:pStyle w:val="yTableNAm"/>
              <w:jc w:val="right"/>
            </w:pPr>
            <w:r>
              <w:br/>
              <w:t>58.43</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one week or more, per week, paid in advance</w:t>
            </w:r>
          </w:p>
        </w:tc>
        <w:tc>
          <w:tcPr>
            <w:tcW w:w="992" w:type="dxa"/>
          </w:tcPr>
          <w:p>
            <w:pPr>
              <w:pStyle w:val="yTableNAm"/>
              <w:jc w:val="right"/>
            </w:pPr>
            <w:r>
              <w:br/>
              <w:t>26.13</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otherwise, per day</w:t>
            </w:r>
          </w:p>
        </w:tc>
        <w:tc>
          <w:tcPr>
            <w:tcW w:w="992" w:type="dxa"/>
          </w:tcPr>
          <w:p>
            <w:pPr>
              <w:pStyle w:val="yTableNAm"/>
              <w:jc w:val="right"/>
            </w:pPr>
            <w:r>
              <w:t>5.23</w:t>
            </w:r>
          </w:p>
        </w:tc>
      </w:tr>
      <w:tr>
        <w:trPr>
          <w:cantSplit/>
        </w:trPr>
        <w:tc>
          <w:tcPr>
            <w:tcW w:w="567" w:type="dxa"/>
          </w:tcPr>
          <w:p>
            <w:pPr>
              <w:pStyle w:val="yTableNAm"/>
            </w:pPr>
            <w:r>
              <w:t>3.</w:t>
            </w:r>
          </w:p>
        </w:tc>
        <w:tc>
          <w:tcPr>
            <w:tcW w:w="4394" w:type="dxa"/>
          </w:tcPr>
          <w:p>
            <w:pPr>
              <w:pStyle w:val="yTableNAm"/>
            </w:pPr>
            <w:r>
              <w:t xml:space="preserve">For pen, or berth at service jetty or old timber jetty, per m of the vessel’s length, per day — </w:t>
            </w:r>
          </w:p>
        </w:tc>
        <w:tc>
          <w:tcPr>
            <w:tcW w:w="992" w:type="dxa"/>
          </w:tcPr>
          <w:p>
            <w:pPr>
              <w:pStyle w:val="yTableNAm"/>
              <w:jc w:val="right"/>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commercial vessel</w:t>
            </w:r>
          </w:p>
        </w:tc>
        <w:tc>
          <w:tcPr>
            <w:tcW w:w="992" w:type="dxa"/>
          </w:tcPr>
          <w:p>
            <w:pPr>
              <w:pStyle w:val="yTableNAm"/>
              <w:jc w:val="right"/>
            </w:pPr>
            <w:r>
              <w:t>8.12</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recreational vessel</w:t>
            </w:r>
          </w:p>
        </w:tc>
        <w:tc>
          <w:tcPr>
            <w:tcW w:w="992" w:type="dxa"/>
          </w:tcPr>
          <w:p>
            <w:pPr>
              <w:pStyle w:val="yTableNAm"/>
              <w:jc w:val="right"/>
            </w:pPr>
            <w:r>
              <w:t>5.23</w:t>
            </w:r>
          </w:p>
        </w:tc>
      </w:tr>
      <w:tr>
        <w:trPr>
          <w:cantSplit/>
        </w:trPr>
        <w:tc>
          <w:tcPr>
            <w:tcW w:w="567" w:type="dxa"/>
          </w:tcPr>
          <w:p>
            <w:pPr>
              <w:pStyle w:val="yTableNAm"/>
            </w:pPr>
            <w:r>
              <w:t>4.</w:t>
            </w:r>
          </w:p>
        </w:tc>
        <w:tc>
          <w:tcPr>
            <w:tcW w:w="4394" w:type="dxa"/>
          </w:tcPr>
          <w:p>
            <w:pPr>
              <w:pStyle w:val="yTableNAm"/>
            </w:pPr>
            <w:r>
              <w:t>For use of service jetty for short time just to load or unload vessel for which the item 1, 2 or 3 fee has not been paid, per m of the vessel’s length —</w:t>
            </w:r>
          </w:p>
        </w:tc>
        <w:tc>
          <w:tcPr>
            <w:tcW w:w="992" w:type="dxa"/>
          </w:tcPr>
          <w:p>
            <w:pPr>
              <w:pStyle w:val="yTableNAm"/>
              <w:jc w:val="right"/>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12 months paid in advance</w:t>
            </w:r>
          </w:p>
        </w:tc>
        <w:tc>
          <w:tcPr>
            <w:tcW w:w="992" w:type="dxa"/>
          </w:tcPr>
          <w:p>
            <w:pPr>
              <w:pStyle w:val="yTableNAm"/>
              <w:jc w:val="right"/>
            </w:pPr>
            <w:r>
              <w:t>149.37</w:t>
            </w:r>
          </w:p>
        </w:tc>
      </w:tr>
      <w:tr>
        <w:trPr>
          <w:cantSplit/>
        </w:trPr>
        <w:tc>
          <w:tcPr>
            <w:tcW w:w="567" w:type="dxa"/>
            <w:tcBorders>
              <w:bottom w:val="single" w:sz="4" w:space="0" w:color="auto"/>
            </w:tcBorders>
          </w:tcPr>
          <w:p>
            <w:pPr>
              <w:pStyle w:val="yTableNAm"/>
            </w:pPr>
          </w:p>
        </w:tc>
        <w:tc>
          <w:tcPr>
            <w:tcW w:w="4394" w:type="dxa"/>
            <w:tcBorders>
              <w:bottom w:val="single" w:sz="4" w:space="0" w:color="auto"/>
            </w:tcBorders>
          </w:tcPr>
          <w:p>
            <w:pPr>
              <w:pStyle w:val="yTableNAm"/>
              <w:tabs>
                <w:tab w:val="clear" w:pos="567"/>
                <w:tab w:val="left" w:pos="415"/>
              </w:tabs>
              <w:ind w:left="415" w:hanging="415"/>
            </w:pPr>
            <w:r>
              <w:t>•</w:t>
            </w:r>
            <w:r>
              <w:tab/>
              <w:t>per day</w:t>
            </w:r>
          </w:p>
        </w:tc>
        <w:tc>
          <w:tcPr>
            <w:tcW w:w="992" w:type="dxa"/>
            <w:tcBorders>
              <w:bottom w:val="single" w:sz="4" w:space="0" w:color="auto"/>
            </w:tcBorders>
          </w:tcPr>
          <w:p>
            <w:pPr>
              <w:pStyle w:val="yTableNAm"/>
              <w:jc w:val="right"/>
            </w:pPr>
            <w:r>
              <w:t>4.87</w:t>
            </w:r>
          </w:p>
        </w:tc>
      </w:tr>
    </w:tbl>
    <w:p>
      <w:pPr>
        <w:pStyle w:val="yFootnotesection"/>
      </w:pPr>
      <w:r>
        <w:tab/>
        <w:t>[Clause 1 inserted in Gazette 28 Jun 2013 p. 2832</w:t>
      </w:r>
      <w:r>
        <w:noBreakHyphen/>
        <w:t>3.]</w:t>
      </w:r>
    </w:p>
    <w:p>
      <w:pPr>
        <w:pStyle w:val="yHeading5"/>
        <w:spacing w:before="180"/>
      </w:pPr>
      <w:bookmarkStart w:id="143" w:name="_Toc375231158"/>
      <w:r>
        <w:rPr>
          <w:rStyle w:val="CharSClsNo"/>
        </w:rPr>
        <w:t>2</w:t>
      </w:r>
      <w:r>
        <w:t>.</w:t>
      </w:r>
      <w:r>
        <w:rPr>
          <w:b w:val="0"/>
        </w:rPr>
        <w:tab/>
      </w:r>
      <w:r>
        <w:t xml:space="preserve">Albany, </w:t>
      </w:r>
      <w:smartTag w:uri="urn:schemas-microsoft-com:office:smarttags" w:element="place">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143"/>
    </w:p>
    <w:p>
      <w:pPr>
        <w:pStyle w:val="ySubsection"/>
      </w:pPr>
      <w:r>
        <w:tab/>
        <w:t>(1)</w:t>
      </w:r>
      <w:r>
        <w:tab/>
        <w:t xml:space="preserve">This clause applies to the </w:t>
      </w:r>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Boat</w:t>
        </w:r>
      </w:smartTag>
      <w:r>
        <w:t xml:space="preserve"> </w:t>
      </w:r>
      <w:smartTag w:uri="urn:schemas-microsoft-com:office:smarttags" w:element="PlaceType">
        <w:r>
          <w:t>Harbour</w:t>
        </w:r>
      </w:smartTag>
      <w:r>
        <w:t xml:space="preserve"> at </w:t>
      </w:r>
      <w:smartTag w:uri="urn:schemas-microsoft-com:office:smarttags" w:element="place">
        <w:smartTag w:uri="urn:schemas-microsoft-com:office:smarttags" w:element="City">
          <w:r>
            <w:t>Albany</w:t>
          </w:r>
        </w:smartTag>
      </w:smartTag>
      <w:r>
        <w:t>.</w:t>
      </w:r>
    </w:p>
    <w:p>
      <w:pPr>
        <w:pStyle w:val="ySubsection"/>
      </w:pPr>
      <w:r>
        <w:tab/>
        <w:t>(2)</w:t>
      </w:r>
      <w:r>
        <w:tab/>
        <w:t>The fees and charges to be paid under regulations 6 and 94A are set out in Table 2.1.</w:t>
      </w:r>
    </w:p>
    <w:p>
      <w:pPr>
        <w:pStyle w:val="yTHeadingNAm"/>
      </w:pPr>
      <w:r>
        <w:t>Table 2.1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4" w:type="dxa"/>
            <w:tcBorders>
              <w:top w:val="single" w:sz="4" w:space="0" w:color="auto"/>
              <w:bottom w:val="single" w:sz="4" w:space="0" w:color="auto"/>
            </w:tcBorders>
          </w:tcPr>
          <w:p>
            <w:pPr>
              <w:pStyle w:val="yTableNAm"/>
              <w:rPr>
                <w:b/>
              </w:rPr>
            </w:pPr>
            <w:r>
              <w:rPr>
                <w:b/>
              </w:rPr>
              <w:t>Service</w:t>
            </w:r>
          </w:p>
        </w:tc>
        <w:tc>
          <w:tcPr>
            <w:tcW w:w="992"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4" w:type="dxa"/>
          </w:tcPr>
          <w:p>
            <w:pPr>
              <w:pStyle w:val="yTableNAm"/>
            </w:pPr>
            <w:r>
              <w:t>For pen for commercial vessel 20 m or over, per m of the vessel’s length —</w:t>
            </w:r>
          </w:p>
        </w:tc>
        <w:tc>
          <w:tcPr>
            <w:tcW w:w="992" w:type="dxa"/>
          </w:tcPr>
          <w:p>
            <w:pPr>
              <w:pStyle w:val="yTableNAm"/>
              <w:jc w:val="right"/>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12 months paid in advance</w:t>
            </w:r>
          </w:p>
        </w:tc>
        <w:tc>
          <w:tcPr>
            <w:tcW w:w="992" w:type="dxa"/>
          </w:tcPr>
          <w:p>
            <w:pPr>
              <w:pStyle w:val="yTableNAm"/>
              <w:jc w:val="right"/>
            </w:pPr>
            <w:r>
              <w:t>288.96</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3 months or more, per month, paid in advance</w:t>
            </w:r>
          </w:p>
        </w:tc>
        <w:tc>
          <w:tcPr>
            <w:tcW w:w="992" w:type="dxa"/>
          </w:tcPr>
          <w:p>
            <w:pPr>
              <w:pStyle w:val="yTableNAm"/>
              <w:jc w:val="right"/>
            </w:pPr>
            <w:r>
              <w:br/>
              <w:t>28.89</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one month or more, per month, paid in advance</w:t>
            </w:r>
          </w:p>
        </w:tc>
        <w:tc>
          <w:tcPr>
            <w:tcW w:w="992" w:type="dxa"/>
          </w:tcPr>
          <w:p>
            <w:pPr>
              <w:pStyle w:val="yTableNAm"/>
              <w:jc w:val="right"/>
            </w:pPr>
            <w:r>
              <w:br/>
              <w:t>43.34</w:t>
            </w:r>
          </w:p>
        </w:tc>
      </w:tr>
      <w:tr>
        <w:trPr>
          <w:cantSplit/>
        </w:trPr>
        <w:tc>
          <w:tcPr>
            <w:tcW w:w="567" w:type="dxa"/>
          </w:tcPr>
          <w:p>
            <w:pPr>
              <w:pStyle w:val="yTableNAm"/>
            </w:pPr>
            <w:r>
              <w:t>2.</w:t>
            </w:r>
          </w:p>
        </w:tc>
        <w:tc>
          <w:tcPr>
            <w:tcW w:w="4394" w:type="dxa"/>
          </w:tcPr>
          <w:p>
            <w:pPr>
              <w:pStyle w:val="yTableNAm"/>
            </w:pPr>
            <w:r>
              <w:t xml:space="preserve">For pen for commercial vessel not over 20 m, per m of the vessel’s length — </w:t>
            </w:r>
          </w:p>
        </w:tc>
        <w:tc>
          <w:tcPr>
            <w:tcW w:w="992" w:type="dxa"/>
          </w:tcPr>
          <w:p>
            <w:pPr>
              <w:pStyle w:val="yTableNAm"/>
              <w:jc w:val="right"/>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12 months paid in advance</w:t>
            </w:r>
          </w:p>
        </w:tc>
        <w:tc>
          <w:tcPr>
            <w:tcW w:w="992" w:type="dxa"/>
          </w:tcPr>
          <w:p>
            <w:pPr>
              <w:pStyle w:val="yTableNAm"/>
              <w:jc w:val="right"/>
            </w:pPr>
            <w:r>
              <w:t>243.54</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3 months or more, per month, paid in advance</w:t>
            </w:r>
          </w:p>
        </w:tc>
        <w:tc>
          <w:tcPr>
            <w:tcW w:w="992" w:type="dxa"/>
          </w:tcPr>
          <w:p>
            <w:pPr>
              <w:pStyle w:val="yTableNAm"/>
              <w:jc w:val="right"/>
            </w:pPr>
            <w:r>
              <w:br/>
              <w:t>24.34</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one month or more, per month, paid in advance</w:t>
            </w:r>
          </w:p>
        </w:tc>
        <w:tc>
          <w:tcPr>
            <w:tcW w:w="992" w:type="dxa"/>
          </w:tcPr>
          <w:p>
            <w:pPr>
              <w:pStyle w:val="yTableNAm"/>
              <w:jc w:val="right"/>
            </w:pPr>
            <w:r>
              <w:br/>
              <w:t>36.53</w:t>
            </w:r>
          </w:p>
        </w:tc>
      </w:tr>
      <w:tr>
        <w:trPr>
          <w:cantSplit/>
        </w:trPr>
        <w:tc>
          <w:tcPr>
            <w:tcW w:w="567" w:type="dxa"/>
          </w:tcPr>
          <w:p>
            <w:pPr>
              <w:pStyle w:val="yTableNAm"/>
            </w:pPr>
            <w:r>
              <w:t>3.</w:t>
            </w:r>
          </w:p>
        </w:tc>
        <w:tc>
          <w:tcPr>
            <w:tcW w:w="4394" w:type="dxa"/>
          </w:tcPr>
          <w:p>
            <w:pPr>
              <w:pStyle w:val="yTableNAm"/>
            </w:pPr>
            <w:r>
              <w:t xml:space="preserve">For pen or berth for recreational vessel, per m of the vessel’s length — </w:t>
            </w:r>
          </w:p>
        </w:tc>
        <w:tc>
          <w:tcPr>
            <w:tcW w:w="992" w:type="dxa"/>
          </w:tcPr>
          <w:p>
            <w:pPr>
              <w:pStyle w:val="yTableNAm"/>
              <w:jc w:val="right"/>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12 months paid in advance</w:t>
            </w:r>
          </w:p>
        </w:tc>
        <w:tc>
          <w:tcPr>
            <w:tcW w:w="992" w:type="dxa"/>
          </w:tcPr>
          <w:p>
            <w:pPr>
              <w:pStyle w:val="yTableNAm"/>
              <w:jc w:val="right"/>
            </w:pPr>
            <w:r>
              <w:t>220.79</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3 months or more, per month, paid in advance</w:t>
            </w:r>
          </w:p>
        </w:tc>
        <w:tc>
          <w:tcPr>
            <w:tcW w:w="992" w:type="dxa"/>
          </w:tcPr>
          <w:p>
            <w:pPr>
              <w:pStyle w:val="yTableNAm"/>
              <w:jc w:val="right"/>
            </w:pPr>
            <w:r>
              <w:br/>
              <w:t>22.07</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one month or more, per month, paid in advance</w:t>
            </w:r>
          </w:p>
        </w:tc>
        <w:tc>
          <w:tcPr>
            <w:tcW w:w="992" w:type="dxa"/>
          </w:tcPr>
          <w:p>
            <w:pPr>
              <w:pStyle w:val="yTableNAm"/>
              <w:jc w:val="right"/>
            </w:pPr>
            <w:r>
              <w:br/>
              <w:t>33.12</w:t>
            </w:r>
          </w:p>
        </w:tc>
      </w:tr>
      <w:tr>
        <w:trPr>
          <w:cantSplit/>
        </w:trPr>
        <w:tc>
          <w:tcPr>
            <w:tcW w:w="567" w:type="dxa"/>
          </w:tcPr>
          <w:p>
            <w:pPr>
              <w:pStyle w:val="yTableNAm"/>
            </w:pPr>
            <w:r>
              <w:t>4.</w:t>
            </w:r>
          </w:p>
        </w:tc>
        <w:tc>
          <w:tcPr>
            <w:tcW w:w="4394" w:type="dxa"/>
          </w:tcPr>
          <w:p>
            <w:pPr>
              <w:pStyle w:val="yTableNAm"/>
            </w:pPr>
            <w:r>
              <w:t xml:space="preserve">For pen, or berth at service jetty, per m of the vessel’s length, per day — </w:t>
            </w:r>
          </w:p>
        </w:tc>
        <w:tc>
          <w:tcPr>
            <w:tcW w:w="992" w:type="dxa"/>
          </w:tcPr>
          <w:p>
            <w:pPr>
              <w:pStyle w:val="yTableNAm"/>
              <w:jc w:val="right"/>
            </w:pPr>
            <w:r>
              <w:br/>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commercial vessel</w:t>
            </w:r>
          </w:p>
        </w:tc>
        <w:tc>
          <w:tcPr>
            <w:tcW w:w="992" w:type="dxa"/>
          </w:tcPr>
          <w:p>
            <w:pPr>
              <w:pStyle w:val="yTableNAm"/>
              <w:jc w:val="right"/>
            </w:pPr>
            <w:r>
              <w:t>8.12</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recreational vessel</w:t>
            </w:r>
          </w:p>
        </w:tc>
        <w:tc>
          <w:tcPr>
            <w:tcW w:w="992" w:type="dxa"/>
          </w:tcPr>
          <w:p>
            <w:pPr>
              <w:pStyle w:val="yTableNAm"/>
              <w:jc w:val="right"/>
            </w:pPr>
            <w:r>
              <w:t>5.23</w:t>
            </w:r>
          </w:p>
        </w:tc>
      </w:tr>
      <w:tr>
        <w:trPr>
          <w:cantSplit/>
        </w:trPr>
        <w:tc>
          <w:tcPr>
            <w:tcW w:w="567" w:type="dxa"/>
          </w:tcPr>
          <w:p>
            <w:pPr>
              <w:pStyle w:val="yTableNAm"/>
            </w:pPr>
            <w:r>
              <w:t>5.</w:t>
            </w:r>
          </w:p>
        </w:tc>
        <w:tc>
          <w:tcPr>
            <w:tcW w:w="4394" w:type="dxa"/>
          </w:tcPr>
          <w:p>
            <w:pPr>
              <w:pStyle w:val="yTableNAm"/>
            </w:pPr>
            <w:r>
              <w:t>For use of service jetty for short time just to load or unload vessel for which the item 1, 2, 3 or 4 fee has not been paid, per m of the vessel’s length —</w:t>
            </w:r>
          </w:p>
        </w:tc>
        <w:tc>
          <w:tcPr>
            <w:tcW w:w="992" w:type="dxa"/>
          </w:tcPr>
          <w:p>
            <w:pPr>
              <w:pStyle w:val="yTableNAm"/>
              <w:jc w:val="right"/>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12 months paid in advance</w:t>
            </w:r>
          </w:p>
        </w:tc>
        <w:tc>
          <w:tcPr>
            <w:tcW w:w="992" w:type="dxa"/>
          </w:tcPr>
          <w:p>
            <w:pPr>
              <w:pStyle w:val="yTableNAm"/>
              <w:jc w:val="right"/>
            </w:pPr>
            <w:r>
              <w:t>149.37</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per day</w:t>
            </w:r>
          </w:p>
        </w:tc>
        <w:tc>
          <w:tcPr>
            <w:tcW w:w="992" w:type="dxa"/>
          </w:tcPr>
          <w:p>
            <w:pPr>
              <w:pStyle w:val="yTableNAm"/>
              <w:jc w:val="right"/>
            </w:pPr>
            <w:r>
              <w:t>4.87</w:t>
            </w:r>
          </w:p>
        </w:tc>
      </w:tr>
      <w:tr>
        <w:trPr>
          <w:cantSplit/>
        </w:trPr>
        <w:tc>
          <w:tcPr>
            <w:tcW w:w="567" w:type="dxa"/>
          </w:tcPr>
          <w:p>
            <w:pPr>
              <w:pStyle w:val="yTableNAm"/>
              <w:keepNext/>
            </w:pPr>
            <w:r>
              <w:t>6.</w:t>
            </w:r>
          </w:p>
        </w:tc>
        <w:tc>
          <w:tcPr>
            <w:tcW w:w="4394" w:type="dxa"/>
          </w:tcPr>
          <w:p>
            <w:pPr>
              <w:pStyle w:val="yTableNAm"/>
              <w:keepNext/>
            </w:pPr>
            <w:r>
              <w:t>For electricity supply, 3</w:t>
            </w:r>
            <w:r>
              <w:noBreakHyphen/>
              <w:t xml:space="preserve">phase per day — </w:t>
            </w:r>
          </w:p>
        </w:tc>
        <w:tc>
          <w:tcPr>
            <w:tcW w:w="992" w:type="dxa"/>
          </w:tcPr>
          <w:p>
            <w:pPr>
              <w:pStyle w:val="yTableNAm"/>
              <w:keepNext/>
              <w:jc w:val="right"/>
            </w:pPr>
          </w:p>
        </w:tc>
      </w:tr>
      <w:tr>
        <w:trPr>
          <w:cantSplit/>
        </w:trPr>
        <w:tc>
          <w:tcPr>
            <w:tcW w:w="567" w:type="dxa"/>
          </w:tcPr>
          <w:p>
            <w:pPr>
              <w:pStyle w:val="yTableNAm"/>
              <w:keepNext/>
            </w:pPr>
          </w:p>
        </w:tc>
        <w:tc>
          <w:tcPr>
            <w:tcW w:w="4394" w:type="dxa"/>
          </w:tcPr>
          <w:p>
            <w:pPr>
              <w:pStyle w:val="yTableNAm"/>
              <w:keepNext/>
              <w:tabs>
                <w:tab w:val="clear" w:pos="567"/>
                <w:tab w:val="left" w:pos="415"/>
              </w:tabs>
              <w:ind w:left="415" w:hanging="415"/>
            </w:pPr>
            <w:r>
              <w:t>•</w:t>
            </w:r>
            <w:r>
              <w:tab/>
              <w:t>if metering indicates usage of more than $37.35 in a day</w:t>
            </w:r>
          </w:p>
        </w:tc>
        <w:tc>
          <w:tcPr>
            <w:tcW w:w="992" w:type="dxa"/>
          </w:tcPr>
          <w:p>
            <w:pPr>
              <w:pStyle w:val="yTableNAm"/>
              <w:keepNext/>
              <w:jc w:val="right"/>
            </w:pPr>
            <w:r>
              <w:br/>
              <w:t>cost</w:t>
            </w:r>
          </w:p>
        </w:tc>
      </w:tr>
      <w:tr>
        <w:trPr>
          <w:cantSplit/>
        </w:trPr>
        <w:tc>
          <w:tcPr>
            <w:tcW w:w="567" w:type="dxa"/>
            <w:tcBorders>
              <w:bottom w:val="single" w:sz="4" w:space="0" w:color="auto"/>
            </w:tcBorders>
          </w:tcPr>
          <w:p>
            <w:pPr>
              <w:pStyle w:val="yTableNAm"/>
            </w:pPr>
          </w:p>
        </w:tc>
        <w:tc>
          <w:tcPr>
            <w:tcW w:w="4394" w:type="dxa"/>
            <w:tcBorders>
              <w:bottom w:val="single" w:sz="4" w:space="0" w:color="auto"/>
            </w:tcBorders>
          </w:tcPr>
          <w:p>
            <w:pPr>
              <w:pStyle w:val="yTableNAm"/>
              <w:tabs>
                <w:tab w:val="clear" w:pos="567"/>
                <w:tab w:val="left" w:pos="415"/>
              </w:tabs>
              <w:ind w:left="415" w:hanging="415"/>
            </w:pPr>
            <w:r>
              <w:t>•</w:t>
            </w:r>
            <w:r>
              <w:tab/>
              <w:t>otherwise, per day</w:t>
            </w:r>
          </w:p>
        </w:tc>
        <w:tc>
          <w:tcPr>
            <w:tcW w:w="992" w:type="dxa"/>
            <w:tcBorders>
              <w:bottom w:val="single" w:sz="4" w:space="0" w:color="auto"/>
            </w:tcBorders>
          </w:tcPr>
          <w:p>
            <w:pPr>
              <w:pStyle w:val="yTableNAm"/>
              <w:jc w:val="right"/>
            </w:pPr>
            <w:r>
              <w:t>37.35</w:t>
            </w:r>
          </w:p>
        </w:tc>
      </w:tr>
    </w:tbl>
    <w:p>
      <w:pPr>
        <w:pStyle w:val="yFootnotesection"/>
      </w:pPr>
      <w:r>
        <w:tab/>
        <w:t>[Clause 2 inserted in Gazette 28 Jun 2013 p. 2833</w:t>
      </w:r>
      <w:r>
        <w:noBreakHyphen/>
        <w:t>5.]</w:t>
      </w:r>
    </w:p>
    <w:p>
      <w:pPr>
        <w:pStyle w:val="yHeading5"/>
      </w:pPr>
      <w:bookmarkStart w:id="144" w:name="_Toc375231159"/>
      <w:r>
        <w:rPr>
          <w:rStyle w:val="CharSClsNo"/>
        </w:rPr>
        <w:t>3</w:t>
      </w:r>
      <w:r>
        <w:t>.</w:t>
      </w:r>
      <w:r>
        <w:rPr>
          <w:b w:val="0"/>
        </w:rPr>
        <w:tab/>
      </w:r>
      <w:smartTag w:uri="urn:schemas-microsoft-com:office:smarttags" w:element="place">
        <w:smartTag w:uri="urn:schemas-microsoft-com:office:smarttags" w:element="City">
          <w:r>
            <w:t>Augusta</w:t>
          </w:r>
        </w:smartTag>
      </w:smartTag>
      <w:bookmarkEnd w:id="144"/>
    </w:p>
    <w:p>
      <w:pPr>
        <w:pStyle w:val="ySubsection"/>
      </w:pPr>
      <w:r>
        <w:tab/>
        <w:t>(1)</w:t>
      </w:r>
      <w:r>
        <w:tab/>
        <w:t xml:space="preserve">This clause applies to </w:t>
      </w:r>
      <w:smartTag w:uri="urn:schemas-microsoft-com:office:smarttags" w:element="place">
        <w:smartTag w:uri="urn:schemas-microsoft-com:office:smarttags" w:element="City">
          <w:r>
            <w:t>Augusta</w:t>
          </w:r>
        </w:smartTag>
      </w:smartTag>
      <w:r>
        <w:t>.</w:t>
      </w:r>
    </w:p>
    <w:p>
      <w:pPr>
        <w:pStyle w:val="ySubsection"/>
      </w:pPr>
      <w:r>
        <w:tab/>
        <w:t>(2)</w:t>
      </w:r>
      <w:r>
        <w:tab/>
        <w:t>The fees and charges to be paid under regulations 6 and 94A are set out in Table 3.1.</w:t>
      </w:r>
    </w:p>
    <w:p>
      <w:pPr>
        <w:pStyle w:val="yTHeadingNAm"/>
      </w:pPr>
      <w:r>
        <w:t>Table 3.1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4" w:type="dxa"/>
            <w:tcBorders>
              <w:top w:val="single" w:sz="4" w:space="0" w:color="auto"/>
              <w:bottom w:val="single" w:sz="4" w:space="0" w:color="auto"/>
            </w:tcBorders>
          </w:tcPr>
          <w:p>
            <w:pPr>
              <w:pStyle w:val="yTableNAm"/>
              <w:rPr>
                <w:b/>
              </w:rPr>
            </w:pPr>
            <w:r>
              <w:rPr>
                <w:b/>
              </w:rPr>
              <w:t>Service</w:t>
            </w:r>
          </w:p>
        </w:tc>
        <w:tc>
          <w:tcPr>
            <w:tcW w:w="992"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4" w:type="dxa"/>
          </w:tcPr>
          <w:p>
            <w:pPr>
              <w:pStyle w:val="yTableNAm"/>
            </w:pPr>
            <w:r>
              <w:t xml:space="preserve">For shared use of service jetty by vessel — </w:t>
            </w:r>
          </w:p>
        </w:tc>
        <w:tc>
          <w:tcPr>
            <w:tcW w:w="992" w:type="dxa"/>
          </w:tcPr>
          <w:p>
            <w:pPr>
              <w:pStyle w:val="yTableNAm"/>
              <w:jc w:val="right"/>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12 months paid in advance</w:t>
            </w:r>
          </w:p>
        </w:tc>
        <w:tc>
          <w:tcPr>
            <w:tcW w:w="992" w:type="dxa"/>
          </w:tcPr>
          <w:p>
            <w:pPr>
              <w:pStyle w:val="yTableNAm"/>
              <w:jc w:val="right"/>
            </w:pPr>
            <w:r>
              <w:t>760.69</w:t>
            </w:r>
          </w:p>
        </w:tc>
      </w:tr>
      <w:tr>
        <w:trPr>
          <w:cantSplit/>
        </w:trPr>
        <w:tc>
          <w:tcPr>
            <w:tcW w:w="567" w:type="dxa"/>
            <w:tcBorders>
              <w:bottom w:val="single" w:sz="4" w:space="0" w:color="auto"/>
            </w:tcBorders>
          </w:tcPr>
          <w:p>
            <w:pPr>
              <w:pStyle w:val="yTableNAm"/>
            </w:pPr>
          </w:p>
        </w:tc>
        <w:tc>
          <w:tcPr>
            <w:tcW w:w="4394" w:type="dxa"/>
            <w:tcBorders>
              <w:bottom w:val="single" w:sz="4" w:space="0" w:color="auto"/>
            </w:tcBorders>
          </w:tcPr>
          <w:p>
            <w:pPr>
              <w:pStyle w:val="yTableNAm"/>
              <w:tabs>
                <w:tab w:val="clear" w:pos="567"/>
                <w:tab w:val="left" w:pos="415"/>
              </w:tabs>
              <w:ind w:left="415" w:hanging="415"/>
            </w:pPr>
            <w:r>
              <w:t>•</w:t>
            </w:r>
            <w:r>
              <w:tab/>
              <w:t>otherwise, per m of the vessel’s length, per day</w:t>
            </w:r>
          </w:p>
        </w:tc>
        <w:tc>
          <w:tcPr>
            <w:tcW w:w="992" w:type="dxa"/>
            <w:tcBorders>
              <w:bottom w:val="single" w:sz="4" w:space="0" w:color="auto"/>
            </w:tcBorders>
          </w:tcPr>
          <w:p>
            <w:pPr>
              <w:pStyle w:val="yTableNAm"/>
              <w:jc w:val="right"/>
            </w:pPr>
            <w:r>
              <w:br/>
              <w:t>4.55</w:t>
            </w:r>
          </w:p>
        </w:tc>
      </w:tr>
    </w:tbl>
    <w:p>
      <w:pPr>
        <w:pStyle w:val="yFootnotesection"/>
      </w:pPr>
      <w:r>
        <w:tab/>
        <w:t>[Clause 3 inserted in Gazette 28 Jun 2013 p. 2835.]</w:t>
      </w:r>
    </w:p>
    <w:p>
      <w:pPr>
        <w:pStyle w:val="yHeading5"/>
      </w:pPr>
      <w:bookmarkStart w:id="145" w:name="_Toc375231160"/>
      <w:r>
        <w:rPr>
          <w:rStyle w:val="CharSClsNo"/>
        </w:rPr>
        <w:t>4</w:t>
      </w:r>
      <w:r>
        <w:t>.</w:t>
      </w:r>
      <w:r>
        <w:rPr>
          <w:b w:val="0"/>
        </w:rPr>
        <w:tab/>
      </w:r>
      <w:smartTag w:uri="urn:schemas-microsoft-com:office:smarttags" w:element="place">
        <w:smartTag w:uri="urn:schemas-microsoft-com:office:smarttags" w:element="PlaceName">
          <w:r>
            <w:t>Bremer</w:t>
          </w:r>
        </w:smartTag>
        <w:r>
          <w:t xml:space="preserve"> </w:t>
        </w:r>
        <w:smartTag w:uri="urn:schemas-microsoft-com:office:smarttags" w:element="PlaceType">
          <w:r>
            <w:t>Bay</w:t>
          </w:r>
        </w:smartTag>
      </w:smartTag>
      <w:bookmarkEnd w:id="145"/>
    </w:p>
    <w:p>
      <w:pPr>
        <w:pStyle w:val="ySubsection"/>
      </w:pPr>
      <w:r>
        <w:tab/>
        <w:t>(1)</w:t>
      </w:r>
      <w:r>
        <w:tab/>
        <w:t xml:space="preserve">This clause applies to </w:t>
      </w:r>
      <w:smartTag w:uri="urn:schemas-microsoft-com:office:smarttags" w:element="place">
        <w:smartTag w:uri="urn:schemas-microsoft-com:office:smarttags" w:element="PlaceName">
          <w:r>
            <w:t>Bremer</w:t>
          </w:r>
        </w:smartTag>
        <w:r>
          <w:t xml:space="preserve"> </w:t>
        </w:r>
        <w:smartTag w:uri="urn:schemas-microsoft-com:office:smarttags" w:element="PlaceType">
          <w:r>
            <w:t>Bay</w:t>
          </w:r>
        </w:smartTag>
      </w:smartTag>
      <w:r>
        <w:t>.</w:t>
      </w:r>
    </w:p>
    <w:p>
      <w:pPr>
        <w:pStyle w:val="ySubsection"/>
      </w:pPr>
      <w:r>
        <w:tab/>
        <w:t>(2)</w:t>
      </w:r>
      <w:r>
        <w:tab/>
        <w:t>The charges and dues to be paid under regulation 10A are set out in Table 4.1.</w:t>
      </w:r>
    </w:p>
    <w:p>
      <w:pPr>
        <w:pStyle w:val="yTHeadingNAm"/>
      </w:pPr>
      <w:r>
        <w:t>Table 4.1 (Wharfage)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4" w:type="dxa"/>
            <w:tcBorders>
              <w:top w:val="single" w:sz="4" w:space="0" w:color="auto"/>
              <w:bottom w:val="single" w:sz="4" w:space="0" w:color="auto"/>
            </w:tcBorders>
          </w:tcPr>
          <w:p>
            <w:pPr>
              <w:pStyle w:val="yTableNAm"/>
              <w:rPr>
                <w:b/>
              </w:rPr>
            </w:pPr>
            <w:r>
              <w:rPr>
                <w:b/>
              </w:rPr>
              <w:t>Goods</w:t>
            </w:r>
          </w:p>
        </w:tc>
        <w:tc>
          <w:tcPr>
            <w:tcW w:w="992" w:type="dxa"/>
            <w:tcBorders>
              <w:top w:val="single" w:sz="4" w:space="0" w:color="auto"/>
              <w:bottom w:val="single" w:sz="4" w:space="0" w:color="auto"/>
            </w:tcBorders>
          </w:tcPr>
          <w:p>
            <w:pPr>
              <w:pStyle w:val="yTableNAm"/>
              <w:jc w:val="center"/>
              <w:rPr>
                <w:b/>
              </w:rPr>
            </w:pPr>
            <w:r>
              <w:rPr>
                <w:b/>
              </w:rPr>
              <w:t>$ per tonne</w:t>
            </w:r>
          </w:p>
        </w:tc>
      </w:tr>
      <w:tr>
        <w:trPr>
          <w:cantSplit/>
        </w:trPr>
        <w:tc>
          <w:tcPr>
            <w:tcW w:w="567" w:type="dxa"/>
            <w:tcBorders>
              <w:bottom w:val="single" w:sz="4" w:space="0" w:color="auto"/>
            </w:tcBorders>
          </w:tcPr>
          <w:p>
            <w:pPr>
              <w:pStyle w:val="yTableNAm"/>
            </w:pPr>
            <w:r>
              <w:t>1.</w:t>
            </w:r>
          </w:p>
        </w:tc>
        <w:tc>
          <w:tcPr>
            <w:tcW w:w="4394" w:type="dxa"/>
            <w:tcBorders>
              <w:bottom w:val="single" w:sz="4" w:space="0" w:color="auto"/>
            </w:tcBorders>
          </w:tcPr>
          <w:p>
            <w:pPr>
              <w:pStyle w:val="yTableNAm"/>
            </w:pPr>
            <w:r>
              <w:t>General cargo other than fishing products and fishing bait, per t or m</w:t>
            </w:r>
            <w:r>
              <w:rPr>
                <w:vertAlign w:val="superscript"/>
              </w:rPr>
              <w:t>3</w:t>
            </w:r>
          </w:p>
        </w:tc>
        <w:tc>
          <w:tcPr>
            <w:tcW w:w="992" w:type="dxa"/>
            <w:tcBorders>
              <w:bottom w:val="single" w:sz="4" w:space="0" w:color="auto"/>
            </w:tcBorders>
          </w:tcPr>
          <w:p>
            <w:pPr>
              <w:pStyle w:val="yTableNAm"/>
              <w:jc w:val="right"/>
            </w:pPr>
            <w:r>
              <w:br/>
              <w:t>31.52</w:t>
            </w:r>
          </w:p>
        </w:tc>
      </w:tr>
    </w:tbl>
    <w:p>
      <w:pPr>
        <w:pStyle w:val="ySubsection"/>
      </w:pPr>
      <w:r>
        <w:tab/>
        <w:t>(3)</w:t>
      </w:r>
      <w:r>
        <w:tab/>
        <w:t>The fees to be paid under regulation 6 are set out in Table 4.2.</w:t>
      </w:r>
    </w:p>
    <w:p>
      <w:pPr>
        <w:pStyle w:val="yTHeadingNAm"/>
      </w:pPr>
      <w:r>
        <w:t>Table 4.2 (Berthing)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4" w:type="dxa"/>
            <w:tcBorders>
              <w:top w:val="single" w:sz="4" w:space="0" w:color="auto"/>
              <w:bottom w:val="single" w:sz="4" w:space="0" w:color="auto"/>
            </w:tcBorders>
          </w:tcPr>
          <w:p>
            <w:pPr>
              <w:pStyle w:val="yTableNAm"/>
              <w:rPr>
                <w:b/>
              </w:rPr>
            </w:pPr>
            <w:r>
              <w:rPr>
                <w:b/>
              </w:rPr>
              <w:t>Service</w:t>
            </w:r>
          </w:p>
        </w:tc>
        <w:tc>
          <w:tcPr>
            <w:tcW w:w="992"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4" w:type="dxa"/>
          </w:tcPr>
          <w:p>
            <w:pPr>
              <w:pStyle w:val="yTableNAm"/>
            </w:pPr>
            <w:r>
              <w:t xml:space="preserve">For use of service jetty by vessel for which annual fee under </w:t>
            </w:r>
            <w:r>
              <w:rPr>
                <w:i/>
              </w:rPr>
              <w:t>Shipping and Pilotage (Mooring Control Areas) Regulations 1983</w:t>
            </w:r>
            <w:r>
              <w:t xml:space="preserve"> has not been paid, per m of the vessel’s length, per day</w:t>
            </w:r>
          </w:p>
        </w:tc>
        <w:tc>
          <w:tcPr>
            <w:tcW w:w="992" w:type="dxa"/>
          </w:tcPr>
          <w:p>
            <w:pPr>
              <w:pStyle w:val="yTableNAm"/>
              <w:jc w:val="right"/>
            </w:pPr>
            <w:r>
              <w:br/>
            </w:r>
            <w:r>
              <w:br/>
            </w:r>
            <w:r>
              <w:br/>
            </w:r>
            <w:r>
              <w:br/>
              <w:t>7.87</w:t>
            </w:r>
          </w:p>
        </w:tc>
      </w:tr>
      <w:tr>
        <w:trPr>
          <w:cantSplit/>
        </w:trPr>
        <w:tc>
          <w:tcPr>
            <w:tcW w:w="567" w:type="dxa"/>
            <w:tcBorders>
              <w:bottom w:val="single" w:sz="4" w:space="0" w:color="auto"/>
            </w:tcBorders>
          </w:tcPr>
          <w:p>
            <w:pPr>
              <w:pStyle w:val="yTableNAm"/>
            </w:pPr>
            <w:r>
              <w:t>2.</w:t>
            </w:r>
          </w:p>
        </w:tc>
        <w:tc>
          <w:tcPr>
            <w:tcW w:w="4394" w:type="dxa"/>
            <w:tcBorders>
              <w:bottom w:val="single" w:sz="4" w:space="0" w:color="auto"/>
            </w:tcBorders>
          </w:tcPr>
          <w:p>
            <w:pPr>
              <w:pStyle w:val="yTableNAm"/>
            </w:pPr>
            <w:r>
              <w:t>For water supply at service jetty if metering indicates usage of more than $7.87 in a day</w:t>
            </w:r>
          </w:p>
        </w:tc>
        <w:tc>
          <w:tcPr>
            <w:tcW w:w="992" w:type="dxa"/>
            <w:tcBorders>
              <w:bottom w:val="single" w:sz="4" w:space="0" w:color="auto"/>
            </w:tcBorders>
          </w:tcPr>
          <w:p>
            <w:pPr>
              <w:pStyle w:val="yTableNAm"/>
              <w:jc w:val="right"/>
            </w:pPr>
            <w:r>
              <w:br/>
              <w:t>cost</w:t>
            </w:r>
          </w:p>
        </w:tc>
      </w:tr>
    </w:tbl>
    <w:p>
      <w:pPr>
        <w:pStyle w:val="yFootnotesection"/>
      </w:pPr>
      <w:r>
        <w:tab/>
        <w:t>[Clause 4 inserted in Gazette 28 Jun 2013 p. 2835</w:t>
      </w:r>
      <w:r>
        <w:noBreakHyphen/>
        <w:t>6.]</w:t>
      </w:r>
    </w:p>
    <w:p>
      <w:pPr>
        <w:pStyle w:val="yHeading5"/>
        <w:spacing w:before="240"/>
      </w:pPr>
      <w:bookmarkStart w:id="146" w:name="_Toc375231161"/>
      <w:r>
        <w:rPr>
          <w:rStyle w:val="CharSClsNo"/>
        </w:rPr>
        <w:t>5</w:t>
      </w:r>
      <w:r>
        <w:t>.</w:t>
      </w:r>
      <w:r>
        <w:rPr>
          <w:b w:val="0"/>
        </w:rPr>
        <w:tab/>
      </w:r>
      <w:r>
        <w:t xml:space="preserve">Bunbury, </w:t>
      </w:r>
      <w:smartTag w:uri="urn:schemas-microsoft-com:office:smarttags" w:element="place">
        <w:smartTag w:uri="urn:schemas-microsoft-com:office:smarttags" w:element="PlaceName">
          <w:r>
            <w:t>Casuarina</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146"/>
    </w:p>
    <w:p>
      <w:pPr>
        <w:pStyle w:val="ySubsection"/>
        <w:spacing w:before="180"/>
      </w:pPr>
      <w:r>
        <w:tab/>
        <w:t>(1)</w:t>
      </w:r>
      <w:r>
        <w:tab/>
        <w:t xml:space="preserve">This clause applies to the </w:t>
      </w:r>
      <w:smartTag w:uri="urn:schemas-microsoft-com:office:smarttags" w:element="place">
        <w:smartTag w:uri="urn:schemas-microsoft-com:office:smarttags" w:element="PlaceName">
          <w:r>
            <w:t>Casuarina</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Bunbury.</w:t>
      </w:r>
    </w:p>
    <w:p>
      <w:pPr>
        <w:pStyle w:val="ySubsection"/>
        <w:spacing w:before="180"/>
      </w:pPr>
      <w:r>
        <w:tab/>
        <w:t>(2)</w:t>
      </w:r>
      <w:r>
        <w:tab/>
        <w:t>The fees and charges to be paid under regulations 6 and 94A are set out in Table 5.1.</w:t>
      </w:r>
    </w:p>
    <w:p>
      <w:pPr>
        <w:pStyle w:val="ySubsection"/>
        <w:spacing w:before="180"/>
      </w:pPr>
      <w:r>
        <w:tab/>
        <w:t>(3)</w:t>
      </w:r>
      <w:r>
        <w:tab/>
        <w:t>In Table 5.1 the chargeable length for a pen is —</w:t>
      </w:r>
    </w:p>
    <w:p>
      <w:pPr>
        <w:pStyle w:val="yIndenta"/>
      </w:pPr>
      <w:r>
        <w:tab/>
        <w:t>(a)</w:t>
      </w:r>
      <w:r>
        <w:tab/>
        <w:t>if the pen is 10 m long, 8 m;</w:t>
      </w:r>
    </w:p>
    <w:p>
      <w:pPr>
        <w:pStyle w:val="yIndenta"/>
      </w:pPr>
      <w:r>
        <w:tab/>
        <w:t>(b)</w:t>
      </w:r>
      <w:r>
        <w:tab/>
        <w:t>if the pen is 12 m long, 9.6 m;</w:t>
      </w:r>
    </w:p>
    <w:p>
      <w:pPr>
        <w:pStyle w:val="yIndenta"/>
      </w:pPr>
      <w:r>
        <w:tab/>
        <w:t>(c)</w:t>
      </w:r>
      <w:r>
        <w:tab/>
        <w:t>if the pen is 15 m long, 12 m;</w:t>
      </w:r>
    </w:p>
    <w:p>
      <w:pPr>
        <w:pStyle w:val="yIndenta"/>
      </w:pPr>
      <w:r>
        <w:tab/>
        <w:t>(d)</w:t>
      </w:r>
      <w:r>
        <w:tab/>
        <w:t>if the pen is 18 m long, 14.4 m.</w:t>
      </w:r>
    </w:p>
    <w:p>
      <w:pPr>
        <w:pStyle w:val="yTHeadingNAm"/>
      </w:pPr>
      <w:r>
        <w:t>Table 5.1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252"/>
        <w:gridCol w:w="1134"/>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252" w:type="dxa"/>
            <w:tcBorders>
              <w:top w:val="single" w:sz="4" w:space="0" w:color="auto"/>
              <w:bottom w:val="single" w:sz="4" w:space="0" w:color="auto"/>
            </w:tcBorders>
          </w:tcPr>
          <w:p>
            <w:pPr>
              <w:pStyle w:val="yTableNAm"/>
              <w:rPr>
                <w:b/>
              </w:rPr>
            </w:pPr>
            <w:r>
              <w:rPr>
                <w:b/>
              </w:rPr>
              <w:t>Service</w:t>
            </w:r>
          </w:p>
        </w:tc>
        <w:tc>
          <w:tcPr>
            <w:tcW w:w="1134"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252" w:type="dxa"/>
          </w:tcPr>
          <w:p>
            <w:pPr>
              <w:pStyle w:val="yTableNAm"/>
            </w:pPr>
            <w:r>
              <w:t xml:space="preserve">For pen, per m of the longer of the vessel’s length and the chargeable length for the pen — </w:t>
            </w:r>
          </w:p>
        </w:tc>
        <w:tc>
          <w:tcPr>
            <w:tcW w:w="1134" w:type="dxa"/>
          </w:tcPr>
          <w:p>
            <w:pPr>
              <w:pStyle w:val="yTableNAm"/>
              <w:jc w:val="right"/>
            </w:pP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12 months paid in advance</w:t>
            </w:r>
          </w:p>
        </w:tc>
        <w:tc>
          <w:tcPr>
            <w:tcW w:w="1134" w:type="dxa"/>
          </w:tcPr>
          <w:p>
            <w:pPr>
              <w:pStyle w:val="yTableNAm"/>
              <w:jc w:val="right"/>
            </w:pPr>
            <w:r>
              <w:t>321.34</w:t>
            </w:r>
          </w:p>
        </w:tc>
      </w:tr>
      <w:tr>
        <w:trPr>
          <w:cantSplit/>
        </w:trPr>
        <w:tc>
          <w:tcPr>
            <w:tcW w:w="567" w:type="dxa"/>
          </w:tcPr>
          <w:p>
            <w:pPr>
              <w:pStyle w:val="yTableNAm"/>
              <w:keepNext/>
              <w:keepLines/>
            </w:pPr>
          </w:p>
        </w:tc>
        <w:tc>
          <w:tcPr>
            <w:tcW w:w="4252" w:type="dxa"/>
          </w:tcPr>
          <w:p>
            <w:pPr>
              <w:pStyle w:val="yTableNAm"/>
              <w:keepNext/>
              <w:keepLines/>
              <w:tabs>
                <w:tab w:val="clear" w:pos="567"/>
                <w:tab w:val="left" w:pos="415"/>
              </w:tabs>
              <w:ind w:left="415" w:hanging="415"/>
              <w:rPr>
                <w:rFonts w:ascii="Arial" w:hAnsi="Arial"/>
                <w:b/>
              </w:rPr>
            </w:pPr>
            <w:r>
              <w:t>•</w:t>
            </w:r>
            <w:r>
              <w:tab/>
              <w:t>for 3 months or more, per month, paid in advance</w:t>
            </w:r>
          </w:p>
        </w:tc>
        <w:tc>
          <w:tcPr>
            <w:tcW w:w="1134" w:type="dxa"/>
          </w:tcPr>
          <w:p>
            <w:pPr>
              <w:pStyle w:val="yTableNAm"/>
              <w:keepNext/>
              <w:keepLines/>
              <w:jc w:val="right"/>
              <w:rPr>
                <w:rFonts w:ascii="Arial" w:hAnsi="Arial"/>
                <w:b/>
              </w:rPr>
            </w:pPr>
            <w:r>
              <w:br/>
              <w:t>32.13</w:t>
            </w: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one month or more, per month, paid in advance</w:t>
            </w:r>
          </w:p>
        </w:tc>
        <w:tc>
          <w:tcPr>
            <w:tcW w:w="1134" w:type="dxa"/>
          </w:tcPr>
          <w:p>
            <w:pPr>
              <w:pStyle w:val="yTableNAm"/>
              <w:jc w:val="right"/>
            </w:pPr>
            <w:r>
              <w:br/>
              <w:t>48.20</w:t>
            </w: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one week or more, per week, paid in advance</w:t>
            </w:r>
          </w:p>
        </w:tc>
        <w:tc>
          <w:tcPr>
            <w:tcW w:w="1134" w:type="dxa"/>
          </w:tcPr>
          <w:p>
            <w:pPr>
              <w:pStyle w:val="yTableNAm"/>
              <w:jc w:val="right"/>
            </w:pPr>
            <w:r>
              <w:br/>
              <w:t>24.14</w:t>
            </w: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otherwise, per day</w:t>
            </w:r>
          </w:p>
        </w:tc>
        <w:tc>
          <w:tcPr>
            <w:tcW w:w="1134" w:type="dxa"/>
          </w:tcPr>
          <w:p>
            <w:pPr>
              <w:pStyle w:val="yTableNAm"/>
              <w:jc w:val="right"/>
            </w:pPr>
            <w:r>
              <w:t>4.82</w:t>
            </w:r>
          </w:p>
        </w:tc>
      </w:tr>
      <w:tr>
        <w:trPr>
          <w:cantSplit/>
        </w:trPr>
        <w:tc>
          <w:tcPr>
            <w:tcW w:w="567" w:type="dxa"/>
          </w:tcPr>
          <w:p>
            <w:pPr>
              <w:pStyle w:val="yTableNAm"/>
            </w:pPr>
            <w:r>
              <w:t>2.</w:t>
            </w:r>
          </w:p>
        </w:tc>
        <w:tc>
          <w:tcPr>
            <w:tcW w:w="4252" w:type="dxa"/>
          </w:tcPr>
          <w:p>
            <w:pPr>
              <w:pStyle w:val="yTableNAm"/>
            </w:pPr>
            <w:r>
              <w:t>For berth on jetty, per m of the vessel’s length</w:t>
            </w:r>
          </w:p>
        </w:tc>
        <w:tc>
          <w:tcPr>
            <w:tcW w:w="1134" w:type="dxa"/>
          </w:tcPr>
          <w:p>
            <w:pPr>
              <w:pStyle w:val="yTableNAm"/>
              <w:jc w:val="center"/>
            </w:pPr>
            <w:r>
              <w:t>Item 1 fee</w:t>
            </w:r>
          </w:p>
        </w:tc>
      </w:tr>
      <w:tr>
        <w:trPr>
          <w:cantSplit/>
        </w:trPr>
        <w:tc>
          <w:tcPr>
            <w:tcW w:w="567" w:type="dxa"/>
            <w:tcBorders>
              <w:bottom w:val="single" w:sz="4" w:space="0" w:color="auto"/>
            </w:tcBorders>
          </w:tcPr>
          <w:p>
            <w:pPr>
              <w:pStyle w:val="yTableNAm"/>
            </w:pPr>
            <w:r>
              <w:t>3.</w:t>
            </w:r>
          </w:p>
        </w:tc>
        <w:tc>
          <w:tcPr>
            <w:tcW w:w="4252" w:type="dxa"/>
            <w:tcBorders>
              <w:bottom w:val="single" w:sz="4" w:space="0" w:color="auto"/>
            </w:tcBorders>
          </w:tcPr>
          <w:p>
            <w:pPr>
              <w:pStyle w:val="yTableNAm"/>
            </w:pPr>
            <w:r>
              <w:t>For living on board a vessel, per vessel, per month</w:t>
            </w:r>
          </w:p>
        </w:tc>
        <w:tc>
          <w:tcPr>
            <w:tcW w:w="1134" w:type="dxa"/>
            <w:tcBorders>
              <w:bottom w:val="single" w:sz="4" w:space="0" w:color="auto"/>
            </w:tcBorders>
          </w:tcPr>
          <w:p>
            <w:pPr>
              <w:pStyle w:val="yTableNAm"/>
              <w:jc w:val="right"/>
            </w:pPr>
            <w:r>
              <w:br/>
              <w:t>42.99</w:t>
            </w:r>
          </w:p>
        </w:tc>
      </w:tr>
    </w:tbl>
    <w:p>
      <w:pPr>
        <w:pStyle w:val="ySubsection"/>
        <w:spacing w:before="180"/>
      </w:pPr>
      <w:r>
        <w:tab/>
        <w:t>(4)</w:t>
      </w:r>
      <w:r>
        <w:tab/>
        <w:t>The charges to be paid under regulations 25 and 96 for services at the slip are set out in Table 5.2.</w:t>
      </w:r>
    </w:p>
    <w:p>
      <w:pPr>
        <w:pStyle w:val="ySubsection"/>
        <w:spacing w:before="180"/>
      </w:pPr>
      <w:r>
        <w:tab/>
        <w:t>(5)</w:t>
      </w:r>
      <w:r>
        <w:tab/>
        <w:t>If any use of land immediately adjacent to the slip for maintenance or storage immediately precedes use of land not immediately adjacent, the fee under item 4 in Table 5.2 applies to the whole period of use.</w:t>
      </w:r>
    </w:p>
    <w:p>
      <w:pPr>
        <w:pStyle w:val="yTHeadingNAm"/>
        <w:spacing w:before="120" w:after="40"/>
      </w:pPr>
      <w:r>
        <w:t>Table 5.2 (Slip charges)</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252"/>
        <w:gridCol w:w="1134"/>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252" w:type="dxa"/>
            <w:tcBorders>
              <w:top w:val="single" w:sz="4" w:space="0" w:color="auto"/>
              <w:bottom w:val="single" w:sz="4" w:space="0" w:color="auto"/>
            </w:tcBorders>
          </w:tcPr>
          <w:p>
            <w:pPr>
              <w:pStyle w:val="yTableNAm"/>
              <w:rPr>
                <w:b/>
              </w:rPr>
            </w:pPr>
            <w:r>
              <w:rPr>
                <w:b/>
              </w:rPr>
              <w:t>Service</w:t>
            </w:r>
          </w:p>
        </w:tc>
        <w:tc>
          <w:tcPr>
            <w:tcW w:w="1134"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252" w:type="dxa"/>
          </w:tcPr>
          <w:p>
            <w:pPr>
              <w:pStyle w:val="yTableNAm"/>
            </w:pPr>
            <w:r>
              <w:t xml:space="preserve">For use of slip per day, during — </w:t>
            </w:r>
          </w:p>
        </w:tc>
        <w:tc>
          <w:tcPr>
            <w:tcW w:w="1134" w:type="dxa"/>
          </w:tcPr>
          <w:p>
            <w:pPr>
              <w:pStyle w:val="yTableNAm"/>
              <w:jc w:val="right"/>
            </w:pPr>
          </w:p>
        </w:tc>
      </w:tr>
      <w:tr>
        <w:trPr>
          <w:cantSplit/>
        </w:trPr>
        <w:tc>
          <w:tcPr>
            <w:tcW w:w="567" w:type="dxa"/>
          </w:tcPr>
          <w:p>
            <w:pPr>
              <w:pStyle w:val="yTableNAm"/>
            </w:pPr>
          </w:p>
        </w:tc>
        <w:tc>
          <w:tcPr>
            <w:tcW w:w="4252" w:type="dxa"/>
          </w:tcPr>
          <w:p>
            <w:pPr>
              <w:pStyle w:val="yTableNAm"/>
              <w:tabs>
                <w:tab w:val="clear" w:pos="567"/>
                <w:tab w:val="left" w:pos="415"/>
              </w:tabs>
              <w:ind w:left="414" w:hanging="414"/>
              <w:rPr>
                <w:rFonts w:ascii="Arial" w:hAnsi="Arial"/>
                <w:b/>
              </w:rPr>
            </w:pPr>
            <w:r>
              <w:t>•</w:t>
            </w:r>
            <w:r>
              <w:tab/>
              <w:t>1 April to 31 August</w:t>
            </w:r>
          </w:p>
        </w:tc>
        <w:tc>
          <w:tcPr>
            <w:tcW w:w="1134" w:type="dxa"/>
          </w:tcPr>
          <w:p>
            <w:pPr>
              <w:pStyle w:val="yTableNAm"/>
              <w:jc w:val="right"/>
            </w:pPr>
            <w:r>
              <w:t>67.47</w:t>
            </w: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1 September to 31 March</w:t>
            </w:r>
          </w:p>
        </w:tc>
        <w:tc>
          <w:tcPr>
            <w:tcW w:w="1134" w:type="dxa"/>
          </w:tcPr>
          <w:p>
            <w:pPr>
              <w:pStyle w:val="yTableNAm"/>
              <w:jc w:val="right"/>
            </w:pPr>
            <w:r>
              <w:t>134.98</w:t>
            </w:r>
          </w:p>
        </w:tc>
      </w:tr>
      <w:tr>
        <w:trPr>
          <w:cantSplit/>
        </w:trPr>
        <w:tc>
          <w:tcPr>
            <w:tcW w:w="567" w:type="dxa"/>
          </w:tcPr>
          <w:p>
            <w:pPr>
              <w:pStyle w:val="yTableNAm"/>
            </w:pPr>
            <w:r>
              <w:t>2.</w:t>
            </w:r>
          </w:p>
        </w:tc>
        <w:tc>
          <w:tcPr>
            <w:tcW w:w="4252" w:type="dxa"/>
          </w:tcPr>
          <w:p>
            <w:pPr>
              <w:pStyle w:val="yTableNAm"/>
            </w:pPr>
            <w:r>
              <w:t xml:space="preserve">For haulage up and down — </w:t>
            </w:r>
          </w:p>
        </w:tc>
        <w:tc>
          <w:tcPr>
            <w:tcW w:w="1134" w:type="dxa"/>
          </w:tcPr>
          <w:p>
            <w:pPr>
              <w:pStyle w:val="yTableNAm"/>
              <w:jc w:val="right"/>
            </w:pP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 xml:space="preserve">for a vessel for which fees under the </w:t>
            </w:r>
            <w:r>
              <w:rPr>
                <w:i/>
              </w:rPr>
              <w:t>Shipping and Pilotage (Mooring Control Areas) Regulations 1983</w:t>
            </w:r>
            <w:r>
              <w:t>, or the annual fee in item 1 of Table 5.1, have been paid</w:t>
            </w:r>
          </w:p>
        </w:tc>
        <w:tc>
          <w:tcPr>
            <w:tcW w:w="1134" w:type="dxa"/>
            <w:vAlign w:val="bottom"/>
          </w:tcPr>
          <w:p>
            <w:pPr>
              <w:pStyle w:val="yTableNAm"/>
              <w:jc w:val="right"/>
            </w:pPr>
            <w:r>
              <w:t>229.53</w:t>
            </w:r>
          </w:p>
        </w:tc>
      </w:tr>
      <w:tr>
        <w:trPr>
          <w:cantSplit/>
        </w:trPr>
        <w:tc>
          <w:tcPr>
            <w:tcW w:w="567" w:type="dxa"/>
          </w:tcPr>
          <w:p>
            <w:pPr>
              <w:pStyle w:val="yTableNAm"/>
              <w:spacing w:before="80"/>
            </w:pPr>
          </w:p>
        </w:tc>
        <w:tc>
          <w:tcPr>
            <w:tcW w:w="4252" w:type="dxa"/>
          </w:tcPr>
          <w:p>
            <w:pPr>
              <w:pStyle w:val="yTableNAm"/>
              <w:tabs>
                <w:tab w:val="clear" w:pos="567"/>
                <w:tab w:val="left" w:pos="415"/>
              </w:tabs>
              <w:spacing w:before="80"/>
              <w:ind w:left="415" w:hanging="415"/>
            </w:pPr>
            <w:r>
              <w:t>•</w:t>
            </w:r>
            <w:r>
              <w:tab/>
              <w:t>for any other vessel</w:t>
            </w:r>
          </w:p>
        </w:tc>
        <w:tc>
          <w:tcPr>
            <w:tcW w:w="1134" w:type="dxa"/>
          </w:tcPr>
          <w:p>
            <w:pPr>
              <w:pStyle w:val="yTableNAm"/>
              <w:spacing w:before="80"/>
              <w:jc w:val="right"/>
            </w:pPr>
            <w:r>
              <w:t>267.79</w:t>
            </w:r>
          </w:p>
        </w:tc>
      </w:tr>
      <w:tr>
        <w:trPr>
          <w:cantSplit/>
        </w:trPr>
        <w:tc>
          <w:tcPr>
            <w:tcW w:w="567" w:type="dxa"/>
          </w:tcPr>
          <w:p>
            <w:pPr>
              <w:pStyle w:val="yTableNAm"/>
              <w:rPr>
                <w:rFonts w:ascii="Arial" w:hAnsi="Arial"/>
                <w:b/>
              </w:rPr>
            </w:pPr>
            <w:r>
              <w:t>3.</w:t>
            </w:r>
          </w:p>
        </w:tc>
        <w:tc>
          <w:tcPr>
            <w:tcW w:w="4252" w:type="dxa"/>
          </w:tcPr>
          <w:p>
            <w:pPr>
              <w:pStyle w:val="yTableNAm"/>
              <w:rPr>
                <w:rFonts w:ascii="Arial" w:hAnsi="Arial"/>
                <w:b/>
              </w:rPr>
            </w:pPr>
            <w:r>
              <w:t xml:space="preserve">For using the Department’s land immediately adjacent to the slip for maintenance or storage — </w:t>
            </w:r>
          </w:p>
        </w:tc>
        <w:tc>
          <w:tcPr>
            <w:tcW w:w="1134" w:type="dxa"/>
          </w:tcPr>
          <w:p>
            <w:pPr>
              <w:pStyle w:val="yTableNAm"/>
              <w:jc w:val="right"/>
            </w:pPr>
          </w:p>
        </w:tc>
      </w:tr>
      <w:tr>
        <w:trPr>
          <w:cantSplit/>
        </w:trPr>
        <w:tc>
          <w:tcPr>
            <w:tcW w:w="567" w:type="dxa"/>
          </w:tcPr>
          <w:p>
            <w:pPr>
              <w:pStyle w:val="yTableNAm"/>
            </w:pPr>
          </w:p>
        </w:tc>
        <w:tc>
          <w:tcPr>
            <w:tcW w:w="4252" w:type="dxa"/>
          </w:tcPr>
          <w:p>
            <w:pPr>
              <w:pStyle w:val="yTableNAm"/>
              <w:tabs>
                <w:tab w:val="clear" w:pos="567"/>
                <w:tab w:val="left" w:pos="415"/>
              </w:tabs>
              <w:ind w:left="415" w:hanging="415"/>
              <w:rPr>
                <w:rFonts w:ascii="Arial" w:hAnsi="Arial"/>
                <w:b/>
              </w:rPr>
            </w:pPr>
            <w:r>
              <w:t>•</w:t>
            </w:r>
            <w:r>
              <w:tab/>
              <w:t>for the first 30 days, per day</w:t>
            </w:r>
          </w:p>
        </w:tc>
        <w:tc>
          <w:tcPr>
            <w:tcW w:w="1134" w:type="dxa"/>
          </w:tcPr>
          <w:p>
            <w:pPr>
              <w:pStyle w:val="yTableNAm"/>
              <w:jc w:val="right"/>
              <w:rPr>
                <w:rFonts w:ascii="Arial" w:hAnsi="Arial"/>
                <w:b/>
              </w:rPr>
            </w:pPr>
            <w:r>
              <w:t>9.63</w:t>
            </w:r>
          </w:p>
        </w:tc>
      </w:tr>
      <w:tr>
        <w:trPr>
          <w:cantSplit/>
        </w:trPr>
        <w:tc>
          <w:tcPr>
            <w:tcW w:w="567" w:type="dxa"/>
          </w:tcPr>
          <w:p>
            <w:pPr>
              <w:pStyle w:val="yTableNAm"/>
            </w:pPr>
          </w:p>
        </w:tc>
        <w:tc>
          <w:tcPr>
            <w:tcW w:w="4252" w:type="dxa"/>
          </w:tcPr>
          <w:p>
            <w:pPr>
              <w:pStyle w:val="yTableNAm"/>
              <w:tabs>
                <w:tab w:val="clear" w:pos="567"/>
                <w:tab w:val="left" w:pos="415"/>
              </w:tabs>
              <w:ind w:left="415" w:hanging="415"/>
              <w:rPr>
                <w:rFonts w:ascii="Arial" w:hAnsi="Arial"/>
                <w:b/>
              </w:rPr>
            </w:pPr>
            <w:r>
              <w:t>•</w:t>
            </w:r>
            <w:r>
              <w:tab/>
              <w:t>after the first 30 days, per day</w:t>
            </w:r>
          </w:p>
        </w:tc>
        <w:tc>
          <w:tcPr>
            <w:tcW w:w="1134" w:type="dxa"/>
          </w:tcPr>
          <w:p>
            <w:pPr>
              <w:pStyle w:val="yTableNAm"/>
              <w:jc w:val="right"/>
              <w:rPr>
                <w:rFonts w:ascii="Arial" w:hAnsi="Arial"/>
                <w:b/>
              </w:rPr>
            </w:pPr>
            <w:r>
              <w:t>40.16</w:t>
            </w:r>
          </w:p>
        </w:tc>
      </w:tr>
      <w:tr>
        <w:trPr>
          <w:cantSplit/>
        </w:trPr>
        <w:tc>
          <w:tcPr>
            <w:tcW w:w="567" w:type="dxa"/>
          </w:tcPr>
          <w:p>
            <w:pPr>
              <w:pStyle w:val="yTableNAm"/>
              <w:rPr>
                <w:rFonts w:ascii="Arial" w:hAnsi="Arial"/>
                <w:b/>
              </w:rPr>
            </w:pPr>
            <w:r>
              <w:t>4.</w:t>
            </w:r>
          </w:p>
        </w:tc>
        <w:tc>
          <w:tcPr>
            <w:tcW w:w="4252" w:type="dxa"/>
          </w:tcPr>
          <w:p>
            <w:pPr>
              <w:pStyle w:val="yTableNAm"/>
              <w:rPr>
                <w:rFonts w:ascii="Arial" w:hAnsi="Arial"/>
                <w:b/>
              </w:rPr>
            </w:pPr>
            <w:r>
              <w:t xml:space="preserve">For using the Department’s land in the harbour not immediately adjacent to the slip for maintenance or storage — </w:t>
            </w:r>
          </w:p>
        </w:tc>
        <w:tc>
          <w:tcPr>
            <w:tcW w:w="1134" w:type="dxa"/>
          </w:tcPr>
          <w:p>
            <w:pPr>
              <w:pStyle w:val="yTableNAm"/>
              <w:jc w:val="right"/>
            </w:pPr>
          </w:p>
        </w:tc>
      </w:tr>
      <w:tr>
        <w:trPr>
          <w:cantSplit/>
        </w:trPr>
        <w:tc>
          <w:tcPr>
            <w:tcW w:w="567" w:type="dxa"/>
          </w:tcPr>
          <w:p>
            <w:pPr>
              <w:pStyle w:val="yTableNAm"/>
            </w:pPr>
          </w:p>
        </w:tc>
        <w:tc>
          <w:tcPr>
            <w:tcW w:w="4252" w:type="dxa"/>
          </w:tcPr>
          <w:p>
            <w:pPr>
              <w:pStyle w:val="yTableNAm"/>
              <w:tabs>
                <w:tab w:val="clear" w:pos="567"/>
                <w:tab w:val="left" w:pos="415"/>
              </w:tabs>
              <w:ind w:left="415" w:hanging="415"/>
              <w:rPr>
                <w:rFonts w:ascii="Arial" w:hAnsi="Arial"/>
                <w:b/>
              </w:rPr>
            </w:pPr>
            <w:r>
              <w:t>•</w:t>
            </w:r>
            <w:r>
              <w:tab/>
              <w:t>for the first 90 days, per day</w:t>
            </w:r>
          </w:p>
        </w:tc>
        <w:tc>
          <w:tcPr>
            <w:tcW w:w="1134" w:type="dxa"/>
          </w:tcPr>
          <w:p>
            <w:pPr>
              <w:pStyle w:val="yTableNAm"/>
              <w:jc w:val="right"/>
              <w:rPr>
                <w:rFonts w:ascii="Arial" w:hAnsi="Arial"/>
                <w:b/>
              </w:rPr>
            </w:pPr>
            <w:r>
              <w:t>9.63</w:t>
            </w:r>
          </w:p>
        </w:tc>
      </w:tr>
      <w:tr>
        <w:trPr>
          <w:cantSplit/>
        </w:trPr>
        <w:tc>
          <w:tcPr>
            <w:tcW w:w="567" w:type="dxa"/>
          </w:tcPr>
          <w:p>
            <w:pPr>
              <w:pStyle w:val="yTableNAm"/>
            </w:pPr>
          </w:p>
        </w:tc>
        <w:tc>
          <w:tcPr>
            <w:tcW w:w="4252" w:type="dxa"/>
          </w:tcPr>
          <w:p>
            <w:pPr>
              <w:pStyle w:val="yTableNAm"/>
              <w:tabs>
                <w:tab w:val="clear" w:pos="567"/>
                <w:tab w:val="left" w:pos="415"/>
              </w:tabs>
              <w:ind w:left="415" w:hanging="415"/>
              <w:rPr>
                <w:rFonts w:ascii="Arial" w:hAnsi="Arial"/>
                <w:b/>
              </w:rPr>
            </w:pPr>
            <w:r>
              <w:t>•</w:t>
            </w:r>
            <w:r>
              <w:tab/>
              <w:t>after the first 90 days, per day</w:t>
            </w:r>
          </w:p>
        </w:tc>
        <w:tc>
          <w:tcPr>
            <w:tcW w:w="1134" w:type="dxa"/>
          </w:tcPr>
          <w:p>
            <w:pPr>
              <w:pStyle w:val="yTableNAm"/>
              <w:jc w:val="right"/>
              <w:rPr>
                <w:rFonts w:ascii="Arial" w:hAnsi="Arial"/>
                <w:b/>
              </w:rPr>
            </w:pPr>
            <w:r>
              <w:t>40.16</w:t>
            </w:r>
          </w:p>
        </w:tc>
      </w:tr>
      <w:tr>
        <w:trPr>
          <w:cantSplit/>
        </w:trPr>
        <w:tc>
          <w:tcPr>
            <w:tcW w:w="567" w:type="dxa"/>
          </w:tcPr>
          <w:p>
            <w:pPr>
              <w:pStyle w:val="yTableNAm"/>
              <w:rPr>
                <w:rFonts w:ascii="Arial" w:hAnsi="Arial"/>
                <w:b/>
              </w:rPr>
            </w:pPr>
            <w:r>
              <w:t>5.</w:t>
            </w:r>
          </w:p>
        </w:tc>
        <w:tc>
          <w:tcPr>
            <w:tcW w:w="4252" w:type="dxa"/>
          </w:tcPr>
          <w:p>
            <w:pPr>
              <w:pStyle w:val="yTableNAm"/>
              <w:rPr>
                <w:rFonts w:ascii="Arial" w:hAnsi="Arial"/>
                <w:b/>
              </w:rPr>
            </w:pPr>
            <w:r>
              <w:t>For water supply, if metered, per day</w:t>
            </w:r>
          </w:p>
        </w:tc>
        <w:tc>
          <w:tcPr>
            <w:tcW w:w="1134" w:type="dxa"/>
          </w:tcPr>
          <w:p>
            <w:pPr>
              <w:pStyle w:val="yTableNAm"/>
              <w:jc w:val="right"/>
              <w:rPr>
                <w:rFonts w:ascii="Arial" w:hAnsi="Arial"/>
                <w:b/>
              </w:rPr>
            </w:pPr>
            <w:r>
              <w:t>cost</w:t>
            </w:r>
          </w:p>
        </w:tc>
      </w:tr>
      <w:tr>
        <w:trPr>
          <w:cantSplit/>
        </w:trPr>
        <w:tc>
          <w:tcPr>
            <w:tcW w:w="567" w:type="dxa"/>
            <w:tcBorders>
              <w:bottom w:val="single" w:sz="4" w:space="0" w:color="auto"/>
            </w:tcBorders>
          </w:tcPr>
          <w:p>
            <w:pPr>
              <w:pStyle w:val="yTableNAm"/>
              <w:rPr>
                <w:rFonts w:ascii="Arial" w:hAnsi="Arial"/>
                <w:b/>
              </w:rPr>
            </w:pPr>
            <w:r>
              <w:t>6.</w:t>
            </w:r>
          </w:p>
        </w:tc>
        <w:tc>
          <w:tcPr>
            <w:tcW w:w="4252" w:type="dxa"/>
            <w:tcBorders>
              <w:bottom w:val="single" w:sz="4" w:space="0" w:color="auto"/>
            </w:tcBorders>
          </w:tcPr>
          <w:p>
            <w:pPr>
              <w:pStyle w:val="yTableNAm"/>
              <w:rPr>
                <w:rFonts w:ascii="Arial" w:hAnsi="Arial"/>
                <w:b/>
              </w:rPr>
            </w:pPr>
            <w:r>
              <w:t>For electricity supply, if metered, per day</w:t>
            </w:r>
          </w:p>
        </w:tc>
        <w:tc>
          <w:tcPr>
            <w:tcW w:w="1134" w:type="dxa"/>
            <w:tcBorders>
              <w:bottom w:val="single" w:sz="4" w:space="0" w:color="auto"/>
            </w:tcBorders>
          </w:tcPr>
          <w:p>
            <w:pPr>
              <w:pStyle w:val="yTableNAm"/>
              <w:jc w:val="right"/>
              <w:rPr>
                <w:rFonts w:ascii="Arial" w:hAnsi="Arial"/>
                <w:b/>
              </w:rPr>
            </w:pPr>
            <w:r>
              <w:t>cost</w:t>
            </w:r>
          </w:p>
        </w:tc>
      </w:tr>
    </w:tbl>
    <w:p>
      <w:pPr>
        <w:pStyle w:val="yFootnotesection"/>
      </w:pPr>
      <w:r>
        <w:tab/>
        <w:t>[Clause 5 inserted in Gazette 28 Jun 2013 p. 2836</w:t>
      </w:r>
      <w:r>
        <w:noBreakHyphen/>
        <w:t>8.]</w:t>
      </w:r>
    </w:p>
    <w:p>
      <w:pPr>
        <w:pStyle w:val="yHeading5"/>
        <w:spacing w:before="240"/>
      </w:pPr>
      <w:bookmarkStart w:id="147" w:name="_Toc375231162"/>
      <w:r>
        <w:rPr>
          <w:rStyle w:val="CharSClsNo"/>
        </w:rPr>
        <w:t>6</w:t>
      </w:r>
      <w:r>
        <w:t>.</w:t>
      </w:r>
      <w:r>
        <w:rPr>
          <w:b w:val="0"/>
        </w:rPr>
        <w:tab/>
      </w:r>
      <w:smartTag w:uri="urn:schemas-microsoft-com:office:smarttags" w:element="place">
        <w:smartTag w:uri="urn:schemas-microsoft-com:office:smarttags" w:element="PlaceName">
          <w:r>
            <w:t>Carnarvon</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147"/>
    </w:p>
    <w:p>
      <w:pPr>
        <w:pStyle w:val="ySubsection"/>
        <w:spacing w:before="180"/>
      </w:pPr>
      <w:r>
        <w:tab/>
        <w:t>(1)</w:t>
      </w:r>
      <w:r>
        <w:tab/>
        <w:t xml:space="preserve">This clause applies to the </w:t>
      </w:r>
      <w:smartTag w:uri="urn:schemas-microsoft-com:office:smarttags" w:element="place">
        <w:smartTag w:uri="urn:schemas-microsoft-com:office:smarttags" w:element="PlaceName">
          <w:r>
            <w:t>Carnarvon</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spacing w:before="180"/>
      </w:pPr>
      <w:r>
        <w:tab/>
        <w:t>(2)</w:t>
      </w:r>
      <w:r>
        <w:tab/>
        <w:t>The fees and charges to be paid under regulations 6, 94A and 94B are set out in Table 6.1.</w:t>
      </w:r>
    </w:p>
    <w:p>
      <w:pPr>
        <w:pStyle w:val="ySubsection"/>
        <w:spacing w:before="180"/>
      </w:pPr>
      <w:r>
        <w:tab/>
        <w:t>(3)</w:t>
      </w:r>
      <w:r>
        <w:tab/>
        <w:t>In Table 6.1 the chargeable length for a pen is —</w:t>
      </w:r>
    </w:p>
    <w:p>
      <w:pPr>
        <w:pStyle w:val="yIndenta"/>
        <w:spacing w:before="120"/>
      </w:pPr>
      <w:r>
        <w:tab/>
        <w:t>(a)</w:t>
      </w:r>
      <w:r>
        <w:tab/>
        <w:t>if the pen is 12 m long, 9.6 m;</w:t>
      </w:r>
    </w:p>
    <w:p>
      <w:pPr>
        <w:pStyle w:val="yIndenta"/>
        <w:spacing w:before="120"/>
      </w:pPr>
      <w:r>
        <w:tab/>
        <w:t>(b)</w:t>
      </w:r>
      <w:r>
        <w:tab/>
        <w:t>if the pen is 15 m long, 12 m;</w:t>
      </w:r>
    </w:p>
    <w:p>
      <w:pPr>
        <w:pStyle w:val="yIndenta"/>
        <w:spacing w:before="120"/>
      </w:pPr>
      <w:r>
        <w:tab/>
        <w:t>(c)</w:t>
      </w:r>
      <w:r>
        <w:tab/>
        <w:t>if the pen is 20 m long, 16 m.</w:t>
      </w:r>
    </w:p>
    <w:p>
      <w:pPr>
        <w:pStyle w:val="yTHeadingNAm"/>
        <w:keepLines/>
      </w:pPr>
      <w:r>
        <w:t>Table 6.1 (Berthing, pen rental and mooring)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1"/>
        <w:gridCol w:w="995"/>
      </w:tblGrid>
      <w:tr>
        <w:trPr>
          <w:cantSplit/>
          <w:tblHeader/>
        </w:trPr>
        <w:tc>
          <w:tcPr>
            <w:tcW w:w="567" w:type="dxa"/>
            <w:tcBorders>
              <w:top w:val="single" w:sz="4" w:space="0" w:color="auto"/>
              <w:bottom w:val="single" w:sz="4" w:space="0" w:color="auto"/>
            </w:tcBorders>
          </w:tcPr>
          <w:p>
            <w:pPr>
              <w:pStyle w:val="yTableNAm"/>
              <w:keepNext/>
              <w:keepLines/>
              <w:rPr>
                <w:b/>
              </w:rPr>
            </w:pPr>
            <w:r>
              <w:rPr>
                <w:b/>
              </w:rPr>
              <w:t>Item</w:t>
            </w:r>
          </w:p>
        </w:tc>
        <w:tc>
          <w:tcPr>
            <w:tcW w:w="4391" w:type="dxa"/>
            <w:tcBorders>
              <w:top w:val="single" w:sz="4" w:space="0" w:color="auto"/>
              <w:bottom w:val="single" w:sz="4" w:space="0" w:color="auto"/>
            </w:tcBorders>
          </w:tcPr>
          <w:p>
            <w:pPr>
              <w:pStyle w:val="yTableNAm"/>
              <w:keepNext/>
              <w:keepLines/>
              <w:rPr>
                <w:b/>
              </w:rPr>
            </w:pPr>
            <w:r>
              <w:rPr>
                <w:b/>
              </w:rPr>
              <w:t>Service</w:t>
            </w:r>
          </w:p>
        </w:tc>
        <w:tc>
          <w:tcPr>
            <w:tcW w:w="995" w:type="dxa"/>
            <w:tcBorders>
              <w:top w:val="single" w:sz="4" w:space="0" w:color="auto"/>
              <w:bottom w:val="single" w:sz="4" w:space="0" w:color="auto"/>
            </w:tcBorders>
          </w:tcPr>
          <w:p>
            <w:pPr>
              <w:pStyle w:val="yTableNAm"/>
              <w:keepNext/>
              <w:keepLines/>
              <w:jc w:val="center"/>
              <w:rPr>
                <w:b/>
              </w:rPr>
            </w:pPr>
            <w:r>
              <w:rPr>
                <w:b/>
              </w:rPr>
              <w:t>$</w:t>
            </w:r>
          </w:p>
        </w:tc>
      </w:tr>
      <w:tr>
        <w:trPr>
          <w:cantSplit/>
        </w:trPr>
        <w:tc>
          <w:tcPr>
            <w:tcW w:w="567" w:type="dxa"/>
          </w:tcPr>
          <w:p>
            <w:pPr>
              <w:pStyle w:val="yTableNAm"/>
            </w:pPr>
            <w:r>
              <w:t>1.</w:t>
            </w:r>
          </w:p>
        </w:tc>
        <w:tc>
          <w:tcPr>
            <w:tcW w:w="4391" w:type="dxa"/>
          </w:tcPr>
          <w:p>
            <w:pPr>
              <w:pStyle w:val="yTableNAm"/>
            </w:pPr>
            <w:r>
              <w:t>For use by vessel of T</w:t>
            </w:r>
            <w:r>
              <w:noBreakHyphen/>
              <w:t>jetty, T</w:t>
            </w:r>
            <w:r>
              <w:noBreakHyphen/>
              <w:t>jetty pen and land</w:t>
            </w:r>
            <w:r>
              <w:noBreakHyphen/>
              <w:t xml:space="preserve">backed wharf, per m of the longer of the vessel’s length and the chargeable length for the pen — </w:t>
            </w:r>
          </w:p>
        </w:tc>
        <w:tc>
          <w:tcPr>
            <w:tcW w:w="995" w:type="dxa"/>
            <w:vAlign w:val="bottom"/>
          </w:tcPr>
          <w:p>
            <w:pPr>
              <w:pStyle w:val="yTableNAm"/>
              <w:jc w:val="right"/>
            </w:pP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12 months paid in advance</w:t>
            </w:r>
          </w:p>
        </w:tc>
        <w:tc>
          <w:tcPr>
            <w:tcW w:w="995" w:type="dxa"/>
            <w:vAlign w:val="bottom"/>
          </w:tcPr>
          <w:p>
            <w:pPr>
              <w:pStyle w:val="yTableNAm"/>
              <w:jc w:val="right"/>
            </w:pPr>
            <w:r>
              <w:t>280.25</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3 months or more, per month, paid in advance</w:t>
            </w:r>
          </w:p>
        </w:tc>
        <w:tc>
          <w:tcPr>
            <w:tcW w:w="995" w:type="dxa"/>
            <w:vAlign w:val="bottom"/>
          </w:tcPr>
          <w:p>
            <w:pPr>
              <w:pStyle w:val="yTableNAm"/>
              <w:jc w:val="right"/>
            </w:pPr>
            <w:r>
              <w:t>28.03</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one month or more, per month, paid in advance</w:t>
            </w:r>
          </w:p>
        </w:tc>
        <w:tc>
          <w:tcPr>
            <w:tcW w:w="995" w:type="dxa"/>
            <w:vAlign w:val="bottom"/>
          </w:tcPr>
          <w:p>
            <w:pPr>
              <w:pStyle w:val="yTableNAm"/>
              <w:jc w:val="right"/>
            </w:pPr>
            <w:r>
              <w:t>42.03</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one week or more, per week, paid in advance</w:t>
            </w:r>
          </w:p>
        </w:tc>
        <w:tc>
          <w:tcPr>
            <w:tcW w:w="995" w:type="dxa"/>
            <w:vAlign w:val="bottom"/>
          </w:tcPr>
          <w:p>
            <w:pPr>
              <w:pStyle w:val="yTableNAm"/>
              <w:jc w:val="right"/>
            </w:pPr>
            <w:r>
              <w:t>42.02</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otherwise, per day</w:t>
            </w:r>
          </w:p>
        </w:tc>
        <w:tc>
          <w:tcPr>
            <w:tcW w:w="995" w:type="dxa"/>
            <w:vAlign w:val="bottom"/>
          </w:tcPr>
          <w:p>
            <w:pPr>
              <w:pStyle w:val="yTableNAm"/>
              <w:jc w:val="right"/>
            </w:pPr>
            <w:r>
              <w:t>8.39</w:t>
            </w:r>
          </w:p>
        </w:tc>
      </w:tr>
      <w:tr>
        <w:trPr>
          <w:cantSplit/>
        </w:trPr>
        <w:tc>
          <w:tcPr>
            <w:tcW w:w="567" w:type="dxa"/>
          </w:tcPr>
          <w:p>
            <w:pPr>
              <w:pStyle w:val="yTableNAm"/>
            </w:pPr>
            <w:r>
              <w:t>2.</w:t>
            </w:r>
          </w:p>
        </w:tc>
        <w:tc>
          <w:tcPr>
            <w:tcW w:w="4391" w:type="dxa"/>
          </w:tcPr>
          <w:p>
            <w:pPr>
              <w:pStyle w:val="yTableNAm"/>
            </w:pPr>
            <w:r>
              <w:t xml:space="preserve">For shared use by vessel of snapper jetty, attached partly serviced pen and low level landing, per m of the longer of the vessel’s length and the chargeable length for the pen — </w:t>
            </w:r>
          </w:p>
        </w:tc>
        <w:tc>
          <w:tcPr>
            <w:tcW w:w="995" w:type="dxa"/>
            <w:vAlign w:val="bottom"/>
          </w:tcPr>
          <w:p>
            <w:pPr>
              <w:pStyle w:val="yTableNAm"/>
              <w:jc w:val="right"/>
            </w:pP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12 months paid in advance</w:t>
            </w:r>
          </w:p>
        </w:tc>
        <w:tc>
          <w:tcPr>
            <w:tcW w:w="995" w:type="dxa"/>
            <w:vAlign w:val="bottom"/>
          </w:tcPr>
          <w:p>
            <w:pPr>
              <w:pStyle w:val="yTableNAm"/>
              <w:jc w:val="right"/>
            </w:pPr>
            <w:r>
              <w:t>217.21</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3 months or more, per month, paid in advance</w:t>
            </w:r>
          </w:p>
        </w:tc>
        <w:tc>
          <w:tcPr>
            <w:tcW w:w="995" w:type="dxa"/>
            <w:vAlign w:val="bottom"/>
          </w:tcPr>
          <w:p>
            <w:pPr>
              <w:pStyle w:val="yTableNAm"/>
              <w:jc w:val="right"/>
            </w:pPr>
            <w:r>
              <w:t>21.70</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one month or more, per month, paid in advance</w:t>
            </w:r>
          </w:p>
        </w:tc>
        <w:tc>
          <w:tcPr>
            <w:tcW w:w="995" w:type="dxa"/>
            <w:vAlign w:val="bottom"/>
          </w:tcPr>
          <w:p>
            <w:pPr>
              <w:pStyle w:val="yTableNAm"/>
              <w:jc w:val="right"/>
            </w:pPr>
            <w:r>
              <w:t>32.58</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one week or more, per week, paid in advance</w:t>
            </w:r>
          </w:p>
        </w:tc>
        <w:tc>
          <w:tcPr>
            <w:tcW w:w="995" w:type="dxa"/>
            <w:vAlign w:val="bottom"/>
          </w:tcPr>
          <w:p>
            <w:pPr>
              <w:pStyle w:val="yTableNAm"/>
              <w:jc w:val="right"/>
            </w:pPr>
            <w:r>
              <w:t>22.30</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otherwise, per day</w:t>
            </w:r>
          </w:p>
        </w:tc>
        <w:tc>
          <w:tcPr>
            <w:tcW w:w="995" w:type="dxa"/>
            <w:vAlign w:val="bottom"/>
          </w:tcPr>
          <w:p>
            <w:pPr>
              <w:pStyle w:val="yTableNAm"/>
              <w:jc w:val="right"/>
            </w:pPr>
            <w:r>
              <w:t>4.46</w:t>
            </w:r>
          </w:p>
        </w:tc>
      </w:tr>
      <w:tr>
        <w:trPr>
          <w:cantSplit/>
        </w:trPr>
        <w:tc>
          <w:tcPr>
            <w:tcW w:w="567" w:type="dxa"/>
          </w:tcPr>
          <w:p>
            <w:pPr>
              <w:pStyle w:val="yTableNAm"/>
              <w:keepNext/>
              <w:keepLines/>
              <w:rPr>
                <w:rFonts w:ascii="Arial" w:hAnsi="Arial"/>
                <w:b/>
              </w:rPr>
            </w:pPr>
            <w:r>
              <w:t>3.</w:t>
            </w:r>
          </w:p>
        </w:tc>
        <w:tc>
          <w:tcPr>
            <w:tcW w:w="4391" w:type="dxa"/>
          </w:tcPr>
          <w:p>
            <w:pPr>
              <w:pStyle w:val="yTableNAm"/>
              <w:keepNext/>
              <w:keepLines/>
              <w:rPr>
                <w:rFonts w:ascii="Arial" w:hAnsi="Arial"/>
                <w:b/>
              </w:rPr>
            </w:pPr>
            <w:r>
              <w:t>For use of pen not described in item 1 or 2 and of fuel berth for fuelling, per m of the longer of the vessel’s length and the chargeable length for the pen —</w:t>
            </w:r>
          </w:p>
        </w:tc>
        <w:tc>
          <w:tcPr>
            <w:tcW w:w="995" w:type="dxa"/>
            <w:vAlign w:val="bottom"/>
          </w:tcPr>
          <w:p>
            <w:pPr>
              <w:pStyle w:val="yTableNAm"/>
              <w:keepNext/>
              <w:keepLines/>
              <w:jc w:val="right"/>
            </w:pP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12 months paid in advance</w:t>
            </w:r>
          </w:p>
        </w:tc>
        <w:tc>
          <w:tcPr>
            <w:tcW w:w="995" w:type="dxa"/>
            <w:vAlign w:val="bottom"/>
          </w:tcPr>
          <w:p>
            <w:pPr>
              <w:pStyle w:val="yTableNAm"/>
              <w:jc w:val="right"/>
            </w:pPr>
            <w:r>
              <w:t>238.13</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3 months or more, per month, paid in advance</w:t>
            </w:r>
          </w:p>
        </w:tc>
        <w:tc>
          <w:tcPr>
            <w:tcW w:w="995" w:type="dxa"/>
            <w:vAlign w:val="bottom"/>
          </w:tcPr>
          <w:p>
            <w:pPr>
              <w:pStyle w:val="yTableNAm"/>
              <w:jc w:val="right"/>
            </w:pPr>
            <w:r>
              <w:t>23.82</w:t>
            </w:r>
          </w:p>
        </w:tc>
      </w:tr>
      <w:tr>
        <w:trPr>
          <w:cantSplit/>
        </w:trPr>
        <w:tc>
          <w:tcPr>
            <w:tcW w:w="567" w:type="dxa"/>
          </w:tcPr>
          <w:p>
            <w:pPr>
              <w:pStyle w:val="yTableNAm"/>
              <w:keepNext/>
              <w:keepLines/>
            </w:pPr>
          </w:p>
        </w:tc>
        <w:tc>
          <w:tcPr>
            <w:tcW w:w="4391" w:type="dxa"/>
          </w:tcPr>
          <w:p>
            <w:pPr>
              <w:pStyle w:val="yTableNAm"/>
              <w:keepNext/>
              <w:keepLines/>
              <w:tabs>
                <w:tab w:val="clear" w:pos="567"/>
                <w:tab w:val="left" w:pos="415"/>
              </w:tabs>
              <w:ind w:left="415" w:hanging="415"/>
              <w:rPr>
                <w:rFonts w:ascii="Arial" w:hAnsi="Arial"/>
                <w:b/>
              </w:rPr>
            </w:pPr>
            <w:r>
              <w:t>•</w:t>
            </w:r>
            <w:r>
              <w:tab/>
              <w:t>for one month or more, per month, paid in advance</w:t>
            </w:r>
          </w:p>
        </w:tc>
        <w:tc>
          <w:tcPr>
            <w:tcW w:w="995" w:type="dxa"/>
            <w:vAlign w:val="bottom"/>
          </w:tcPr>
          <w:p>
            <w:pPr>
              <w:pStyle w:val="yTableNAm"/>
              <w:keepNext/>
              <w:keepLines/>
              <w:jc w:val="right"/>
              <w:rPr>
                <w:rFonts w:ascii="Arial" w:hAnsi="Arial"/>
                <w:b/>
              </w:rPr>
            </w:pPr>
            <w:r>
              <w:t>35.72</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one week or more, per week, paid in advance</w:t>
            </w:r>
          </w:p>
        </w:tc>
        <w:tc>
          <w:tcPr>
            <w:tcW w:w="995" w:type="dxa"/>
            <w:vAlign w:val="bottom"/>
          </w:tcPr>
          <w:p>
            <w:pPr>
              <w:pStyle w:val="yTableNAm"/>
              <w:jc w:val="right"/>
            </w:pPr>
            <w:r>
              <w:t>22.30</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otherwise, per day</w:t>
            </w:r>
          </w:p>
        </w:tc>
        <w:tc>
          <w:tcPr>
            <w:tcW w:w="995" w:type="dxa"/>
            <w:vAlign w:val="bottom"/>
          </w:tcPr>
          <w:p>
            <w:pPr>
              <w:pStyle w:val="yTableNAm"/>
              <w:jc w:val="right"/>
            </w:pPr>
            <w:r>
              <w:t>4.46</w:t>
            </w:r>
          </w:p>
        </w:tc>
      </w:tr>
      <w:tr>
        <w:trPr>
          <w:cantSplit/>
        </w:trPr>
        <w:tc>
          <w:tcPr>
            <w:tcW w:w="567" w:type="dxa"/>
          </w:tcPr>
          <w:p>
            <w:pPr>
              <w:pStyle w:val="yTableNAm"/>
            </w:pPr>
            <w:r>
              <w:t>4.</w:t>
            </w:r>
          </w:p>
        </w:tc>
        <w:tc>
          <w:tcPr>
            <w:tcW w:w="4391" w:type="dxa"/>
          </w:tcPr>
          <w:p>
            <w:pPr>
              <w:pStyle w:val="yTableNAm"/>
            </w:pPr>
            <w:r>
              <w:t xml:space="preserve">For pile mooring, per m of the vessel’s length — </w:t>
            </w:r>
          </w:p>
        </w:tc>
        <w:tc>
          <w:tcPr>
            <w:tcW w:w="995" w:type="dxa"/>
            <w:vAlign w:val="bottom"/>
          </w:tcPr>
          <w:p>
            <w:pPr>
              <w:pStyle w:val="yTableNAm"/>
              <w:jc w:val="right"/>
            </w:pP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12 months paid in advance</w:t>
            </w:r>
          </w:p>
        </w:tc>
        <w:tc>
          <w:tcPr>
            <w:tcW w:w="995" w:type="dxa"/>
            <w:vAlign w:val="bottom"/>
          </w:tcPr>
          <w:p>
            <w:pPr>
              <w:pStyle w:val="yTableNAm"/>
              <w:jc w:val="right"/>
            </w:pPr>
            <w:r>
              <w:t>132.77</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3 months or more, per month, paid in advance</w:t>
            </w:r>
          </w:p>
        </w:tc>
        <w:tc>
          <w:tcPr>
            <w:tcW w:w="995" w:type="dxa"/>
            <w:vAlign w:val="bottom"/>
          </w:tcPr>
          <w:p>
            <w:pPr>
              <w:pStyle w:val="yTableNAm"/>
              <w:jc w:val="right"/>
            </w:pPr>
            <w:r>
              <w:t>13.29</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one month or more, per month, paid in advance</w:t>
            </w:r>
          </w:p>
        </w:tc>
        <w:tc>
          <w:tcPr>
            <w:tcW w:w="995" w:type="dxa"/>
            <w:vAlign w:val="bottom"/>
          </w:tcPr>
          <w:p>
            <w:pPr>
              <w:pStyle w:val="yTableNAm"/>
              <w:jc w:val="right"/>
            </w:pPr>
            <w:r>
              <w:t>19.92</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one week or more, per week, paid in advance</w:t>
            </w:r>
          </w:p>
        </w:tc>
        <w:tc>
          <w:tcPr>
            <w:tcW w:w="995" w:type="dxa"/>
            <w:vAlign w:val="bottom"/>
          </w:tcPr>
          <w:p>
            <w:pPr>
              <w:pStyle w:val="yTableNAm"/>
              <w:jc w:val="right"/>
            </w:pPr>
            <w:r>
              <w:t>11.25</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otherwise, per day</w:t>
            </w:r>
          </w:p>
        </w:tc>
        <w:tc>
          <w:tcPr>
            <w:tcW w:w="995" w:type="dxa"/>
            <w:vAlign w:val="bottom"/>
          </w:tcPr>
          <w:p>
            <w:pPr>
              <w:pStyle w:val="yTableNAm"/>
              <w:jc w:val="right"/>
            </w:pPr>
            <w:r>
              <w:t>2.26</w:t>
            </w:r>
          </w:p>
        </w:tc>
      </w:tr>
      <w:tr>
        <w:trPr>
          <w:cantSplit/>
        </w:trPr>
        <w:tc>
          <w:tcPr>
            <w:tcW w:w="567" w:type="dxa"/>
          </w:tcPr>
          <w:p>
            <w:pPr>
              <w:pStyle w:val="yTableNAm"/>
            </w:pPr>
            <w:r>
              <w:t>5.</w:t>
            </w:r>
          </w:p>
        </w:tc>
        <w:tc>
          <w:tcPr>
            <w:tcW w:w="4391" w:type="dxa"/>
          </w:tcPr>
          <w:p>
            <w:pPr>
              <w:pStyle w:val="yTableNAm"/>
            </w:pPr>
            <w:r>
              <w:t>For living on board a vessel, per vessel, per month</w:t>
            </w:r>
          </w:p>
        </w:tc>
        <w:tc>
          <w:tcPr>
            <w:tcW w:w="995" w:type="dxa"/>
            <w:vAlign w:val="bottom"/>
          </w:tcPr>
          <w:p>
            <w:pPr>
              <w:pStyle w:val="yTableNAm"/>
              <w:jc w:val="right"/>
            </w:pPr>
            <w:r>
              <w:t>42.99</w:t>
            </w:r>
          </w:p>
        </w:tc>
      </w:tr>
      <w:tr>
        <w:trPr>
          <w:cantSplit/>
        </w:trPr>
        <w:tc>
          <w:tcPr>
            <w:tcW w:w="567" w:type="dxa"/>
          </w:tcPr>
          <w:p>
            <w:pPr>
              <w:pStyle w:val="yTableNAm"/>
            </w:pPr>
            <w:r>
              <w:t>6.</w:t>
            </w:r>
          </w:p>
        </w:tc>
        <w:tc>
          <w:tcPr>
            <w:tcW w:w="4391" w:type="dxa"/>
          </w:tcPr>
          <w:p>
            <w:pPr>
              <w:pStyle w:val="yTableNAm"/>
            </w:pPr>
            <w:r>
              <w:t>For electricity supply, 3</w:t>
            </w:r>
            <w:r>
              <w:noBreakHyphen/>
              <w:t xml:space="preserve">phase per day — </w:t>
            </w:r>
          </w:p>
        </w:tc>
        <w:tc>
          <w:tcPr>
            <w:tcW w:w="995" w:type="dxa"/>
            <w:vAlign w:val="bottom"/>
          </w:tcPr>
          <w:p>
            <w:pPr>
              <w:pStyle w:val="yTableNAm"/>
              <w:jc w:val="right"/>
            </w:pP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if metering indicates usage of more than $29.59 in a day</w:t>
            </w:r>
          </w:p>
        </w:tc>
        <w:tc>
          <w:tcPr>
            <w:tcW w:w="995" w:type="dxa"/>
            <w:vAlign w:val="bottom"/>
          </w:tcPr>
          <w:p>
            <w:pPr>
              <w:pStyle w:val="yTableNAm"/>
              <w:jc w:val="right"/>
            </w:pPr>
            <w:r>
              <w:t>cost</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otherwise, per day</w:t>
            </w:r>
          </w:p>
        </w:tc>
        <w:tc>
          <w:tcPr>
            <w:tcW w:w="995" w:type="dxa"/>
            <w:vAlign w:val="bottom"/>
          </w:tcPr>
          <w:p>
            <w:pPr>
              <w:pStyle w:val="yTableNAm"/>
              <w:jc w:val="right"/>
            </w:pPr>
            <w:r>
              <w:t>29.59</w:t>
            </w:r>
          </w:p>
        </w:tc>
      </w:tr>
      <w:tr>
        <w:trPr>
          <w:cantSplit/>
        </w:trPr>
        <w:tc>
          <w:tcPr>
            <w:tcW w:w="567" w:type="dxa"/>
          </w:tcPr>
          <w:p>
            <w:pPr>
              <w:pStyle w:val="yTableNAm"/>
            </w:pPr>
            <w:r>
              <w:t>7.</w:t>
            </w:r>
          </w:p>
        </w:tc>
        <w:tc>
          <w:tcPr>
            <w:tcW w:w="4391" w:type="dxa"/>
          </w:tcPr>
          <w:p>
            <w:pPr>
              <w:pStyle w:val="yTableNAm"/>
            </w:pPr>
            <w:r>
              <w:t xml:space="preserve">For rubbish removal — </w:t>
            </w:r>
          </w:p>
        </w:tc>
        <w:tc>
          <w:tcPr>
            <w:tcW w:w="995" w:type="dxa"/>
            <w:vAlign w:val="bottom"/>
          </w:tcPr>
          <w:p>
            <w:pPr>
              <w:pStyle w:val="yTableNAm"/>
              <w:jc w:val="right"/>
            </w:pP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excess quantity or from vessel not using harbour, minimum per half skip supplied and emptied</w:t>
            </w:r>
          </w:p>
        </w:tc>
        <w:tc>
          <w:tcPr>
            <w:tcW w:w="995" w:type="dxa"/>
            <w:vAlign w:val="bottom"/>
          </w:tcPr>
          <w:p>
            <w:pPr>
              <w:pStyle w:val="yTableNAm"/>
              <w:jc w:val="right"/>
            </w:pPr>
            <w:r>
              <w:br/>
              <w:t>cost</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waste oil from vessels in excess of 150 L</w:t>
            </w:r>
          </w:p>
        </w:tc>
        <w:tc>
          <w:tcPr>
            <w:tcW w:w="995" w:type="dxa"/>
            <w:vAlign w:val="bottom"/>
          </w:tcPr>
          <w:p>
            <w:pPr>
              <w:pStyle w:val="yTableNAm"/>
              <w:jc w:val="right"/>
            </w:pPr>
            <w:r>
              <w:t>cost</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waste oil drum not removed by owner, per 20 L drum</w:t>
            </w:r>
          </w:p>
        </w:tc>
        <w:tc>
          <w:tcPr>
            <w:tcW w:w="995" w:type="dxa"/>
            <w:vAlign w:val="bottom"/>
          </w:tcPr>
          <w:p>
            <w:pPr>
              <w:pStyle w:val="yTableNAm"/>
              <w:jc w:val="right"/>
            </w:pPr>
            <w:r>
              <w:br/>
              <w:t>cost</w:t>
            </w:r>
          </w:p>
        </w:tc>
      </w:tr>
      <w:tr>
        <w:trPr>
          <w:cantSplit/>
        </w:trPr>
        <w:tc>
          <w:tcPr>
            <w:tcW w:w="567" w:type="dxa"/>
            <w:tcBorders>
              <w:bottom w:val="single" w:sz="4" w:space="0" w:color="auto"/>
            </w:tcBorders>
          </w:tcPr>
          <w:p>
            <w:pPr>
              <w:pStyle w:val="yTableNAm"/>
            </w:pPr>
          </w:p>
        </w:tc>
        <w:tc>
          <w:tcPr>
            <w:tcW w:w="4391" w:type="dxa"/>
            <w:tcBorders>
              <w:bottom w:val="single" w:sz="4" w:space="0" w:color="auto"/>
            </w:tcBorders>
          </w:tcPr>
          <w:p>
            <w:pPr>
              <w:pStyle w:val="yTableNAm"/>
              <w:tabs>
                <w:tab w:val="clear" w:pos="567"/>
                <w:tab w:val="left" w:pos="415"/>
              </w:tabs>
              <w:ind w:left="415" w:hanging="415"/>
            </w:pPr>
            <w:r>
              <w:t>•</w:t>
            </w:r>
            <w:r>
              <w:tab/>
              <w:t>rubbish not put in supplied bins</w:t>
            </w:r>
          </w:p>
        </w:tc>
        <w:tc>
          <w:tcPr>
            <w:tcW w:w="995" w:type="dxa"/>
            <w:tcBorders>
              <w:bottom w:val="single" w:sz="4" w:space="0" w:color="auto"/>
            </w:tcBorders>
            <w:vAlign w:val="bottom"/>
          </w:tcPr>
          <w:p>
            <w:pPr>
              <w:pStyle w:val="yTableNAm"/>
              <w:jc w:val="right"/>
            </w:pPr>
            <w:r>
              <w:t>cost</w:t>
            </w:r>
          </w:p>
        </w:tc>
      </w:tr>
    </w:tbl>
    <w:p>
      <w:pPr>
        <w:pStyle w:val="yFootnotesection"/>
      </w:pPr>
      <w:r>
        <w:tab/>
        <w:t>[Clause 6 inserted in Gazette 28 Jun 2013 p. 2838</w:t>
      </w:r>
      <w:r>
        <w:noBreakHyphen/>
        <w:t>41.]</w:t>
      </w:r>
    </w:p>
    <w:p>
      <w:pPr>
        <w:pStyle w:val="yHeading5"/>
      </w:pPr>
      <w:bookmarkStart w:id="148" w:name="_Toc375231163"/>
      <w:r>
        <w:rPr>
          <w:rStyle w:val="CharSClsNo"/>
        </w:rPr>
        <w:t>7</w:t>
      </w:r>
      <w:r>
        <w:t>.</w:t>
      </w:r>
      <w:r>
        <w:rPr>
          <w:b w:val="0"/>
        </w:rPr>
        <w:tab/>
      </w:r>
      <w:r>
        <w:t>Cervantes</w:t>
      </w:r>
      <w:bookmarkEnd w:id="148"/>
    </w:p>
    <w:p>
      <w:pPr>
        <w:pStyle w:val="ySubsection"/>
      </w:pPr>
      <w:r>
        <w:tab/>
        <w:t>(1)</w:t>
      </w:r>
      <w:r>
        <w:tab/>
        <w:t>This clause applies to Cervantes.</w:t>
      </w:r>
    </w:p>
    <w:p>
      <w:pPr>
        <w:pStyle w:val="ySubsection"/>
      </w:pPr>
      <w:r>
        <w:tab/>
        <w:t>(2)</w:t>
      </w:r>
      <w:r>
        <w:tab/>
        <w:t>The fees and charges to be paid under regulations 6 and 42A are set out in Table 7.1.</w:t>
      </w:r>
    </w:p>
    <w:p>
      <w:pPr>
        <w:pStyle w:val="yTHeadingNAm"/>
      </w:pPr>
      <w:r>
        <w:t>Table 7.1 (Berthing and jetty use)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4" w:type="dxa"/>
            <w:tcBorders>
              <w:top w:val="single" w:sz="4" w:space="0" w:color="auto"/>
              <w:bottom w:val="single" w:sz="4" w:space="0" w:color="auto"/>
            </w:tcBorders>
          </w:tcPr>
          <w:p>
            <w:pPr>
              <w:pStyle w:val="yTableNAm"/>
              <w:rPr>
                <w:b/>
              </w:rPr>
            </w:pPr>
            <w:r>
              <w:rPr>
                <w:b/>
              </w:rPr>
              <w:t>Service</w:t>
            </w:r>
          </w:p>
        </w:tc>
        <w:tc>
          <w:tcPr>
            <w:tcW w:w="992"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4" w:type="dxa"/>
          </w:tcPr>
          <w:p>
            <w:pPr>
              <w:pStyle w:val="yTableNAm"/>
            </w:pPr>
            <w:r>
              <w:t>For use of service jetty for short time just to load or unload vessel, per vessel —</w:t>
            </w:r>
          </w:p>
        </w:tc>
        <w:tc>
          <w:tcPr>
            <w:tcW w:w="992" w:type="dxa"/>
            <w:vAlign w:val="bottom"/>
          </w:tcPr>
          <w:p>
            <w:pPr>
              <w:pStyle w:val="yTableNAm"/>
              <w:jc w:val="right"/>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12 months paid in advance</w:t>
            </w:r>
          </w:p>
        </w:tc>
        <w:tc>
          <w:tcPr>
            <w:tcW w:w="992" w:type="dxa"/>
            <w:vAlign w:val="bottom"/>
          </w:tcPr>
          <w:p>
            <w:pPr>
              <w:pStyle w:val="yTableNAm"/>
              <w:jc w:val="right"/>
            </w:pPr>
            <w:r>
              <w:t>3 124.96</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one month paid in advance</w:t>
            </w:r>
          </w:p>
        </w:tc>
        <w:tc>
          <w:tcPr>
            <w:tcW w:w="992" w:type="dxa"/>
            <w:vAlign w:val="bottom"/>
          </w:tcPr>
          <w:p>
            <w:pPr>
              <w:pStyle w:val="yTableNAm"/>
              <w:jc w:val="right"/>
            </w:pPr>
            <w:r>
              <w:t>749.99</w:t>
            </w:r>
          </w:p>
        </w:tc>
      </w:tr>
      <w:tr>
        <w:trPr>
          <w:cantSplit/>
        </w:trPr>
        <w:tc>
          <w:tcPr>
            <w:tcW w:w="567" w:type="dxa"/>
          </w:tcPr>
          <w:p>
            <w:pPr>
              <w:pStyle w:val="yTableNAm"/>
            </w:pPr>
            <w:r>
              <w:t>2.</w:t>
            </w:r>
          </w:p>
        </w:tc>
        <w:tc>
          <w:tcPr>
            <w:tcW w:w="4394" w:type="dxa"/>
          </w:tcPr>
          <w:p>
            <w:pPr>
              <w:pStyle w:val="yTableNAm"/>
            </w:pPr>
            <w:r>
              <w:t>For use of service jetty by vessel, per vessel per day</w:t>
            </w:r>
          </w:p>
        </w:tc>
        <w:tc>
          <w:tcPr>
            <w:tcW w:w="992" w:type="dxa"/>
            <w:vAlign w:val="bottom"/>
          </w:tcPr>
          <w:p>
            <w:pPr>
              <w:pStyle w:val="yTableNAm"/>
              <w:jc w:val="right"/>
            </w:pPr>
            <w:r>
              <w:t>112.50</w:t>
            </w:r>
          </w:p>
        </w:tc>
      </w:tr>
      <w:tr>
        <w:trPr>
          <w:cantSplit/>
        </w:trPr>
        <w:tc>
          <w:tcPr>
            <w:tcW w:w="567" w:type="dxa"/>
            <w:tcBorders>
              <w:bottom w:val="single" w:sz="4" w:space="0" w:color="auto"/>
            </w:tcBorders>
          </w:tcPr>
          <w:p>
            <w:pPr>
              <w:pStyle w:val="yTableNAm"/>
            </w:pPr>
            <w:r>
              <w:t>3.</w:t>
            </w:r>
          </w:p>
        </w:tc>
        <w:tc>
          <w:tcPr>
            <w:tcW w:w="4394" w:type="dxa"/>
            <w:tcBorders>
              <w:bottom w:val="single" w:sz="4" w:space="0" w:color="auto"/>
            </w:tcBorders>
          </w:tcPr>
          <w:p>
            <w:pPr>
              <w:pStyle w:val="yTableNAm"/>
            </w:pPr>
            <w:r>
              <w:t>For vehicular use of service jetty and land adjacent to it by a business (company or registered business name) to load or unload vessels, for 12 months paid in advance, per business</w:t>
            </w:r>
          </w:p>
        </w:tc>
        <w:tc>
          <w:tcPr>
            <w:tcW w:w="992" w:type="dxa"/>
            <w:tcBorders>
              <w:bottom w:val="single" w:sz="4" w:space="0" w:color="auto"/>
            </w:tcBorders>
            <w:vAlign w:val="bottom"/>
          </w:tcPr>
          <w:p>
            <w:pPr>
              <w:pStyle w:val="yTableNAm"/>
              <w:jc w:val="right"/>
            </w:pPr>
            <w:r>
              <w:t>4 374.95</w:t>
            </w:r>
          </w:p>
        </w:tc>
      </w:tr>
    </w:tbl>
    <w:p>
      <w:pPr>
        <w:pStyle w:val="yFootnotesection"/>
      </w:pPr>
      <w:r>
        <w:tab/>
        <w:t>[Clause 7 inserted in Gazette 28 Jun 2013 p. 2841</w:t>
      </w:r>
      <w:r>
        <w:noBreakHyphen/>
        <w:t>2.]</w:t>
      </w:r>
    </w:p>
    <w:p>
      <w:pPr>
        <w:pStyle w:val="yHeading5"/>
      </w:pPr>
      <w:bookmarkStart w:id="149" w:name="_Toc375231164"/>
      <w:r>
        <w:rPr>
          <w:rStyle w:val="CharSClsNo"/>
        </w:rPr>
        <w:t>8</w:t>
      </w:r>
      <w:r>
        <w:t>.</w:t>
      </w:r>
      <w:r>
        <w:tab/>
        <w:t>Coral Bay Maritime Facility</w:t>
      </w:r>
      <w:bookmarkEnd w:id="149"/>
    </w:p>
    <w:p>
      <w:pPr>
        <w:pStyle w:val="ySubsection"/>
      </w:pPr>
      <w:r>
        <w:tab/>
        <w:t>(1)</w:t>
      </w:r>
      <w:r>
        <w:tab/>
        <w:t>This clause applies to the Coral Bay Maritime Facility.</w:t>
      </w:r>
    </w:p>
    <w:p>
      <w:pPr>
        <w:pStyle w:val="ySubsection"/>
      </w:pPr>
      <w:r>
        <w:tab/>
        <w:t>(2)</w:t>
      </w:r>
      <w:r>
        <w:tab/>
        <w:t xml:space="preserve">In this clause a reference to an </w:t>
      </w:r>
      <w:r>
        <w:rPr>
          <w:rStyle w:val="CharDefText"/>
        </w:rPr>
        <w:t>E Class operator</w:t>
      </w:r>
      <w:r>
        <w:t xml:space="preserve"> or a </w:t>
      </w:r>
      <w:r>
        <w:rPr>
          <w:rStyle w:val="CharDefText"/>
        </w:rPr>
        <w:t>T Class operator</w:t>
      </w:r>
      <w:r>
        <w:t xml:space="preserve"> is a reference to an operator who is the holder of either an E Class licence or a T Class licence issued for the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ySubsection"/>
        <w:keepNext/>
        <w:keepLines/>
      </w:pPr>
      <w:r>
        <w:tab/>
        <w:t>(3)</w:t>
      </w:r>
      <w:r>
        <w:tab/>
        <w:t>The fees and charges to be paid under regulations 94A and 94C are set out in Table 8.1.</w:t>
      </w:r>
    </w:p>
    <w:p>
      <w:pPr>
        <w:pStyle w:val="yTHeadingNAm"/>
        <w:keepLines/>
      </w:pPr>
      <w:r>
        <w:t>Table 8.1 (Berthing and jetty use)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87"/>
        <w:gridCol w:w="6"/>
        <w:gridCol w:w="993"/>
      </w:tblGrid>
      <w:tr>
        <w:trPr>
          <w:cantSplit/>
          <w:tblHeader/>
        </w:trPr>
        <w:tc>
          <w:tcPr>
            <w:tcW w:w="567" w:type="dxa"/>
            <w:tcBorders>
              <w:top w:val="single" w:sz="4" w:space="0" w:color="auto"/>
              <w:bottom w:val="single" w:sz="4" w:space="0" w:color="auto"/>
            </w:tcBorders>
          </w:tcPr>
          <w:p>
            <w:pPr>
              <w:pStyle w:val="yTableNAm"/>
              <w:keepNext/>
              <w:keepLines/>
              <w:rPr>
                <w:b/>
              </w:rPr>
            </w:pPr>
            <w:r>
              <w:rPr>
                <w:b/>
              </w:rPr>
              <w:t>Item</w:t>
            </w:r>
          </w:p>
        </w:tc>
        <w:tc>
          <w:tcPr>
            <w:tcW w:w="4393" w:type="dxa"/>
            <w:gridSpan w:val="2"/>
            <w:tcBorders>
              <w:top w:val="single" w:sz="4" w:space="0" w:color="auto"/>
              <w:bottom w:val="single" w:sz="4" w:space="0" w:color="auto"/>
            </w:tcBorders>
          </w:tcPr>
          <w:p>
            <w:pPr>
              <w:pStyle w:val="yTableNAm"/>
              <w:keepNext/>
              <w:keepLines/>
              <w:rPr>
                <w:b/>
              </w:rPr>
            </w:pPr>
            <w:r>
              <w:rPr>
                <w:b/>
              </w:rPr>
              <w:t>Service</w:t>
            </w:r>
          </w:p>
        </w:tc>
        <w:tc>
          <w:tcPr>
            <w:tcW w:w="993" w:type="dxa"/>
            <w:tcBorders>
              <w:top w:val="single" w:sz="4" w:space="0" w:color="auto"/>
              <w:bottom w:val="single" w:sz="4" w:space="0" w:color="auto"/>
            </w:tcBorders>
          </w:tcPr>
          <w:p>
            <w:pPr>
              <w:pStyle w:val="yTableNAm"/>
              <w:keepNext/>
              <w:keepLines/>
              <w:jc w:val="center"/>
              <w:rPr>
                <w:b/>
              </w:rPr>
            </w:pPr>
            <w:r>
              <w:rPr>
                <w:b/>
              </w:rPr>
              <w:t>$</w:t>
            </w:r>
          </w:p>
        </w:tc>
      </w:tr>
      <w:tr>
        <w:trPr>
          <w:cantSplit/>
        </w:trPr>
        <w:tc>
          <w:tcPr>
            <w:tcW w:w="567" w:type="dxa"/>
          </w:tcPr>
          <w:p>
            <w:pPr>
              <w:pStyle w:val="yTableNAm"/>
              <w:keepNext/>
            </w:pPr>
            <w:r>
              <w:t>1.</w:t>
            </w:r>
          </w:p>
        </w:tc>
        <w:tc>
          <w:tcPr>
            <w:tcW w:w="4387" w:type="dxa"/>
          </w:tcPr>
          <w:p>
            <w:pPr>
              <w:pStyle w:val="yTableNAm"/>
              <w:keepNext/>
              <w:rPr>
                <w:rStyle w:val="DraftersNotes"/>
              </w:rPr>
            </w:pPr>
            <w:r>
              <w:t>E Class operators — for use of service jetty, low level landing, transfer moorings and tender pontoon for short time to load or unload passengers and equipment from vessel, per vessel —</w:t>
            </w:r>
          </w:p>
        </w:tc>
        <w:tc>
          <w:tcPr>
            <w:tcW w:w="999" w:type="dxa"/>
            <w:gridSpan w:val="2"/>
          </w:tcPr>
          <w:p>
            <w:pPr>
              <w:pStyle w:val="yTableNAm"/>
              <w:keepNext/>
              <w:jc w:val="right"/>
            </w:pPr>
          </w:p>
        </w:tc>
      </w:tr>
      <w:tr>
        <w:trPr>
          <w:cantSplit/>
        </w:trPr>
        <w:tc>
          <w:tcPr>
            <w:tcW w:w="567" w:type="dxa"/>
          </w:tcPr>
          <w:p>
            <w:pPr>
              <w:pStyle w:val="yTableNAm"/>
            </w:pPr>
          </w:p>
        </w:tc>
        <w:tc>
          <w:tcPr>
            <w:tcW w:w="4387" w:type="dxa"/>
          </w:tcPr>
          <w:p>
            <w:pPr>
              <w:pStyle w:val="yTableNAm"/>
              <w:tabs>
                <w:tab w:val="clear" w:pos="567"/>
                <w:tab w:val="left" w:pos="415"/>
              </w:tabs>
              <w:ind w:left="415" w:hanging="415"/>
            </w:pPr>
            <w:r>
              <w:t>•</w:t>
            </w:r>
            <w:r>
              <w:tab/>
              <w:t>for 12 months paid in advance</w:t>
            </w:r>
          </w:p>
        </w:tc>
        <w:tc>
          <w:tcPr>
            <w:tcW w:w="999" w:type="dxa"/>
            <w:gridSpan w:val="2"/>
          </w:tcPr>
          <w:p>
            <w:pPr>
              <w:pStyle w:val="yTableNAm"/>
              <w:jc w:val="right"/>
            </w:pPr>
            <w:r>
              <w:t>2 343.72</w:t>
            </w:r>
          </w:p>
        </w:tc>
      </w:tr>
      <w:tr>
        <w:trPr>
          <w:cantSplit/>
        </w:trPr>
        <w:tc>
          <w:tcPr>
            <w:tcW w:w="567" w:type="dxa"/>
          </w:tcPr>
          <w:p>
            <w:pPr>
              <w:pStyle w:val="yTableNAm"/>
            </w:pPr>
          </w:p>
        </w:tc>
        <w:tc>
          <w:tcPr>
            <w:tcW w:w="4387" w:type="dxa"/>
          </w:tcPr>
          <w:p>
            <w:pPr>
              <w:pStyle w:val="yTableNAm"/>
              <w:tabs>
                <w:tab w:val="clear" w:pos="567"/>
                <w:tab w:val="left" w:pos="415"/>
              </w:tabs>
              <w:ind w:left="415" w:hanging="415"/>
            </w:pPr>
            <w:r>
              <w:t>•</w:t>
            </w:r>
            <w:r>
              <w:tab/>
              <w:t>for one month paid in advance</w:t>
            </w:r>
          </w:p>
        </w:tc>
        <w:tc>
          <w:tcPr>
            <w:tcW w:w="999" w:type="dxa"/>
            <w:gridSpan w:val="2"/>
          </w:tcPr>
          <w:p>
            <w:pPr>
              <w:pStyle w:val="yTableNAm"/>
              <w:jc w:val="right"/>
            </w:pPr>
            <w:r>
              <w:t>562.49</w:t>
            </w:r>
          </w:p>
        </w:tc>
      </w:tr>
      <w:tr>
        <w:trPr>
          <w:cantSplit/>
        </w:trPr>
        <w:tc>
          <w:tcPr>
            <w:tcW w:w="567" w:type="dxa"/>
          </w:tcPr>
          <w:p>
            <w:pPr>
              <w:pStyle w:val="yTableNAm"/>
            </w:pPr>
          </w:p>
        </w:tc>
        <w:tc>
          <w:tcPr>
            <w:tcW w:w="4387" w:type="dxa"/>
          </w:tcPr>
          <w:p>
            <w:pPr>
              <w:pStyle w:val="yTableNAm"/>
              <w:tabs>
                <w:tab w:val="clear" w:pos="567"/>
                <w:tab w:val="left" w:pos="415"/>
              </w:tabs>
              <w:ind w:left="415" w:hanging="415"/>
            </w:pPr>
            <w:r>
              <w:t>•</w:t>
            </w:r>
            <w:r>
              <w:tab/>
              <w:t>otherwise, per day</w:t>
            </w:r>
          </w:p>
        </w:tc>
        <w:tc>
          <w:tcPr>
            <w:tcW w:w="999" w:type="dxa"/>
            <w:gridSpan w:val="2"/>
          </w:tcPr>
          <w:p>
            <w:pPr>
              <w:pStyle w:val="yTableNAm"/>
              <w:jc w:val="right"/>
            </w:pPr>
            <w:r>
              <w:t>84.38</w:t>
            </w:r>
          </w:p>
        </w:tc>
      </w:tr>
      <w:tr>
        <w:trPr>
          <w:cantSplit/>
        </w:trPr>
        <w:tc>
          <w:tcPr>
            <w:tcW w:w="567" w:type="dxa"/>
          </w:tcPr>
          <w:p>
            <w:pPr>
              <w:pStyle w:val="yTableNAm"/>
            </w:pPr>
            <w:r>
              <w:t>2.</w:t>
            </w:r>
          </w:p>
        </w:tc>
        <w:tc>
          <w:tcPr>
            <w:tcW w:w="4387" w:type="dxa"/>
          </w:tcPr>
          <w:p>
            <w:pPr>
              <w:pStyle w:val="yTableNAm"/>
            </w:pPr>
            <w:r>
              <w:t>T Class operators — for use of boat ramp, low level landing and transfer moorings for short time (all subject to availability) to load or unload passengers and equipment from vessel, per vessel —</w:t>
            </w:r>
          </w:p>
        </w:tc>
        <w:tc>
          <w:tcPr>
            <w:tcW w:w="999" w:type="dxa"/>
            <w:gridSpan w:val="2"/>
          </w:tcPr>
          <w:p>
            <w:pPr>
              <w:pStyle w:val="yTableNAm"/>
              <w:jc w:val="right"/>
            </w:pPr>
          </w:p>
        </w:tc>
      </w:tr>
      <w:tr>
        <w:trPr>
          <w:cantSplit/>
        </w:trPr>
        <w:tc>
          <w:tcPr>
            <w:tcW w:w="567" w:type="dxa"/>
          </w:tcPr>
          <w:p>
            <w:pPr>
              <w:pStyle w:val="yTableNAm"/>
            </w:pPr>
          </w:p>
        </w:tc>
        <w:tc>
          <w:tcPr>
            <w:tcW w:w="4387" w:type="dxa"/>
          </w:tcPr>
          <w:p>
            <w:pPr>
              <w:pStyle w:val="yTableNAm"/>
              <w:tabs>
                <w:tab w:val="clear" w:pos="567"/>
                <w:tab w:val="left" w:pos="415"/>
              </w:tabs>
              <w:ind w:left="415" w:hanging="415"/>
            </w:pPr>
            <w:r>
              <w:t>•</w:t>
            </w:r>
            <w:r>
              <w:tab/>
              <w:t>for 12 months paid in advance</w:t>
            </w:r>
          </w:p>
        </w:tc>
        <w:tc>
          <w:tcPr>
            <w:tcW w:w="999" w:type="dxa"/>
            <w:gridSpan w:val="2"/>
          </w:tcPr>
          <w:p>
            <w:pPr>
              <w:pStyle w:val="yTableNAm"/>
              <w:jc w:val="right"/>
            </w:pPr>
            <w:r>
              <w:t>2 343.72</w:t>
            </w:r>
          </w:p>
        </w:tc>
      </w:tr>
      <w:tr>
        <w:trPr>
          <w:cantSplit/>
        </w:trPr>
        <w:tc>
          <w:tcPr>
            <w:tcW w:w="567" w:type="dxa"/>
          </w:tcPr>
          <w:p>
            <w:pPr>
              <w:pStyle w:val="yTableNAm"/>
            </w:pPr>
          </w:p>
        </w:tc>
        <w:tc>
          <w:tcPr>
            <w:tcW w:w="4387" w:type="dxa"/>
          </w:tcPr>
          <w:p>
            <w:pPr>
              <w:pStyle w:val="yTableNAm"/>
              <w:tabs>
                <w:tab w:val="clear" w:pos="567"/>
                <w:tab w:val="left" w:pos="415"/>
              </w:tabs>
              <w:ind w:left="415" w:hanging="415"/>
            </w:pPr>
            <w:r>
              <w:t>•</w:t>
            </w:r>
            <w:r>
              <w:tab/>
              <w:t>for one month paid in advance</w:t>
            </w:r>
          </w:p>
        </w:tc>
        <w:tc>
          <w:tcPr>
            <w:tcW w:w="999" w:type="dxa"/>
            <w:gridSpan w:val="2"/>
          </w:tcPr>
          <w:p>
            <w:pPr>
              <w:pStyle w:val="yTableNAm"/>
              <w:jc w:val="right"/>
            </w:pPr>
            <w:r>
              <w:t>562.49</w:t>
            </w:r>
          </w:p>
        </w:tc>
      </w:tr>
      <w:tr>
        <w:trPr>
          <w:cantSplit/>
        </w:trPr>
        <w:tc>
          <w:tcPr>
            <w:tcW w:w="567" w:type="dxa"/>
          </w:tcPr>
          <w:p>
            <w:pPr>
              <w:pStyle w:val="yTableNAm"/>
            </w:pPr>
          </w:p>
        </w:tc>
        <w:tc>
          <w:tcPr>
            <w:tcW w:w="4387" w:type="dxa"/>
          </w:tcPr>
          <w:p>
            <w:pPr>
              <w:pStyle w:val="yTableNAm"/>
              <w:tabs>
                <w:tab w:val="clear" w:pos="567"/>
                <w:tab w:val="left" w:pos="415"/>
              </w:tabs>
              <w:ind w:left="415" w:hanging="415"/>
            </w:pPr>
            <w:r>
              <w:t>•</w:t>
            </w:r>
            <w:r>
              <w:tab/>
              <w:t>otherwise, per day</w:t>
            </w:r>
          </w:p>
        </w:tc>
        <w:tc>
          <w:tcPr>
            <w:tcW w:w="999" w:type="dxa"/>
            <w:gridSpan w:val="2"/>
          </w:tcPr>
          <w:p>
            <w:pPr>
              <w:pStyle w:val="yTableNAm"/>
              <w:jc w:val="right"/>
            </w:pPr>
            <w:r>
              <w:t>84.38</w:t>
            </w:r>
          </w:p>
        </w:tc>
      </w:tr>
      <w:tr>
        <w:trPr>
          <w:cantSplit/>
        </w:trPr>
        <w:tc>
          <w:tcPr>
            <w:tcW w:w="567" w:type="dxa"/>
          </w:tcPr>
          <w:p>
            <w:pPr>
              <w:pStyle w:val="yTableNAm"/>
            </w:pPr>
            <w:r>
              <w:t>3.</w:t>
            </w:r>
          </w:p>
        </w:tc>
        <w:tc>
          <w:tcPr>
            <w:tcW w:w="4387" w:type="dxa"/>
          </w:tcPr>
          <w:p>
            <w:pPr>
              <w:pStyle w:val="yTableNAm"/>
            </w:pPr>
            <w:r>
              <w:t>Fishing vessels and other vessels — for use of service jetty, transfer moorings and tender moorings for short time (all subject to availability) to load or unload, per vessel —</w:t>
            </w:r>
          </w:p>
        </w:tc>
        <w:tc>
          <w:tcPr>
            <w:tcW w:w="999" w:type="dxa"/>
            <w:gridSpan w:val="2"/>
          </w:tcPr>
          <w:p>
            <w:pPr>
              <w:pStyle w:val="yTableNAm"/>
              <w:jc w:val="right"/>
            </w:pPr>
          </w:p>
        </w:tc>
      </w:tr>
      <w:tr>
        <w:trPr>
          <w:cantSplit/>
        </w:trPr>
        <w:tc>
          <w:tcPr>
            <w:tcW w:w="567" w:type="dxa"/>
          </w:tcPr>
          <w:p>
            <w:pPr>
              <w:pStyle w:val="yTableNAm"/>
            </w:pPr>
          </w:p>
        </w:tc>
        <w:tc>
          <w:tcPr>
            <w:tcW w:w="4387" w:type="dxa"/>
          </w:tcPr>
          <w:p>
            <w:pPr>
              <w:pStyle w:val="yTableNAm"/>
              <w:tabs>
                <w:tab w:val="clear" w:pos="567"/>
                <w:tab w:val="left" w:pos="415"/>
              </w:tabs>
              <w:ind w:left="415" w:hanging="415"/>
            </w:pPr>
            <w:r>
              <w:t>•</w:t>
            </w:r>
            <w:r>
              <w:tab/>
              <w:t>for 12 months paid in advance</w:t>
            </w:r>
          </w:p>
        </w:tc>
        <w:tc>
          <w:tcPr>
            <w:tcW w:w="999" w:type="dxa"/>
            <w:gridSpan w:val="2"/>
          </w:tcPr>
          <w:p>
            <w:pPr>
              <w:pStyle w:val="yTableNAm"/>
              <w:jc w:val="right"/>
            </w:pPr>
            <w:r>
              <w:t>2 343.72</w:t>
            </w:r>
          </w:p>
        </w:tc>
      </w:tr>
      <w:tr>
        <w:trPr>
          <w:cantSplit/>
        </w:trPr>
        <w:tc>
          <w:tcPr>
            <w:tcW w:w="567" w:type="dxa"/>
          </w:tcPr>
          <w:p>
            <w:pPr>
              <w:pStyle w:val="yTableNAm"/>
            </w:pPr>
          </w:p>
        </w:tc>
        <w:tc>
          <w:tcPr>
            <w:tcW w:w="4387" w:type="dxa"/>
          </w:tcPr>
          <w:p>
            <w:pPr>
              <w:pStyle w:val="yTableNAm"/>
              <w:tabs>
                <w:tab w:val="clear" w:pos="567"/>
                <w:tab w:val="left" w:pos="415"/>
              </w:tabs>
              <w:ind w:left="415" w:hanging="415"/>
            </w:pPr>
            <w:r>
              <w:t>•</w:t>
            </w:r>
            <w:r>
              <w:tab/>
              <w:t>for one month paid in advance</w:t>
            </w:r>
          </w:p>
        </w:tc>
        <w:tc>
          <w:tcPr>
            <w:tcW w:w="999" w:type="dxa"/>
            <w:gridSpan w:val="2"/>
          </w:tcPr>
          <w:p>
            <w:pPr>
              <w:pStyle w:val="yTableNAm"/>
              <w:jc w:val="right"/>
            </w:pPr>
            <w:r>
              <w:t>562.49</w:t>
            </w:r>
          </w:p>
        </w:tc>
      </w:tr>
      <w:tr>
        <w:trPr>
          <w:cantSplit/>
        </w:trPr>
        <w:tc>
          <w:tcPr>
            <w:tcW w:w="567" w:type="dxa"/>
          </w:tcPr>
          <w:p>
            <w:pPr>
              <w:pStyle w:val="yTableNAm"/>
            </w:pPr>
          </w:p>
        </w:tc>
        <w:tc>
          <w:tcPr>
            <w:tcW w:w="4387" w:type="dxa"/>
          </w:tcPr>
          <w:p>
            <w:pPr>
              <w:pStyle w:val="yTableNAm"/>
              <w:tabs>
                <w:tab w:val="clear" w:pos="567"/>
                <w:tab w:val="left" w:pos="415"/>
              </w:tabs>
              <w:ind w:left="415" w:hanging="415"/>
            </w:pPr>
            <w:r>
              <w:t>•</w:t>
            </w:r>
            <w:r>
              <w:tab/>
              <w:t>otherwise, per day</w:t>
            </w:r>
          </w:p>
        </w:tc>
        <w:tc>
          <w:tcPr>
            <w:tcW w:w="999" w:type="dxa"/>
            <w:gridSpan w:val="2"/>
          </w:tcPr>
          <w:p>
            <w:pPr>
              <w:pStyle w:val="yTableNAm"/>
              <w:jc w:val="right"/>
            </w:pPr>
            <w:r>
              <w:t>84.38</w:t>
            </w:r>
          </w:p>
        </w:tc>
      </w:tr>
      <w:tr>
        <w:trPr>
          <w:cantSplit/>
        </w:trPr>
        <w:tc>
          <w:tcPr>
            <w:tcW w:w="567" w:type="dxa"/>
          </w:tcPr>
          <w:p>
            <w:pPr>
              <w:pStyle w:val="yTableNAm"/>
            </w:pPr>
            <w:r>
              <w:t>4.</w:t>
            </w:r>
          </w:p>
        </w:tc>
        <w:tc>
          <w:tcPr>
            <w:tcW w:w="4387" w:type="dxa"/>
          </w:tcPr>
          <w:p>
            <w:pPr>
              <w:pStyle w:val="yTableNAm"/>
            </w:pPr>
            <w:r>
              <w:t xml:space="preserve">For use of floating pen, per vessel — </w:t>
            </w:r>
          </w:p>
          <w:p>
            <w:pPr>
              <w:pStyle w:val="NotesPerm"/>
              <w:tabs>
                <w:tab w:val="clear" w:pos="879"/>
                <w:tab w:val="left" w:pos="653"/>
              </w:tabs>
              <w:ind w:left="653" w:hanging="653"/>
            </w:pPr>
            <w:r>
              <w:t>Note:</w:t>
            </w:r>
            <w:r>
              <w:tab/>
              <w:t>includes, if vessel is a tender vessel for E Class operator, use of service jetty, low level landing, transfer moorings and tender pontoon for short time to load or unload passengers and equipment from E Class operator’s vessel</w:t>
            </w:r>
          </w:p>
        </w:tc>
        <w:tc>
          <w:tcPr>
            <w:tcW w:w="999" w:type="dxa"/>
            <w:gridSpan w:val="2"/>
            <w:vAlign w:val="bottom"/>
          </w:tcPr>
          <w:p>
            <w:pPr>
              <w:pStyle w:val="yTableNAm"/>
              <w:jc w:val="right"/>
            </w:pPr>
            <w:r>
              <w:br/>
            </w:r>
          </w:p>
        </w:tc>
      </w:tr>
      <w:tr>
        <w:trPr>
          <w:cantSplit/>
        </w:trPr>
        <w:tc>
          <w:tcPr>
            <w:tcW w:w="567" w:type="dxa"/>
          </w:tcPr>
          <w:p>
            <w:pPr>
              <w:pStyle w:val="yTableNAm"/>
            </w:pPr>
          </w:p>
        </w:tc>
        <w:tc>
          <w:tcPr>
            <w:tcW w:w="4387" w:type="dxa"/>
          </w:tcPr>
          <w:p>
            <w:pPr>
              <w:pStyle w:val="yTableNAm"/>
              <w:tabs>
                <w:tab w:val="clear" w:pos="567"/>
                <w:tab w:val="left" w:pos="415"/>
              </w:tabs>
              <w:ind w:left="415" w:hanging="415"/>
            </w:pPr>
            <w:r>
              <w:t>•</w:t>
            </w:r>
            <w:r>
              <w:tab/>
              <w:t>for 12 months paid in advance</w:t>
            </w:r>
          </w:p>
        </w:tc>
        <w:tc>
          <w:tcPr>
            <w:tcW w:w="999" w:type="dxa"/>
            <w:gridSpan w:val="2"/>
          </w:tcPr>
          <w:p>
            <w:pPr>
              <w:pStyle w:val="yTableNAm"/>
              <w:jc w:val="right"/>
            </w:pPr>
            <w:r>
              <w:t>2 500.00</w:t>
            </w:r>
          </w:p>
        </w:tc>
      </w:tr>
      <w:tr>
        <w:trPr>
          <w:cantSplit/>
        </w:trPr>
        <w:tc>
          <w:tcPr>
            <w:tcW w:w="567" w:type="dxa"/>
            <w:tcBorders>
              <w:bottom w:val="single" w:sz="4" w:space="0" w:color="auto"/>
            </w:tcBorders>
          </w:tcPr>
          <w:p>
            <w:pPr>
              <w:pStyle w:val="yTableNAm"/>
            </w:pPr>
          </w:p>
        </w:tc>
        <w:tc>
          <w:tcPr>
            <w:tcW w:w="4387" w:type="dxa"/>
            <w:tcBorders>
              <w:bottom w:val="single" w:sz="4" w:space="0" w:color="auto"/>
            </w:tcBorders>
          </w:tcPr>
          <w:p>
            <w:pPr>
              <w:pStyle w:val="yTableNAm"/>
              <w:tabs>
                <w:tab w:val="clear" w:pos="567"/>
                <w:tab w:val="left" w:pos="415"/>
              </w:tabs>
              <w:ind w:left="415" w:hanging="415"/>
            </w:pPr>
            <w:r>
              <w:t>•</w:t>
            </w:r>
            <w:r>
              <w:tab/>
              <w:t>otherwise, per day</w:t>
            </w:r>
          </w:p>
        </w:tc>
        <w:tc>
          <w:tcPr>
            <w:tcW w:w="999" w:type="dxa"/>
            <w:gridSpan w:val="2"/>
            <w:tcBorders>
              <w:bottom w:val="single" w:sz="4" w:space="0" w:color="auto"/>
            </w:tcBorders>
          </w:tcPr>
          <w:p>
            <w:pPr>
              <w:pStyle w:val="yTableNAm"/>
              <w:jc w:val="right"/>
            </w:pPr>
            <w:r>
              <w:t>50.00</w:t>
            </w:r>
          </w:p>
        </w:tc>
      </w:tr>
    </w:tbl>
    <w:p>
      <w:pPr>
        <w:pStyle w:val="yFootnotesection"/>
      </w:pPr>
      <w:r>
        <w:tab/>
        <w:t>[Clause 8 inserted in Gazette 28 Jun 2013 p. 2842</w:t>
      </w:r>
      <w:r>
        <w:noBreakHyphen/>
        <w:t>3.]</w:t>
      </w:r>
    </w:p>
    <w:p>
      <w:pPr>
        <w:pStyle w:val="yHeading5"/>
      </w:pPr>
      <w:bookmarkStart w:id="150" w:name="_Toc375231165"/>
      <w:r>
        <w:rPr>
          <w:rStyle w:val="CharSClsNo"/>
        </w:rPr>
        <w:t>9</w:t>
      </w:r>
      <w:r>
        <w:t>.</w:t>
      </w:r>
      <w:r>
        <w:rPr>
          <w:b w:val="0"/>
        </w:rPr>
        <w:tab/>
      </w:r>
      <w:r>
        <w:t xml:space="preserve">Esperance, </w:t>
      </w:r>
      <w:smartTag w:uri="urn:schemas-microsoft-com:office:smarttags" w:element="place">
        <w:smartTag w:uri="urn:schemas-microsoft-com:office:smarttags" w:element="PlaceName">
          <w:r>
            <w:t>Bandy</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Harbour</w:t>
        </w:r>
      </w:smartTag>
      <w:bookmarkEnd w:id="150"/>
    </w:p>
    <w:p>
      <w:pPr>
        <w:pStyle w:val="ySubsection"/>
      </w:pPr>
      <w:r>
        <w:tab/>
        <w:t>(1)</w:t>
      </w:r>
      <w:r>
        <w:tab/>
        <w:t xml:space="preserve">This clause applies to the </w:t>
      </w:r>
      <w:smartTag w:uri="urn:schemas-microsoft-com:office:smarttags" w:element="place">
        <w:smartTag w:uri="urn:schemas-microsoft-com:office:smarttags" w:element="PlaceName">
          <w:r>
            <w:t>Bandy</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Esperance.</w:t>
      </w:r>
    </w:p>
    <w:p>
      <w:pPr>
        <w:pStyle w:val="ySubsection"/>
      </w:pPr>
      <w:r>
        <w:tab/>
        <w:t>(2)</w:t>
      </w:r>
      <w:r>
        <w:tab/>
        <w:t>The fees and charges to be paid under regulations 6 and 94A are set out in Table 9.1.</w:t>
      </w:r>
    </w:p>
    <w:p>
      <w:pPr>
        <w:pStyle w:val="yTHeadingNAm"/>
      </w:pPr>
      <w:r>
        <w:t>Table 9.1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1"/>
        <w:gridCol w:w="995"/>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1" w:type="dxa"/>
            <w:tcBorders>
              <w:top w:val="single" w:sz="4" w:space="0" w:color="auto"/>
              <w:bottom w:val="single" w:sz="4" w:space="0" w:color="auto"/>
            </w:tcBorders>
          </w:tcPr>
          <w:p>
            <w:pPr>
              <w:pStyle w:val="yTableNAm"/>
              <w:rPr>
                <w:b/>
              </w:rPr>
            </w:pPr>
            <w:r>
              <w:rPr>
                <w:b/>
              </w:rPr>
              <w:t>Service</w:t>
            </w:r>
          </w:p>
        </w:tc>
        <w:tc>
          <w:tcPr>
            <w:tcW w:w="995"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1" w:type="dxa"/>
          </w:tcPr>
          <w:p>
            <w:pPr>
              <w:pStyle w:val="yTableNAm"/>
            </w:pPr>
            <w:r>
              <w:t xml:space="preserve">For pen on east side of harbour, per m of the vessel’s length — </w:t>
            </w:r>
          </w:p>
        </w:tc>
        <w:tc>
          <w:tcPr>
            <w:tcW w:w="995" w:type="dxa"/>
            <w:vAlign w:val="bottom"/>
          </w:tcPr>
          <w:p>
            <w:pPr>
              <w:pStyle w:val="yTableNAm"/>
              <w:jc w:val="right"/>
            </w:pP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12 months paid in advance</w:t>
            </w:r>
          </w:p>
        </w:tc>
        <w:tc>
          <w:tcPr>
            <w:tcW w:w="995" w:type="dxa"/>
            <w:vAlign w:val="bottom"/>
          </w:tcPr>
          <w:p>
            <w:pPr>
              <w:pStyle w:val="yTableNAm"/>
              <w:jc w:val="right"/>
            </w:pPr>
            <w:r>
              <w:t>285.73</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3 months or more, per month, paid in advance</w:t>
            </w:r>
          </w:p>
        </w:tc>
        <w:tc>
          <w:tcPr>
            <w:tcW w:w="995" w:type="dxa"/>
            <w:vAlign w:val="bottom"/>
          </w:tcPr>
          <w:p>
            <w:pPr>
              <w:pStyle w:val="yTableNAm"/>
              <w:jc w:val="right"/>
            </w:pPr>
            <w:r>
              <w:t>28.56</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one month or more, per month, paid in advance</w:t>
            </w:r>
          </w:p>
        </w:tc>
        <w:tc>
          <w:tcPr>
            <w:tcW w:w="995" w:type="dxa"/>
            <w:vAlign w:val="bottom"/>
          </w:tcPr>
          <w:p>
            <w:pPr>
              <w:pStyle w:val="yTableNAm"/>
              <w:jc w:val="right"/>
            </w:pPr>
            <w:r>
              <w:t>42.86</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otherwise, per day</w:t>
            </w:r>
          </w:p>
        </w:tc>
        <w:tc>
          <w:tcPr>
            <w:tcW w:w="995" w:type="dxa"/>
            <w:vAlign w:val="bottom"/>
          </w:tcPr>
          <w:p>
            <w:pPr>
              <w:pStyle w:val="yTableNAm"/>
              <w:jc w:val="right"/>
            </w:pPr>
            <w:r>
              <w:t>8.12</w:t>
            </w:r>
          </w:p>
        </w:tc>
      </w:tr>
      <w:tr>
        <w:trPr>
          <w:cantSplit/>
        </w:trPr>
        <w:tc>
          <w:tcPr>
            <w:tcW w:w="567" w:type="dxa"/>
          </w:tcPr>
          <w:p>
            <w:pPr>
              <w:pStyle w:val="yTableNAm"/>
            </w:pPr>
            <w:r>
              <w:t>2.</w:t>
            </w:r>
          </w:p>
        </w:tc>
        <w:tc>
          <w:tcPr>
            <w:tcW w:w="4391" w:type="dxa"/>
          </w:tcPr>
          <w:p>
            <w:pPr>
              <w:pStyle w:val="yTableNAm"/>
            </w:pPr>
            <w:r>
              <w:t xml:space="preserve">For pen on west side of harbour for commercial vessel, per m of the vessel’s length — </w:t>
            </w:r>
          </w:p>
        </w:tc>
        <w:tc>
          <w:tcPr>
            <w:tcW w:w="995" w:type="dxa"/>
            <w:vAlign w:val="bottom"/>
          </w:tcPr>
          <w:p>
            <w:pPr>
              <w:pStyle w:val="yTableNAm"/>
              <w:jc w:val="right"/>
            </w:pP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12 months paid in advance</w:t>
            </w:r>
          </w:p>
        </w:tc>
        <w:tc>
          <w:tcPr>
            <w:tcW w:w="995" w:type="dxa"/>
            <w:vAlign w:val="bottom"/>
          </w:tcPr>
          <w:p>
            <w:pPr>
              <w:pStyle w:val="yTableNAm"/>
              <w:jc w:val="right"/>
            </w:pPr>
            <w:r>
              <w:t>228.91</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3 months or more, per month, paid in advance</w:t>
            </w:r>
          </w:p>
        </w:tc>
        <w:tc>
          <w:tcPr>
            <w:tcW w:w="995" w:type="dxa"/>
            <w:vAlign w:val="bottom"/>
          </w:tcPr>
          <w:p>
            <w:pPr>
              <w:pStyle w:val="yTableNAm"/>
              <w:jc w:val="right"/>
            </w:pPr>
            <w:r>
              <w:t>22.89</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one month or more, per month, paid in advance</w:t>
            </w:r>
          </w:p>
        </w:tc>
        <w:tc>
          <w:tcPr>
            <w:tcW w:w="995" w:type="dxa"/>
            <w:vAlign w:val="bottom"/>
          </w:tcPr>
          <w:p>
            <w:pPr>
              <w:pStyle w:val="yTableNAm"/>
              <w:jc w:val="right"/>
            </w:pPr>
            <w:r>
              <w:t>34.33</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one week or more, per week, paid in advance</w:t>
            </w:r>
          </w:p>
        </w:tc>
        <w:tc>
          <w:tcPr>
            <w:tcW w:w="995" w:type="dxa"/>
            <w:vAlign w:val="bottom"/>
          </w:tcPr>
          <w:p>
            <w:pPr>
              <w:pStyle w:val="yTableNAm"/>
              <w:jc w:val="right"/>
            </w:pPr>
            <w:r>
              <w:t>40.57</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otherwise, per day</w:t>
            </w:r>
          </w:p>
        </w:tc>
        <w:tc>
          <w:tcPr>
            <w:tcW w:w="995" w:type="dxa"/>
            <w:vAlign w:val="bottom"/>
          </w:tcPr>
          <w:p>
            <w:pPr>
              <w:pStyle w:val="yTableNAm"/>
              <w:jc w:val="right"/>
            </w:pPr>
            <w:r>
              <w:t>8.12</w:t>
            </w:r>
          </w:p>
        </w:tc>
      </w:tr>
      <w:tr>
        <w:trPr>
          <w:cantSplit/>
        </w:trPr>
        <w:tc>
          <w:tcPr>
            <w:tcW w:w="567" w:type="dxa"/>
          </w:tcPr>
          <w:p>
            <w:pPr>
              <w:pStyle w:val="yTableNAm"/>
            </w:pPr>
            <w:r>
              <w:t>3.</w:t>
            </w:r>
          </w:p>
        </w:tc>
        <w:tc>
          <w:tcPr>
            <w:tcW w:w="4391" w:type="dxa"/>
          </w:tcPr>
          <w:p>
            <w:pPr>
              <w:pStyle w:val="yTableNAm"/>
            </w:pPr>
            <w:r>
              <w:t xml:space="preserve">For pen on west side of harbour for recreational vessel, per m of the vessel’s length — </w:t>
            </w:r>
          </w:p>
        </w:tc>
        <w:tc>
          <w:tcPr>
            <w:tcW w:w="995" w:type="dxa"/>
            <w:vAlign w:val="bottom"/>
          </w:tcPr>
          <w:p>
            <w:pPr>
              <w:pStyle w:val="yTableNAm"/>
              <w:jc w:val="right"/>
            </w:pP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12 months paid in advance</w:t>
            </w:r>
          </w:p>
        </w:tc>
        <w:tc>
          <w:tcPr>
            <w:tcW w:w="995" w:type="dxa"/>
            <w:vAlign w:val="bottom"/>
          </w:tcPr>
          <w:p>
            <w:pPr>
              <w:pStyle w:val="yTableNAm"/>
              <w:jc w:val="right"/>
            </w:pPr>
            <w:r>
              <w:t>199.68</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3 months or more, per month, paid in advance</w:t>
            </w:r>
          </w:p>
        </w:tc>
        <w:tc>
          <w:tcPr>
            <w:tcW w:w="995" w:type="dxa"/>
            <w:vAlign w:val="bottom"/>
          </w:tcPr>
          <w:p>
            <w:pPr>
              <w:pStyle w:val="yTableNAm"/>
              <w:jc w:val="right"/>
            </w:pPr>
            <w:r>
              <w:t>19.96</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one month or more, per month, paid in advance</w:t>
            </w:r>
          </w:p>
        </w:tc>
        <w:tc>
          <w:tcPr>
            <w:tcW w:w="995" w:type="dxa"/>
            <w:vAlign w:val="bottom"/>
          </w:tcPr>
          <w:p>
            <w:pPr>
              <w:pStyle w:val="yTableNAm"/>
              <w:jc w:val="right"/>
            </w:pPr>
            <w:r>
              <w:t>29.95</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one week or more, per week, paid in advance</w:t>
            </w:r>
          </w:p>
        </w:tc>
        <w:tc>
          <w:tcPr>
            <w:tcW w:w="995" w:type="dxa"/>
            <w:vAlign w:val="bottom"/>
          </w:tcPr>
          <w:p>
            <w:pPr>
              <w:pStyle w:val="yTableNAm"/>
              <w:jc w:val="right"/>
            </w:pPr>
            <w:r>
              <w:t>24.34</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otherwise, per day</w:t>
            </w:r>
          </w:p>
        </w:tc>
        <w:tc>
          <w:tcPr>
            <w:tcW w:w="995" w:type="dxa"/>
            <w:vAlign w:val="bottom"/>
          </w:tcPr>
          <w:p>
            <w:pPr>
              <w:pStyle w:val="yTableNAm"/>
              <w:jc w:val="right"/>
            </w:pPr>
            <w:r>
              <w:t>4.87</w:t>
            </w:r>
          </w:p>
        </w:tc>
      </w:tr>
      <w:tr>
        <w:trPr>
          <w:cantSplit/>
        </w:trPr>
        <w:tc>
          <w:tcPr>
            <w:tcW w:w="567" w:type="dxa"/>
          </w:tcPr>
          <w:p>
            <w:pPr>
              <w:pStyle w:val="yTableNAm"/>
            </w:pPr>
            <w:r>
              <w:t>4.</w:t>
            </w:r>
          </w:p>
        </w:tc>
        <w:tc>
          <w:tcPr>
            <w:tcW w:w="4391" w:type="dxa"/>
          </w:tcPr>
          <w:p>
            <w:pPr>
              <w:pStyle w:val="yTableNAm"/>
            </w:pPr>
            <w:r>
              <w:t>For living on board a vessel, per vessel, per month</w:t>
            </w:r>
          </w:p>
        </w:tc>
        <w:tc>
          <w:tcPr>
            <w:tcW w:w="995" w:type="dxa"/>
            <w:vAlign w:val="bottom"/>
          </w:tcPr>
          <w:p>
            <w:pPr>
              <w:pStyle w:val="yTableNAm"/>
              <w:jc w:val="right"/>
            </w:pPr>
            <w:r>
              <w:t>42.99</w:t>
            </w:r>
          </w:p>
        </w:tc>
      </w:tr>
      <w:tr>
        <w:trPr>
          <w:cantSplit/>
        </w:trPr>
        <w:tc>
          <w:tcPr>
            <w:tcW w:w="567" w:type="dxa"/>
          </w:tcPr>
          <w:p>
            <w:pPr>
              <w:pStyle w:val="yTableNAm"/>
            </w:pPr>
            <w:r>
              <w:t>5.</w:t>
            </w:r>
          </w:p>
        </w:tc>
        <w:tc>
          <w:tcPr>
            <w:tcW w:w="4391" w:type="dxa"/>
          </w:tcPr>
          <w:p>
            <w:pPr>
              <w:pStyle w:val="yTableNAm"/>
            </w:pPr>
            <w:r>
              <w:t>For use of service jetty or wharf for less than 3 hours by vessel, per m of the vessel’s length</w:t>
            </w:r>
          </w:p>
        </w:tc>
        <w:tc>
          <w:tcPr>
            <w:tcW w:w="995" w:type="dxa"/>
            <w:vAlign w:val="bottom"/>
          </w:tcPr>
          <w:p>
            <w:pPr>
              <w:pStyle w:val="yTableNAm"/>
              <w:jc w:val="right"/>
            </w:pPr>
            <w:r>
              <w:t>4.07</w:t>
            </w:r>
          </w:p>
        </w:tc>
      </w:tr>
      <w:tr>
        <w:trPr>
          <w:cantSplit/>
        </w:trPr>
        <w:tc>
          <w:tcPr>
            <w:tcW w:w="567" w:type="dxa"/>
          </w:tcPr>
          <w:p>
            <w:pPr>
              <w:pStyle w:val="yTableNAm"/>
            </w:pPr>
            <w:r>
              <w:t>6.</w:t>
            </w:r>
          </w:p>
        </w:tc>
        <w:tc>
          <w:tcPr>
            <w:tcW w:w="4391" w:type="dxa"/>
          </w:tcPr>
          <w:p>
            <w:pPr>
              <w:pStyle w:val="yTableNAm"/>
            </w:pPr>
            <w:r>
              <w:t>For use of boat launching ramp by commercial vessel, per vessel —</w:t>
            </w:r>
          </w:p>
        </w:tc>
        <w:tc>
          <w:tcPr>
            <w:tcW w:w="995" w:type="dxa"/>
            <w:vAlign w:val="bottom"/>
          </w:tcPr>
          <w:p>
            <w:pPr>
              <w:pStyle w:val="yTableNAm"/>
              <w:jc w:val="right"/>
            </w:pP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12 months paid in advance</w:t>
            </w:r>
          </w:p>
        </w:tc>
        <w:tc>
          <w:tcPr>
            <w:tcW w:w="995" w:type="dxa"/>
            <w:vAlign w:val="bottom"/>
          </w:tcPr>
          <w:p>
            <w:pPr>
              <w:pStyle w:val="yTableNAm"/>
              <w:jc w:val="right"/>
            </w:pPr>
            <w:r>
              <w:t>811.72</w:t>
            </w:r>
          </w:p>
        </w:tc>
      </w:tr>
      <w:tr>
        <w:trPr>
          <w:cantSplit/>
        </w:trPr>
        <w:tc>
          <w:tcPr>
            <w:tcW w:w="567" w:type="dxa"/>
          </w:tcPr>
          <w:p>
            <w:pPr>
              <w:pStyle w:val="yTableNAm"/>
            </w:pPr>
          </w:p>
        </w:tc>
        <w:tc>
          <w:tcPr>
            <w:tcW w:w="4391" w:type="dxa"/>
          </w:tcPr>
          <w:p>
            <w:pPr>
              <w:pStyle w:val="yTableNAm"/>
              <w:tabs>
                <w:tab w:val="clear" w:pos="567"/>
                <w:tab w:val="left" w:pos="415"/>
              </w:tabs>
              <w:ind w:left="415" w:hanging="415"/>
              <w:rPr>
                <w:b/>
                <w:i/>
              </w:rPr>
            </w:pPr>
            <w:r>
              <w:t>•</w:t>
            </w:r>
            <w:r>
              <w:tab/>
              <w:t>for one month paid in advance</w:t>
            </w:r>
          </w:p>
        </w:tc>
        <w:tc>
          <w:tcPr>
            <w:tcW w:w="995" w:type="dxa"/>
            <w:vAlign w:val="bottom"/>
          </w:tcPr>
          <w:p>
            <w:pPr>
              <w:pStyle w:val="yTableNAm"/>
              <w:jc w:val="right"/>
            </w:pPr>
            <w:r>
              <w:t>162.36</w:t>
            </w:r>
          </w:p>
        </w:tc>
      </w:tr>
      <w:tr>
        <w:trPr>
          <w:cantSplit/>
        </w:trPr>
        <w:tc>
          <w:tcPr>
            <w:tcW w:w="567" w:type="dxa"/>
          </w:tcPr>
          <w:p>
            <w:pPr>
              <w:pStyle w:val="yTableNAm"/>
              <w:keepNext/>
              <w:keepLines/>
            </w:pPr>
            <w:r>
              <w:t>7.</w:t>
            </w:r>
          </w:p>
        </w:tc>
        <w:tc>
          <w:tcPr>
            <w:tcW w:w="4391" w:type="dxa"/>
          </w:tcPr>
          <w:p>
            <w:pPr>
              <w:pStyle w:val="yTableNAm"/>
              <w:keepNext/>
              <w:keepLines/>
            </w:pPr>
            <w:r>
              <w:t>For use of jetty or hardstand controlled by Department to lift vessel to or from harbour, per lift</w:t>
            </w:r>
          </w:p>
        </w:tc>
        <w:tc>
          <w:tcPr>
            <w:tcW w:w="995" w:type="dxa"/>
            <w:vAlign w:val="bottom"/>
          </w:tcPr>
          <w:p>
            <w:pPr>
              <w:pStyle w:val="yTableNAm"/>
              <w:keepNext/>
              <w:keepLines/>
              <w:jc w:val="right"/>
            </w:pPr>
            <w:r>
              <w:t>243.54</w:t>
            </w:r>
          </w:p>
        </w:tc>
      </w:tr>
      <w:tr>
        <w:trPr>
          <w:cantSplit/>
        </w:trPr>
        <w:tc>
          <w:tcPr>
            <w:tcW w:w="567" w:type="dxa"/>
          </w:tcPr>
          <w:p>
            <w:pPr>
              <w:pStyle w:val="yTableNAm"/>
            </w:pPr>
            <w:r>
              <w:t>8.</w:t>
            </w:r>
          </w:p>
        </w:tc>
        <w:tc>
          <w:tcPr>
            <w:tcW w:w="4391" w:type="dxa"/>
          </w:tcPr>
          <w:p>
            <w:pPr>
              <w:pStyle w:val="yTableNAm"/>
            </w:pPr>
            <w:r>
              <w:t>For electricity supply —</w:t>
            </w:r>
          </w:p>
        </w:tc>
        <w:tc>
          <w:tcPr>
            <w:tcW w:w="995" w:type="dxa"/>
            <w:vAlign w:val="bottom"/>
          </w:tcPr>
          <w:p>
            <w:pPr>
              <w:pStyle w:val="yTableNAm"/>
              <w:jc w:val="right"/>
            </w:pP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single phase, if metered</w:t>
            </w:r>
          </w:p>
        </w:tc>
        <w:tc>
          <w:tcPr>
            <w:tcW w:w="995" w:type="dxa"/>
            <w:vAlign w:val="bottom"/>
          </w:tcPr>
          <w:p>
            <w:pPr>
              <w:pStyle w:val="yTableNAm"/>
              <w:jc w:val="right"/>
            </w:pPr>
            <w:r>
              <w:t>cost</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3</w:t>
            </w:r>
            <w:r>
              <w:noBreakHyphen/>
              <w:t>phase, if metering indicates usage of more than $32.48 in a day</w:t>
            </w:r>
          </w:p>
        </w:tc>
        <w:tc>
          <w:tcPr>
            <w:tcW w:w="995" w:type="dxa"/>
            <w:vAlign w:val="bottom"/>
          </w:tcPr>
          <w:p>
            <w:pPr>
              <w:pStyle w:val="yTableNAm"/>
              <w:jc w:val="right"/>
            </w:pPr>
            <w:r>
              <w:t>cost</w:t>
            </w:r>
          </w:p>
        </w:tc>
      </w:tr>
      <w:tr>
        <w:trPr>
          <w:cantSplit/>
        </w:trPr>
        <w:tc>
          <w:tcPr>
            <w:tcW w:w="567" w:type="dxa"/>
            <w:tcBorders>
              <w:bottom w:val="single" w:sz="4" w:space="0" w:color="auto"/>
            </w:tcBorders>
          </w:tcPr>
          <w:p>
            <w:pPr>
              <w:pStyle w:val="yTableNAm"/>
            </w:pPr>
          </w:p>
        </w:tc>
        <w:tc>
          <w:tcPr>
            <w:tcW w:w="4391" w:type="dxa"/>
            <w:tcBorders>
              <w:bottom w:val="single" w:sz="4" w:space="0" w:color="auto"/>
            </w:tcBorders>
          </w:tcPr>
          <w:p>
            <w:pPr>
              <w:pStyle w:val="yTableNAm"/>
              <w:tabs>
                <w:tab w:val="clear" w:pos="567"/>
                <w:tab w:val="left" w:pos="415"/>
              </w:tabs>
              <w:ind w:left="415" w:hanging="415"/>
            </w:pPr>
            <w:r>
              <w:t>•</w:t>
            </w:r>
            <w:r>
              <w:tab/>
              <w:t>3</w:t>
            </w:r>
            <w:r>
              <w:noBreakHyphen/>
              <w:t>phase, otherwise, per day</w:t>
            </w:r>
          </w:p>
        </w:tc>
        <w:tc>
          <w:tcPr>
            <w:tcW w:w="995" w:type="dxa"/>
            <w:tcBorders>
              <w:bottom w:val="single" w:sz="4" w:space="0" w:color="auto"/>
            </w:tcBorders>
            <w:vAlign w:val="bottom"/>
          </w:tcPr>
          <w:p>
            <w:pPr>
              <w:pStyle w:val="yTableNAm"/>
              <w:jc w:val="right"/>
            </w:pPr>
            <w:r>
              <w:t>32.48</w:t>
            </w:r>
          </w:p>
        </w:tc>
      </w:tr>
    </w:tbl>
    <w:p>
      <w:pPr>
        <w:pStyle w:val="yFootnotesection"/>
      </w:pPr>
      <w:r>
        <w:tab/>
        <w:t>[Clause 9 inserted in Gazette 28 Jun 2013 p. 2843</w:t>
      </w:r>
      <w:r>
        <w:noBreakHyphen/>
        <w:t>5.]</w:t>
      </w:r>
    </w:p>
    <w:p>
      <w:pPr>
        <w:pStyle w:val="yHeading5"/>
      </w:pPr>
      <w:bookmarkStart w:id="151" w:name="_Toc375231166"/>
      <w:r>
        <w:rPr>
          <w:rStyle w:val="CharSClsNo"/>
        </w:rPr>
        <w:t>10</w:t>
      </w:r>
      <w:r>
        <w:t>.</w:t>
      </w:r>
      <w:r>
        <w:rPr>
          <w:b w:val="0"/>
        </w:rPr>
        <w:tab/>
      </w:r>
      <w:r>
        <w:t>Exmouth</w:t>
      </w:r>
      <w:bookmarkEnd w:id="151"/>
    </w:p>
    <w:p>
      <w:pPr>
        <w:pStyle w:val="ySubsection"/>
      </w:pPr>
      <w:r>
        <w:tab/>
        <w:t>(1)</w:t>
      </w:r>
      <w:r>
        <w:tab/>
        <w:t>This clause applies to Exmouth.</w:t>
      </w:r>
    </w:p>
    <w:p>
      <w:pPr>
        <w:pStyle w:val="ySubsection"/>
      </w:pPr>
      <w:r>
        <w:tab/>
        <w:t>(2)</w:t>
      </w:r>
      <w:r>
        <w:tab/>
        <w:t xml:space="preserve">In this clause a reference to a </w:t>
      </w:r>
      <w:r>
        <w:rPr>
          <w:rStyle w:val="CharDefText"/>
        </w:rPr>
        <w:t>service vessel</w:t>
      </w:r>
      <w:r>
        <w:t xml:space="preserve"> is a reference to any vessel other than a recreational vessel, tourism vessel or fishing vessel.</w:t>
      </w:r>
    </w:p>
    <w:p>
      <w:pPr>
        <w:pStyle w:val="ySubsection"/>
      </w:pPr>
      <w:r>
        <w:tab/>
        <w:t>(3)</w:t>
      </w:r>
      <w:r>
        <w:tab/>
        <w:t>The charges and dues to be paid under regulation 10A are set out in Table 10.1.</w:t>
      </w:r>
    </w:p>
    <w:p>
      <w:pPr>
        <w:pStyle w:val="yTHeadingNAm"/>
      </w:pPr>
      <w:r>
        <w:t>Table 10.1 (Wharfage)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4" w:type="dxa"/>
            <w:tcBorders>
              <w:top w:val="single" w:sz="4" w:space="0" w:color="auto"/>
              <w:bottom w:val="single" w:sz="4" w:space="0" w:color="auto"/>
            </w:tcBorders>
          </w:tcPr>
          <w:p>
            <w:pPr>
              <w:pStyle w:val="yTableNAm"/>
              <w:rPr>
                <w:b/>
              </w:rPr>
            </w:pPr>
            <w:r>
              <w:rPr>
                <w:b/>
              </w:rPr>
              <w:t>Goods</w:t>
            </w:r>
          </w:p>
        </w:tc>
        <w:tc>
          <w:tcPr>
            <w:tcW w:w="992"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4" w:type="dxa"/>
          </w:tcPr>
          <w:p>
            <w:pPr>
              <w:pStyle w:val="yTableNAm"/>
            </w:pPr>
            <w:r>
              <w:t>General cargo at the service wharf or an appurtenant area —</w:t>
            </w:r>
          </w:p>
        </w:tc>
        <w:tc>
          <w:tcPr>
            <w:tcW w:w="992" w:type="dxa"/>
          </w:tcPr>
          <w:p>
            <w:pPr>
              <w:pStyle w:val="yTableNAm"/>
              <w:jc w:val="right"/>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if loaded from or into vessel, per t or m</w:t>
            </w:r>
            <w:r>
              <w:rPr>
                <w:vertAlign w:val="superscript"/>
              </w:rPr>
              <w:t>3</w:t>
            </w:r>
          </w:p>
        </w:tc>
        <w:tc>
          <w:tcPr>
            <w:tcW w:w="992" w:type="dxa"/>
          </w:tcPr>
          <w:p>
            <w:pPr>
              <w:pStyle w:val="yTableNAm"/>
              <w:jc w:val="right"/>
            </w:pPr>
            <w:r>
              <w:t>6.24</w:t>
            </w:r>
          </w:p>
        </w:tc>
      </w:tr>
      <w:tr>
        <w:trPr>
          <w:cantSplit/>
        </w:trPr>
        <w:tc>
          <w:tcPr>
            <w:tcW w:w="567" w:type="dxa"/>
            <w:tcBorders>
              <w:bottom w:val="single" w:sz="4" w:space="0" w:color="auto"/>
            </w:tcBorders>
          </w:tcPr>
          <w:p>
            <w:pPr>
              <w:pStyle w:val="yTableNAm"/>
            </w:pPr>
          </w:p>
        </w:tc>
        <w:tc>
          <w:tcPr>
            <w:tcW w:w="4394" w:type="dxa"/>
            <w:tcBorders>
              <w:bottom w:val="single" w:sz="4" w:space="0" w:color="auto"/>
            </w:tcBorders>
          </w:tcPr>
          <w:p>
            <w:pPr>
              <w:pStyle w:val="yTableNAm"/>
              <w:tabs>
                <w:tab w:val="clear" w:pos="567"/>
                <w:tab w:val="left" w:pos="415"/>
              </w:tabs>
              <w:ind w:left="415" w:hanging="415"/>
            </w:pPr>
            <w:r>
              <w:t>•</w:t>
            </w:r>
            <w:r>
              <w:tab/>
              <w:t>if vessel is lifted, per m of vessel’s length</w:t>
            </w:r>
          </w:p>
        </w:tc>
        <w:tc>
          <w:tcPr>
            <w:tcW w:w="992" w:type="dxa"/>
            <w:tcBorders>
              <w:bottom w:val="single" w:sz="4" w:space="0" w:color="auto"/>
            </w:tcBorders>
          </w:tcPr>
          <w:p>
            <w:pPr>
              <w:pStyle w:val="yTableNAm"/>
              <w:jc w:val="right"/>
            </w:pPr>
            <w:r>
              <w:t>14.07</w:t>
            </w:r>
          </w:p>
        </w:tc>
      </w:tr>
    </w:tbl>
    <w:p>
      <w:pPr>
        <w:pStyle w:val="ySubsection"/>
      </w:pPr>
      <w:r>
        <w:tab/>
        <w:t>(4)</w:t>
      </w:r>
      <w:r>
        <w:tab/>
        <w:t>The fees and charges to be paid under regulations 6, 94A and 94B are set out in Table 10.2.</w:t>
      </w:r>
    </w:p>
    <w:p>
      <w:pPr>
        <w:pStyle w:val="yTHeadingNAm"/>
        <w:keepLines/>
        <w:widowControl w:val="0"/>
      </w:pPr>
      <w:r>
        <w:t>Table 10.2 (Berthing, pen rental and mooring)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keepNext/>
              <w:keepLines/>
              <w:rPr>
                <w:b/>
              </w:rPr>
            </w:pPr>
            <w:r>
              <w:rPr>
                <w:b/>
              </w:rPr>
              <w:t>Item</w:t>
            </w:r>
          </w:p>
        </w:tc>
        <w:tc>
          <w:tcPr>
            <w:tcW w:w="4390" w:type="dxa"/>
            <w:tcBorders>
              <w:top w:val="single" w:sz="4" w:space="0" w:color="auto"/>
              <w:bottom w:val="single" w:sz="4" w:space="0" w:color="auto"/>
            </w:tcBorders>
          </w:tcPr>
          <w:p>
            <w:pPr>
              <w:pStyle w:val="yTableNAm"/>
              <w:keepNext/>
              <w:keepLines/>
              <w:rPr>
                <w:b/>
              </w:rPr>
            </w:pPr>
            <w:r>
              <w:rPr>
                <w:b/>
              </w:rPr>
              <w:t>Service</w:t>
            </w:r>
          </w:p>
        </w:tc>
        <w:tc>
          <w:tcPr>
            <w:tcW w:w="996" w:type="dxa"/>
            <w:tcBorders>
              <w:top w:val="single" w:sz="4" w:space="0" w:color="auto"/>
              <w:bottom w:val="single" w:sz="4" w:space="0" w:color="auto"/>
            </w:tcBorders>
          </w:tcPr>
          <w:p>
            <w:pPr>
              <w:pStyle w:val="yTableNAm"/>
              <w:keepNext/>
              <w:keepLines/>
              <w:jc w:val="center"/>
              <w:rPr>
                <w:b/>
              </w:rPr>
            </w:pPr>
            <w:r>
              <w:rPr>
                <w:b/>
              </w:rPr>
              <w:t>$</w:t>
            </w:r>
          </w:p>
        </w:tc>
      </w:tr>
      <w:tr>
        <w:trPr>
          <w:cantSplit/>
        </w:trPr>
        <w:tc>
          <w:tcPr>
            <w:tcW w:w="567" w:type="dxa"/>
          </w:tcPr>
          <w:p>
            <w:pPr>
              <w:pStyle w:val="yTableNAm"/>
              <w:keepNext/>
              <w:keepLines/>
            </w:pPr>
            <w:r>
              <w:t>1.</w:t>
            </w:r>
          </w:p>
        </w:tc>
        <w:tc>
          <w:tcPr>
            <w:tcW w:w="4390" w:type="dxa"/>
          </w:tcPr>
          <w:p>
            <w:pPr>
              <w:pStyle w:val="yTableNAm"/>
              <w:keepNext/>
              <w:keepLines/>
            </w:pPr>
            <w:r>
              <w:t>For use, except in Pen System B, of either a non</w:t>
            </w:r>
            <w:r>
              <w:noBreakHyphen/>
              <w:t xml:space="preserve">floating pen with walkway or a floating pen by a recreational vessel, per m of the vessel’s length — </w:t>
            </w:r>
          </w:p>
        </w:tc>
        <w:tc>
          <w:tcPr>
            <w:tcW w:w="996" w:type="dxa"/>
            <w:vAlign w:val="bottom"/>
          </w:tcPr>
          <w:p>
            <w:pPr>
              <w:pStyle w:val="yTableNAm"/>
              <w:keepNext/>
              <w:keepLines/>
              <w:jc w:val="right"/>
            </w:pPr>
            <w:r>
              <w:br/>
            </w:r>
          </w:p>
        </w:tc>
      </w:tr>
      <w:tr>
        <w:trPr>
          <w:cantSplit/>
        </w:trPr>
        <w:tc>
          <w:tcPr>
            <w:tcW w:w="567" w:type="dxa"/>
          </w:tcPr>
          <w:p>
            <w:pPr>
              <w:pStyle w:val="yTableNAm"/>
            </w:pPr>
          </w:p>
        </w:tc>
        <w:tc>
          <w:tcPr>
            <w:tcW w:w="4390" w:type="dxa"/>
          </w:tcPr>
          <w:p>
            <w:pPr>
              <w:pStyle w:val="NotesPerm"/>
              <w:tabs>
                <w:tab w:val="clear" w:pos="879"/>
                <w:tab w:val="left" w:pos="653"/>
              </w:tabs>
              <w:ind w:left="653" w:hanging="653"/>
            </w:pPr>
            <w:r>
              <w:t>Note:</w:t>
            </w:r>
            <w:r>
              <w:tab/>
              <w:t>includes short</w:t>
            </w:r>
            <w:r>
              <w:noBreakHyphen/>
              <w:t>term loading/unloading of goods and passengers on service wharf limited to 2 hours per day, otherwise item 17 fees will apply after 2 hours</w:t>
            </w:r>
          </w:p>
        </w:tc>
        <w:tc>
          <w:tcPr>
            <w:tcW w:w="996" w:type="dxa"/>
            <w:vAlign w:val="bottom"/>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12 months, paid in advance</w:t>
            </w:r>
          </w:p>
        </w:tc>
        <w:tc>
          <w:tcPr>
            <w:tcW w:w="996" w:type="dxa"/>
            <w:vAlign w:val="bottom"/>
          </w:tcPr>
          <w:p>
            <w:pPr>
              <w:pStyle w:val="yTableNAm"/>
              <w:jc w:val="right"/>
            </w:pPr>
            <w:r>
              <w:t>413.96</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months or more, per month, paid in advance</w:t>
            </w:r>
          </w:p>
        </w:tc>
        <w:tc>
          <w:tcPr>
            <w:tcW w:w="996" w:type="dxa"/>
            <w:vAlign w:val="bottom"/>
          </w:tcPr>
          <w:p>
            <w:pPr>
              <w:pStyle w:val="yTableNAm"/>
              <w:jc w:val="right"/>
            </w:pPr>
            <w:r>
              <w:t>41.40</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 paid in advance</w:t>
            </w:r>
          </w:p>
        </w:tc>
        <w:tc>
          <w:tcPr>
            <w:tcW w:w="996" w:type="dxa"/>
            <w:vAlign w:val="bottom"/>
          </w:tcPr>
          <w:p>
            <w:pPr>
              <w:pStyle w:val="yTableNAm"/>
              <w:jc w:val="right"/>
            </w:pPr>
            <w:r>
              <w:t>62.09</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shared use for 12 months, paid in advance</w:t>
            </w:r>
          </w:p>
        </w:tc>
        <w:tc>
          <w:tcPr>
            <w:tcW w:w="996" w:type="dxa"/>
            <w:vAlign w:val="bottom"/>
          </w:tcPr>
          <w:p>
            <w:pPr>
              <w:pStyle w:val="yTableNAm"/>
              <w:jc w:val="right"/>
            </w:pPr>
            <w:r>
              <w:t>413.96</w:t>
            </w:r>
          </w:p>
        </w:tc>
      </w:tr>
      <w:tr>
        <w:trPr>
          <w:cantSplit/>
        </w:trPr>
        <w:tc>
          <w:tcPr>
            <w:tcW w:w="567" w:type="dxa"/>
          </w:tcPr>
          <w:p>
            <w:pPr>
              <w:pStyle w:val="yTableNAm"/>
            </w:pPr>
            <w:r>
              <w:t>2.</w:t>
            </w:r>
          </w:p>
        </w:tc>
        <w:tc>
          <w:tcPr>
            <w:tcW w:w="4390" w:type="dxa"/>
          </w:tcPr>
          <w:p>
            <w:pPr>
              <w:pStyle w:val="yTableNAm"/>
            </w:pPr>
            <w:r>
              <w:t>For use, except in Pen System B, of either a non</w:t>
            </w:r>
            <w:r>
              <w:noBreakHyphen/>
              <w:t xml:space="preserve">floating pen with walkway or a floating pen by a tourism vessel or fishing vessel, per m of the vessel’s length — </w:t>
            </w:r>
          </w:p>
          <w:p>
            <w:pPr>
              <w:pStyle w:val="NotesPerm"/>
              <w:tabs>
                <w:tab w:val="clear" w:pos="879"/>
                <w:tab w:val="left" w:pos="653"/>
              </w:tabs>
              <w:ind w:left="653" w:hanging="653"/>
            </w:pPr>
            <w:r>
              <w:t>Note:</w:t>
            </w:r>
            <w:r>
              <w:tab/>
              <w:t>includes short</w:t>
            </w:r>
            <w:r>
              <w:noBreakHyphen/>
              <w:t>term loading/unloading of goods and passengers on service wharf limited to 2 hours per day, otherwise item 17 fees will apply after 2 hours</w:t>
            </w:r>
          </w:p>
        </w:tc>
        <w:tc>
          <w:tcPr>
            <w:tcW w:w="996" w:type="dxa"/>
            <w:vAlign w:val="bottom"/>
          </w:tcPr>
          <w:p>
            <w:pPr>
              <w:pStyle w:val="yTableNAm"/>
              <w:jc w:val="right"/>
            </w:pPr>
            <w:r>
              <w:br/>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12 months, paid in advance</w:t>
            </w:r>
          </w:p>
        </w:tc>
        <w:tc>
          <w:tcPr>
            <w:tcW w:w="996" w:type="dxa"/>
            <w:vAlign w:val="bottom"/>
          </w:tcPr>
          <w:p>
            <w:pPr>
              <w:pStyle w:val="yTableNAm"/>
              <w:jc w:val="right"/>
            </w:pPr>
            <w:r>
              <w:t>477.30</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months or more, per month, paid in advance</w:t>
            </w:r>
          </w:p>
        </w:tc>
        <w:tc>
          <w:tcPr>
            <w:tcW w:w="996" w:type="dxa"/>
            <w:vAlign w:val="bottom"/>
          </w:tcPr>
          <w:p>
            <w:pPr>
              <w:pStyle w:val="yTableNAm"/>
              <w:jc w:val="right"/>
            </w:pPr>
            <w:r>
              <w:t>47.73</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 paid in advance</w:t>
            </w:r>
          </w:p>
        </w:tc>
        <w:tc>
          <w:tcPr>
            <w:tcW w:w="996" w:type="dxa"/>
            <w:vAlign w:val="bottom"/>
          </w:tcPr>
          <w:p>
            <w:pPr>
              <w:pStyle w:val="yTableNAm"/>
              <w:jc w:val="right"/>
            </w:pPr>
            <w:r>
              <w:t>71.59</w:t>
            </w:r>
          </w:p>
        </w:tc>
      </w:tr>
      <w:tr>
        <w:trPr>
          <w:cantSplit/>
        </w:trPr>
        <w:tc>
          <w:tcPr>
            <w:tcW w:w="567" w:type="dxa"/>
          </w:tcPr>
          <w:p>
            <w:pPr>
              <w:pStyle w:val="yTableNAm"/>
              <w:keepNext/>
            </w:pPr>
          </w:p>
        </w:tc>
        <w:tc>
          <w:tcPr>
            <w:tcW w:w="4390" w:type="dxa"/>
          </w:tcPr>
          <w:p>
            <w:pPr>
              <w:pStyle w:val="yTableNAm"/>
              <w:keepNext/>
              <w:tabs>
                <w:tab w:val="clear" w:pos="567"/>
                <w:tab w:val="left" w:pos="415"/>
              </w:tabs>
              <w:ind w:left="415" w:hanging="415"/>
            </w:pPr>
            <w:r>
              <w:t>•</w:t>
            </w:r>
            <w:r>
              <w:tab/>
              <w:t>for shared use for 12 months, paid in advance</w:t>
            </w:r>
          </w:p>
        </w:tc>
        <w:tc>
          <w:tcPr>
            <w:tcW w:w="996" w:type="dxa"/>
            <w:vAlign w:val="bottom"/>
          </w:tcPr>
          <w:p>
            <w:pPr>
              <w:pStyle w:val="yTableNAm"/>
              <w:keepNext/>
              <w:jc w:val="right"/>
            </w:pPr>
            <w:r>
              <w:t>477.30</w:t>
            </w:r>
          </w:p>
        </w:tc>
      </w:tr>
      <w:tr>
        <w:trPr>
          <w:cantSplit/>
        </w:trPr>
        <w:tc>
          <w:tcPr>
            <w:tcW w:w="567" w:type="dxa"/>
          </w:tcPr>
          <w:p>
            <w:pPr>
              <w:pStyle w:val="yTableNAm"/>
              <w:keepNext/>
            </w:pPr>
            <w:r>
              <w:t>3.</w:t>
            </w:r>
          </w:p>
        </w:tc>
        <w:tc>
          <w:tcPr>
            <w:tcW w:w="4390" w:type="dxa"/>
          </w:tcPr>
          <w:p>
            <w:pPr>
              <w:pStyle w:val="yTableNAm"/>
              <w:keepNext/>
            </w:pPr>
            <w:r>
              <w:t>For use, except in Pen System B, of either a non</w:t>
            </w:r>
            <w:r>
              <w:noBreakHyphen/>
              <w:t>floating pen with walkway or a floating pen by a service vessel, per m of the vessel’s length —</w:t>
            </w:r>
          </w:p>
        </w:tc>
        <w:tc>
          <w:tcPr>
            <w:tcW w:w="996" w:type="dxa"/>
            <w:vAlign w:val="bottom"/>
          </w:tcPr>
          <w:p>
            <w:pPr>
              <w:pStyle w:val="yTableNAm"/>
              <w:keepNext/>
              <w:jc w:val="right"/>
            </w:pPr>
            <w:r>
              <w:br/>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12 months, paid in advance</w:t>
            </w:r>
          </w:p>
        </w:tc>
        <w:tc>
          <w:tcPr>
            <w:tcW w:w="996" w:type="dxa"/>
            <w:vAlign w:val="bottom"/>
          </w:tcPr>
          <w:p>
            <w:pPr>
              <w:pStyle w:val="yTableNAm"/>
              <w:jc w:val="right"/>
            </w:pPr>
            <w:r>
              <w:t>523.20</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months or more, per month, paid in advance</w:t>
            </w:r>
          </w:p>
        </w:tc>
        <w:tc>
          <w:tcPr>
            <w:tcW w:w="996" w:type="dxa"/>
            <w:vAlign w:val="bottom"/>
          </w:tcPr>
          <w:p>
            <w:pPr>
              <w:pStyle w:val="yTableNAm"/>
              <w:jc w:val="right"/>
            </w:pPr>
            <w:r>
              <w:t>52.31</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 paid in advance</w:t>
            </w:r>
          </w:p>
        </w:tc>
        <w:tc>
          <w:tcPr>
            <w:tcW w:w="996" w:type="dxa"/>
            <w:vAlign w:val="bottom"/>
          </w:tcPr>
          <w:p>
            <w:pPr>
              <w:pStyle w:val="yTableNAm"/>
              <w:jc w:val="right"/>
            </w:pPr>
            <w:r>
              <w:t>78.49</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shared use for 12 months, paid in advance</w:t>
            </w:r>
          </w:p>
        </w:tc>
        <w:tc>
          <w:tcPr>
            <w:tcW w:w="996" w:type="dxa"/>
            <w:vAlign w:val="bottom"/>
          </w:tcPr>
          <w:p>
            <w:pPr>
              <w:pStyle w:val="yTableNAm"/>
              <w:jc w:val="right"/>
            </w:pPr>
            <w:r>
              <w:t>523.20</w:t>
            </w:r>
          </w:p>
        </w:tc>
      </w:tr>
      <w:tr>
        <w:trPr>
          <w:cantSplit/>
        </w:trPr>
        <w:tc>
          <w:tcPr>
            <w:tcW w:w="567" w:type="dxa"/>
          </w:tcPr>
          <w:p>
            <w:pPr>
              <w:pStyle w:val="yTableNAm"/>
            </w:pPr>
            <w:r>
              <w:t>4.</w:t>
            </w:r>
          </w:p>
        </w:tc>
        <w:tc>
          <w:tcPr>
            <w:tcW w:w="4390" w:type="dxa"/>
          </w:tcPr>
          <w:p>
            <w:pPr>
              <w:pStyle w:val="yTableNAm"/>
            </w:pPr>
            <w:r>
              <w:t xml:space="preserve">For use of a pen with pile moorings by a recreational vessel, tourism vessel or fishing vessel, per m of the vessel’s length — </w:t>
            </w:r>
          </w:p>
          <w:p>
            <w:pPr>
              <w:pStyle w:val="NotesPerm"/>
              <w:tabs>
                <w:tab w:val="clear" w:pos="879"/>
                <w:tab w:val="left" w:pos="653"/>
              </w:tabs>
              <w:ind w:left="653" w:hanging="653"/>
            </w:pPr>
            <w:r>
              <w:t>Note:</w:t>
            </w:r>
            <w:r>
              <w:tab/>
              <w:t>includes short</w:t>
            </w:r>
            <w:r>
              <w:noBreakHyphen/>
              <w:t>term loading/unloading of goods and passengers on service wharf limited to 2 hours per day, otherwise item 17 fees will apply after 2 hours</w:t>
            </w:r>
          </w:p>
        </w:tc>
        <w:tc>
          <w:tcPr>
            <w:tcW w:w="996" w:type="dxa"/>
            <w:vAlign w:val="bottom"/>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12 months, paid in advance</w:t>
            </w:r>
          </w:p>
        </w:tc>
        <w:tc>
          <w:tcPr>
            <w:tcW w:w="996" w:type="dxa"/>
            <w:vAlign w:val="bottom"/>
          </w:tcPr>
          <w:p>
            <w:pPr>
              <w:pStyle w:val="yTableNAm"/>
              <w:jc w:val="right"/>
            </w:pPr>
            <w:r>
              <w:t>332.79</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months or more, per month, paid in advance</w:t>
            </w:r>
          </w:p>
        </w:tc>
        <w:tc>
          <w:tcPr>
            <w:tcW w:w="996" w:type="dxa"/>
            <w:vAlign w:val="bottom"/>
          </w:tcPr>
          <w:p>
            <w:pPr>
              <w:pStyle w:val="yTableNAm"/>
              <w:jc w:val="right"/>
            </w:pPr>
            <w:r>
              <w:t>33.28</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 paid in advance</w:t>
            </w:r>
          </w:p>
        </w:tc>
        <w:tc>
          <w:tcPr>
            <w:tcW w:w="996" w:type="dxa"/>
            <w:vAlign w:val="bottom"/>
          </w:tcPr>
          <w:p>
            <w:pPr>
              <w:pStyle w:val="yTableNAm"/>
              <w:jc w:val="right"/>
            </w:pPr>
            <w:r>
              <w:t>49.92</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week or more, per week, paid in advance</w:t>
            </w:r>
          </w:p>
        </w:tc>
        <w:tc>
          <w:tcPr>
            <w:tcW w:w="996" w:type="dxa"/>
            <w:vAlign w:val="bottom"/>
          </w:tcPr>
          <w:p>
            <w:pPr>
              <w:pStyle w:val="yTableNAm"/>
              <w:jc w:val="right"/>
            </w:pPr>
            <w:r>
              <w:t>39.36</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otherwise, per day</w:t>
            </w:r>
          </w:p>
        </w:tc>
        <w:tc>
          <w:tcPr>
            <w:tcW w:w="996" w:type="dxa"/>
            <w:vAlign w:val="bottom"/>
          </w:tcPr>
          <w:p>
            <w:pPr>
              <w:pStyle w:val="yTableNAm"/>
              <w:jc w:val="right"/>
            </w:pPr>
            <w:r>
              <w:t>7.87</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shared use for 12 months, paid in advance</w:t>
            </w:r>
          </w:p>
        </w:tc>
        <w:tc>
          <w:tcPr>
            <w:tcW w:w="996" w:type="dxa"/>
            <w:vAlign w:val="bottom"/>
          </w:tcPr>
          <w:p>
            <w:pPr>
              <w:pStyle w:val="yTableNAm"/>
              <w:jc w:val="right"/>
            </w:pPr>
            <w:r>
              <w:t>332.79</w:t>
            </w:r>
          </w:p>
        </w:tc>
      </w:tr>
      <w:tr>
        <w:trPr>
          <w:cantSplit/>
        </w:trPr>
        <w:tc>
          <w:tcPr>
            <w:tcW w:w="567" w:type="dxa"/>
          </w:tcPr>
          <w:p>
            <w:pPr>
              <w:pStyle w:val="yTableNAm"/>
            </w:pPr>
            <w:r>
              <w:t>5.</w:t>
            </w:r>
          </w:p>
        </w:tc>
        <w:tc>
          <w:tcPr>
            <w:tcW w:w="4390" w:type="dxa"/>
          </w:tcPr>
          <w:p>
            <w:pPr>
              <w:pStyle w:val="yTableNAm"/>
            </w:pPr>
            <w:r>
              <w:t>For use of a pen with pile moorings by a service vessel, per m of the vessel’s length —</w:t>
            </w:r>
          </w:p>
        </w:tc>
        <w:tc>
          <w:tcPr>
            <w:tcW w:w="996" w:type="dxa"/>
            <w:vAlign w:val="bottom"/>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12 months, paid in advance</w:t>
            </w:r>
          </w:p>
        </w:tc>
        <w:tc>
          <w:tcPr>
            <w:tcW w:w="996" w:type="dxa"/>
            <w:vAlign w:val="bottom"/>
          </w:tcPr>
          <w:p>
            <w:pPr>
              <w:pStyle w:val="yTableNAm"/>
              <w:jc w:val="right"/>
            </w:pPr>
            <w:r>
              <w:t>364.79</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months or more, per month, paid in advance</w:t>
            </w:r>
          </w:p>
        </w:tc>
        <w:tc>
          <w:tcPr>
            <w:tcW w:w="996" w:type="dxa"/>
            <w:vAlign w:val="bottom"/>
          </w:tcPr>
          <w:p>
            <w:pPr>
              <w:pStyle w:val="yTableNAm"/>
              <w:jc w:val="right"/>
            </w:pPr>
            <w:r>
              <w:t>36.48</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 paid in advance</w:t>
            </w:r>
          </w:p>
        </w:tc>
        <w:tc>
          <w:tcPr>
            <w:tcW w:w="996" w:type="dxa"/>
            <w:vAlign w:val="bottom"/>
          </w:tcPr>
          <w:p>
            <w:pPr>
              <w:pStyle w:val="yTableNAm"/>
              <w:jc w:val="right"/>
            </w:pPr>
            <w:r>
              <w:t>54.72</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week or more, per week, paid in advance</w:t>
            </w:r>
          </w:p>
        </w:tc>
        <w:tc>
          <w:tcPr>
            <w:tcW w:w="996" w:type="dxa"/>
            <w:vAlign w:val="bottom"/>
          </w:tcPr>
          <w:p>
            <w:pPr>
              <w:pStyle w:val="yTableNAm"/>
              <w:jc w:val="right"/>
            </w:pPr>
            <w:r>
              <w:t>43.16</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otherwise, per day</w:t>
            </w:r>
          </w:p>
        </w:tc>
        <w:tc>
          <w:tcPr>
            <w:tcW w:w="996" w:type="dxa"/>
            <w:vAlign w:val="bottom"/>
          </w:tcPr>
          <w:p>
            <w:pPr>
              <w:pStyle w:val="yTableNAm"/>
              <w:jc w:val="right"/>
            </w:pPr>
            <w:r>
              <w:t>8.63</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shared use for 12 months, paid in advance</w:t>
            </w:r>
          </w:p>
        </w:tc>
        <w:tc>
          <w:tcPr>
            <w:tcW w:w="996" w:type="dxa"/>
            <w:vAlign w:val="bottom"/>
          </w:tcPr>
          <w:p>
            <w:pPr>
              <w:pStyle w:val="yTableNAm"/>
              <w:jc w:val="right"/>
            </w:pPr>
            <w:r>
              <w:t>364.79</w:t>
            </w:r>
          </w:p>
        </w:tc>
      </w:tr>
      <w:tr>
        <w:trPr>
          <w:cantSplit/>
        </w:trPr>
        <w:tc>
          <w:tcPr>
            <w:tcW w:w="567" w:type="dxa"/>
          </w:tcPr>
          <w:p>
            <w:pPr>
              <w:pStyle w:val="yTableNAm"/>
            </w:pPr>
            <w:r>
              <w:t>6.</w:t>
            </w:r>
          </w:p>
        </w:tc>
        <w:tc>
          <w:tcPr>
            <w:tcW w:w="4390" w:type="dxa"/>
          </w:tcPr>
          <w:p>
            <w:pPr>
              <w:pStyle w:val="yTableNAm"/>
            </w:pPr>
            <w:r>
              <w:t xml:space="preserve">For use, in Pen System B, of a floating pen by a recreational vessel 20 m long or under, per m of the pen’s length — </w:t>
            </w:r>
          </w:p>
          <w:p>
            <w:pPr>
              <w:pStyle w:val="NotesPerm"/>
              <w:tabs>
                <w:tab w:val="clear" w:pos="879"/>
                <w:tab w:val="left" w:pos="653"/>
              </w:tabs>
              <w:ind w:left="653" w:hanging="653"/>
            </w:pPr>
            <w:r>
              <w:t>Note:</w:t>
            </w:r>
            <w:r>
              <w:tab/>
              <w:t>includes short</w:t>
            </w:r>
            <w:r>
              <w:noBreakHyphen/>
              <w:t>term loading/unloading of goods and passengers on service wharf limited to 2 hours per day, otherwise item 17 fees will apply after 2 hours</w:t>
            </w:r>
          </w:p>
        </w:tc>
        <w:tc>
          <w:tcPr>
            <w:tcW w:w="996" w:type="dxa"/>
            <w:vAlign w:val="bottom"/>
          </w:tcPr>
          <w:p>
            <w:pPr>
              <w:pStyle w:val="yTableNAm"/>
              <w:jc w:val="right"/>
            </w:pPr>
            <w:r>
              <w:br/>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12 months, paid in advance</w:t>
            </w:r>
          </w:p>
        </w:tc>
        <w:tc>
          <w:tcPr>
            <w:tcW w:w="996" w:type="dxa"/>
            <w:vAlign w:val="bottom"/>
          </w:tcPr>
          <w:p>
            <w:pPr>
              <w:pStyle w:val="yTableNAm"/>
              <w:jc w:val="right"/>
            </w:pPr>
            <w:r>
              <w:t>500.00</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months or more, per month, paid in advance</w:t>
            </w:r>
          </w:p>
        </w:tc>
        <w:tc>
          <w:tcPr>
            <w:tcW w:w="996" w:type="dxa"/>
            <w:vAlign w:val="bottom"/>
          </w:tcPr>
          <w:p>
            <w:pPr>
              <w:pStyle w:val="yTableNAm"/>
              <w:jc w:val="right"/>
            </w:pPr>
            <w:r>
              <w:t>50.00</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 paid in advance</w:t>
            </w:r>
          </w:p>
        </w:tc>
        <w:tc>
          <w:tcPr>
            <w:tcW w:w="996" w:type="dxa"/>
            <w:vAlign w:val="bottom"/>
          </w:tcPr>
          <w:p>
            <w:pPr>
              <w:pStyle w:val="yTableNAm"/>
              <w:jc w:val="right"/>
            </w:pPr>
            <w:r>
              <w:t>75.00</w:t>
            </w:r>
          </w:p>
        </w:tc>
      </w:tr>
      <w:tr>
        <w:trPr>
          <w:cantSplit/>
        </w:trPr>
        <w:tc>
          <w:tcPr>
            <w:tcW w:w="567" w:type="dxa"/>
          </w:tcPr>
          <w:p>
            <w:pPr>
              <w:pStyle w:val="yTableNAm"/>
              <w:keepNext/>
              <w:keepLines/>
            </w:pPr>
            <w:r>
              <w:t>7.</w:t>
            </w:r>
          </w:p>
        </w:tc>
        <w:tc>
          <w:tcPr>
            <w:tcW w:w="4390" w:type="dxa"/>
          </w:tcPr>
          <w:p>
            <w:pPr>
              <w:pStyle w:val="yTableNAm"/>
              <w:keepNext/>
              <w:keepLines/>
            </w:pPr>
            <w:r>
              <w:t xml:space="preserve">For use, in Pen System B, of a floating pen by a tourism vessel or fishing vessel, 20 m long or under, per m of the pen’s length — </w:t>
            </w:r>
          </w:p>
          <w:p>
            <w:pPr>
              <w:pStyle w:val="NotesPerm"/>
              <w:keepNext/>
              <w:keepLines/>
              <w:tabs>
                <w:tab w:val="clear" w:pos="879"/>
                <w:tab w:val="left" w:pos="653"/>
              </w:tabs>
              <w:ind w:left="653" w:hanging="653"/>
            </w:pPr>
            <w:r>
              <w:t>Note:</w:t>
            </w:r>
            <w:r>
              <w:tab/>
              <w:t>includes short</w:t>
            </w:r>
            <w:r>
              <w:noBreakHyphen/>
              <w:t>term loading/unloading of goods and passengers on service wharf limited to 2 hours per day, otherwise item 17 fees will apply after 2 hours</w:t>
            </w:r>
          </w:p>
        </w:tc>
        <w:tc>
          <w:tcPr>
            <w:tcW w:w="996" w:type="dxa"/>
            <w:vAlign w:val="bottom"/>
          </w:tcPr>
          <w:p>
            <w:pPr>
              <w:pStyle w:val="yTableNAm"/>
              <w:keepNext/>
              <w:keepLines/>
              <w:jc w:val="right"/>
            </w:pPr>
            <w:r>
              <w:br/>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12 months, paid in advance</w:t>
            </w:r>
          </w:p>
        </w:tc>
        <w:tc>
          <w:tcPr>
            <w:tcW w:w="996" w:type="dxa"/>
            <w:vAlign w:val="bottom"/>
          </w:tcPr>
          <w:p>
            <w:pPr>
              <w:pStyle w:val="yTableNAm"/>
              <w:jc w:val="right"/>
            </w:pPr>
            <w:r>
              <w:t>650.00</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months or more, per month, paid in advance</w:t>
            </w:r>
          </w:p>
        </w:tc>
        <w:tc>
          <w:tcPr>
            <w:tcW w:w="996" w:type="dxa"/>
            <w:vAlign w:val="bottom"/>
          </w:tcPr>
          <w:p>
            <w:pPr>
              <w:pStyle w:val="yTableNAm"/>
              <w:jc w:val="right"/>
            </w:pPr>
            <w:r>
              <w:t>65.00</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 paid in advance</w:t>
            </w:r>
          </w:p>
        </w:tc>
        <w:tc>
          <w:tcPr>
            <w:tcW w:w="996" w:type="dxa"/>
            <w:vAlign w:val="bottom"/>
          </w:tcPr>
          <w:p>
            <w:pPr>
              <w:pStyle w:val="yTableNAm"/>
              <w:jc w:val="right"/>
            </w:pPr>
            <w:r>
              <w:t>97.49</w:t>
            </w:r>
          </w:p>
        </w:tc>
      </w:tr>
      <w:tr>
        <w:trPr>
          <w:cantSplit/>
        </w:trPr>
        <w:tc>
          <w:tcPr>
            <w:tcW w:w="567" w:type="dxa"/>
          </w:tcPr>
          <w:p>
            <w:pPr>
              <w:pStyle w:val="yTableNAm"/>
            </w:pPr>
            <w:r>
              <w:t>8.</w:t>
            </w:r>
          </w:p>
        </w:tc>
        <w:tc>
          <w:tcPr>
            <w:tcW w:w="4390" w:type="dxa"/>
          </w:tcPr>
          <w:p>
            <w:pPr>
              <w:pStyle w:val="yTableNAm"/>
            </w:pPr>
            <w:r>
              <w:t xml:space="preserve">For use, in Pen System B, of a floating pen by a service vessel, 20 m long or under, per m of the pen’s length — </w:t>
            </w:r>
          </w:p>
        </w:tc>
        <w:tc>
          <w:tcPr>
            <w:tcW w:w="996" w:type="dxa"/>
            <w:vAlign w:val="bottom"/>
          </w:tcPr>
          <w:p>
            <w:pPr>
              <w:pStyle w:val="yTableNAm"/>
              <w:jc w:val="right"/>
            </w:pPr>
            <w:r>
              <w:br/>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12 months, paid in advance</w:t>
            </w:r>
          </w:p>
        </w:tc>
        <w:tc>
          <w:tcPr>
            <w:tcW w:w="996" w:type="dxa"/>
            <w:vAlign w:val="bottom"/>
          </w:tcPr>
          <w:p>
            <w:pPr>
              <w:pStyle w:val="yTableNAm"/>
              <w:jc w:val="right"/>
            </w:pPr>
            <w:r>
              <w:t>800.00</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months or more, per month, paid in advance</w:t>
            </w:r>
          </w:p>
        </w:tc>
        <w:tc>
          <w:tcPr>
            <w:tcW w:w="996" w:type="dxa"/>
            <w:vAlign w:val="bottom"/>
          </w:tcPr>
          <w:p>
            <w:pPr>
              <w:pStyle w:val="yTableNAm"/>
              <w:jc w:val="right"/>
            </w:pPr>
            <w:r>
              <w:t>80.00</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 paid in advance</w:t>
            </w:r>
          </w:p>
        </w:tc>
        <w:tc>
          <w:tcPr>
            <w:tcW w:w="996" w:type="dxa"/>
            <w:vAlign w:val="bottom"/>
          </w:tcPr>
          <w:p>
            <w:pPr>
              <w:pStyle w:val="yTableNAm"/>
              <w:jc w:val="right"/>
            </w:pPr>
            <w:r>
              <w:t>120.00</w:t>
            </w:r>
          </w:p>
        </w:tc>
      </w:tr>
      <w:tr>
        <w:trPr>
          <w:cantSplit/>
        </w:trPr>
        <w:tc>
          <w:tcPr>
            <w:tcW w:w="567" w:type="dxa"/>
          </w:tcPr>
          <w:p>
            <w:pPr>
              <w:pStyle w:val="yTableNAm"/>
            </w:pPr>
            <w:r>
              <w:t>9.</w:t>
            </w:r>
          </w:p>
        </w:tc>
        <w:tc>
          <w:tcPr>
            <w:tcW w:w="4390" w:type="dxa"/>
          </w:tcPr>
          <w:p>
            <w:pPr>
              <w:pStyle w:val="yTableNAm"/>
            </w:pPr>
            <w:r>
              <w:t xml:space="preserve">For use, in Pen System B, of a floating pen by a recreational vessel, tourism vessel, fishing vessel or service vessel, over 20 m long, per m of the pen’s length — </w:t>
            </w:r>
          </w:p>
          <w:p>
            <w:pPr>
              <w:pStyle w:val="NotesPerm"/>
              <w:tabs>
                <w:tab w:val="clear" w:pos="879"/>
                <w:tab w:val="left" w:pos="653"/>
              </w:tabs>
              <w:ind w:left="653" w:hanging="653"/>
            </w:pPr>
            <w:r>
              <w:t>Note:</w:t>
            </w:r>
            <w:r>
              <w:tab/>
              <w:t>includes (except for a vessel to which item 16 applies) short</w:t>
            </w:r>
            <w:r>
              <w:noBreakHyphen/>
              <w:t>term loading/unloading of goods and passengers on service wharf limited to 2 hours per day, otherwise item 17 fees will apply after 2 hours</w:t>
            </w:r>
          </w:p>
        </w:tc>
        <w:tc>
          <w:tcPr>
            <w:tcW w:w="996" w:type="dxa"/>
            <w:vAlign w:val="bottom"/>
          </w:tcPr>
          <w:p>
            <w:pPr>
              <w:pStyle w:val="yTableNAm"/>
              <w:jc w:val="right"/>
            </w:pPr>
            <w:r>
              <w:br/>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12 months, paid in advance</w:t>
            </w:r>
          </w:p>
        </w:tc>
        <w:tc>
          <w:tcPr>
            <w:tcW w:w="996" w:type="dxa"/>
            <w:vAlign w:val="bottom"/>
          </w:tcPr>
          <w:p>
            <w:pPr>
              <w:pStyle w:val="yTableNAm"/>
              <w:jc w:val="right"/>
            </w:pPr>
            <w:r>
              <w:t>1 000.00</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months or more, per month, paid in advance</w:t>
            </w:r>
          </w:p>
        </w:tc>
        <w:tc>
          <w:tcPr>
            <w:tcW w:w="996" w:type="dxa"/>
            <w:vAlign w:val="bottom"/>
          </w:tcPr>
          <w:p>
            <w:pPr>
              <w:pStyle w:val="yTableNAm"/>
              <w:jc w:val="right"/>
            </w:pPr>
            <w:r>
              <w:t>100.00</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 paid in advance</w:t>
            </w:r>
          </w:p>
        </w:tc>
        <w:tc>
          <w:tcPr>
            <w:tcW w:w="996" w:type="dxa"/>
            <w:vAlign w:val="bottom"/>
          </w:tcPr>
          <w:p>
            <w:pPr>
              <w:pStyle w:val="yTableNAm"/>
              <w:jc w:val="right"/>
            </w:pPr>
            <w:r>
              <w:t>150.00</w:t>
            </w:r>
          </w:p>
        </w:tc>
      </w:tr>
      <w:tr>
        <w:trPr>
          <w:cantSplit/>
        </w:trPr>
        <w:tc>
          <w:tcPr>
            <w:tcW w:w="567" w:type="dxa"/>
          </w:tcPr>
          <w:p>
            <w:pPr>
              <w:pStyle w:val="yTableNAm"/>
            </w:pPr>
            <w:r>
              <w:t>10.</w:t>
            </w:r>
          </w:p>
        </w:tc>
        <w:tc>
          <w:tcPr>
            <w:tcW w:w="4390" w:type="dxa"/>
          </w:tcPr>
          <w:p>
            <w:pPr>
              <w:pStyle w:val="yTableNAm"/>
            </w:pPr>
            <w:r>
              <w:t>For use, in Pen System B, of an extra</w:t>
            </w:r>
            <w:r>
              <w:noBreakHyphen/>
              <w:t>wide floating pen by a vessel referred to in item 6, 7, 8 or 9: the relevant amount payable in that item plus 50% of that amount</w:t>
            </w:r>
          </w:p>
          <w:p>
            <w:pPr>
              <w:pStyle w:val="NotesPerm"/>
              <w:tabs>
                <w:tab w:val="clear" w:pos="879"/>
                <w:tab w:val="left" w:pos="653"/>
              </w:tabs>
              <w:ind w:left="653" w:hanging="653"/>
            </w:pPr>
            <w:r>
              <w:t>Note:</w:t>
            </w:r>
            <w:r>
              <w:tab/>
              <w:t>includes, if appropriate to the relevant item, short</w:t>
            </w:r>
            <w:r>
              <w:noBreakHyphen/>
              <w:t>term loading/unloading of goods and passengers on service wharf limited to 2 hours per day, otherwise item 17 fees will apply after 2 hours</w:t>
            </w:r>
          </w:p>
        </w:tc>
        <w:tc>
          <w:tcPr>
            <w:tcW w:w="996" w:type="dxa"/>
            <w:vAlign w:val="bottom"/>
          </w:tcPr>
          <w:p>
            <w:pPr>
              <w:pStyle w:val="yTableNAm"/>
              <w:jc w:val="right"/>
            </w:pPr>
            <w:r>
              <w:br/>
            </w:r>
          </w:p>
        </w:tc>
      </w:tr>
      <w:tr>
        <w:trPr>
          <w:cantSplit/>
        </w:trPr>
        <w:tc>
          <w:tcPr>
            <w:tcW w:w="567" w:type="dxa"/>
          </w:tcPr>
          <w:p>
            <w:pPr>
              <w:pStyle w:val="yTableNAm"/>
            </w:pPr>
            <w:r>
              <w:t>11.</w:t>
            </w:r>
          </w:p>
        </w:tc>
        <w:tc>
          <w:tcPr>
            <w:tcW w:w="4390" w:type="dxa"/>
          </w:tcPr>
          <w:p>
            <w:pPr>
              <w:pStyle w:val="yTableNAm"/>
            </w:pPr>
            <w:r>
              <w:t>For use of either a non</w:t>
            </w:r>
            <w:r>
              <w:noBreakHyphen/>
              <w:t xml:space="preserve">floating pen with walkway or a floating pen by a recreational vessel, per m of the vessel’s length — </w:t>
            </w:r>
          </w:p>
          <w:p>
            <w:pPr>
              <w:pStyle w:val="NotesPerm"/>
              <w:tabs>
                <w:tab w:val="clear" w:pos="879"/>
                <w:tab w:val="left" w:pos="653"/>
              </w:tabs>
              <w:ind w:left="653" w:hanging="653"/>
            </w:pPr>
            <w:r>
              <w:t>Note:</w:t>
            </w:r>
            <w:r>
              <w:tab/>
              <w:t>includes short</w:t>
            </w:r>
            <w:r>
              <w:noBreakHyphen/>
              <w:t>term loading/unloading of goods and passengers on service wharf limited to 2 hours per day, otherwise item 17 fees will apply after 2 hours</w:t>
            </w:r>
          </w:p>
        </w:tc>
        <w:tc>
          <w:tcPr>
            <w:tcW w:w="996" w:type="dxa"/>
            <w:vAlign w:val="bottom"/>
          </w:tcPr>
          <w:p>
            <w:pPr>
              <w:pStyle w:val="yTableNAm"/>
              <w:jc w:val="right"/>
            </w:pPr>
            <w:r>
              <w:br/>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week or more, per week, paid in advance</w:t>
            </w:r>
          </w:p>
        </w:tc>
        <w:tc>
          <w:tcPr>
            <w:tcW w:w="996" w:type="dxa"/>
            <w:vAlign w:val="bottom"/>
          </w:tcPr>
          <w:p>
            <w:pPr>
              <w:pStyle w:val="yTableNAm"/>
              <w:jc w:val="right"/>
            </w:pPr>
            <w:r>
              <w:t>23.65</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otherwise, per day</w:t>
            </w:r>
          </w:p>
        </w:tc>
        <w:tc>
          <w:tcPr>
            <w:tcW w:w="996" w:type="dxa"/>
            <w:vAlign w:val="bottom"/>
          </w:tcPr>
          <w:p>
            <w:pPr>
              <w:pStyle w:val="yTableNAm"/>
              <w:jc w:val="right"/>
            </w:pPr>
            <w:r>
              <w:t>4.73</w:t>
            </w:r>
          </w:p>
        </w:tc>
      </w:tr>
      <w:tr>
        <w:trPr>
          <w:cantSplit/>
        </w:trPr>
        <w:tc>
          <w:tcPr>
            <w:tcW w:w="567" w:type="dxa"/>
          </w:tcPr>
          <w:p>
            <w:pPr>
              <w:pStyle w:val="yTableNAm"/>
            </w:pPr>
            <w:r>
              <w:t>12.</w:t>
            </w:r>
          </w:p>
        </w:tc>
        <w:tc>
          <w:tcPr>
            <w:tcW w:w="4390" w:type="dxa"/>
          </w:tcPr>
          <w:p>
            <w:pPr>
              <w:pStyle w:val="yTableNAm"/>
            </w:pPr>
            <w:r>
              <w:t>For use of either a non</w:t>
            </w:r>
            <w:r>
              <w:noBreakHyphen/>
              <w:t xml:space="preserve">floating pen with walkway or a floating pen by a tourism vessel or fishing vessel, per m of the vessel’s length — </w:t>
            </w:r>
          </w:p>
          <w:p>
            <w:pPr>
              <w:pStyle w:val="NotesPerm"/>
              <w:tabs>
                <w:tab w:val="clear" w:pos="879"/>
                <w:tab w:val="left" w:pos="653"/>
              </w:tabs>
              <w:ind w:left="653" w:hanging="653"/>
            </w:pPr>
            <w:r>
              <w:t>Note:</w:t>
            </w:r>
            <w:r>
              <w:tab/>
              <w:t>includes short</w:t>
            </w:r>
            <w:r>
              <w:noBreakHyphen/>
              <w:t>term loading/unloading of goods and passengers on service wharf limited to 2 hours per day, otherwise item 17 fees will apply after 2 hours</w:t>
            </w:r>
          </w:p>
        </w:tc>
        <w:tc>
          <w:tcPr>
            <w:tcW w:w="996" w:type="dxa"/>
            <w:vAlign w:val="bottom"/>
          </w:tcPr>
          <w:p>
            <w:pPr>
              <w:pStyle w:val="yTableNAm"/>
              <w:jc w:val="right"/>
            </w:pPr>
            <w:r>
              <w:br/>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week or more, per week, paid in advance</w:t>
            </w:r>
          </w:p>
        </w:tc>
        <w:tc>
          <w:tcPr>
            <w:tcW w:w="996" w:type="dxa"/>
            <w:vAlign w:val="bottom"/>
          </w:tcPr>
          <w:p>
            <w:pPr>
              <w:pStyle w:val="yTableNAm"/>
              <w:jc w:val="right"/>
            </w:pPr>
            <w:r>
              <w:t>47.27</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otherwise, per day</w:t>
            </w:r>
          </w:p>
        </w:tc>
        <w:tc>
          <w:tcPr>
            <w:tcW w:w="996" w:type="dxa"/>
            <w:vAlign w:val="bottom"/>
          </w:tcPr>
          <w:p>
            <w:pPr>
              <w:pStyle w:val="yTableNAm"/>
              <w:jc w:val="right"/>
            </w:pPr>
            <w:r>
              <w:t>9.45</w:t>
            </w:r>
          </w:p>
        </w:tc>
      </w:tr>
      <w:tr>
        <w:trPr>
          <w:cantSplit/>
        </w:trPr>
        <w:tc>
          <w:tcPr>
            <w:tcW w:w="567" w:type="dxa"/>
          </w:tcPr>
          <w:p>
            <w:pPr>
              <w:pStyle w:val="yTableNAm"/>
              <w:keepNext/>
              <w:keepLines/>
              <w:rPr>
                <w:rFonts w:ascii="Arial" w:hAnsi="Arial"/>
                <w:b/>
              </w:rPr>
            </w:pPr>
            <w:r>
              <w:t>13.</w:t>
            </w:r>
          </w:p>
        </w:tc>
        <w:tc>
          <w:tcPr>
            <w:tcW w:w="4390" w:type="dxa"/>
          </w:tcPr>
          <w:p>
            <w:pPr>
              <w:pStyle w:val="yTableNAm"/>
              <w:keepNext/>
              <w:keepLines/>
              <w:rPr>
                <w:rFonts w:ascii="Arial" w:hAnsi="Arial"/>
                <w:b/>
              </w:rPr>
            </w:pPr>
            <w:r>
              <w:t>For use of either a non</w:t>
            </w:r>
            <w:r>
              <w:noBreakHyphen/>
              <w:t xml:space="preserve">floating pen with walkway or a floating pen by a service vessel, per m of the vessel’s length — </w:t>
            </w:r>
          </w:p>
        </w:tc>
        <w:tc>
          <w:tcPr>
            <w:tcW w:w="996" w:type="dxa"/>
            <w:vAlign w:val="bottom"/>
          </w:tcPr>
          <w:p>
            <w:pPr>
              <w:pStyle w:val="yTableNAm"/>
              <w:keepNext/>
              <w:keepLines/>
              <w:jc w:val="right"/>
              <w:rPr>
                <w:rFonts w:ascii="Arial" w:hAnsi="Arial"/>
                <w:b/>
              </w:rPr>
            </w:pPr>
            <w:r>
              <w:br/>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week or more, per week, paid in advance</w:t>
            </w:r>
          </w:p>
        </w:tc>
        <w:tc>
          <w:tcPr>
            <w:tcW w:w="996" w:type="dxa"/>
            <w:vAlign w:val="bottom"/>
          </w:tcPr>
          <w:p>
            <w:pPr>
              <w:pStyle w:val="yTableNAm"/>
              <w:jc w:val="right"/>
            </w:pPr>
            <w:r>
              <w:t>51.81</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otherwise, per day</w:t>
            </w:r>
          </w:p>
        </w:tc>
        <w:tc>
          <w:tcPr>
            <w:tcW w:w="996" w:type="dxa"/>
            <w:vAlign w:val="bottom"/>
          </w:tcPr>
          <w:p>
            <w:pPr>
              <w:pStyle w:val="yTableNAm"/>
              <w:jc w:val="right"/>
            </w:pPr>
            <w:r>
              <w:t>10.36</w:t>
            </w:r>
          </w:p>
        </w:tc>
      </w:tr>
      <w:tr>
        <w:trPr>
          <w:cantSplit/>
        </w:trPr>
        <w:tc>
          <w:tcPr>
            <w:tcW w:w="567" w:type="dxa"/>
          </w:tcPr>
          <w:p>
            <w:pPr>
              <w:pStyle w:val="yTableNAm"/>
            </w:pPr>
            <w:r>
              <w:t>14.</w:t>
            </w:r>
          </w:p>
        </w:tc>
        <w:tc>
          <w:tcPr>
            <w:tcW w:w="4390" w:type="dxa"/>
          </w:tcPr>
          <w:p>
            <w:pPr>
              <w:pStyle w:val="yTableNAm"/>
            </w:pPr>
            <w:r>
              <w:t>For living on board a vessel, per vessel, per month</w:t>
            </w:r>
          </w:p>
        </w:tc>
        <w:tc>
          <w:tcPr>
            <w:tcW w:w="996" w:type="dxa"/>
            <w:vAlign w:val="bottom"/>
          </w:tcPr>
          <w:p>
            <w:pPr>
              <w:pStyle w:val="yTableNAm"/>
              <w:jc w:val="right"/>
            </w:pPr>
            <w:r>
              <w:t>42.99</w:t>
            </w:r>
          </w:p>
        </w:tc>
      </w:tr>
      <w:tr>
        <w:trPr>
          <w:cantSplit/>
        </w:trPr>
        <w:tc>
          <w:tcPr>
            <w:tcW w:w="567" w:type="dxa"/>
          </w:tcPr>
          <w:p>
            <w:pPr>
              <w:pStyle w:val="yTableNAm"/>
            </w:pPr>
            <w:r>
              <w:t>15.</w:t>
            </w:r>
          </w:p>
        </w:tc>
        <w:tc>
          <w:tcPr>
            <w:tcW w:w="4390" w:type="dxa"/>
          </w:tcPr>
          <w:p>
            <w:pPr>
              <w:pStyle w:val="yTableNAm"/>
            </w:pPr>
            <w:r>
              <w:t>For use of pen, berth or service jetty by cruise liner transfer vessel to load or unload passengers —</w:t>
            </w:r>
          </w:p>
        </w:tc>
        <w:tc>
          <w:tcPr>
            <w:tcW w:w="996" w:type="dxa"/>
            <w:vAlign w:val="bottom"/>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per m of the vessel’s length, per day</w:t>
            </w:r>
          </w:p>
        </w:tc>
        <w:tc>
          <w:tcPr>
            <w:tcW w:w="996" w:type="dxa"/>
            <w:vAlign w:val="bottom"/>
          </w:tcPr>
          <w:p>
            <w:pPr>
              <w:pStyle w:val="yTableNAm"/>
              <w:jc w:val="right"/>
            </w:pPr>
            <w:r>
              <w:t>9.45</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plus, per passenger</w:t>
            </w:r>
          </w:p>
        </w:tc>
        <w:tc>
          <w:tcPr>
            <w:tcW w:w="996" w:type="dxa"/>
            <w:vAlign w:val="bottom"/>
          </w:tcPr>
          <w:p>
            <w:pPr>
              <w:pStyle w:val="yTableNAm"/>
              <w:jc w:val="right"/>
            </w:pPr>
            <w:r>
              <w:t>4.04</w:t>
            </w:r>
          </w:p>
        </w:tc>
      </w:tr>
      <w:tr>
        <w:trPr>
          <w:cantSplit/>
        </w:trPr>
        <w:tc>
          <w:tcPr>
            <w:tcW w:w="567" w:type="dxa"/>
          </w:tcPr>
          <w:p>
            <w:pPr>
              <w:pStyle w:val="yTableNAm"/>
            </w:pPr>
            <w:r>
              <w:t>16.</w:t>
            </w:r>
          </w:p>
        </w:tc>
        <w:tc>
          <w:tcPr>
            <w:tcW w:w="4390" w:type="dxa"/>
          </w:tcPr>
          <w:p>
            <w:pPr>
              <w:pStyle w:val="yTableNAm"/>
            </w:pPr>
            <w:r>
              <w:t>For short</w:t>
            </w:r>
            <w:r>
              <w:noBreakHyphen/>
              <w:t>term use of service wharf, other than while refuelling, by a service vessel, for up to 12 hours in a 24 hour period —</w:t>
            </w:r>
          </w:p>
        </w:tc>
        <w:tc>
          <w:tcPr>
            <w:tcW w:w="996" w:type="dxa"/>
            <w:vAlign w:val="bottom"/>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rPr>
                <w:b/>
                <w:i/>
              </w:rPr>
            </w:pPr>
            <w:r>
              <w:t>•</w:t>
            </w:r>
            <w:r>
              <w:tab/>
              <w:t>per m of the vessel’s length</w:t>
            </w:r>
          </w:p>
        </w:tc>
        <w:tc>
          <w:tcPr>
            <w:tcW w:w="996" w:type="dxa"/>
            <w:vAlign w:val="bottom"/>
          </w:tcPr>
          <w:p>
            <w:pPr>
              <w:pStyle w:val="yTableNAm"/>
              <w:jc w:val="right"/>
            </w:pPr>
            <w:r>
              <w:t>16.00</w:t>
            </w:r>
          </w:p>
        </w:tc>
      </w:tr>
      <w:tr>
        <w:trPr>
          <w:cantSplit/>
        </w:trPr>
        <w:tc>
          <w:tcPr>
            <w:tcW w:w="567" w:type="dxa"/>
          </w:tcPr>
          <w:p>
            <w:pPr>
              <w:pStyle w:val="yTableNAm"/>
            </w:pPr>
            <w:r>
              <w:t>17.</w:t>
            </w:r>
          </w:p>
        </w:tc>
        <w:tc>
          <w:tcPr>
            <w:tcW w:w="4390" w:type="dxa"/>
          </w:tcPr>
          <w:p>
            <w:pPr>
              <w:pStyle w:val="yTableNAm"/>
            </w:pPr>
            <w:r>
              <w:t>For short</w:t>
            </w:r>
            <w:r>
              <w:noBreakHyphen/>
              <w:t>term use of service wharf by vessel, except as described in item 15 or by a vessel mentioned in item 16, per m of the vessel’s length, per day</w:t>
            </w:r>
          </w:p>
        </w:tc>
        <w:tc>
          <w:tcPr>
            <w:tcW w:w="996" w:type="dxa"/>
            <w:vAlign w:val="bottom"/>
          </w:tcPr>
          <w:p>
            <w:pPr>
              <w:pStyle w:val="yTableNAm"/>
              <w:jc w:val="right"/>
            </w:pPr>
            <w:r>
              <w:t>9.45</w:t>
            </w:r>
          </w:p>
        </w:tc>
      </w:tr>
      <w:tr>
        <w:trPr>
          <w:cantSplit/>
        </w:trPr>
        <w:tc>
          <w:tcPr>
            <w:tcW w:w="567" w:type="dxa"/>
          </w:tcPr>
          <w:p>
            <w:pPr>
              <w:pStyle w:val="yTableNAm"/>
            </w:pPr>
            <w:r>
              <w:t>18.</w:t>
            </w:r>
          </w:p>
        </w:tc>
        <w:tc>
          <w:tcPr>
            <w:tcW w:w="4390" w:type="dxa"/>
          </w:tcPr>
          <w:p>
            <w:pPr>
              <w:pStyle w:val="yTableNAm"/>
            </w:pPr>
            <w:r>
              <w:t>For use of service wharf hardstand or an appurtenant area for storage or maintenance (for short</w:t>
            </w:r>
            <w:r>
              <w:noBreakHyphen/>
              <w:t>term use only), per day —</w:t>
            </w:r>
          </w:p>
        </w:tc>
        <w:tc>
          <w:tcPr>
            <w:tcW w:w="996" w:type="dxa"/>
            <w:vAlign w:val="bottom"/>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per m</w:t>
            </w:r>
            <w:r>
              <w:rPr>
                <w:vertAlign w:val="superscript"/>
              </w:rPr>
              <w:t>2</w:t>
            </w:r>
          </w:p>
        </w:tc>
        <w:tc>
          <w:tcPr>
            <w:tcW w:w="996" w:type="dxa"/>
            <w:vAlign w:val="bottom"/>
          </w:tcPr>
          <w:p>
            <w:pPr>
              <w:pStyle w:val="yTableNAm"/>
              <w:jc w:val="right"/>
            </w:pPr>
            <w:r>
              <w:t>1.57</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minimum fee</w:t>
            </w:r>
          </w:p>
        </w:tc>
        <w:tc>
          <w:tcPr>
            <w:tcW w:w="996" w:type="dxa"/>
            <w:vAlign w:val="bottom"/>
          </w:tcPr>
          <w:p>
            <w:pPr>
              <w:pStyle w:val="yTableNAm"/>
              <w:jc w:val="right"/>
            </w:pPr>
            <w:r>
              <w:t>28.73</w:t>
            </w:r>
          </w:p>
        </w:tc>
      </w:tr>
      <w:tr>
        <w:trPr>
          <w:cantSplit/>
        </w:trPr>
        <w:tc>
          <w:tcPr>
            <w:tcW w:w="567" w:type="dxa"/>
          </w:tcPr>
          <w:p>
            <w:pPr>
              <w:pStyle w:val="yTableNAm"/>
              <w:keepNext/>
            </w:pPr>
            <w:r>
              <w:t>19.</w:t>
            </w:r>
          </w:p>
        </w:tc>
        <w:tc>
          <w:tcPr>
            <w:tcW w:w="4390" w:type="dxa"/>
          </w:tcPr>
          <w:p>
            <w:pPr>
              <w:pStyle w:val="yTableNAm"/>
              <w:keepNext/>
            </w:pPr>
            <w:r>
              <w:t xml:space="preserve">For use of boat ramp by commercial vessel — </w:t>
            </w:r>
          </w:p>
        </w:tc>
        <w:tc>
          <w:tcPr>
            <w:tcW w:w="996" w:type="dxa"/>
            <w:vAlign w:val="bottom"/>
          </w:tcPr>
          <w:p>
            <w:pPr>
              <w:pStyle w:val="yTableNAm"/>
              <w:keepNext/>
              <w:jc w:val="right"/>
            </w:pPr>
          </w:p>
        </w:tc>
      </w:tr>
      <w:tr>
        <w:trPr>
          <w:cantSplit/>
        </w:trPr>
        <w:tc>
          <w:tcPr>
            <w:tcW w:w="567" w:type="dxa"/>
          </w:tcPr>
          <w:p>
            <w:pPr>
              <w:pStyle w:val="yTableNAm"/>
              <w:keepNext/>
            </w:pPr>
          </w:p>
        </w:tc>
        <w:tc>
          <w:tcPr>
            <w:tcW w:w="4390" w:type="dxa"/>
          </w:tcPr>
          <w:p>
            <w:pPr>
              <w:pStyle w:val="yTableNAm"/>
              <w:keepNext/>
              <w:tabs>
                <w:tab w:val="clear" w:pos="567"/>
                <w:tab w:val="left" w:pos="415"/>
              </w:tabs>
              <w:ind w:left="415" w:hanging="415"/>
            </w:pPr>
            <w:r>
              <w:t>•</w:t>
            </w:r>
            <w:r>
              <w:tab/>
              <w:t>for 12 months paid in advance</w:t>
            </w:r>
          </w:p>
        </w:tc>
        <w:tc>
          <w:tcPr>
            <w:tcW w:w="996" w:type="dxa"/>
            <w:vAlign w:val="bottom"/>
          </w:tcPr>
          <w:p>
            <w:pPr>
              <w:pStyle w:val="yTableNAm"/>
              <w:keepNext/>
              <w:jc w:val="right"/>
            </w:pPr>
            <w:r>
              <w:t>780.50</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w:t>
            </w:r>
          </w:p>
        </w:tc>
        <w:tc>
          <w:tcPr>
            <w:tcW w:w="996" w:type="dxa"/>
            <w:vAlign w:val="bottom"/>
          </w:tcPr>
          <w:p>
            <w:pPr>
              <w:pStyle w:val="yTableNAm"/>
              <w:jc w:val="right"/>
            </w:pPr>
            <w:r>
              <w:t>156.12</w:t>
            </w:r>
          </w:p>
        </w:tc>
      </w:tr>
      <w:tr>
        <w:trPr>
          <w:cantSplit/>
        </w:trPr>
        <w:tc>
          <w:tcPr>
            <w:tcW w:w="567" w:type="dxa"/>
          </w:tcPr>
          <w:p>
            <w:pPr>
              <w:pStyle w:val="yTableNAm"/>
            </w:pPr>
            <w:r>
              <w:t>20.</w:t>
            </w:r>
          </w:p>
        </w:tc>
        <w:tc>
          <w:tcPr>
            <w:tcW w:w="4390" w:type="dxa"/>
          </w:tcPr>
          <w:p>
            <w:pPr>
              <w:pStyle w:val="yTableNAm"/>
            </w:pPr>
            <w:r>
              <w:t>For electricity supply, 3</w:t>
            </w:r>
            <w:r>
              <w:noBreakHyphen/>
              <w:t>phase or single —</w:t>
            </w:r>
          </w:p>
        </w:tc>
        <w:tc>
          <w:tcPr>
            <w:tcW w:w="996" w:type="dxa"/>
            <w:vAlign w:val="bottom"/>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if metered, for units consumed, per unit with a minimum amount as for the consumption of 50 units</w:t>
            </w:r>
          </w:p>
        </w:tc>
        <w:tc>
          <w:tcPr>
            <w:tcW w:w="996" w:type="dxa"/>
            <w:vAlign w:val="bottom"/>
          </w:tcPr>
          <w:p>
            <w:pPr>
              <w:pStyle w:val="yTableNAm"/>
              <w:jc w:val="right"/>
            </w:pPr>
            <w:r>
              <w:t>cost</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if metered, for meter reading</w:t>
            </w:r>
          </w:p>
        </w:tc>
        <w:tc>
          <w:tcPr>
            <w:tcW w:w="996" w:type="dxa"/>
            <w:vAlign w:val="bottom"/>
          </w:tcPr>
          <w:p>
            <w:pPr>
              <w:pStyle w:val="yTableNAm"/>
              <w:jc w:val="right"/>
            </w:pPr>
            <w:r>
              <w:t>cost</w:t>
            </w:r>
          </w:p>
        </w:tc>
      </w:tr>
      <w:tr>
        <w:trPr>
          <w:cantSplit/>
        </w:trPr>
        <w:tc>
          <w:tcPr>
            <w:tcW w:w="567" w:type="dxa"/>
          </w:tcPr>
          <w:p>
            <w:pPr>
              <w:pStyle w:val="yTableNAm"/>
            </w:pPr>
          </w:p>
        </w:tc>
        <w:tc>
          <w:tcPr>
            <w:tcW w:w="4390" w:type="dxa"/>
          </w:tcPr>
          <w:p>
            <w:pPr>
              <w:pStyle w:val="yTableNAm"/>
              <w:tabs>
                <w:tab w:val="clear" w:pos="567"/>
                <w:tab w:val="left" w:pos="415"/>
              </w:tabs>
              <w:ind w:left="415" w:hanging="415"/>
              <w:rPr>
                <w:b/>
                <w:i/>
              </w:rPr>
            </w:pPr>
            <w:r>
              <w:t>•</w:t>
            </w:r>
            <w:r>
              <w:tab/>
              <w:t>if not metered, per period of 12 hours or part of that period</w:t>
            </w:r>
          </w:p>
        </w:tc>
        <w:tc>
          <w:tcPr>
            <w:tcW w:w="996" w:type="dxa"/>
            <w:vAlign w:val="bottom"/>
          </w:tcPr>
          <w:p>
            <w:pPr>
              <w:pStyle w:val="yTableNAm"/>
              <w:jc w:val="right"/>
            </w:pPr>
            <w:r>
              <w:t>cost</w:t>
            </w:r>
          </w:p>
        </w:tc>
      </w:tr>
      <w:tr>
        <w:trPr>
          <w:cantSplit/>
        </w:trPr>
        <w:tc>
          <w:tcPr>
            <w:tcW w:w="567" w:type="dxa"/>
          </w:tcPr>
          <w:p>
            <w:pPr>
              <w:pStyle w:val="yTableNAm"/>
            </w:pPr>
            <w:r>
              <w:t>21.</w:t>
            </w:r>
          </w:p>
        </w:tc>
        <w:tc>
          <w:tcPr>
            <w:tcW w:w="4390" w:type="dxa"/>
          </w:tcPr>
          <w:p>
            <w:pPr>
              <w:pStyle w:val="yTableNAm"/>
            </w:pPr>
            <w:r>
              <w:t xml:space="preserve">For water supply — </w:t>
            </w:r>
          </w:p>
        </w:tc>
        <w:tc>
          <w:tcPr>
            <w:tcW w:w="996" w:type="dxa"/>
            <w:vAlign w:val="bottom"/>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to non</w:t>
            </w:r>
            <w:r>
              <w:noBreakHyphen/>
              <w:t>floating pen with walkway, metered</w:t>
            </w:r>
          </w:p>
        </w:tc>
        <w:tc>
          <w:tcPr>
            <w:tcW w:w="996" w:type="dxa"/>
            <w:vAlign w:val="bottom"/>
          </w:tcPr>
          <w:p>
            <w:pPr>
              <w:pStyle w:val="yTableNAm"/>
              <w:jc w:val="right"/>
            </w:pPr>
            <w:r>
              <w:t>cost</w:t>
            </w:r>
          </w:p>
        </w:tc>
      </w:tr>
      <w:tr>
        <w:trPr>
          <w:cantSplit/>
        </w:trPr>
        <w:tc>
          <w:tcPr>
            <w:tcW w:w="567" w:type="dxa"/>
          </w:tcPr>
          <w:p>
            <w:pPr>
              <w:pStyle w:val="yTableNAm"/>
            </w:pPr>
          </w:p>
        </w:tc>
        <w:tc>
          <w:tcPr>
            <w:tcW w:w="4390" w:type="dxa"/>
          </w:tcPr>
          <w:p>
            <w:pPr>
              <w:pStyle w:val="yTableNAm"/>
              <w:tabs>
                <w:tab w:val="clear" w:pos="567"/>
                <w:tab w:val="left" w:pos="415"/>
              </w:tabs>
              <w:ind w:left="415" w:hanging="415"/>
              <w:rPr>
                <w:b/>
                <w:i/>
              </w:rPr>
            </w:pPr>
            <w:r>
              <w:t>•</w:t>
            </w:r>
            <w:r>
              <w:tab/>
              <w:t>to service wharf or hardstand or elsewhere in large quantity, metered</w:t>
            </w:r>
          </w:p>
        </w:tc>
        <w:tc>
          <w:tcPr>
            <w:tcW w:w="996" w:type="dxa"/>
            <w:vAlign w:val="bottom"/>
          </w:tcPr>
          <w:p>
            <w:pPr>
              <w:pStyle w:val="yTableNAm"/>
              <w:jc w:val="right"/>
            </w:pPr>
            <w:r>
              <w:t>cost</w:t>
            </w:r>
          </w:p>
        </w:tc>
      </w:tr>
      <w:tr>
        <w:trPr>
          <w:cantSplit/>
        </w:trPr>
        <w:tc>
          <w:tcPr>
            <w:tcW w:w="567" w:type="dxa"/>
          </w:tcPr>
          <w:p>
            <w:pPr>
              <w:pStyle w:val="yTableNAm"/>
            </w:pPr>
            <w:r>
              <w:t>22.</w:t>
            </w:r>
          </w:p>
        </w:tc>
        <w:tc>
          <w:tcPr>
            <w:tcW w:w="4390" w:type="dxa"/>
          </w:tcPr>
          <w:p>
            <w:pPr>
              <w:pStyle w:val="yTableNAm"/>
            </w:pPr>
            <w:r>
              <w:t xml:space="preserve">For rubbish removal — </w:t>
            </w:r>
          </w:p>
        </w:tc>
        <w:tc>
          <w:tcPr>
            <w:tcW w:w="996" w:type="dxa"/>
            <w:vAlign w:val="bottom"/>
          </w:tcPr>
          <w:p>
            <w:pPr>
              <w:pStyle w:val="yTableNAm"/>
              <w:jc w:val="right"/>
            </w:pPr>
            <w:r>
              <w:t>cost</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excess quantity or from vessel not using harbour, minimum per half skip supplied and emptied</w:t>
            </w:r>
          </w:p>
        </w:tc>
        <w:tc>
          <w:tcPr>
            <w:tcW w:w="996" w:type="dxa"/>
            <w:vAlign w:val="bottom"/>
          </w:tcPr>
          <w:p>
            <w:pPr>
              <w:pStyle w:val="yTableNAm"/>
              <w:jc w:val="right"/>
            </w:pPr>
            <w:r>
              <w:t>cost</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waste oil drum not removed by owner, per 20 L drum</w:t>
            </w:r>
          </w:p>
        </w:tc>
        <w:tc>
          <w:tcPr>
            <w:tcW w:w="996" w:type="dxa"/>
            <w:vAlign w:val="bottom"/>
          </w:tcPr>
          <w:p>
            <w:pPr>
              <w:pStyle w:val="yTableNAm"/>
              <w:jc w:val="right"/>
            </w:pPr>
            <w:r>
              <w:t>cost</w:t>
            </w:r>
          </w:p>
        </w:tc>
      </w:tr>
      <w:tr>
        <w:trPr>
          <w:cantSplit/>
        </w:trPr>
        <w:tc>
          <w:tcPr>
            <w:tcW w:w="567" w:type="dxa"/>
            <w:tcBorders>
              <w:bottom w:val="single" w:sz="4" w:space="0" w:color="auto"/>
            </w:tcBorders>
          </w:tcPr>
          <w:p>
            <w:pPr>
              <w:pStyle w:val="yTableNAm"/>
            </w:pPr>
          </w:p>
        </w:tc>
        <w:tc>
          <w:tcPr>
            <w:tcW w:w="4390" w:type="dxa"/>
            <w:tcBorders>
              <w:bottom w:val="single" w:sz="4" w:space="0" w:color="auto"/>
            </w:tcBorders>
          </w:tcPr>
          <w:p>
            <w:pPr>
              <w:pStyle w:val="yTableNAm"/>
              <w:tabs>
                <w:tab w:val="clear" w:pos="567"/>
                <w:tab w:val="left" w:pos="415"/>
              </w:tabs>
              <w:ind w:left="415" w:hanging="415"/>
            </w:pPr>
            <w:r>
              <w:t>•</w:t>
            </w:r>
            <w:r>
              <w:tab/>
              <w:t>rubbish not put in supplied bins</w:t>
            </w:r>
          </w:p>
        </w:tc>
        <w:tc>
          <w:tcPr>
            <w:tcW w:w="996" w:type="dxa"/>
            <w:tcBorders>
              <w:bottom w:val="single" w:sz="4" w:space="0" w:color="auto"/>
            </w:tcBorders>
            <w:vAlign w:val="bottom"/>
          </w:tcPr>
          <w:p>
            <w:pPr>
              <w:pStyle w:val="yTableNAm"/>
              <w:jc w:val="right"/>
            </w:pPr>
            <w:r>
              <w:t>cost</w:t>
            </w:r>
          </w:p>
        </w:tc>
      </w:tr>
    </w:tbl>
    <w:p>
      <w:pPr>
        <w:pStyle w:val="yFootnotesection"/>
      </w:pPr>
      <w:r>
        <w:tab/>
        <w:t>[Clause 10 inserted in Gazette 28 Jun 2013 p. 2845</w:t>
      </w:r>
      <w:r>
        <w:noBreakHyphen/>
        <w:t>53.]</w:t>
      </w:r>
    </w:p>
    <w:p>
      <w:pPr>
        <w:pStyle w:val="yHeading5"/>
      </w:pPr>
      <w:bookmarkStart w:id="152" w:name="_Toc375231167"/>
      <w:r>
        <w:rPr>
          <w:rStyle w:val="CharSClsNo"/>
        </w:rPr>
        <w:t>11</w:t>
      </w:r>
      <w:r>
        <w:t>.</w:t>
      </w:r>
      <w:r>
        <w:rPr>
          <w:b w:val="0"/>
        </w:rPr>
        <w:tab/>
      </w:r>
      <w:smartTag w:uri="urn:schemas-microsoft-com:office:smarttags" w:element="place">
        <w:smartTag w:uri="urn:schemas-microsoft-com:office:smarttags" w:element="PlaceName">
          <w:r>
            <w:t>Fremantle</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152"/>
    </w:p>
    <w:p>
      <w:pPr>
        <w:pStyle w:val="ySubsection"/>
      </w:pPr>
      <w:r>
        <w:tab/>
        <w:t>(1)</w:t>
      </w:r>
      <w:r>
        <w:tab/>
        <w:t xml:space="preserve">This clause applies to the </w:t>
      </w:r>
      <w:smartTag w:uri="urn:schemas-microsoft-com:office:smarttags" w:element="place">
        <w:smartTag w:uri="urn:schemas-microsoft-com:office:smarttags" w:element="PlaceName">
          <w:r>
            <w:t>Fremantle</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fees and charges to be paid under regulation 94A are set out in Table 11.1.</w:t>
      </w:r>
    </w:p>
    <w:p>
      <w:pPr>
        <w:pStyle w:val="yTHeadingNAm"/>
      </w:pPr>
      <w:r>
        <w:t>Table 11.1 (Pen or berth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0" w:type="dxa"/>
            <w:tcBorders>
              <w:top w:val="single" w:sz="4" w:space="0" w:color="auto"/>
              <w:bottom w:val="single" w:sz="4" w:space="0" w:color="auto"/>
            </w:tcBorders>
          </w:tcPr>
          <w:p>
            <w:pPr>
              <w:pStyle w:val="yTableNAm"/>
              <w:rPr>
                <w:b/>
              </w:rPr>
            </w:pPr>
            <w:r>
              <w:rPr>
                <w:b/>
              </w:rPr>
              <w:t>Service</w:t>
            </w:r>
          </w:p>
        </w:tc>
        <w:tc>
          <w:tcPr>
            <w:tcW w:w="996"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0" w:type="dxa"/>
          </w:tcPr>
          <w:p>
            <w:pPr>
              <w:pStyle w:val="yTableNAm"/>
            </w:pPr>
            <w:r>
              <w:t xml:space="preserve">For pen or berth for commercial vessel under 20 m long, per m of the vessel’s length — </w:t>
            </w:r>
          </w:p>
        </w:tc>
        <w:tc>
          <w:tcPr>
            <w:tcW w:w="996" w:type="dxa"/>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12 months paid in advance</w:t>
            </w:r>
          </w:p>
        </w:tc>
        <w:tc>
          <w:tcPr>
            <w:tcW w:w="996" w:type="dxa"/>
          </w:tcPr>
          <w:p>
            <w:pPr>
              <w:pStyle w:val="yTableNAm"/>
              <w:jc w:val="right"/>
            </w:pPr>
            <w:r>
              <w:t>309.76</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months or more, per month, paid in advance</w:t>
            </w:r>
          </w:p>
        </w:tc>
        <w:tc>
          <w:tcPr>
            <w:tcW w:w="996" w:type="dxa"/>
          </w:tcPr>
          <w:p>
            <w:pPr>
              <w:pStyle w:val="yTableNAm"/>
              <w:jc w:val="right"/>
            </w:pPr>
            <w:r>
              <w:br/>
              <w:t>30.98</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 paid in advance</w:t>
            </w:r>
          </w:p>
        </w:tc>
        <w:tc>
          <w:tcPr>
            <w:tcW w:w="996" w:type="dxa"/>
          </w:tcPr>
          <w:p>
            <w:pPr>
              <w:pStyle w:val="yTableNAm"/>
              <w:jc w:val="right"/>
            </w:pPr>
            <w:r>
              <w:br/>
              <w:t>46.46</w:t>
            </w:r>
          </w:p>
        </w:tc>
      </w:tr>
      <w:tr>
        <w:trPr>
          <w:cantSplit/>
        </w:trPr>
        <w:tc>
          <w:tcPr>
            <w:tcW w:w="567" w:type="dxa"/>
          </w:tcPr>
          <w:p>
            <w:pPr>
              <w:pStyle w:val="yTableNAm"/>
            </w:pPr>
            <w:r>
              <w:t>2.</w:t>
            </w:r>
          </w:p>
        </w:tc>
        <w:tc>
          <w:tcPr>
            <w:tcW w:w="4390" w:type="dxa"/>
          </w:tcPr>
          <w:p>
            <w:pPr>
              <w:pStyle w:val="yTableNAm"/>
            </w:pPr>
            <w:r>
              <w:t xml:space="preserve">For pen or berth for commercial vessel 20 m long or over, per m of the vessel’s length — </w:t>
            </w:r>
          </w:p>
        </w:tc>
        <w:tc>
          <w:tcPr>
            <w:tcW w:w="996" w:type="dxa"/>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12 months paid in advance</w:t>
            </w:r>
          </w:p>
        </w:tc>
        <w:tc>
          <w:tcPr>
            <w:tcW w:w="996" w:type="dxa"/>
          </w:tcPr>
          <w:p>
            <w:pPr>
              <w:pStyle w:val="yTableNAm"/>
              <w:jc w:val="right"/>
            </w:pPr>
            <w:r>
              <w:t>404.62</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months or more, per month, paid in advance</w:t>
            </w:r>
          </w:p>
        </w:tc>
        <w:tc>
          <w:tcPr>
            <w:tcW w:w="996" w:type="dxa"/>
          </w:tcPr>
          <w:p>
            <w:pPr>
              <w:pStyle w:val="yTableNAm"/>
              <w:jc w:val="right"/>
            </w:pPr>
            <w:r>
              <w:br/>
              <w:t>40.47</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 paid in advance</w:t>
            </w:r>
          </w:p>
        </w:tc>
        <w:tc>
          <w:tcPr>
            <w:tcW w:w="996" w:type="dxa"/>
          </w:tcPr>
          <w:p>
            <w:pPr>
              <w:pStyle w:val="yTableNAm"/>
              <w:jc w:val="right"/>
            </w:pPr>
            <w:r>
              <w:br/>
              <w:t>60.70</w:t>
            </w:r>
          </w:p>
        </w:tc>
      </w:tr>
      <w:tr>
        <w:trPr>
          <w:cantSplit/>
        </w:trPr>
        <w:tc>
          <w:tcPr>
            <w:tcW w:w="567" w:type="dxa"/>
          </w:tcPr>
          <w:p>
            <w:pPr>
              <w:pStyle w:val="yTableNAm"/>
            </w:pPr>
            <w:r>
              <w:t>3.</w:t>
            </w:r>
          </w:p>
        </w:tc>
        <w:tc>
          <w:tcPr>
            <w:tcW w:w="4390" w:type="dxa"/>
          </w:tcPr>
          <w:p>
            <w:pPr>
              <w:pStyle w:val="yTableNAm"/>
            </w:pPr>
            <w:r>
              <w:t xml:space="preserve">For berth at end of floating jetty (Jetty 1) for commercial vessel, per m of the vessel’s length — </w:t>
            </w:r>
          </w:p>
        </w:tc>
        <w:tc>
          <w:tcPr>
            <w:tcW w:w="996" w:type="dxa"/>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 paid in advance</w:t>
            </w:r>
          </w:p>
        </w:tc>
        <w:tc>
          <w:tcPr>
            <w:tcW w:w="996" w:type="dxa"/>
          </w:tcPr>
          <w:p>
            <w:pPr>
              <w:pStyle w:val="yTableNAm"/>
              <w:jc w:val="right"/>
            </w:pPr>
            <w:r>
              <w:br/>
              <w:t>88.37</w:t>
            </w:r>
          </w:p>
        </w:tc>
      </w:tr>
      <w:tr>
        <w:trPr>
          <w:cantSplit/>
        </w:trPr>
        <w:tc>
          <w:tcPr>
            <w:tcW w:w="567" w:type="dxa"/>
          </w:tcPr>
          <w:p>
            <w:pPr>
              <w:pStyle w:val="yTableNAm"/>
            </w:pPr>
            <w:r>
              <w:t>4.</w:t>
            </w:r>
          </w:p>
        </w:tc>
        <w:tc>
          <w:tcPr>
            <w:tcW w:w="4390" w:type="dxa"/>
          </w:tcPr>
          <w:p>
            <w:pPr>
              <w:pStyle w:val="yTableNAm"/>
            </w:pPr>
            <w:r>
              <w:t xml:space="preserve">For berth at end of floating jetty (Jetty 1) for recreational vessel, per m of the vessel’s length — </w:t>
            </w:r>
          </w:p>
        </w:tc>
        <w:tc>
          <w:tcPr>
            <w:tcW w:w="996" w:type="dxa"/>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 paid in advance</w:t>
            </w:r>
          </w:p>
        </w:tc>
        <w:tc>
          <w:tcPr>
            <w:tcW w:w="996" w:type="dxa"/>
          </w:tcPr>
          <w:p>
            <w:pPr>
              <w:pStyle w:val="yTableNAm"/>
              <w:jc w:val="right"/>
            </w:pPr>
            <w:r>
              <w:br/>
              <w:t>81.77</w:t>
            </w:r>
          </w:p>
        </w:tc>
      </w:tr>
      <w:tr>
        <w:trPr>
          <w:cantSplit/>
        </w:trPr>
        <w:tc>
          <w:tcPr>
            <w:tcW w:w="567" w:type="dxa"/>
          </w:tcPr>
          <w:p>
            <w:pPr>
              <w:pStyle w:val="yTableNAm"/>
            </w:pPr>
            <w:r>
              <w:t>5.</w:t>
            </w:r>
          </w:p>
        </w:tc>
        <w:tc>
          <w:tcPr>
            <w:tcW w:w="4390" w:type="dxa"/>
          </w:tcPr>
          <w:p>
            <w:pPr>
              <w:pStyle w:val="yTableNAm"/>
            </w:pPr>
            <w:r>
              <w:t xml:space="preserve">For pen or berth for recreational vessel, per m of the vessel’s length — </w:t>
            </w:r>
          </w:p>
        </w:tc>
        <w:tc>
          <w:tcPr>
            <w:tcW w:w="996" w:type="dxa"/>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12 months paid in advance</w:t>
            </w:r>
          </w:p>
        </w:tc>
        <w:tc>
          <w:tcPr>
            <w:tcW w:w="996" w:type="dxa"/>
          </w:tcPr>
          <w:p>
            <w:pPr>
              <w:pStyle w:val="yTableNAm"/>
              <w:jc w:val="right"/>
            </w:pPr>
            <w:r>
              <w:t>441.71</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months or more, per month, paid in advance</w:t>
            </w:r>
          </w:p>
        </w:tc>
        <w:tc>
          <w:tcPr>
            <w:tcW w:w="996" w:type="dxa"/>
          </w:tcPr>
          <w:p>
            <w:pPr>
              <w:pStyle w:val="yTableNAm"/>
              <w:jc w:val="right"/>
            </w:pPr>
            <w:r>
              <w:br/>
              <w:t>44.18</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 paid in advance</w:t>
            </w:r>
          </w:p>
        </w:tc>
        <w:tc>
          <w:tcPr>
            <w:tcW w:w="996" w:type="dxa"/>
          </w:tcPr>
          <w:p>
            <w:pPr>
              <w:pStyle w:val="yTableNAm"/>
              <w:jc w:val="right"/>
            </w:pPr>
            <w:r>
              <w:br/>
              <w:t>66.26</w:t>
            </w:r>
          </w:p>
        </w:tc>
      </w:tr>
      <w:tr>
        <w:trPr>
          <w:cantSplit/>
        </w:trPr>
        <w:tc>
          <w:tcPr>
            <w:tcW w:w="567" w:type="dxa"/>
          </w:tcPr>
          <w:p>
            <w:pPr>
              <w:pStyle w:val="yTableNAm"/>
            </w:pPr>
            <w:r>
              <w:t>6.</w:t>
            </w:r>
          </w:p>
        </w:tc>
        <w:tc>
          <w:tcPr>
            <w:tcW w:w="4390" w:type="dxa"/>
          </w:tcPr>
          <w:p>
            <w:pPr>
              <w:pStyle w:val="yTableNAm"/>
            </w:pPr>
            <w:r>
              <w:t>For pen or berth for vessel, per m of the vessel’s length —</w:t>
            </w:r>
          </w:p>
        </w:tc>
        <w:tc>
          <w:tcPr>
            <w:tcW w:w="996" w:type="dxa"/>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week or more, per week, paid in advance</w:t>
            </w:r>
          </w:p>
        </w:tc>
        <w:tc>
          <w:tcPr>
            <w:tcW w:w="996" w:type="dxa"/>
          </w:tcPr>
          <w:p>
            <w:pPr>
              <w:pStyle w:val="yTableNAm"/>
              <w:jc w:val="right"/>
            </w:pPr>
            <w:r>
              <w:br/>
              <w:t>45.05</w:t>
            </w:r>
          </w:p>
        </w:tc>
      </w:tr>
      <w:tr>
        <w:trPr>
          <w:cantSplit/>
        </w:trPr>
        <w:tc>
          <w:tcPr>
            <w:tcW w:w="567" w:type="dxa"/>
            <w:tcBorders>
              <w:bottom w:val="single" w:sz="4" w:space="0" w:color="auto"/>
            </w:tcBorders>
          </w:tcPr>
          <w:p>
            <w:pPr>
              <w:pStyle w:val="yTableNAm"/>
            </w:pPr>
          </w:p>
        </w:tc>
        <w:tc>
          <w:tcPr>
            <w:tcW w:w="4390" w:type="dxa"/>
            <w:tcBorders>
              <w:bottom w:val="single" w:sz="4" w:space="0" w:color="auto"/>
            </w:tcBorders>
          </w:tcPr>
          <w:p>
            <w:pPr>
              <w:pStyle w:val="yTableNAm"/>
              <w:tabs>
                <w:tab w:val="clear" w:pos="567"/>
                <w:tab w:val="left" w:pos="415"/>
              </w:tabs>
              <w:ind w:left="415" w:hanging="415"/>
            </w:pPr>
            <w:r>
              <w:t>•</w:t>
            </w:r>
            <w:r>
              <w:tab/>
              <w:t>otherwise, per day</w:t>
            </w:r>
          </w:p>
        </w:tc>
        <w:tc>
          <w:tcPr>
            <w:tcW w:w="996" w:type="dxa"/>
            <w:tcBorders>
              <w:bottom w:val="single" w:sz="4" w:space="0" w:color="auto"/>
            </w:tcBorders>
          </w:tcPr>
          <w:p>
            <w:pPr>
              <w:pStyle w:val="yTableNAm"/>
              <w:jc w:val="right"/>
            </w:pPr>
            <w:r>
              <w:t>9.01</w:t>
            </w:r>
          </w:p>
        </w:tc>
      </w:tr>
    </w:tbl>
    <w:p>
      <w:pPr>
        <w:pStyle w:val="yFootnotesection"/>
      </w:pPr>
      <w:r>
        <w:tab/>
        <w:t>[Clause 11 inserted in Gazette 28 Jun 2013 p. 2853</w:t>
      </w:r>
      <w:r>
        <w:noBreakHyphen/>
        <w:t>5.]</w:t>
      </w:r>
    </w:p>
    <w:p>
      <w:pPr>
        <w:pStyle w:val="yHeading5"/>
      </w:pPr>
      <w:bookmarkStart w:id="153" w:name="_Toc375231168"/>
      <w:r>
        <w:rPr>
          <w:rStyle w:val="CharSClsNo"/>
        </w:rPr>
        <w:t>12</w:t>
      </w:r>
      <w:r>
        <w:t>.</w:t>
      </w:r>
      <w:r>
        <w:rPr>
          <w:b w:val="0"/>
        </w:rPr>
        <w:tab/>
      </w:r>
      <w:r>
        <w:t xml:space="preserve">Geraldton, </w:t>
      </w:r>
      <w:smartTag w:uri="urn:schemas-microsoft-com:office:smarttags" w:element="place">
        <w:smartTag w:uri="urn:schemas-microsoft-com:office:smarttags" w:element="PlaceName">
          <w:r>
            <w:t>Batavia</w:t>
          </w:r>
        </w:smartTag>
        <w:r>
          <w:t xml:space="preserve"> </w:t>
        </w:r>
        <w:smartTag w:uri="urn:schemas-microsoft-com:office:smarttags" w:element="PlaceType">
          <w:r>
            <w:t>Coast</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153"/>
    </w:p>
    <w:p>
      <w:pPr>
        <w:pStyle w:val="ySubsection"/>
      </w:pPr>
      <w:r>
        <w:tab/>
        <w:t>(1)</w:t>
      </w:r>
      <w:r>
        <w:tab/>
        <w:t xml:space="preserve">This clause applies to the </w:t>
      </w:r>
      <w:smartTag w:uri="urn:schemas-microsoft-com:office:smarttags" w:element="place">
        <w:smartTag w:uri="urn:schemas-microsoft-com:office:smarttags" w:element="PlaceName">
          <w:r>
            <w:t>Batavia</w:t>
          </w:r>
        </w:smartTag>
        <w:r>
          <w:t xml:space="preserve"> </w:t>
        </w:r>
        <w:smartTag w:uri="urn:schemas-microsoft-com:office:smarttags" w:element="PlaceType">
          <w:r>
            <w:t>Coast</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Geraldton.</w:t>
      </w:r>
    </w:p>
    <w:p>
      <w:pPr>
        <w:pStyle w:val="ySubsection"/>
      </w:pPr>
      <w:r>
        <w:tab/>
        <w:t>(2)</w:t>
      </w:r>
      <w:r>
        <w:tab/>
        <w:t>The fees and charges to be paid under regulations 6 and 94A are set out in Table 12.1.</w:t>
      </w:r>
    </w:p>
    <w:p>
      <w:pPr>
        <w:pStyle w:val="ySubsection"/>
      </w:pPr>
      <w:r>
        <w:tab/>
        <w:t>(3)</w:t>
      </w:r>
      <w:r>
        <w:tab/>
        <w:t>In Table 12.1 the chargeable length for a pen is —</w:t>
      </w:r>
    </w:p>
    <w:p>
      <w:pPr>
        <w:pStyle w:val="yIndenta"/>
      </w:pPr>
      <w:r>
        <w:tab/>
        <w:t>(a)</w:t>
      </w:r>
      <w:r>
        <w:tab/>
        <w:t>if the pen is 10 m long, 8 m;</w:t>
      </w:r>
    </w:p>
    <w:p>
      <w:pPr>
        <w:pStyle w:val="yIndenta"/>
      </w:pPr>
      <w:r>
        <w:tab/>
        <w:t>(b)</w:t>
      </w:r>
      <w:r>
        <w:tab/>
        <w:t>if the pen is 12 m long, 9.6 m;</w:t>
      </w:r>
    </w:p>
    <w:p>
      <w:pPr>
        <w:pStyle w:val="yIndenta"/>
      </w:pPr>
      <w:r>
        <w:tab/>
        <w:t>(c)</w:t>
      </w:r>
      <w:r>
        <w:tab/>
        <w:t>if the pen is 15 m long, 12 m;</w:t>
      </w:r>
    </w:p>
    <w:p>
      <w:pPr>
        <w:pStyle w:val="yIndenta"/>
      </w:pPr>
      <w:r>
        <w:tab/>
        <w:t>(d)</w:t>
      </w:r>
      <w:r>
        <w:tab/>
        <w:t>if the pen is 18 m long, 14.4 m;</w:t>
      </w:r>
    </w:p>
    <w:p>
      <w:pPr>
        <w:pStyle w:val="yIndenta"/>
      </w:pPr>
      <w:r>
        <w:tab/>
        <w:t>(e)</w:t>
      </w:r>
      <w:r>
        <w:tab/>
        <w:t>if the pen is 20 m long, 16 m.</w:t>
      </w:r>
    </w:p>
    <w:p>
      <w:pPr>
        <w:pStyle w:val="yTHeadingNAm"/>
      </w:pPr>
      <w:r>
        <w:tab/>
        <w:t>Table 12.1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252"/>
        <w:gridCol w:w="1134"/>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252" w:type="dxa"/>
            <w:tcBorders>
              <w:top w:val="single" w:sz="4" w:space="0" w:color="auto"/>
              <w:bottom w:val="single" w:sz="4" w:space="0" w:color="auto"/>
            </w:tcBorders>
          </w:tcPr>
          <w:p>
            <w:pPr>
              <w:pStyle w:val="yTableNAm"/>
              <w:rPr>
                <w:b/>
              </w:rPr>
            </w:pPr>
            <w:r>
              <w:rPr>
                <w:b/>
              </w:rPr>
              <w:t>Service</w:t>
            </w:r>
          </w:p>
        </w:tc>
        <w:tc>
          <w:tcPr>
            <w:tcW w:w="1134"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252" w:type="dxa"/>
          </w:tcPr>
          <w:p>
            <w:pPr>
              <w:pStyle w:val="yTableNAm"/>
            </w:pPr>
            <w:r>
              <w:t xml:space="preserve">For pen for commercial vessel, per m of the longer of the vessel’s length and the chargeable length for the pen — </w:t>
            </w:r>
          </w:p>
        </w:tc>
        <w:tc>
          <w:tcPr>
            <w:tcW w:w="1134" w:type="dxa"/>
          </w:tcPr>
          <w:p>
            <w:pPr>
              <w:pStyle w:val="yTableNAm"/>
              <w:jc w:val="right"/>
            </w:pP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12 months paid in advance</w:t>
            </w:r>
          </w:p>
        </w:tc>
        <w:tc>
          <w:tcPr>
            <w:tcW w:w="1134" w:type="dxa"/>
          </w:tcPr>
          <w:p>
            <w:pPr>
              <w:pStyle w:val="yTableNAm"/>
              <w:jc w:val="right"/>
            </w:pPr>
            <w:r>
              <w:t>394.00</w:t>
            </w: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3 months or more, per month, paid in advance</w:t>
            </w:r>
          </w:p>
        </w:tc>
        <w:tc>
          <w:tcPr>
            <w:tcW w:w="1134" w:type="dxa"/>
          </w:tcPr>
          <w:p>
            <w:pPr>
              <w:pStyle w:val="yTableNAm"/>
              <w:jc w:val="right"/>
            </w:pPr>
            <w:r>
              <w:br/>
              <w:t>39.41</w:t>
            </w: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one month or more, per month, paid in advance</w:t>
            </w:r>
          </w:p>
        </w:tc>
        <w:tc>
          <w:tcPr>
            <w:tcW w:w="1134" w:type="dxa"/>
          </w:tcPr>
          <w:p>
            <w:pPr>
              <w:pStyle w:val="yTableNAm"/>
              <w:jc w:val="right"/>
            </w:pPr>
            <w:r>
              <w:br/>
              <w:t>59.10</w:t>
            </w: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one week or more, per week, paid in advance</w:t>
            </w:r>
          </w:p>
        </w:tc>
        <w:tc>
          <w:tcPr>
            <w:tcW w:w="1134" w:type="dxa"/>
          </w:tcPr>
          <w:p>
            <w:pPr>
              <w:pStyle w:val="yTableNAm"/>
              <w:jc w:val="right"/>
            </w:pPr>
            <w:r>
              <w:br/>
              <w:t>37.53</w:t>
            </w: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3 days paid in advance</w:t>
            </w:r>
          </w:p>
        </w:tc>
        <w:tc>
          <w:tcPr>
            <w:tcW w:w="1134" w:type="dxa"/>
          </w:tcPr>
          <w:p>
            <w:pPr>
              <w:pStyle w:val="yTableNAm"/>
              <w:jc w:val="right"/>
            </w:pPr>
            <w:r>
              <w:t>15.01</w:t>
            </w: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otherwise, per day</w:t>
            </w:r>
          </w:p>
        </w:tc>
        <w:tc>
          <w:tcPr>
            <w:tcW w:w="1134" w:type="dxa"/>
          </w:tcPr>
          <w:p>
            <w:pPr>
              <w:pStyle w:val="yTableNAm"/>
              <w:jc w:val="right"/>
            </w:pPr>
            <w:r>
              <w:t>7.50</w:t>
            </w:r>
          </w:p>
        </w:tc>
      </w:tr>
      <w:tr>
        <w:trPr>
          <w:cantSplit/>
        </w:trPr>
        <w:tc>
          <w:tcPr>
            <w:tcW w:w="567" w:type="dxa"/>
          </w:tcPr>
          <w:p>
            <w:pPr>
              <w:pStyle w:val="yTableNAm"/>
            </w:pPr>
            <w:r>
              <w:t>2.</w:t>
            </w:r>
          </w:p>
        </w:tc>
        <w:tc>
          <w:tcPr>
            <w:tcW w:w="4252" w:type="dxa"/>
          </w:tcPr>
          <w:p>
            <w:pPr>
              <w:pStyle w:val="yTableNAm"/>
            </w:pPr>
            <w:r>
              <w:t xml:space="preserve">For pen for recreational vessel, per m of the longer of the vessel’s length and the chargeable length for the pen — </w:t>
            </w:r>
          </w:p>
        </w:tc>
        <w:tc>
          <w:tcPr>
            <w:tcW w:w="1134" w:type="dxa"/>
          </w:tcPr>
          <w:p>
            <w:pPr>
              <w:pStyle w:val="yTableNAm"/>
              <w:jc w:val="right"/>
            </w:pP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12 months paid in advance</w:t>
            </w:r>
          </w:p>
        </w:tc>
        <w:tc>
          <w:tcPr>
            <w:tcW w:w="1134" w:type="dxa"/>
          </w:tcPr>
          <w:p>
            <w:pPr>
              <w:pStyle w:val="yTableNAm"/>
              <w:jc w:val="right"/>
            </w:pPr>
            <w:r>
              <w:t>394.00</w:t>
            </w: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3 months or more, per month, paid in advance</w:t>
            </w:r>
          </w:p>
        </w:tc>
        <w:tc>
          <w:tcPr>
            <w:tcW w:w="1134" w:type="dxa"/>
          </w:tcPr>
          <w:p>
            <w:pPr>
              <w:pStyle w:val="yTableNAm"/>
              <w:jc w:val="right"/>
            </w:pPr>
            <w:r>
              <w:br/>
              <w:t>39.41</w:t>
            </w: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one month or more, per month, paid in advance</w:t>
            </w:r>
          </w:p>
        </w:tc>
        <w:tc>
          <w:tcPr>
            <w:tcW w:w="1134" w:type="dxa"/>
          </w:tcPr>
          <w:p>
            <w:pPr>
              <w:pStyle w:val="yTableNAm"/>
              <w:jc w:val="right"/>
            </w:pPr>
            <w:r>
              <w:br/>
              <w:t>59.10</w:t>
            </w: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one week or more, per week, paid in advance</w:t>
            </w:r>
          </w:p>
        </w:tc>
        <w:tc>
          <w:tcPr>
            <w:tcW w:w="1134" w:type="dxa"/>
          </w:tcPr>
          <w:p>
            <w:pPr>
              <w:pStyle w:val="yTableNAm"/>
              <w:jc w:val="right"/>
            </w:pPr>
            <w:r>
              <w:br/>
              <w:t>26.27</w:t>
            </w: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3 days paid in advance</w:t>
            </w:r>
          </w:p>
        </w:tc>
        <w:tc>
          <w:tcPr>
            <w:tcW w:w="1134" w:type="dxa"/>
          </w:tcPr>
          <w:p>
            <w:pPr>
              <w:pStyle w:val="yTableNAm"/>
              <w:jc w:val="right"/>
            </w:pPr>
            <w:r>
              <w:t>10.51</w:t>
            </w: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otherwise, per day</w:t>
            </w:r>
          </w:p>
        </w:tc>
        <w:tc>
          <w:tcPr>
            <w:tcW w:w="1134" w:type="dxa"/>
          </w:tcPr>
          <w:p>
            <w:pPr>
              <w:pStyle w:val="yTableNAm"/>
              <w:jc w:val="right"/>
            </w:pPr>
            <w:r>
              <w:t>5.27</w:t>
            </w:r>
          </w:p>
        </w:tc>
      </w:tr>
      <w:tr>
        <w:trPr>
          <w:cantSplit/>
        </w:trPr>
        <w:tc>
          <w:tcPr>
            <w:tcW w:w="567" w:type="dxa"/>
          </w:tcPr>
          <w:p>
            <w:pPr>
              <w:pStyle w:val="yTableNAm"/>
            </w:pPr>
            <w:r>
              <w:t>3.</w:t>
            </w:r>
          </w:p>
        </w:tc>
        <w:tc>
          <w:tcPr>
            <w:tcW w:w="4252" w:type="dxa"/>
          </w:tcPr>
          <w:p>
            <w:pPr>
              <w:pStyle w:val="yTableNAm"/>
            </w:pPr>
            <w:r>
              <w:t>For living on board a vessel, per vessel, per month</w:t>
            </w:r>
          </w:p>
        </w:tc>
        <w:tc>
          <w:tcPr>
            <w:tcW w:w="1134" w:type="dxa"/>
          </w:tcPr>
          <w:p>
            <w:pPr>
              <w:pStyle w:val="yTableNAm"/>
              <w:jc w:val="right"/>
            </w:pPr>
            <w:r>
              <w:br/>
              <w:t>130.69</w:t>
            </w:r>
          </w:p>
        </w:tc>
      </w:tr>
      <w:tr>
        <w:trPr>
          <w:cantSplit/>
        </w:trPr>
        <w:tc>
          <w:tcPr>
            <w:tcW w:w="567" w:type="dxa"/>
          </w:tcPr>
          <w:p>
            <w:pPr>
              <w:pStyle w:val="yTableNAm"/>
            </w:pPr>
            <w:r>
              <w:t>4.</w:t>
            </w:r>
          </w:p>
        </w:tc>
        <w:tc>
          <w:tcPr>
            <w:tcW w:w="4252" w:type="dxa"/>
          </w:tcPr>
          <w:p>
            <w:pPr>
              <w:pStyle w:val="yTableNAm"/>
            </w:pPr>
            <w:r>
              <w:t>For use of service jetty for short time just to load or unload vessel, unless the item 1 or 2 fee has been paid for the vessel —</w:t>
            </w:r>
          </w:p>
        </w:tc>
        <w:tc>
          <w:tcPr>
            <w:tcW w:w="1134" w:type="dxa"/>
          </w:tcPr>
          <w:p>
            <w:pPr>
              <w:pStyle w:val="yTableNAm"/>
              <w:jc w:val="right"/>
            </w:pP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12 months, per vessel paid in advance</w:t>
            </w:r>
          </w:p>
        </w:tc>
        <w:tc>
          <w:tcPr>
            <w:tcW w:w="1134" w:type="dxa"/>
          </w:tcPr>
          <w:p>
            <w:pPr>
              <w:pStyle w:val="yTableNAm"/>
              <w:jc w:val="right"/>
            </w:pPr>
            <w:r>
              <w:t>1 126.12</w:t>
            </w: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per m of the vessel’s length, per day</w:t>
            </w:r>
          </w:p>
        </w:tc>
        <w:tc>
          <w:tcPr>
            <w:tcW w:w="1134" w:type="dxa"/>
          </w:tcPr>
          <w:p>
            <w:pPr>
              <w:pStyle w:val="yTableNAm"/>
              <w:jc w:val="right"/>
            </w:pPr>
            <w:r>
              <w:t>3.75</w:t>
            </w:r>
          </w:p>
        </w:tc>
      </w:tr>
      <w:tr>
        <w:trPr>
          <w:cantSplit/>
        </w:trPr>
        <w:tc>
          <w:tcPr>
            <w:tcW w:w="567" w:type="dxa"/>
          </w:tcPr>
          <w:p>
            <w:pPr>
              <w:pStyle w:val="yTableNAm"/>
            </w:pPr>
            <w:r>
              <w:t>5.</w:t>
            </w:r>
          </w:p>
        </w:tc>
        <w:tc>
          <w:tcPr>
            <w:tcW w:w="4252" w:type="dxa"/>
          </w:tcPr>
          <w:p>
            <w:pPr>
              <w:pStyle w:val="yTableNAm"/>
            </w:pPr>
            <w:r>
              <w:t>For use of pen, berth or service jetty by cruise liner transfer vessel to load or unload passengers —</w:t>
            </w:r>
          </w:p>
        </w:tc>
        <w:tc>
          <w:tcPr>
            <w:tcW w:w="1134" w:type="dxa"/>
          </w:tcPr>
          <w:p>
            <w:pPr>
              <w:pStyle w:val="yTableNAm"/>
              <w:jc w:val="right"/>
            </w:pP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per m of the vessel’s length, per day</w:t>
            </w:r>
          </w:p>
        </w:tc>
        <w:tc>
          <w:tcPr>
            <w:tcW w:w="1134" w:type="dxa"/>
          </w:tcPr>
          <w:p>
            <w:pPr>
              <w:pStyle w:val="yTableNAm"/>
              <w:jc w:val="right"/>
            </w:pPr>
            <w:r>
              <w:t>9.45</w:t>
            </w: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plus, per passenger</w:t>
            </w:r>
          </w:p>
        </w:tc>
        <w:tc>
          <w:tcPr>
            <w:tcW w:w="1134" w:type="dxa"/>
          </w:tcPr>
          <w:p>
            <w:pPr>
              <w:pStyle w:val="yTableNAm"/>
              <w:jc w:val="right"/>
            </w:pPr>
            <w:r>
              <w:t>4.04</w:t>
            </w:r>
          </w:p>
        </w:tc>
      </w:tr>
      <w:tr>
        <w:trPr>
          <w:cantSplit/>
        </w:trPr>
        <w:tc>
          <w:tcPr>
            <w:tcW w:w="567" w:type="dxa"/>
          </w:tcPr>
          <w:p>
            <w:pPr>
              <w:pStyle w:val="yTableNAm"/>
            </w:pPr>
            <w:r>
              <w:t>6.</w:t>
            </w:r>
          </w:p>
        </w:tc>
        <w:tc>
          <w:tcPr>
            <w:tcW w:w="4252" w:type="dxa"/>
          </w:tcPr>
          <w:p>
            <w:pPr>
              <w:pStyle w:val="yTableNAm"/>
            </w:pPr>
            <w:r>
              <w:t>For use of pen at Jetty B for commercial or recreational vessel for 12 months, per vessel paid in advance</w:t>
            </w:r>
          </w:p>
        </w:tc>
        <w:tc>
          <w:tcPr>
            <w:tcW w:w="1134" w:type="dxa"/>
          </w:tcPr>
          <w:p>
            <w:pPr>
              <w:pStyle w:val="yTableNAm"/>
              <w:jc w:val="right"/>
            </w:pP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12 m pen</w:t>
            </w:r>
          </w:p>
        </w:tc>
        <w:tc>
          <w:tcPr>
            <w:tcW w:w="1134" w:type="dxa"/>
          </w:tcPr>
          <w:p>
            <w:pPr>
              <w:pStyle w:val="yTableNAm"/>
              <w:jc w:val="right"/>
            </w:pPr>
            <w:r>
              <w:t>6 171.66</w:t>
            </w: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15 m pen</w:t>
            </w:r>
          </w:p>
        </w:tc>
        <w:tc>
          <w:tcPr>
            <w:tcW w:w="1134" w:type="dxa"/>
          </w:tcPr>
          <w:p>
            <w:pPr>
              <w:pStyle w:val="yTableNAm"/>
              <w:jc w:val="right"/>
            </w:pPr>
            <w:r>
              <w:t>7 714.58</w:t>
            </w: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18 m pen</w:t>
            </w:r>
          </w:p>
        </w:tc>
        <w:tc>
          <w:tcPr>
            <w:tcW w:w="1134" w:type="dxa"/>
          </w:tcPr>
          <w:p>
            <w:pPr>
              <w:pStyle w:val="yTableNAm"/>
              <w:jc w:val="right"/>
            </w:pPr>
            <w:r>
              <w:t>9 257.49</w:t>
            </w: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20 m pen</w:t>
            </w:r>
          </w:p>
        </w:tc>
        <w:tc>
          <w:tcPr>
            <w:tcW w:w="1134" w:type="dxa"/>
          </w:tcPr>
          <w:p>
            <w:pPr>
              <w:pStyle w:val="yTableNAm"/>
              <w:jc w:val="right"/>
            </w:pPr>
            <w:r>
              <w:t>10 286.10</w:t>
            </w: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22 m pen</w:t>
            </w:r>
          </w:p>
        </w:tc>
        <w:tc>
          <w:tcPr>
            <w:tcW w:w="1134" w:type="dxa"/>
          </w:tcPr>
          <w:p>
            <w:pPr>
              <w:pStyle w:val="yTableNAm"/>
              <w:jc w:val="right"/>
            </w:pPr>
            <w:r>
              <w:t>11 314.71</w:t>
            </w:r>
          </w:p>
        </w:tc>
      </w:tr>
      <w:tr>
        <w:trPr>
          <w:cantSplit/>
        </w:trPr>
        <w:tc>
          <w:tcPr>
            <w:tcW w:w="567" w:type="dxa"/>
          </w:tcPr>
          <w:p>
            <w:pPr>
              <w:pStyle w:val="yTableNAm"/>
            </w:pPr>
            <w:r>
              <w:t>7.</w:t>
            </w:r>
          </w:p>
        </w:tc>
        <w:tc>
          <w:tcPr>
            <w:tcW w:w="4252" w:type="dxa"/>
          </w:tcPr>
          <w:p>
            <w:pPr>
              <w:pStyle w:val="yTableNAm"/>
            </w:pPr>
            <w:r>
              <w:t>For use of pen at Jetty B for commercial or recreational vessel for 3 months or more, per vessel, per month, paid in advance</w:t>
            </w:r>
          </w:p>
        </w:tc>
        <w:tc>
          <w:tcPr>
            <w:tcW w:w="1134" w:type="dxa"/>
          </w:tcPr>
          <w:p>
            <w:pPr>
              <w:pStyle w:val="yTableNAm"/>
              <w:jc w:val="right"/>
            </w:pP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12 m pen</w:t>
            </w:r>
          </w:p>
        </w:tc>
        <w:tc>
          <w:tcPr>
            <w:tcW w:w="1134" w:type="dxa"/>
          </w:tcPr>
          <w:p>
            <w:pPr>
              <w:pStyle w:val="yTableNAm"/>
              <w:jc w:val="right"/>
            </w:pPr>
            <w:r>
              <w:t>617.17</w:t>
            </w: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15 m pen</w:t>
            </w:r>
          </w:p>
        </w:tc>
        <w:tc>
          <w:tcPr>
            <w:tcW w:w="1134" w:type="dxa"/>
          </w:tcPr>
          <w:p>
            <w:pPr>
              <w:pStyle w:val="yTableNAm"/>
              <w:jc w:val="right"/>
            </w:pPr>
            <w:r>
              <w:t>771.46</w:t>
            </w: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18 m pen</w:t>
            </w:r>
          </w:p>
        </w:tc>
        <w:tc>
          <w:tcPr>
            <w:tcW w:w="1134" w:type="dxa"/>
          </w:tcPr>
          <w:p>
            <w:pPr>
              <w:pStyle w:val="yTableNAm"/>
              <w:jc w:val="right"/>
            </w:pPr>
            <w:r>
              <w:t>925.75</w:t>
            </w: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20 m pen</w:t>
            </w:r>
          </w:p>
        </w:tc>
        <w:tc>
          <w:tcPr>
            <w:tcW w:w="1134" w:type="dxa"/>
          </w:tcPr>
          <w:p>
            <w:pPr>
              <w:pStyle w:val="yTableNAm"/>
              <w:jc w:val="right"/>
            </w:pPr>
            <w:r>
              <w:t>1 028.61</w:t>
            </w: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22 m pen</w:t>
            </w:r>
          </w:p>
        </w:tc>
        <w:tc>
          <w:tcPr>
            <w:tcW w:w="1134" w:type="dxa"/>
          </w:tcPr>
          <w:p>
            <w:pPr>
              <w:pStyle w:val="yTableNAm"/>
              <w:jc w:val="right"/>
            </w:pPr>
            <w:r>
              <w:t>1 131.47</w:t>
            </w:r>
          </w:p>
        </w:tc>
      </w:tr>
      <w:tr>
        <w:trPr>
          <w:cantSplit/>
        </w:trPr>
        <w:tc>
          <w:tcPr>
            <w:tcW w:w="567" w:type="dxa"/>
          </w:tcPr>
          <w:p>
            <w:pPr>
              <w:pStyle w:val="yTableNAm"/>
            </w:pPr>
            <w:r>
              <w:t>8.</w:t>
            </w:r>
          </w:p>
        </w:tc>
        <w:tc>
          <w:tcPr>
            <w:tcW w:w="4252" w:type="dxa"/>
          </w:tcPr>
          <w:p>
            <w:pPr>
              <w:pStyle w:val="yTableNAm"/>
            </w:pPr>
            <w:r>
              <w:t>For use of pen at Jetty B for commercial or recreational vessel for one month or more, per vessel, per month, paid in advance</w:t>
            </w:r>
          </w:p>
        </w:tc>
        <w:tc>
          <w:tcPr>
            <w:tcW w:w="1134" w:type="dxa"/>
          </w:tcPr>
          <w:p>
            <w:pPr>
              <w:pStyle w:val="yTableNAm"/>
              <w:jc w:val="right"/>
            </w:pP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12 m pen</w:t>
            </w:r>
          </w:p>
        </w:tc>
        <w:tc>
          <w:tcPr>
            <w:tcW w:w="1134" w:type="dxa"/>
          </w:tcPr>
          <w:p>
            <w:pPr>
              <w:pStyle w:val="yTableNAm"/>
              <w:jc w:val="right"/>
            </w:pPr>
            <w:r>
              <w:t>925.75</w:t>
            </w: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15 m pen</w:t>
            </w:r>
          </w:p>
        </w:tc>
        <w:tc>
          <w:tcPr>
            <w:tcW w:w="1134" w:type="dxa"/>
          </w:tcPr>
          <w:p>
            <w:pPr>
              <w:pStyle w:val="yTableNAm"/>
              <w:jc w:val="right"/>
            </w:pPr>
            <w:r>
              <w:t>1 157.19</w:t>
            </w: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18 m pen</w:t>
            </w:r>
          </w:p>
        </w:tc>
        <w:tc>
          <w:tcPr>
            <w:tcW w:w="1134" w:type="dxa"/>
          </w:tcPr>
          <w:p>
            <w:pPr>
              <w:pStyle w:val="yTableNAm"/>
              <w:jc w:val="right"/>
            </w:pPr>
            <w:r>
              <w:t>1 388.62</w:t>
            </w: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20 m pen</w:t>
            </w:r>
          </w:p>
        </w:tc>
        <w:tc>
          <w:tcPr>
            <w:tcW w:w="1134" w:type="dxa"/>
          </w:tcPr>
          <w:p>
            <w:pPr>
              <w:pStyle w:val="yTableNAm"/>
              <w:jc w:val="right"/>
            </w:pPr>
            <w:r>
              <w:t>1 542.92</w:t>
            </w:r>
          </w:p>
        </w:tc>
      </w:tr>
      <w:tr>
        <w:trPr>
          <w:cantSplit/>
        </w:trPr>
        <w:tc>
          <w:tcPr>
            <w:tcW w:w="567" w:type="dxa"/>
            <w:tcBorders>
              <w:bottom w:val="single" w:sz="4" w:space="0" w:color="auto"/>
            </w:tcBorders>
          </w:tcPr>
          <w:p>
            <w:pPr>
              <w:pStyle w:val="yTableNAm"/>
            </w:pPr>
          </w:p>
        </w:tc>
        <w:tc>
          <w:tcPr>
            <w:tcW w:w="4252" w:type="dxa"/>
            <w:tcBorders>
              <w:bottom w:val="single" w:sz="4" w:space="0" w:color="auto"/>
            </w:tcBorders>
          </w:tcPr>
          <w:p>
            <w:pPr>
              <w:pStyle w:val="yTableNAm"/>
              <w:tabs>
                <w:tab w:val="clear" w:pos="567"/>
                <w:tab w:val="left" w:pos="415"/>
              </w:tabs>
              <w:ind w:left="415" w:hanging="415"/>
            </w:pPr>
            <w:r>
              <w:t>•</w:t>
            </w:r>
            <w:r>
              <w:tab/>
              <w:t>for 22 m pen</w:t>
            </w:r>
          </w:p>
        </w:tc>
        <w:tc>
          <w:tcPr>
            <w:tcW w:w="1134" w:type="dxa"/>
            <w:tcBorders>
              <w:bottom w:val="single" w:sz="4" w:space="0" w:color="auto"/>
            </w:tcBorders>
          </w:tcPr>
          <w:p>
            <w:pPr>
              <w:pStyle w:val="yTableNAm"/>
              <w:jc w:val="right"/>
            </w:pPr>
            <w:r>
              <w:t>1 697.21</w:t>
            </w:r>
          </w:p>
        </w:tc>
      </w:tr>
    </w:tbl>
    <w:p>
      <w:pPr>
        <w:pStyle w:val="yFootnotesection"/>
      </w:pPr>
      <w:r>
        <w:tab/>
        <w:t>[Clause 12 inserted in Gazette 28 Jun 2013 p. 2855</w:t>
      </w:r>
      <w:r>
        <w:noBreakHyphen/>
        <w:t>7.]</w:t>
      </w:r>
    </w:p>
    <w:p>
      <w:pPr>
        <w:pStyle w:val="yHeading5"/>
      </w:pPr>
      <w:bookmarkStart w:id="154" w:name="_Toc375231169"/>
      <w:r>
        <w:rPr>
          <w:rStyle w:val="CharSClsNo"/>
        </w:rPr>
        <w:t>13</w:t>
      </w:r>
      <w:r>
        <w:t>.</w:t>
      </w:r>
      <w:r>
        <w:rPr>
          <w:b w:val="0"/>
        </w:rPr>
        <w:tab/>
      </w:r>
      <w:r>
        <w:t>Green Head</w:t>
      </w:r>
      <w:bookmarkEnd w:id="154"/>
    </w:p>
    <w:p>
      <w:pPr>
        <w:pStyle w:val="ySubsection"/>
      </w:pPr>
      <w:r>
        <w:tab/>
        <w:t>(1)</w:t>
      </w:r>
      <w:r>
        <w:tab/>
        <w:t>This clause applies to Green Head.</w:t>
      </w:r>
    </w:p>
    <w:p>
      <w:pPr>
        <w:pStyle w:val="ySubsection"/>
      </w:pPr>
      <w:r>
        <w:tab/>
        <w:t>(2)</w:t>
      </w:r>
      <w:r>
        <w:tab/>
        <w:t>The fees and charges to be paid under regulation 6 are set out in Table 13.1.</w:t>
      </w:r>
    </w:p>
    <w:p>
      <w:pPr>
        <w:pStyle w:val="yTHeadingNAm"/>
      </w:pPr>
      <w:r>
        <w:t>Table 13.1 (Berthing)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0" w:type="dxa"/>
            <w:tcBorders>
              <w:top w:val="single" w:sz="4" w:space="0" w:color="auto"/>
              <w:bottom w:val="single" w:sz="4" w:space="0" w:color="auto"/>
            </w:tcBorders>
          </w:tcPr>
          <w:p>
            <w:pPr>
              <w:pStyle w:val="yTableNAm"/>
              <w:rPr>
                <w:b/>
              </w:rPr>
            </w:pPr>
            <w:r>
              <w:rPr>
                <w:b/>
              </w:rPr>
              <w:t>Service</w:t>
            </w:r>
          </w:p>
        </w:tc>
        <w:tc>
          <w:tcPr>
            <w:tcW w:w="996" w:type="dxa"/>
            <w:tcBorders>
              <w:top w:val="single" w:sz="4" w:space="0" w:color="auto"/>
              <w:bottom w:val="single" w:sz="4" w:space="0" w:color="auto"/>
            </w:tcBorders>
          </w:tcPr>
          <w:p>
            <w:pPr>
              <w:pStyle w:val="yTableNAm"/>
              <w:jc w:val="center"/>
              <w:rPr>
                <w:b/>
              </w:rPr>
            </w:pPr>
            <w:r>
              <w:rPr>
                <w:b/>
              </w:rPr>
              <w:t>$</w:t>
            </w:r>
          </w:p>
        </w:tc>
      </w:tr>
      <w:tr>
        <w:trPr>
          <w:cantSplit/>
        </w:trPr>
        <w:tc>
          <w:tcPr>
            <w:tcW w:w="567" w:type="dxa"/>
            <w:tcBorders>
              <w:top w:val="single" w:sz="4" w:space="0" w:color="auto"/>
              <w:bottom w:val="single" w:sz="4" w:space="0" w:color="auto"/>
            </w:tcBorders>
          </w:tcPr>
          <w:p>
            <w:pPr>
              <w:pStyle w:val="yTableNAm"/>
            </w:pPr>
            <w:r>
              <w:t>1.</w:t>
            </w:r>
          </w:p>
        </w:tc>
        <w:tc>
          <w:tcPr>
            <w:tcW w:w="4390" w:type="dxa"/>
            <w:tcBorders>
              <w:top w:val="single" w:sz="4" w:space="0" w:color="auto"/>
              <w:bottom w:val="single" w:sz="4" w:space="0" w:color="auto"/>
            </w:tcBorders>
          </w:tcPr>
          <w:p>
            <w:pPr>
              <w:pStyle w:val="yTableNAm"/>
            </w:pPr>
            <w:r>
              <w:t>For use of service jetty by vessel, per m of the vessel’s length, per day</w:t>
            </w:r>
          </w:p>
        </w:tc>
        <w:tc>
          <w:tcPr>
            <w:tcW w:w="996" w:type="dxa"/>
            <w:tcBorders>
              <w:top w:val="single" w:sz="4" w:space="0" w:color="auto"/>
              <w:bottom w:val="single" w:sz="4" w:space="0" w:color="auto"/>
            </w:tcBorders>
          </w:tcPr>
          <w:p>
            <w:pPr>
              <w:pStyle w:val="yTableNAm"/>
              <w:jc w:val="right"/>
            </w:pPr>
            <w:r>
              <w:br/>
              <w:t>4.78</w:t>
            </w:r>
          </w:p>
        </w:tc>
      </w:tr>
    </w:tbl>
    <w:p>
      <w:pPr>
        <w:pStyle w:val="yFootnotesection"/>
      </w:pPr>
      <w:r>
        <w:tab/>
        <w:t>[Clause 13 inserted in Gazette 28 Jun 2013 p. 2858.]</w:t>
      </w:r>
    </w:p>
    <w:p>
      <w:pPr>
        <w:pStyle w:val="yHeading5"/>
      </w:pPr>
      <w:bookmarkStart w:id="155" w:name="_Toc375231170"/>
      <w:r>
        <w:rPr>
          <w:rStyle w:val="CharSClsNo"/>
        </w:rPr>
        <w:t>14</w:t>
      </w:r>
      <w:r>
        <w:t>.</w:t>
      </w:r>
      <w:r>
        <w:rPr>
          <w:b w:val="0"/>
        </w:rPr>
        <w:tab/>
      </w:r>
      <w:r>
        <w:t>Hopetoun</w:t>
      </w:r>
      <w:bookmarkEnd w:id="155"/>
    </w:p>
    <w:p>
      <w:pPr>
        <w:pStyle w:val="ySubsection"/>
      </w:pPr>
      <w:r>
        <w:tab/>
        <w:t>(1)</w:t>
      </w:r>
      <w:r>
        <w:tab/>
        <w:t>This clause applies to Hopetoun.</w:t>
      </w:r>
    </w:p>
    <w:p>
      <w:pPr>
        <w:pStyle w:val="ySubsection"/>
      </w:pPr>
      <w:r>
        <w:tab/>
        <w:t>(2)</w:t>
      </w:r>
      <w:r>
        <w:tab/>
        <w:t>The fees and charges to be paid under regulation 6 are set out in Table 14.1.</w:t>
      </w:r>
    </w:p>
    <w:p>
      <w:pPr>
        <w:pStyle w:val="yTHeadingNAm"/>
      </w:pPr>
      <w:r>
        <w:t>Table 14.1 (Berthing)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0" w:type="dxa"/>
            <w:tcBorders>
              <w:top w:val="single" w:sz="4" w:space="0" w:color="auto"/>
              <w:bottom w:val="single" w:sz="4" w:space="0" w:color="auto"/>
            </w:tcBorders>
          </w:tcPr>
          <w:p>
            <w:pPr>
              <w:pStyle w:val="yTableNAm"/>
              <w:rPr>
                <w:b/>
              </w:rPr>
            </w:pPr>
            <w:r>
              <w:rPr>
                <w:b/>
              </w:rPr>
              <w:t>Service</w:t>
            </w:r>
          </w:p>
        </w:tc>
        <w:tc>
          <w:tcPr>
            <w:tcW w:w="996"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0" w:type="dxa"/>
          </w:tcPr>
          <w:p>
            <w:pPr>
              <w:pStyle w:val="yTableNAm"/>
            </w:pPr>
            <w:r>
              <w:t>For use of service jetty by vessel for short time just to load or unload, per m of the vessel’s length, for 12 months, paid in advance</w:t>
            </w:r>
          </w:p>
        </w:tc>
        <w:tc>
          <w:tcPr>
            <w:tcW w:w="996" w:type="dxa"/>
          </w:tcPr>
          <w:p>
            <w:pPr>
              <w:pStyle w:val="yTableNAm"/>
              <w:jc w:val="right"/>
            </w:pPr>
            <w:r>
              <w:br/>
            </w:r>
            <w:r>
              <w:br/>
              <w:t>94.58</w:t>
            </w:r>
          </w:p>
        </w:tc>
      </w:tr>
      <w:tr>
        <w:trPr>
          <w:cantSplit/>
        </w:trPr>
        <w:tc>
          <w:tcPr>
            <w:tcW w:w="567" w:type="dxa"/>
            <w:tcBorders>
              <w:bottom w:val="single" w:sz="4" w:space="0" w:color="auto"/>
            </w:tcBorders>
          </w:tcPr>
          <w:p>
            <w:pPr>
              <w:pStyle w:val="yTableNAm"/>
            </w:pPr>
            <w:r>
              <w:t>2.</w:t>
            </w:r>
          </w:p>
        </w:tc>
        <w:tc>
          <w:tcPr>
            <w:tcW w:w="4390" w:type="dxa"/>
            <w:tcBorders>
              <w:bottom w:val="single" w:sz="4" w:space="0" w:color="auto"/>
            </w:tcBorders>
          </w:tcPr>
          <w:p>
            <w:pPr>
              <w:pStyle w:val="yTableNAm"/>
            </w:pPr>
            <w:r>
              <w:t>For other use of service jetty by vessel, per m of the vessel’s length, per day</w:t>
            </w:r>
          </w:p>
        </w:tc>
        <w:tc>
          <w:tcPr>
            <w:tcW w:w="996" w:type="dxa"/>
            <w:tcBorders>
              <w:bottom w:val="single" w:sz="4" w:space="0" w:color="auto"/>
            </w:tcBorders>
          </w:tcPr>
          <w:p>
            <w:pPr>
              <w:pStyle w:val="yTableNAm"/>
              <w:jc w:val="right"/>
            </w:pPr>
            <w:r>
              <w:br/>
              <w:t>4.73</w:t>
            </w:r>
          </w:p>
        </w:tc>
      </w:tr>
    </w:tbl>
    <w:p>
      <w:pPr>
        <w:pStyle w:val="yFootnotesection"/>
      </w:pPr>
      <w:r>
        <w:tab/>
        <w:t>[Clause 14 inserted in Gazette 28 Jun 2013 p. 2858.]</w:t>
      </w:r>
    </w:p>
    <w:p>
      <w:pPr>
        <w:pStyle w:val="yHeading5"/>
      </w:pPr>
      <w:bookmarkStart w:id="156" w:name="_Toc375231171"/>
      <w:r>
        <w:rPr>
          <w:rStyle w:val="CharSClsNo"/>
        </w:rPr>
        <w:t>15</w:t>
      </w:r>
      <w:r>
        <w:t>.</w:t>
      </w:r>
      <w:r>
        <w:rPr>
          <w:b w:val="0"/>
        </w:rPr>
        <w:tab/>
      </w:r>
      <w:r>
        <w:t>Jurien</w:t>
      </w:r>
      <w:bookmarkEnd w:id="156"/>
    </w:p>
    <w:p>
      <w:pPr>
        <w:pStyle w:val="ySubsection"/>
      </w:pPr>
      <w:r>
        <w:tab/>
        <w:t>(1)</w:t>
      </w:r>
      <w:r>
        <w:tab/>
        <w:t xml:space="preserve">This clause applies to the </w:t>
      </w:r>
      <w:smartTag w:uri="urn:schemas-microsoft-com:office:smarttags" w:element="place">
        <w:smartTag w:uri="urn:schemas-microsoft-com:office:smarttags" w:element="PlaceName">
          <w:r>
            <w:t>Jurien</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fees and charges to be paid under regulations 6, 42A and 94A are set out in Table 15.1.</w:t>
      </w:r>
    </w:p>
    <w:p>
      <w:pPr>
        <w:pStyle w:val="ySubsection"/>
      </w:pPr>
      <w:r>
        <w:tab/>
        <w:t>(3)</w:t>
      </w:r>
      <w:r>
        <w:tab/>
        <w:t>In Table 15.1 the chargeable length for a pen is —</w:t>
      </w:r>
    </w:p>
    <w:p>
      <w:pPr>
        <w:pStyle w:val="yIndenta"/>
      </w:pPr>
      <w:r>
        <w:tab/>
        <w:t>(a)</w:t>
      </w:r>
      <w:r>
        <w:tab/>
        <w:t>if the pen is 12 m long, 9.6 m;</w:t>
      </w:r>
    </w:p>
    <w:p>
      <w:pPr>
        <w:pStyle w:val="yIndenta"/>
      </w:pPr>
      <w:r>
        <w:tab/>
        <w:t>(b)</w:t>
      </w:r>
      <w:r>
        <w:tab/>
        <w:t>if the pen is 15 m long, 12 m;</w:t>
      </w:r>
    </w:p>
    <w:p>
      <w:pPr>
        <w:pStyle w:val="yIndenta"/>
      </w:pPr>
      <w:r>
        <w:tab/>
        <w:t>(c)</w:t>
      </w:r>
      <w:r>
        <w:tab/>
        <w:t>if the pen is 18 m long, 14.4 m;</w:t>
      </w:r>
    </w:p>
    <w:p>
      <w:pPr>
        <w:pStyle w:val="yIndenta"/>
      </w:pPr>
      <w:r>
        <w:tab/>
        <w:t>(d)</w:t>
      </w:r>
      <w:r>
        <w:tab/>
        <w:t>if the pen is 20 m long, 16 m.</w:t>
      </w:r>
    </w:p>
    <w:p>
      <w:pPr>
        <w:pStyle w:val="yTHeadingNAm"/>
      </w:pPr>
      <w:r>
        <w:t>Table 15.1 (Berthing, jetty use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0" w:type="dxa"/>
            <w:tcBorders>
              <w:top w:val="single" w:sz="4" w:space="0" w:color="auto"/>
              <w:bottom w:val="single" w:sz="4" w:space="0" w:color="auto"/>
            </w:tcBorders>
          </w:tcPr>
          <w:p>
            <w:pPr>
              <w:pStyle w:val="yTableNAm"/>
              <w:rPr>
                <w:b/>
              </w:rPr>
            </w:pPr>
            <w:r>
              <w:rPr>
                <w:b/>
              </w:rPr>
              <w:t>Service</w:t>
            </w:r>
          </w:p>
        </w:tc>
        <w:tc>
          <w:tcPr>
            <w:tcW w:w="996"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0" w:type="dxa"/>
          </w:tcPr>
          <w:p>
            <w:pPr>
              <w:pStyle w:val="yTableNAm"/>
            </w:pPr>
            <w:r>
              <w:t xml:space="preserve">For pen for commercial vessel, per m of the longer of the vessel’s length and the chargeable length for the pen — </w:t>
            </w:r>
          </w:p>
        </w:tc>
        <w:tc>
          <w:tcPr>
            <w:tcW w:w="996" w:type="dxa"/>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12 months paid in advance</w:t>
            </w:r>
          </w:p>
        </w:tc>
        <w:tc>
          <w:tcPr>
            <w:tcW w:w="996" w:type="dxa"/>
            <w:vAlign w:val="bottom"/>
          </w:tcPr>
          <w:p>
            <w:pPr>
              <w:pStyle w:val="yTableNAm"/>
              <w:jc w:val="right"/>
              <w:rPr>
                <w:szCs w:val="22"/>
              </w:rPr>
            </w:pPr>
            <w:r>
              <w:rPr>
                <w:szCs w:val="22"/>
              </w:rPr>
              <w:t>397.25</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months or more, per month, paid in advance</w:t>
            </w:r>
          </w:p>
        </w:tc>
        <w:tc>
          <w:tcPr>
            <w:tcW w:w="996" w:type="dxa"/>
            <w:vAlign w:val="bottom"/>
          </w:tcPr>
          <w:p>
            <w:pPr>
              <w:pStyle w:val="yTableNAm"/>
              <w:jc w:val="right"/>
              <w:rPr>
                <w:szCs w:val="22"/>
              </w:rPr>
            </w:pPr>
            <w:r>
              <w:rPr>
                <w:szCs w:val="22"/>
              </w:rPr>
              <w:t>39.74</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 paid in advance</w:t>
            </w:r>
          </w:p>
        </w:tc>
        <w:tc>
          <w:tcPr>
            <w:tcW w:w="996" w:type="dxa"/>
            <w:vAlign w:val="bottom"/>
          </w:tcPr>
          <w:p>
            <w:pPr>
              <w:pStyle w:val="yTableNAm"/>
              <w:jc w:val="right"/>
              <w:rPr>
                <w:szCs w:val="22"/>
              </w:rPr>
            </w:pPr>
            <w:r>
              <w:rPr>
                <w:szCs w:val="22"/>
              </w:rPr>
              <w:t>59.59</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week or more, per week, paid in advance</w:t>
            </w:r>
          </w:p>
        </w:tc>
        <w:tc>
          <w:tcPr>
            <w:tcW w:w="996" w:type="dxa"/>
            <w:vAlign w:val="bottom"/>
          </w:tcPr>
          <w:p>
            <w:pPr>
              <w:pStyle w:val="yTableNAm"/>
              <w:jc w:val="right"/>
              <w:rPr>
                <w:szCs w:val="22"/>
              </w:rPr>
            </w:pPr>
            <w:r>
              <w:rPr>
                <w:szCs w:val="22"/>
              </w:rPr>
              <w:t>38.26</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otherwise, per day</w:t>
            </w:r>
          </w:p>
        </w:tc>
        <w:tc>
          <w:tcPr>
            <w:tcW w:w="996" w:type="dxa"/>
            <w:vAlign w:val="bottom"/>
          </w:tcPr>
          <w:p>
            <w:pPr>
              <w:pStyle w:val="yTableNAm"/>
              <w:jc w:val="right"/>
              <w:rPr>
                <w:szCs w:val="22"/>
              </w:rPr>
            </w:pPr>
            <w:r>
              <w:rPr>
                <w:szCs w:val="22"/>
              </w:rPr>
              <w:t>7.66</w:t>
            </w:r>
          </w:p>
        </w:tc>
      </w:tr>
      <w:tr>
        <w:trPr>
          <w:cantSplit/>
        </w:trPr>
        <w:tc>
          <w:tcPr>
            <w:tcW w:w="567" w:type="dxa"/>
          </w:tcPr>
          <w:p>
            <w:pPr>
              <w:pStyle w:val="yTableNAm"/>
            </w:pPr>
            <w:r>
              <w:t>2.</w:t>
            </w:r>
          </w:p>
        </w:tc>
        <w:tc>
          <w:tcPr>
            <w:tcW w:w="4390" w:type="dxa"/>
          </w:tcPr>
          <w:p>
            <w:pPr>
              <w:pStyle w:val="yTableNAm"/>
            </w:pPr>
            <w:r>
              <w:t xml:space="preserve">For pen for recreational vessel, per m of the longer of the vessel’s length and the chargeable length for the pen — </w:t>
            </w:r>
          </w:p>
        </w:tc>
        <w:tc>
          <w:tcPr>
            <w:tcW w:w="996" w:type="dxa"/>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12 months paid in advance</w:t>
            </w:r>
          </w:p>
        </w:tc>
        <w:tc>
          <w:tcPr>
            <w:tcW w:w="996" w:type="dxa"/>
            <w:vAlign w:val="bottom"/>
          </w:tcPr>
          <w:p>
            <w:pPr>
              <w:pStyle w:val="yTableNAm"/>
              <w:jc w:val="right"/>
              <w:rPr>
                <w:szCs w:val="22"/>
              </w:rPr>
            </w:pPr>
            <w:r>
              <w:rPr>
                <w:szCs w:val="22"/>
              </w:rPr>
              <w:t>381.25</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months or more, per month, paid in advance</w:t>
            </w:r>
          </w:p>
        </w:tc>
        <w:tc>
          <w:tcPr>
            <w:tcW w:w="996" w:type="dxa"/>
            <w:vAlign w:val="bottom"/>
          </w:tcPr>
          <w:p>
            <w:pPr>
              <w:pStyle w:val="yTableNAm"/>
              <w:jc w:val="right"/>
              <w:rPr>
                <w:szCs w:val="22"/>
              </w:rPr>
            </w:pPr>
            <w:r>
              <w:rPr>
                <w:szCs w:val="22"/>
              </w:rPr>
              <w:t>38.13</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 paid in advance</w:t>
            </w:r>
          </w:p>
        </w:tc>
        <w:tc>
          <w:tcPr>
            <w:tcW w:w="996" w:type="dxa"/>
            <w:vAlign w:val="bottom"/>
          </w:tcPr>
          <w:p>
            <w:pPr>
              <w:pStyle w:val="yTableNAm"/>
              <w:jc w:val="right"/>
              <w:rPr>
                <w:szCs w:val="22"/>
              </w:rPr>
            </w:pPr>
            <w:r>
              <w:rPr>
                <w:szCs w:val="22"/>
              </w:rPr>
              <w:t>57.19</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week or more, per week, paid in advance</w:t>
            </w:r>
          </w:p>
        </w:tc>
        <w:tc>
          <w:tcPr>
            <w:tcW w:w="996" w:type="dxa"/>
            <w:vAlign w:val="bottom"/>
          </w:tcPr>
          <w:p>
            <w:pPr>
              <w:pStyle w:val="yTableNAm"/>
              <w:jc w:val="right"/>
              <w:rPr>
                <w:szCs w:val="22"/>
              </w:rPr>
            </w:pPr>
            <w:r>
              <w:rPr>
                <w:szCs w:val="22"/>
              </w:rPr>
              <w:t>25.84</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days paid in advance</w:t>
            </w:r>
          </w:p>
        </w:tc>
        <w:tc>
          <w:tcPr>
            <w:tcW w:w="996" w:type="dxa"/>
            <w:vAlign w:val="bottom"/>
          </w:tcPr>
          <w:p>
            <w:pPr>
              <w:pStyle w:val="yTableNAm"/>
              <w:jc w:val="right"/>
              <w:rPr>
                <w:szCs w:val="22"/>
              </w:rPr>
            </w:pPr>
            <w:r>
              <w:rPr>
                <w:szCs w:val="22"/>
              </w:rPr>
              <w:t>10.33</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otherwise, per day</w:t>
            </w:r>
          </w:p>
        </w:tc>
        <w:tc>
          <w:tcPr>
            <w:tcW w:w="996" w:type="dxa"/>
            <w:vAlign w:val="bottom"/>
          </w:tcPr>
          <w:p>
            <w:pPr>
              <w:pStyle w:val="yTableNAm"/>
              <w:jc w:val="right"/>
              <w:rPr>
                <w:szCs w:val="22"/>
              </w:rPr>
            </w:pPr>
            <w:r>
              <w:rPr>
                <w:szCs w:val="22"/>
              </w:rPr>
              <w:t>5.17</w:t>
            </w:r>
          </w:p>
        </w:tc>
      </w:tr>
      <w:tr>
        <w:trPr>
          <w:cantSplit/>
        </w:trPr>
        <w:tc>
          <w:tcPr>
            <w:tcW w:w="567" w:type="dxa"/>
          </w:tcPr>
          <w:p>
            <w:pPr>
              <w:pStyle w:val="yTableNAm"/>
            </w:pPr>
            <w:r>
              <w:t>3.</w:t>
            </w:r>
          </w:p>
        </w:tc>
        <w:tc>
          <w:tcPr>
            <w:tcW w:w="4390" w:type="dxa"/>
          </w:tcPr>
          <w:p>
            <w:pPr>
              <w:pStyle w:val="yTableNAm"/>
            </w:pPr>
            <w:r>
              <w:t>For vehicular use of service jetty and land adjacent to it by a business (company or registered business name), other than lessee of land at Jurien Boat Harbour controlled or managed by the Department, to load or unload vessels, for 12 months paid in advance, per business</w:t>
            </w:r>
          </w:p>
        </w:tc>
        <w:tc>
          <w:tcPr>
            <w:tcW w:w="996" w:type="dxa"/>
            <w:vAlign w:val="bottom"/>
          </w:tcPr>
          <w:p>
            <w:pPr>
              <w:pStyle w:val="yTableNAm"/>
              <w:jc w:val="right"/>
              <w:rPr>
                <w:szCs w:val="22"/>
              </w:rPr>
            </w:pPr>
            <w:r>
              <w:rPr>
                <w:szCs w:val="22"/>
              </w:rPr>
              <w:t>4 713.69</w:t>
            </w:r>
          </w:p>
        </w:tc>
      </w:tr>
      <w:tr>
        <w:trPr>
          <w:cantSplit/>
        </w:trPr>
        <w:tc>
          <w:tcPr>
            <w:tcW w:w="567" w:type="dxa"/>
          </w:tcPr>
          <w:p>
            <w:pPr>
              <w:pStyle w:val="yTableNAm"/>
            </w:pPr>
            <w:r>
              <w:t>4.</w:t>
            </w:r>
          </w:p>
        </w:tc>
        <w:tc>
          <w:tcPr>
            <w:tcW w:w="4390" w:type="dxa"/>
          </w:tcPr>
          <w:p>
            <w:pPr>
              <w:pStyle w:val="yTableNAm"/>
            </w:pPr>
            <w:r>
              <w:t xml:space="preserve">For use of service jetty by vessel for which the item 1 or 2 fee has not been paid, per m of the vessel’s length, per day — </w:t>
            </w:r>
          </w:p>
        </w:tc>
        <w:tc>
          <w:tcPr>
            <w:tcW w:w="996" w:type="dxa"/>
            <w:vAlign w:val="bottom"/>
          </w:tcPr>
          <w:p>
            <w:pPr>
              <w:pStyle w:val="yTableNAm"/>
              <w:jc w:val="right"/>
              <w:rPr>
                <w:szCs w:val="22"/>
              </w:rPr>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a commercial vessel</w:t>
            </w:r>
          </w:p>
        </w:tc>
        <w:tc>
          <w:tcPr>
            <w:tcW w:w="996" w:type="dxa"/>
            <w:vAlign w:val="bottom"/>
          </w:tcPr>
          <w:p>
            <w:pPr>
              <w:pStyle w:val="yTableNAm"/>
              <w:jc w:val="right"/>
              <w:rPr>
                <w:szCs w:val="22"/>
              </w:rPr>
            </w:pPr>
            <w:r>
              <w:rPr>
                <w:szCs w:val="22"/>
              </w:rPr>
              <w:t>3.81</w:t>
            </w:r>
          </w:p>
        </w:tc>
      </w:tr>
      <w:tr>
        <w:trPr>
          <w:cantSplit/>
        </w:trPr>
        <w:tc>
          <w:tcPr>
            <w:tcW w:w="567" w:type="dxa"/>
            <w:tcBorders>
              <w:bottom w:val="single" w:sz="4" w:space="0" w:color="auto"/>
            </w:tcBorders>
          </w:tcPr>
          <w:p>
            <w:pPr>
              <w:pStyle w:val="yTableNAm"/>
            </w:pPr>
          </w:p>
        </w:tc>
        <w:tc>
          <w:tcPr>
            <w:tcW w:w="4390" w:type="dxa"/>
            <w:tcBorders>
              <w:bottom w:val="single" w:sz="4" w:space="0" w:color="auto"/>
            </w:tcBorders>
          </w:tcPr>
          <w:p>
            <w:pPr>
              <w:pStyle w:val="yTableNAm"/>
              <w:tabs>
                <w:tab w:val="clear" w:pos="567"/>
                <w:tab w:val="left" w:pos="415"/>
              </w:tabs>
              <w:ind w:left="415" w:hanging="415"/>
            </w:pPr>
            <w:r>
              <w:t>•</w:t>
            </w:r>
            <w:r>
              <w:tab/>
              <w:t>for a recreational vessel</w:t>
            </w:r>
          </w:p>
        </w:tc>
        <w:tc>
          <w:tcPr>
            <w:tcW w:w="996" w:type="dxa"/>
            <w:tcBorders>
              <w:bottom w:val="single" w:sz="4" w:space="0" w:color="auto"/>
            </w:tcBorders>
            <w:vAlign w:val="bottom"/>
          </w:tcPr>
          <w:p>
            <w:pPr>
              <w:pStyle w:val="yTableNAm"/>
              <w:jc w:val="right"/>
              <w:rPr>
                <w:szCs w:val="22"/>
              </w:rPr>
            </w:pPr>
            <w:r>
              <w:rPr>
                <w:szCs w:val="22"/>
              </w:rPr>
              <w:t>3.67</w:t>
            </w:r>
          </w:p>
        </w:tc>
      </w:tr>
    </w:tbl>
    <w:p>
      <w:pPr>
        <w:pStyle w:val="yFootnotesection"/>
      </w:pPr>
      <w:r>
        <w:tab/>
        <w:t>[Clause 15 inserted in Gazette 28 Jun 2013 p. 2858</w:t>
      </w:r>
      <w:r>
        <w:noBreakHyphen/>
        <w:t>60.]</w:t>
      </w:r>
    </w:p>
    <w:p>
      <w:pPr>
        <w:pStyle w:val="yHeading5"/>
      </w:pPr>
      <w:bookmarkStart w:id="157" w:name="_Toc375231172"/>
      <w:r>
        <w:rPr>
          <w:rStyle w:val="CharSClsNo"/>
        </w:rPr>
        <w:t>16</w:t>
      </w:r>
      <w:r>
        <w:t>.</w:t>
      </w:r>
      <w:r>
        <w:rPr>
          <w:b w:val="0"/>
        </w:rPr>
        <w:tab/>
      </w:r>
      <w:r>
        <w:t>Kalbarri</w:t>
      </w:r>
      <w:bookmarkEnd w:id="157"/>
    </w:p>
    <w:p>
      <w:pPr>
        <w:pStyle w:val="ySubsection"/>
      </w:pPr>
      <w:r>
        <w:tab/>
        <w:t>(1)</w:t>
      </w:r>
      <w:r>
        <w:tab/>
        <w:t xml:space="preserve">This clause applies to the </w:t>
      </w:r>
      <w:smartTag w:uri="urn:schemas-microsoft-com:office:smarttags" w:element="place">
        <w:smartTag w:uri="urn:schemas-microsoft-com:office:smarttags" w:element="PlaceName">
          <w:r>
            <w:t>Kalbarri</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fees and charges to be paid under regulations 6 and 94A are set out in Table 16.1.</w:t>
      </w:r>
    </w:p>
    <w:p>
      <w:pPr>
        <w:pStyle w:val="ySubsection"/>
      </w:pPr>
      <w:r>
        <w:tab/>
        <w:t>(3)</w:t>
      </w:r>
      <w:r>
        <w:tab/>
        <w:t>In Table 16.1 the chargeable length for a pen is —</w:t>
      </w:r>
    </w:p>
    <w:p>
      <w:pPr>
        <w:pStyle w:val="yIndenta"/>
      </w:pPr>
      <w:r>
        <w:tab/>
        <w:t>(a)</w:t>
      </w:r>
      <w:r>
        <w:tab/>
        <w:t>if the pen is 12 m long, 9.6 m;</w:t>
      </w:r>
    </w:p>
    <w:p>
      <w:pPr>
        <w:pStyle w:val="yIndenta"/>
      </w:pPr>
      <w:r>
        <w:tab/>
        <w:t>(b)</w:t>
      </w:r>
      <w:r>
        <w:tab/>
        <w:t>if the pen is 15 m long, 12 m;</w:t>
      </w:r>
    </w:p>
    <w:p>
      <w:pPr>
        <w:pStyle w:val="yIndenta"/>
      </w:pPr>
      <w:r>
        <w:tab/>
        <w:t>(c)</w:t>
      </w:r>
      <w:r>
        <w:tab/>
        <w:t>if the pen is 18 m long, 14.4 m;</w:t>
      </w:r>
    </w:p>
    <w:p>
      <w:pPr>
        <w:pStyle w:val="yIndenta"/>
      </w:pPr>
      <w:r>
        <w:tab/>
        <w:t>(d)</w:t>
      </w:r>
      <w:r>
        <w:tab/>
        <w:t>if the pen is 20 m long, 16 m.</w:t>
      </w:r>
    </w:p>
    <w:p>
      <w:pPr>
        <w:pStyle w:val="yTHeadingNAm"/>
      </w:pPr>
      <w:r>
        <w:t>Table 16.1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1"/>
        <w:gridCol w:w="995"/>
      </w:tblGrid>
      <w:tr>
        <w:trPr>
          <w:cantSplit/>
          <w:tblHeader/>
        </w:trPr>
        <w:tc>
          <w:tcPr>
            <w:tcW w:w="567" w:type="dxa"/>
            <w:tcBorders>
              <w:top w:val="single" w:sz="4" w:space="0" w:color="auto"/>
              <w:bottom w:val="single" w:sz="4" w:space="0" w:color="auto"/>
            </w:tcBorders>
          </w:tcPr>
          <w:p>
            <w:pPr>
              <w:pStyle w:val="yTableNAm"/>
              <w:keepNext/>
              <w:rPr>
                <w:b/>
              </w:rPr>
            </w:pPr>
            <w:r>
              <w:rPr>
                <w:b/>
              </w:rPr>
              <w:t>Item</w:t>
            </w:r>
          </w:p>
        </w:tc>
        <w:tc>
          <w:tcPr>
            <w:tcW w:w="4391" w:type="dxa"/>
            <w:tcBorders>
              <w:top w:val="single" w:sz="4" w:space="0" w:color="auto"/>
              <w:bottom w:val="single" w:sz="4" w:space="0" w:color="auto"/>
            </w:tcBorders>
          </w:tcPr>
          <w:p>
            <w:pPr>
              <w:pStyle w:val="yTableNAm"/>
              <w:keepNext/>
              <w:rPr>
                <w:b/>
              </w:rPr>
            </w:pPr>
            <w:r>
              <w:rPr>
                <w:b/>
              </w:rPr>
              <w:t>Service</w:t>
            </w:r>
          </w:p>
        </w:tc>
        <w:tc>
          <w:tcPr>
            <w:tcW w:w="995" w:type="dxa"/>
            <w:tcBorders>
              <w:top w:val="single" w:sz="4" w:space="0" w:color="auto"/>
              <w:bottom w:val="single" w:sz="4" w:space="0" w:color="auto"/>
            </w:tcBorders>
          </w:tcPr>
          <w:p>
            <w:pPr>
              <w:pStyle w:val="yTableNAm"/>
              <w:keepNext/>
              <w:jc w:val="center"/>
              <w:rPr>
                <w:b/>
              </w:rPr>
            </w:pPr>
            <w:r>
              <w:rPr>
                <w:b/>
              </w:rPr>
              <w:t>$</w:t>
            </w:r>
          </w:p>
        </w:tc>
      </w:tr>
      <w:tr>
        <w:trPr>
          <w:cantSplit/>
        </w:trPr>
        <w:tc>
          <w:tcPr>
            <w:tcW w:w="567" w:type="dxa"/>
          </w:tcPr>
          <w:p>
            <w:pPr>
              <w:pStyle w:val="yTableNAm"/>
              <w:keepNext/>
            </w:pPr>
            <w:r>
              <w:t>1.</w:t>
            </w:r>
          </w:p>
        </w:tc>
        <w:tc>
          <w:tcPr>
            <w:tcW w:w="4391" w:type="dxa"/>
          </w:tcPr>
          <w:p>
            <w:pPr>
              <w:pStyle w:val="yTableNAm"/>
              <w:keepNext/>
            </w:pPr>
            <w:r>
              <w:t>For pen, per m of the longer of the vessel’s length and the chargeable length for the pen —</w:t>
            </w:r>
          </w:p>
        </w:tc>
        <w:tc>
          <w:tcPr>
            <w:tcW w:w="995" w:type="dxa"/>
          </w:tcPr>
          <w:p>
            <w:pPr>
              <w:pStyle w:val="yTableNAm"/>
              <w:keepNext/>
              <w:jc w:val="right"/>
            </w:pP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12 months paid in advance</w:t>
            </w:r>
          </w:p>
        </w:tc>
        <w:tc>
          <w:tcPr>
            <w:tcW w:w="995" w:type="dxa"/>
            <w:vAlign w:val="bottom"/>
          </w:tcPr>
          <w:p>
            <w:pPr>
              <w:pStyle w:val="yTableNAm"/>
              <w:jc w:val="right"/>
              <w:rPr>
                <w:szCs w:val="22"/>
              </w:rPr>
            </w:pPr>
            <w:r>
              <w:rPr>
                <w:szCs w:val="22"/>
              </w:rPr>
              <w:t>259.75</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3 months or more, per month, paid in advance</w:t>
            </w:r>
          </w:p>
        </w:tc>
        <w:tc>
          <w:tcPr>
            <w:tcW w:w="995" w:type="dxa"/>
            <w:vAlign w:val="bottom"/>
          </w:tcPr>
          <w:p>
            <w:pPr>
              <w:pStyle w:val="yTableNAm"/>
              <w:jc w:val="right"/>
              <w:rPr>
                <w:szCs w:val="22"/>
              </w:rPr>
            </w:pPr>
            <w:r>
              <w:rPr>
                <w:szCs w:val="22"/>
              </w:rPr>
              <w:t>25.96</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one month or more, per month, paid in advance</w:t>
            </w:r>
          </w:p>
        </w:tc>
        <w:tc>
          <w:tcPr>
            <w:tcW w:w="995" w:type="dxa"/>
            <w:vAlign w:val="bottom"/>
          </w:tcPr>
          <w:p>
            <w:pPr>
              <w:pStyle w:val="yTableNAm"/>
              <w:jc w:val="right"/>
              <w:rPr>
                <w:szCs w:val="22"/>
              </w:rPr>
            </w:pPr>
            <w:r>
              <w:rPr>
                <w:szCs w:val="22"/>
              </w:rPr>
              <w:t>38.96</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one week or more, per week, paid in advance</w:t>
            </w:r>
          </w:p>
        </w:tc>
        <w:tc>
          <w:tcPr>
            <w:tcW w:w="995" w:type="dxa"/>
            <w:vAlign w:val="bottom"/>
          </w:tcPr>
          <w:p>
            <w:pPr>
              <w:pStyle w:val="yTableNAm"/>
              <w:jc w:val="right"/>
              <w:rPr>
                <w:szCs w:val="22"/>
              </w:rPr>
            </w:pPr>
            <w:r>
              <w:rPr>
                <w:szCs w:val="22"/>
              </w:rPr>
              <w:t>29.36</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otherwise, per day</w:t>
            </w:r>
          </w:p>
        </w:tc>
        <w:tc>
          <w:tcPr>
            <w:tcW w:w="995" w:type="dxa"/>
            <w:vAlign w:val="bottom"/>
          </w:tcPr>
          <w:p>
            <w:pPr>
              <w:pStyle w:val="yTableNAm"/>
              <w:jc w:val="right"/>
              <w:rPr>
                <w:szCs w:val="22"/>
              </w:rPr>
            </w:pPr>
            <w:r>
              <w:rPr>
                <w:szCs w:val="22"/>
              </w:rPr>
              <w:t>5.87</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minimum overnight</w:t>
            </w:r>
          </w:p>
        </w:tc>
        <w:tc>
          <w:tcPr>
            <w:tcW w:w="995" w:type="dxa"/>
            <w:vAlign w:val="bottom"/>
          </w:tcPr>
          <w:p>
            <w:pPr>
              <w:pStyle w:val="yTableNAm"/>
              <w:jc w:val="right"/>
              <w:rPr>
                <w:szCs w:val="22"/>
              </w:rPr>
            </w:pPr>
            <w:r>
              <w:rPr>
                <w:szCs w:val="22"/>
              </w:rPr>
              <w:t>58.71</w:t>
            </w:r>
          </w:p>
        </w:tc>
      </w:tr>
      <w:tr>
        <w:trPr>
          <w:cantSplit/>
        </w:trPr>
        <w:tc>
          <w:tcPr>
            <w:tcW w:w="567" w:type="dxa"/>
          </w:tcPr>
          <w:p>
            <w:pPr>
              <w:pStyle w:val="yTableNAm"/>
            </w:pPr>
            <w:r>
              <w:t>2.</w:t>
            </w:r>
          </w:p>
        </w:tc>
        <w:tc>
          <w:tcPr>
            <w:tcW w:w="4391" w:type="dxa"/>
          </w:tcPr>
          <w:p>
            <w:pPr>
              <w:pStyle w:val="yTableNAm"/>
            </w:pPr>
            <w:r>
              <w:t xml:space="preserve">For use of service jetty by vessel if pen available — </w:t>
            </w:r>
          </w:p>
        </w:tc>
        <w:tc>
          <w:tcPr>
            <w:tcW w:w="995" w:type="dxa"/>
            <w:vAlign w:val="bottom"/>
          </w:tcPr>
          <w:p>
            <w:pPr>
              <w:pStyle w:val="yTableNAm"/>
              <w:jc w:val="right"/>
              <w:rPr>
                <w:szCs w:val="22"/>
              </w:rPr>
            </w:pP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per m of the vessel’s length, per day</w:t>
            </w:r>
          </w:p>
        </w:tc>
        <w:tc>
          <w:tcPr>
            <w:tcW w:w="995" w:type="dxa"/>
            <w:vAlign w:val="bottom"/>
          </w:tcPr>
          <w:p>
            <w:pPr>
              <w:pStyle w:val="yTableNAm"/>
              <w:jc w:val="right"/>
              <w:rPr>
                <w:szCs w:val="22"/>
              </w:rPr>
            </w:pPr>
            <w:r>
              <w:rPr>
                <w:szCs w:val="22"/>
              </w:rPr>
              <w:t>7.80</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minimum overnight</w:t>
            </w:r>
          </w:p>
        </w:tc>
        <w:tc>
          <w:tcPr>
            <w:tcW w:w="995" w:type="dxa"/>
            <w:vAlign w:val="bottom"/>
          </w:tcPr>
          <w:p>
            <w:pPr>
              <w:pStyle w:val="yTableNAm"/>
              <w:jc w:val="right"/>
              <w:rPr>
                <w:szCs w:val="22"/>
              </w:rPr>
            </w:pPr>
            <w:r>
              <w:rPr>
                <w:szCs w:val="22"/>
              </w:rPr>
              <w:t>78.14</w:t>
            </w:r>
          </w:p>
        </w:tc>
      </w:tr>
      <w:tr>
        <w:trPr>
          <w:cantSplit/>
        </w:trPr>
        <w:tc>
          <w:tcPr>
            <w:tcW w:w="567" w:type="dxa"/>
          </w:tcPr>
          <w:p>
            <w:pPr>
              <w:pStyle w:val="yTableNAm"/>
            </w:pPr>
            <w:r>
              <w:t>3.</w:t>
            </w:r>
          </w:p>
        </w:tc>
        <w:tc>
          <w:tcPr>
            <w:tcW w:w="4391" w:type="dxa"/>
          </w:tcPr>
          <w:p>
            <w:pPr>
              <w:pStyle w:val="yTableNAm"/>
            </w:pPr>
            <w:r>
              <w:t xml:space="preserve">For use of service jetty by vessel if pen not available — </w:t>
            </w:r>
          </w:p>
        </w:tc>
        <w:tc>
          <w:tcPr>
            <w:tcW w:w="995" w:type="dxa"/>
            <w:vAlign w:val="bottom"/>
          </w:tcPr>
          <w:p>
            <w:pPr>
              <w:pStyle w:val="yTableNAm"/>
              <w:jc w:val="right"/>
              <w:rPr>
                <w:szCs w:val="22"/>
              </w:rPr>
            </w:pP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per m of the vessel’s length, per day</w:t>
            </w:r>
          </w:p>
        </w:tc>
        <w:tc>
          <w:tcPr>
            <w:tcW w:w="995" w:type="dxa"/>
            <w:vAlign w:val="bottom"/>
          </w:tcPr>
          <w:p>
            <w:pPr>
              <w:pStyle w:val="yTableNAm"/>
              <w:jc w:val="right"/>
              <w:rPr>
                <w:szCs w:val="22"/>
              </w:rPr>
            </w:pPr>
            <w:r>
              <w:rPr>
                <w:szCs w:val="22"/>
              </w:rPr>
              <w:t>5.23</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minimum overnight</w:t>
            </w:r>
          </w:p>
        </w:tc>
        <w:tc>
          <w:tcPr>
            <w:tcW w:w="995" w:type="dxa"/>
            <w:vAlign w:val="bottom"/>
          </w:tcPr>
          <w:p>
            <w:pPr>
              <w:pStyle w:val="yTableNAm"/>
              <w:jc w:val="right"/>
              <w:rPr>
                <w:szCs w:val="22"/>
              </w:rPr>
            </w:pPr>
            <w:r>
              <w:rPr>
                <w:szCs w:val="22"/>
              </w:rPr>
              <w:t>52.11</w:t>
            </w:r>
          </w:p>
        </w:tc>
      </w:tr>
      <w:tr>
        <w:trPr>
          <w:cantSplit/>
        </w:trPr>
        <w:tc>
          <w:tcPr>
            <w:tcW w:w="567" w:type="dxa"/>
          </w:tcPr>
          <w:p>
            <w:pPr>
              <w:pStyle w:val="yTableNAm"/>
            </w:pPr>
            <w:r>
              <w:t>4.</w:t>
            </w:r>
          </w:p>
        </w:tc>
        <w:tc>
          <w:tcPr>
            <w:tcW w:w="4391" w:type="dxa"/>
          </w:tcPr>
          <w:p>
            <w:pPr>
              <w:pStyle w:val="yTableNAm"/>
            </w:pPr>
            <w:r>
              <w:t>For use of service jetty by vessel just to load or unload, unless the item 1, 2 or 3 fee has been paid for vessel, per vessel for 12 months paid in advance</w:t>
            </w:r>
          </w:p>
        </w:tc>
        <w:tc>
          <w:tcPr>
            <w:tcW w:w="995" w:type="dxa"/>
            <w:vAlign w:val="bottom"/>
          </w:tcPr>
          <w:p>
            <w:pPr>
              <w:pStyle w:val="yTableNAm"/>
              <w:jc w:val="right"/>
            </w:pPr>
            <w:r>
              <w:t>727.30</w:t>
            </w:r>
          </w:p>
        </w:tc>
      </w:tr>
      <w:tr>
        <w:trPr>
          <w:cantSplit/>
        </w:trPr>
        <w:tc>
          <w:tcPr>
            <w:tcW w:w="567" w:type="dxa"/>
          </w:tcPr>
          <w:p>
            <w:pPr>
              <w:pStyle w:val="yTableNAm"/>
              <w:keepNext/>
              <w:keepLines/>
              <w:rPr>
                <w:rFonts w:ascii="Arial" w:hAnsi="Arial"/>
                <w:b/>
              </w:rPr>
            </w:pPr>
            <w:r>
              <w:t>5.</w:t>
            </w:r>
          </w:p>
        </w:tc>
        <w:tc>
          <w:tcPr>
            <w:tcW w:w="4391" w:type="dxa"/>
          </w:tcPr>
          <w:p>
            <w:pPr>
              <w:pStyle w:val="yTableNAm"/>
              <w:keepNext/>
              <w:keepLines/>
              <w:rPr>
                <w:rFonts w:ascii="Arial" w:hAnsi="Arial"/>
                <w:b/>
              </w:rPr>
            </w:pPr>
            <w:r>
              <w:t>For electricity supply except to vessel for which the item 1, 2 or 3 fee has been paid —</w:t>
            </w:r>
          </w:p>
        </w:tc>
        <w:tc>
          <w:tcPr>
            <w:tcW w:w="995" w:type="dxa"/>
            <w:vAlign w:val="bottom"/>
          </w:tcPr>
          <w:p>
            <w:pPr>
              <w:pStyle w:val="yTableNAm"/>
              <w:keepNext/>
              <w:keepLines/>
              <w:jc w:val="right"/>
            </w:pP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single phase, if metering indicates usage of more than $6.51 in a day</w:t>
            </w:r>
          </w:p>
        </w:tc>
        <w:tc>
          <w:tcPr>
            <w:tcW w:w="995" w:type="dxa"/>
            <w:vAlign w:val="bottom"/>
          </w:tcPr>
          <w:p>
            <w:pPr>
              <w:pStyle w:val="yTableNAm"/>
              <w:jc w:val="right"/>
            </w:pPr>
            <w:r>
              <w:t>cost</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single phase, otherwise, per day</w:t>
            </w:r>
          </w:p>
        </w:tc>
        <w:tc>
          <w:tcPr>
            <w:tcW w:w="995" w:type="dxa"/>
            <w:vAlign w:val="bottom"/>
          </w:tcPr>
          <w:p>
            <w:pPr>
              <w:pStyle w:val="yTableNAm"/>
              <w:jc w:val="right"/>
            </w:pPr>
            <w:r>
              <w:t>6.51</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3</w:t>
            </w:r>
            <w:r>
              <w:noBreakHyphen/>
              <w:t>phase, if metering indicates usage of more than $26.06 in a day</w:t>
            </w:r>
          </w:p>
        </w:tc>
        <w:tc>
          <w:tcPr>
            <w:tcW w:w="995" w:type="dxa"/>
            <w:vAlign w:val="bottom"/>
          </w:tcPr>
          <w:p>
            <w:pPr>
              <w:pStyle w:val="yTableNAm"/>
              <w:jc w:val="right"/>
            </w:pPr>
            <w:r>
              <w:t>cost</w:t>
            </w:r>
          </w:p>
        </w:tc>
      </w:tr>
      <w:tr>
        <w:trPr>
          <w:cantSplit/>
        </w:trPr>
        <w:tc>
          <w:tcPr>
            <w:tcW w:w="567" w:type="dxa"/>
            <w:tcBorders>
              <w:bottom w:val="single" w:sz="4" w:space="0" w:color="auto"/>
            </w:tcBorders>
          </w:tcPr>
          <w:p>
            <w:pPr>
              <w:pStyle w:val="yTableNAm"/>
            </w:pPr>
          </w:p>
        </w:tc>
        <w:tc>
          <w:tcPr>
            <w:tcW w:w="4391" w:type="dxa"/>
            <w:tcBorders>
              <w:bottom w:val="single" w:sz="4" w:space="0" w:color="auto"/>
            </w:tcBorders>
          </w:tcPr>
          <w:p>
            <w:pPr>
              <w:pStyle w:val="yTableNAm"/>
              <w:tabs>
                <w:tab w:val="clear" w:pos="567"/>
                <w:tab w:val="left" w:pos="415"/>
              </w:tabs>
              <w:ind w:left="415" w:hanging="415"/>
            </w:pPr>
            <w:r>
              <w:t>•</w:t>
            </w:r>
            <w:r>
              <w:tab/>
              <w:t>3</w:t>
            </w:r>
            <w:r>
              <w:noBreakHyphen/>
              <w:t>phase, otherwise, per day</w:t>
            </w:r>
          </w:p>
        </w:tc>
        <w:tc>
          <w:tcPr>
            <w:tcW w:w="995" w:type="dxa"/>
            <w:tcBorders>
              <w:bottom w:val="single" w:sz="4" w:space="0" w:color="auto"/>
            </w:tcBorders>
            <w:vAlign w:val="bottom"/>
          </w:tcPr>
          <w:p>
            <w:pPr>
              <w:pStyle w:val="yTableNAm"/>
              <w:jc w:val="right"/>
            </w:pPr>
            <w:r>
              <w:t>26.06</w:t>
            </w:r>
          </w:p>
        </w:tc>
      </w:tr>
    </w:tbl>
    <w:p>
      <w:pPr>
        <w:pStyle w:val="yFootnotesection"/>
      </w:pPr>
      <w:r>
        <w:tab/>
        <w:t>[Clause 16 inserted in Gazette 28 Jun 2013 p. 2860</w:t>
      </w:r>
      <w:r>
        <w:noBreakHyphen/>
        <w:t>2.]</w:t>
      </w:r>
    </w:p>
    <w:p>
      <w:pPr>
        <w:pStyle w:val="yHeading5"/>
      </w:pPr>
      <w:bookmarkStart w:id="158" w:name="_Toc375231173"/>
      <w:r>
        <w:rPr>
          <w:rStyle w:val="CharSClsNo"/>
        </w:rPr>
        <w:t>17</w:t>
      </w:r>
      <w:r>
        <w:t>.</w:t>
      </w:r>
      <w:r>
        <w:rPr>
          <w:b w:val="0"/>
        </w:rPr>
        <w:tab/>
      </w:r>
      <w:r>
        <w:t>Lancelin</w:t>
      </w:r>
      <w:bookmarkEnd w:id="158"/>
    </w:p>
    <w:p>
      <w:pPr>
        <w:pStyle w:val="ySubsection"/>
      </w:pPr>
      <w:r>
        <w:tab/>
        <w:t>(1)</w:t>
      </w:r>
      <w:r>
        <w:tab/>
        <w:t>This clause applies to Lancelin.</w:t>
      </w:r>
    </w:p>
    <w:p>
      <w:pPr>
        <w:pStyle w:val="ySubsection"/>
      </w:pPr>
      <w:r>
        <w:tab/>
        <w:t>(2)</w:t>
      </w:r>
      <w:r>
        <w:tab/>
        <w:t>The fees to be paid under regulation 6 are set out in Table 17.1.</w:t>
      </w:r>
    </w:p>
    <w:p>
      <w:pPr>
        <w:pStyle w:val="yTHeadingNAm"/>
      </w:pPr>
      <w:r>
        <w:t>Table 17.1 (Berthing)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0" w:type="dxa"/>
            <w:tcBorders>
              <w:top w:val="single" w:sz="4" w:space="0" w:color="auto"/>
              <w:bottom w:val="single" w:sz="4" w:space="0" w:color="auto"/>
            </w:tcBorders>
          </w:tcPr>
          <w:p>
            <w:pPr>
              <w:pStyle w:val="yTableNAm"/>
              <w:rPr>
                <w:b/>
              </w:rPr>
            </w:pPr>
            <w:r>
              <w:rPr>
                <w:b/>
              </w:rPr>
              <w:t>Service</w:t>
            </w:r>
          </w:p>
        </w:tc>
        <w:tc>
          <w:tcPr>
            <w:tcW w:w="996" w:type="dxa"/>
            <w:tcBorders>
              <w:top w:val="single" w:sz="4" w:space="0" w:color="auto"/>
              <w:bottom w:val="single" w:sz="4" w:space="0" w:color="auto"/>
            </w:tcBorders>
          </w:tcPr>
          <w:p>
            <w:pPr>
              <w:pStyle w:val="yTableNAm"/>
              <w:jc w:val="center"/>
              <w:rPr>
                <w:b/>
              </w:rPr>
            </w:pPr>
            <w:r>
              <w:rPr>
                <w:b/>
              </w:rPr>
              <w:t>$</w:t>
            </w:r>
          </w:p>
        </w:tc>
      </w:tr>
      <w:tr>
        <w:trPr>
          <w:cantSplit/>
        </w:trPr>
        <w:tc>
          <w:tcPr>
            <w:tcW w:w="567" w:type="dxa"/>
            <w:tcBorders>
              <w:top w:val="single" w:sz="4" w:space="0" w:color="auto"/>
              <w:bottom w:val="single" w:sz="4" w:space="0" w:color="auto"/>
            </w:tcBorders>
          </w:tcPr>
          <w:p>
            <w:pPr>
              <w:pStyle w:val="yTableNAm"/>
            </w:pPr>
            <w:r>
              <w:t>1.</w:t>
            </w:r>
          </w:p>
        </w:tc>
        <w:tc>
          <w:tcPr>
            <w:tcW w:w="4390" w:type="dxa"/>
            <w:tcBorders>
              <w:top w:val="single" w:sz="4" w:space="0" w:color="auto"/>
              <w:bottom w:val="single" w:sz="4" w:space="0" w:color="auto"/>
            </w:tcBorders>
          </w:tcPr>
          <w:p>
            <w:pPr>
              <w:pStyle w:val="yTableNAm"/>
            </w:pPr>
            <w:r>
              <w:t>For use of service jetty by vessel, per m of the vessel’s length, per day</w:t>
            </w:r>
          </w:p>
        </w:tc>
        <w:tc>
          <w:tcPr>
            <w:tcW w:w="996" w:type="dxa"/>
            <w:tcBorders>
              <w:top w:val="single" w:sz="4" w:space="0" w:color="auto"/>
              <w:bottom w:val="single" w:sz="4" w:space="0" w:color="auto"/>
            </w:tcBorders>
          </w:tcPr>
          <w:p>
            <w:pPr>
              <w:pStyle w:val="yTableNAm"/>
              <w:jc w:val="right"/>
            </w:pPr>
            <w:r>
              <w:br/>
              <w:t>6.55</w:t>
            </w:r>
          </w:p>
        </w:tc>
      </w:tr>
    </w:tbl>
    <w:p>
      <w:pPr>
        <w:pStyle w:val="yFootnotesection"/>
      </w:pPr>
      <w:r>
        <w:tab/>
        <w:t>[Clause 17 inserted in Gazette 28 Jun 2013 p. 2862.]</w:t>
      </w:r>
    </w:p>
    <w:p>
      <w:pPr>
        <w:pStyle w:val="yHeading5"/>
      </w:pPr>
      <w:bookmarkStart w:id="159" w:name="_Toc375231174"/>
      <w:r>
        <w:rPr>
          <w:rStyle w:val="CharSClsNo"/>
        </w:rPr>
        <w:t>18</w:t>
      </w:r>
      <w:r>
        <w:t>.</w:t>
      </w:r>
      <w:r>
        <w:rPr>
          <w:b w:val="0"/>
        </w:rPr>
        <w:tab/>
      </w:r>
      <w:r>
        <w:t>Leeman</w:t>
      </w:r>
      <w:bookmarkEnd w:id="159"/>
    </w:p>
    <w:p>
      <w:pPr>
        <w:pStyle w:val="ySubsection"/>
      </w:pPr>
      <w:r>
        <w:tab/>
        <w:t>(1)</w:t>
      </w:r>
      <w:r>
        <w:tab/>
        <w:t>This clause applies to Leeman.</w:t>
      </w:r>
    </w:p>
    <w:p>
      <w:pPr>
        <w:pStyle w:val="ySubsection"/>
      </w:pPr>
      <w:r>
        <w:tab/>
        <w:t>(2)</w:t>
      </w:r>
      <w:r>
        <w:tab/>
        <w:t>The fees and charges to be paid under regulation 6 are set out in Table 18.1.</w:t>
      </w:r>
    </w:p>
    <w:p>
      <w:pPr>
        <w:pStyle w:val="yTHeadingNAm"/>
      </w:pPr>
      <w:r>
        <w:t>Table 18.1 (Berthing)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0" w:type="dxa"/>
            <w:tcBorders>
              <w:top w:val="single" w:sz="4" w:space="0" w:color="auto"/>
              <w:bottom w:val="single" w:sz="4" w:space="0" w:color="auto"/>
            </w:tcBorders>
          </w:tcPr>
          <w:p>
            <w:pPr>
              <w:pStyle w:val="yTableNAm"/>
              <w:rPr>
                <w:b/>
              </w:rPr>
            </w:pPr>
            <w:r>
              <w:rPr>
                <w:b/>
              </w:rPr>
              <w:t>Service</w:t>
            </w:r>
          </w:p>
        </w:tc>
        <w:tc>
          <w:tcPr>
            <w:tcW w:w="996"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0" w:type="dxa"/>
          </w:tcPr>
          <w:p>
            <w:pPr>
              <w:pStyle w:val="yTableNAm"/>
            </w:pPr>
            <w:r>
              <w:t xml:space="preserve">For use of service jetty by vessel — </w:t>
            </w:r>
          </w:p>
        </w:tc>
        <w:tc>
          <w:tcPr>
            <w:tcW w:w="996" w:type="dxa"/>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per m of the vessel’s length, per day</w:t>
            </w:r>
          </w:p>
        </w:tc>
        <w:tc>
          <w:tcPr>
            <w:tcW w:w="996" w:type="dxa"/>
          </w:tcPr>
          <w:p>
            <w:pPr>
              <w:pStyle w:val="yTableNAm"/>
              <w:jc w:val="right"/>
            </w:pPr>
            <w:r>
              <w:t>4.09</w:t>
            </w:r>
          </w:p>
        </w:tc>
      </w:tr>
      <w:tr>
        <w:trPr>
          <w:cantSplit/>
        </w:trPr>
        <w:tc>
          <w:tcPr>
            <w:tcW w:w="567" w:type="dxa"/>
            <w:tcBorders>
              <w:bottom w:val="single" w:sz="4" w:space="0" w:color="auto"/>
            </w:tcBorders>
          </w:tcPr>
          <w:p>
            <w:pPr>
              <w:pStyle w:val="yTableNAm"/>
            </w:pPr>
          </w:p>
        </w:tc>
        <w:tc>
          <w:tcPr>
            <w:tcW w:w="4390" w:type="dxa"/>
            <w:tcBorders>
              <w:bottom w:val="single" w:sz="4" w:space="0" w:color="auto"/>
            </w:tcBorders>
          </w:tcPr>
          <w:p>
            <w:pPr>
              <w:pStyle w:val="yTableNAm"/>
              <w:tabs>
                <w:tab w:val="clear" w:pos="567"/>
                <w:tab w:val="left" w:pos="415"/>
              </w:tabs>
              <w:ind w:left="415" w:hanging="415"/>
            </w:pPr>
            <w:r>
              <w:t>•</w:t>
            </w:r>
            <w:r>
              <w:tab/>
              <w:t>minimum overnight</w:t>
            </w:r>
          </w:p>
        </w:tc>
        <w:tc>
          <w:tcPr>
            <w:tcW w:w="996" w:type="dxa"/>
            <w:tcBorders>
              <w:bottom w:val="single" w:sz="4" w:space="0" w:color="auto"/>
            </w:tcBorders>
          </w:tcPr>
          <w:p>
            <w:pPr>
              <w:pStyle w:val="yTableNAm"/>
              <w:jc w:val="right"/>
            </w:pPr>
            <w:r>
              <w:t>61.44</w:t>
            </w:r>
          </w:p>
        </w:tc>
      </w:tr>
    </w:tbl>
    <w:p>
      <w:pPr>
        <w:pStyle w:val="yFootnotesection"/>
      </w:pPr>
      <w:r>
        <w:tab/>
        <w:t>[Clause 18 inserted in Gazette 28 Jun 2013 p. 2862.]</w:t>
      </w:r>
    </w:p>
    <w:p>
      <w:pPr>
        <w:pStyle w:val="yHeading5"/>
      </w:pPr>
      <w:bookmarkStart w:id="160" w:name="_Toc375231175"/>
      <w:r>
        <w:rPr>
          <w:rStyle w:val="CharSClsNo"/>
        </w:rPr>
        <w:t>19</w:t>
      </w:r>
      <w:r>
        <w:t>.</w:t>
      </w:r>
      <w:r>
        <w:rPr>
          <w:b w:val="0"/>
        </w:rPr>
        <w:tab/>
      </w:r>
      <w:r>
        <w:t xml:space="preserve">Onslow, </w:t>
      </w:r>
      <w:smartTag w:uri="urn:schemas-microsoft-com:office:smarttags" w:element="place">
        <w:smartTag w:uri="urn:schemas-microsoft-com:office:smarttags" w:element="PlaceName">
          <w:r>
            <w:t>Beadon</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160"/>
    </w:p>
    <w:p>
      <w:pPr>
        <w:pStyle w:val="ySubsection"/>
      </w:pPr>
      <w:r>
        <w:tab/>
        <w:t>(1)</w:t>
      </w:r>
      <w:r>
        <w:tab/>
        <w:t xml:space="preserve">This clause applies to the </w:t>
      </w:r>
      <w:smartTag w:uri="urn:schemas-microsoft-com:office:smarttags" w:element="place">
        <w:smartTag w:uri="urn:schemas-microsoft-com:office:smarttags" w:element="PlaceName">
          <w:r>
            <w:t>Beadon</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Onslow.</w:t>
      </w:r>
    </w:p>
    <w:p>
      <w:pPr>
        <w:pStyle w:val="ySubsection"/>
      </w:pPr>
      <w:r>
        <w:tab/>
        <w:t>(2)</w:t>
      </w:r>
      <w:r>
        <w:tab/>
        <w:t xml:space="preserve">In this clause a reference to a </w:t>
      </w:r>
      <w:r>
        <w:rPr>
          <w:rStyle w:val="CharDefText"/>
        </w:rPr>
        <w:t>service vessel</w:t>
      </w:r>
      <w:r>
        <w:t xml:space="preserve"> is a reference to any vessel other than a recreational vessel, tourism vessel or fishing vessel.</w:t>
      </w:r>
    </w:p>
    <w:p>
      <w:pPr>
        <w:pStyle w:val="ySubsection"/>
      </w:pPr>
      <w:r>
        <w:tab/>
        <w:t>(3)</w:t>
      </w:r>
      <w:r>
        <w:tab/>
        <w:t>The charges and dues to be paid under regulation 10A are set out in Table 19.1.</w:t>
      </w:r>
    </w:p>
    <w:p>
      <w:pPr>
        <w:pStyle w:val="yTHeadingNAm"/>
      </w:pPr>
      <w:r>
        <w:t>Table 19.1 (Wharfage)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4" w:type="dxa"/>
            <w:tcBorders>
              <w:top w:val="single" w:sz="4" w:space="0" w:color="auto"/>
              <w:bottom w:val="single" w:sz="4" w:space="0" w:color="auto"/>
            </w:tcBorders>
          </w:tcPr>
          <w:p>
            <w:pPr>
              <w:pStyle w:val="yTableNAm"/>
              <w:rPr>
                <w:b/>
              </w:rPr>
            </w:pPr>
            <w:r>
              <w:rPr>
                <w:b/>
              </w:rPr>
              <w:t>Goods</w:t>
            </w:r>
          </w:p>
        </w:tc>
        <w:tc>
          <w:tcPr>
            <w:tcW w:w="992"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4" w:type="dxa"/>
          </w:tcPr>
          <w:p>
            <w:pPr>
              <w:pStyle w:val="yTableNAm"/>
            </w:pPr>
            <w:r>
              <w:t>General cargo at the service wharf or an appurtenant area —</w:t>
            </w:r>
          </w:p>
        </w:tc>
        <w:tc>
          <w:tcPr>
            <w:tcW w:w="992" w:type="dxa"/>
          </w:tcPr>
          <w:p>
            <w:pPr>
              <w:pStyle w:val="yTableNAm"/>
              <w:jc w:val="right"/>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if loaded from or into vessel, per t or m</w:t>
            </w:r>
            <w:r>
              <w:rPr>
                <w:vertAlign w:val="superscript"/>
              </w:rPr>
              <w:t>3</w:t>
            </w:r>
          </w:p>
        </w:tc>
        <w:tc>
          <w:tcPr>
            <w:tcW w:w="992" w:type="dxa"/>
          </w:tcPr>
          <w:p>
            <w:pPr>
              <w:pStyle w:val="yTableNAm"/>
              <w:jc w:val="right"/>
            </w:pPr>
            <w:r>
              <w:t>6.24</w:t>
            </w:r>
          </w:p>
        </w:tc>
      </w:tr>
      <w:tr>
        <w:trPr>
          <w:cantSplit/>
        </w:trPr>
        <w:tc>
          <w:tcPr>
            <w:tcW w:w="567" w:type="dxa"/>
            <w:tcBorders>
              <w:bottom w:val="single" w:sz="4" w:space="0" w:color="auto"/>
            </w:tcBorders>
          </w:tcPr>
          <w:p>
            <w:pPr>
              <w:pStyle w:val="yTableNAm"/>
            </w:pPr>
          </w:p>
        </w:tc>
        <w:tc>
          <w:tcPr>
            <w:tcW w:w="4394" w:type="dxa"/>
            <w:tcBorders>
              <w:bottom w:val="single" w:sz="4" w:space="0" w:color="auto"/>
            </w:tcBorders>
          </w:tcPr>
          <w:p>
            <w:pPr>
              <w:pStyle w:val="yTableNAm"/>
              <w:tabs>
                <w:tab w:val="clear" w:pos="567"/>
                <w:tab w:val="left" w:pos="415"/>
              </w:tabs>
              <w:ind w:left="415" w:hanging="415"/>
            </w:pPr>
            <w:r>
              <w:t>•</w:t>
            </w:r>
            <w:r>
              <w:tab/>
              <w:t>if vessel is lifted, per m of the vessel’s length</w:t>
            </w:r>
          </w:p>
        </w:tc>
        <w:tc>
          <w:tcPr>
            <w:tcW w:w="992" w:type="dxa"/>
            <w:tcBorders>
              <w:bottom w:val="single" w:sz="4" w:space="0" w:color="auto"/>
            </w:tcBorders>
          </w:tcPr>
          <w:p>
            <w:pPr>
              <w:pStyle w:val="yTableNAm"/>
              <w:jc w:val="right"/>
            </w:pPr>
            <w:r>
              <w:t>14.07</w:t>
            </w:r>
          </w:p>
        </w:tc>
      </w:tr>
    </w:tbl>
    <w:p>
      <w:pPr>
        <w:pStyle w:val="ySubsection"/>
      </w:pPr>
      <w:r>
        <w:tab/>
        <w:t>(4)</w:t>
      </w:r>
      <w:r>
        <w:tab/>
        <w:t>The fees and charges to be paid under regulations 6, 94A and 94B are set out in Table 19.2.</w:t>
      </w:r>
    </w:p>
    <w:p>
      <w:pPr>
        <w:pStyle w:val="yTHeadingNAm"/>
      </w:pPr>
      <w:r>
        <w:t>Table 19.2 (Berthing, pen rental and mooring)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0" w:type="dxa"/>
            <w:tcBorders>
              <w:top w:val="single" w:sz="4" w:space="0" w:color="auto"/>
              <w:bottom w:val="single" w:sz="4" w:space="0" w:color="auto"/>
            </w:tcBorders>
          </w:tcPr>
          <w:p>
            <w:pPr>
              <w:pStyle w:val="yTableNAm"/>
              <w:rPr>
                <w:b/>
              </w:rPr>
            </w:pPr>
            <w:r>
              <w:rPr>
                <w:b/>
              </w:rPr>
              <w:t>Service</w:t>
            </w:r>
          </w:p>
        </w:tc>
        <w:tc>
          <w:tcPr>
            <w:tcW w:w="996"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0" w:type="dxa"/>
          </w:tcPr>
          <w:p>
            <w:pPr>
              <w:pStyle w:val="yTableNAm"/>
            </w:pPr>
            <w:r>
              <w:t xml:space="preserve">For shared berthing on mooring piles or service wharf by recreational vessel, tourism vessel or fishing vessel, per m of the vessel’s length — </w:t>
            </w:r>
          </w:p>
          <w:p>
            <w:pPr>
              <w:pStyle w:val="NotesPerm"/>
              <w:tabs>
                <w:tab w:val="clear" w:pos="879"/>
                <w:tab w:val="left" w:pos="652"/>
              </w:tabs>
              <w:ind w:left="652" w:hanging="652"/>
            </w:pPr>
            <w:r>
              <w:t>Note:</w:t>
            </w:r>
            <w:r>
              <w:tab/>
              <w:t>includes short</w:t>
            </w:r>
            <w:r>
              <w:noBreakHyphen/>
              <w:t>term loading/unloading of goods and passengers on service wharf limited to 2 hours per day, otherwise item 3 fees will apply after 2 hours</w:t>
            </w:r>
          </w:p>
        </w:tc>
        <w:tc>
          <w:tcPr>
            <w:tcW w:w="996" w:type="dxa"/>
            <w:vAlign w:val="bottom"/>
          </w:tcPr>
          <w:p>
            <w:pPr>
              <w:pStyle w:val="yTableNAm"/>
              <w:jc w:val="right"/>
              <w:rPr>
                <w:szCs w:val="22"/>
              </w:rPr>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12 months, paid in advance</w:t>
            </w:r>
          </w:p>
        </w:tc>
        <w:tc>
          <w:tcPr>
            <w:tcW w:w="996" w:type="dxa"/>
            <w:vAlign w:val="bottom"/>
          </w:tcPr>
          <w:p>
            <w:pPr>
              <w:pStyle w:val="yTableNAm"/>
              <w:jc w:val="right"/>
              <w:rPr>
                <w:szCs w:val="22"/>
              </w:rPr>
            </w:pPr>
            <w:r>
              <w:rPr>
                <w:szCs w:val="22"/>
              </w:rPr>
              <w:t>318.26</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months or more, per month, paid in advance</w:t>
            </w:r>
          </w:p>
        </w:tc>
        <w:tc>
          <w:tcPr>
            <w:tcW w:w="996" w:type="dxa"/>
            <w:vAlign w:val="bottom"/>
          </w:tcPr>
          <w:p>
            <w:pPr>
              <w:pStyle w:val="yTableNAm"/>
              <w:jc w:val="right"/>
              <w:rPr>
                <w:szCs w:val="22"/>
              </w:rPr>
            </w:pPr>
            <w:r>
              <w:rPr>
                <w:szCs w:val="22"/>
              </w:rPr>
              <w:t>31.83</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 paid in advance</w:t>
            </w:r>
          </w:p>
        </w:tc>
        <w:tc>
          <w:tcPr>
            <w:tcW w:w="996" w:type="dxa"/>
            <w:vAlign w:val="bottom"/>
          </w:tcPr>
          <w:p>
            <w:pPr>
              <w:pStyle w:val="yTableNAm"/>
              <w:jc w:val="right"/>
              <w:rPr>
                <w:szCs w:val="22"/>
              </w:rPr>
            </w:pPr>
            <w:r>
              <w:rPr>
                <w:szCs w:val="22"/>
              </w:rPr>
              <w:t>47.74</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week or more, per week, paid in advance</w:t>
            </w:r>
          </w:p>
        </w:tc>
        <w:tc>
          <w:tcPr>
            <w:tcW w:w="996" w:type="dxa"/>
            <w:vAlign w:val="bottom"/>
          </w:tcPr>
          <w:p>
            <w:pPr>
              <w:pStyle w:val="yTableNAm"/>
              <w:jc w:val="right"/>
              <w:rPr>
                <w:szCs w:val="22"/>
              </w:rPr>
            </w:pPr>
            <w:r>
              <w:rPr>
                <w:szCs w:val="22"/>
              </w:rPr>
              <w:t>39.75</w:t>
            </w:r>
          </w:p>
        </w:tc>
      </w:tr>
      <w:tr>
        <w:trPr>
          <w:cantSplit/>
        </w:trPr>
        <w:tc>
          <w:tcPr>
            <w:tcW w:w="567" w:type="dxa"/>
          </w:tcPr>
          <w:p>
            <w:pPr>
              <w:pStyle w:val="yTableNAm"/>
            </w:pPr>
          </w:p>
        </w:tc>
        <w:tc>
          <w:tcPr>
            <w:tcW w:w="4390" w:type="dxa"/>
          </w:tcPr>
          <w:p>
            <w:pPr>
              <w:pStyle w:val="yTableNAm"/>
              <w:tabs>
                <w:tab w:val="clear" w:pos="567"/>
                <w:tab w:val="left" w:pos="415"/>
              </w:tabs>
              <w:ind w:left="415" w:hanging="415"/>
              <w:rPr>
                <w:b/>
                <w:i/>
              </w:rPr>
            </w:pPr>
            <w:r>
              <w:t>•</w:t>
            </w:r>
            <w:r>
              <w:tab/>
              <w:t>otherwise, per day</w:t>
            </w:r>
          </w:p>
        </w:tc>
        <w:tc>
          <w:tcPr>
            <w:tcW w:w="996" w:type="dxa"/>
            <w:vAlign w:val="bottom"/>
          </w:tcPr>
          <w:p>
            <w:pPr>
              <w:pStyle w:val="yTableNAm"/>
              <w:jc w:val="right"/>
              <w:rPr>
                <w:szCs w:val="22"/>
              </w:rPr>
            </w:pPr>
            <w:r>
              <w:rPr>
                <w:szCs w:val="22"/>
              </w:rPr>
              <w:t>7.95</w:t>
            </w:r>
          </w:p>
        </w:tc>
      </w:tr>
      <w:tr>
        <w:trPr>
          <w:cantSplit/>
        </w:trPr>
        <w:tc>
          <w:tcPr>
            <w:tcW w:w="567" w:type="dxa"/>
          </w:tcPr>
          <w:p>
            <w:pPr>
              <w:pStyle w:val="yTableNAm"/>
            </w:pPr>
            <w:r>
              <w:t>2.</w:t>
            </w:r>
          </w:p>
        </w:tc>
        <w:tc>
          <w:tcPr>
            <w:tcW w:w="4390" w:type="dxa"/>
          </w:tcPr>
          <w:p>
            <w:pPr>
              <w:pStyle w:val="yTableNAm"/>
            </w:pPr>
            <w:r>
              <w:t>For berthing on mooring piles by a service vessel, per m of the vessel’s length —</w:t>
            </w:r>
          </w:p>
        </w:tc>
        <w:tc>
          <w:tcPr>
            <w:tcW w:w="996" w:type="dxa"/>
            <w:vAlign w:val="bottom"/>
          </w:tcPr>
          <w:p>
            <w:pPr>
              <w:pStyle w:val="yTableNAm"/>
              <w:jc w:val="right"/>
              <w:rPr>
                <w:szCs w:val="22"/>
              </w:rPr>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12 months paid in advance</w:t>
            </w:r>
          </w:p>
        </w:tc>
        <w:tc>
          <w:tcPr>
            <w:tcW w:w="996" w:type="dxa"/>
            <w:vAlign w:val="bottom"/>
          </w:tcPr>
          <w:p>
            <w:pPr>
              <w:pStyle w:val="yTableNAm"/>
              <w:jc w:val="right"/>
              <w:rPr>
                <w:szCs w:val="22"/>
              </w:rPr>
            </w:pPr>
            <w:r>
              <w:rPr>
                <w:szCs w:val="22"/>
              </w:rPr>
              <w:t>339.46</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months or more, per month, paid in advance</w:t>
            </w:r>
          </w:p>
        </w:tc>
        <w:tc>
          <w:tcPr>
            <w:tcW w:w="996" w:type="dxa"/>
            <w:vAlign w:val="bottom"/>
          </w:tcPr>
          <w:p>
            <w:pPr>
              <w:pStyle w:val="yTableNAm"/>
              <w:jc w:val="right"/>
              <w:rPr>
                <w:szCs w:val="22"/>
              </w:rPr>
            </w:pPr>
            <w:r>
              <w:rPr>
                <w:szCs w:val="22"/>
              </w:rPr>
              <w:t>33.94</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 paid in advance</w:t>
            </w:r>
          </w:p>
        </w:tc>
        <w:tc>
          <w:tcPr>
            <w:tcW w:w="996" w:type="dxa"/>
            <w:vAlign w:val="bottom"/>
          </w:tcPr>
          <w:p>
            <w:pPr>
              <w:pStyle w:val="yTableNAm"/>
              <w:jc w:val="right"/>
              <w:rPr>
                <w:szCs w:val="22"/>
              </w:rPr>
            </w:pPr>
            <w:r>
              <w:rPr>
                <w:szCs w:val="22"/>
              </w:rPr>
              <w:t>50.92</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week or more, per week, paid in advance</w:t>
            </w:r>
          </w:p>
        </w:tc>
        <w:tc>
          <w:tcPr>
            <w:tcW w:w="996" w:type="dxa"/>
            <w:vAlign w:val="bottom"/>
          </w:tcPr>
          <w:p>
            <w:pPr>
              <w:pStyle w:val="yTableNAm"/>
              <w:jc w:val="right"/>
              <w:rPr>
                <w:szCs w:val="22"/>
              </w:rPr>
            </w:pPr>
            <w:r>
              <w:rPr>
                <w:szCs w:val="22"/>
              </w:rPr>
              <w:t>42.39</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otherwise, per day</w:t>
            </w:r>
          </w:p>
        </w:tc>
        <w:tc>
          <w:tcPr>
            <w:tcW w:w="996" w:type="dxa"/>
            <w:vAlign w:val="bottom"/>
          </w:tcPr>
          <w:p>
            <w:pPr>
              <w:pStyle w:val="yTableNAm"/>
              <w:jc w:val="right"/>
              <w:rPr>
                <w:szCs w:val="22"/>
              </w:rPr>
            </w:pPr>
            <w:r>
              <w:rPr>
                <w:szCs w:val="22"/>
              </w:rPr>
              <w:t>8.47</w:t>
            </w:r>
          </w:p>
        </w:tc>
      </w:tr>
      <w:tr>
        <w:trPr>
          <w:cantSplit/>
        </w:trPr>
        <w:tc>
          <w:tcPr>
            <w:tcW w:w="567" w:type="dxa"/>
          </w:tcPr>
          <w:p>
            <w:pPr>
              <w:pStyle w:val="yTableNAm"/>
            </w:pPr>
            <w:r>
              <w:t>3.</w:t>
            </w:r>
          </w:p>
        </w:tc>
        <w:tc>
          <w:tcPr>
            <w:tcW w:w="4390" w:type="dxa"/>
          </w:tcPr>
          <w:p>
            <w:pPr>
              <w:pStyle w:val="yTableNAm"/>
              <w:rPr>
                <w:rStyle w:val="DraftersNotes"/>
              </w:rPr>
            </w:pPr>
            <w:r>
              <w:t>For short</w:t>
            </w:r>
            <w:r>
              <w:noBreakHyphen/>
              <w:t>term use of service wharf by a service vessel, for up to 6 hours in a 24 hour period, per m of the vessel’s length</w:t>
            </w:r>
          </w:p>
        </w:tc>
        <w:tc>
          <w:tcPr>
            <w:tcW w:w="996" w:type="dxa"/>
            <w:vAlign w:val="bottom"/>
          </w:tcPr>
          <w:p>
            <w:pPr>
              <w:pStyle w:val="yTableNAm"/>
              <w:jc w:val="right"/>
              <w:rPr>
                <w:szCs w:val="22"/>
              </w:rPr>
            </w:pPr>
            <w:r>
              <w:rPr>
                <w:szCs w:val="22"/>
              </w:rPr>
              <w:t>8.00</w:t>
            </w:r>
          </w:p>
        </w:tc>
      </w:tr>
      <w:tr>
        <w:trPr>
          <w:cantSplit/>
        </w:trPr>
        <w:tc>
          <w:tcPr>
            <w:tcW w:w="567" w:type="dxa"/>
          </w:tcPr>
          <w:p>
            <w:pPr>
              <w:pStyle w:val="yTableNAm"/>
            </w:pPr>
            <w:r>
              <w:t>4.</w:t>
            </w:r>
          </w:p>
        </w:tc>
        <w:tc>
          <w:tcPr>
            <w:tcW w:w="4390" w:type="dxa"/>
          </w:tcPr>
          <w:p>
            <w:pPr>
              <w:pStyle w:val="yTableNAm"/>
            </w:pPr>
            <w:r>
              <w:t>For use of service wharf hardstand or appurtenant area for storage or maintenance (for short</w:t>
            </w:r>
            <w:r>
              <w:noBreakHyphen/>
              <w:t>term use only), per day —</w:t>
            </w:r>
          </w:p>
        </w:tc>
        <w:tc>
          <w:tcPr>
            <w:tcW w:w="996" w:type="dxa"/>
            <w:vAlign w:val="bottom"/>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per m</w:t>
            </w:r>
            <w:r>
              <w:rPr>
                <w:vertAlign w:val="superscript"/>
              </w:rPr>
              <w:t>2</w:t>
            </w:r>
          </w:p>
        </w:tc>
        <w:tc>
          <w:tcPr>
            <w:tcW w:w="996" w:type="dxa"/>
            <w:vAlign w:val="bottom"/>
          </w:tcPr>
          <w:p>
            <w:pPr>
              <w:pStyle w:val="yTableNAm"/>
              <w:jc w:val="right"/>
            </w:pPr>
            <w:r>
              <w:t>1.57</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minimum fee</w:t>
            </w:r>
          </w:p>
        </w:tc>
        <w:tc>
          <w:tcPr>
            <w:tcW w:w="996" w:type="dxa"/>
            <w:vAlign w:val="bottom"/>
          </w:tcPr>
          <w:p>
            <w:pPr>
              <w:pStyle w:val="yTableNAm"/>
              <w:jc w:val="right"/>
            </w:pPr>
            <w:r>
              <w:t>28.73</w:t>
            </w:r>
          </w:p>
        </w:tc>
      </w:tr>
      <w:tr>
        <w:trPr>
          <w:cantSplit/>
        </w:trPr>
        <w:tc>
          <w:tcPr>
            <w:tcW w:w="567" w:type="dxa"/>
          </w:tcPr>
          <w:p>
            <w:pPr>
              <w:pStyle w:val="yTableNAm"/>
              <w:keepNext/>
              <w:keepLines/>
              <w:rPr>
                <w:rFonts w:ascii="Arial" w:hAnsi="Arial"/>
                <w:b/>
              </w:rPr>
            </w:pPr>
            <w:r>
              <w:t>5.</w:t>
            </w:r>
          </w:p>
        </w:tc>
        <w:tc>
          <w:tcPr>
            <w:tcW w:w="4390" w:type="dxa"/>
          </w:tcPr>
          <w:p>
            <w:pPr>
              <w:pStyle w:val="yTableNAm"/>
              <w:keepNext/>
              <w:keepLines/>
              <w:rPr>
                <w:rFonts w:ascii="Arial" w:hAnsi="Arial"/>
                <w:b/>
              </w:rPr>
            </w:pPr>
            <w:r>
              <w:t>For electricity supply, 3</w:t>
            </w:r>
            <w:r>
              <w:noBreakHyphen/>
              <w:t>phase or single —</w:t>
            </w:r>
          </w:p>
        </w:tc>
        <w:tc>
          <w:tcPr>
            <w:tcW w:w="996" w:type="dxa"/>
            <w:vAlign w:val="bottom"/>
          </w:tcPr>
          <w:p>
            <w:pPr>
              <w:pStyle w:val="yTableNAm"/>
              <w:keepNext/>
              <w:keepLines/>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if metered, for units consumed, per unit with a minimum amount as for the consumption of 50 units</w:t>
            </w:r>
          </w:p>
        </w:tc>
        <w:tc>
          <w:tcPr>
            <w:tcW w:w="996" w:type="dxa"/>
            <w:vAlign w:val="bottom"/>
          </w:tcPr>
          <w:p>
            <w:pPr>
              <w:pStyle w:val="yTableNAm"/>
              <w:jc w:val="right"/>
            </w:pPr>
            <w:r>
              <w:t>cost</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if metered, for meter reading</w:t>
            </w:r>
          </w:p>
        </w:tc>
        <w:tc>
          <w:tcPr>
            <w:tcW w:w="996" w:type="dxa"/>
            <w:vAlign w:val="bottom"/>
          </w:tcPr>
          <w:p>
            <w:pPr>
              <w:pStyle w:val="yTableNAm"/>
              <w:jc w:val="right"/>
            </w:pPr>
            <w:r>
              <w:t>cost</w:t>
            </w:r>
          </w:p>
        </w:tc>
      </w:tr>
      <w:tr>
        <w:trPr>
          <w:cantSplit/>
        </w:trPr>
        <w:tc>
          <w:tcPr>
            <w:tcW w:w="567" w:type="dxa"/>
          </w:tcPr>
          <w:p>
            <w:pPr>
              <w:pStyle w:val="yTableNAm"/>
            </w:pPr>
          </w:p>
        </w:tc>
        <w:tc>
          <w:tcPr>
            <w:tcW w:w="4390" w:type="dxa"/>
          </w:tcPr>
          <w:p>
            <w:pPr>
              <w:pStyle w:val="yTableNAm"/>
              <w:tabs>
                <w:tab w:val="clear" w:pos="567"/>
                <w:tab w:val="left" w:pos="415"/>
              </w:tabs>
              <w:ind w:left="415" w:hanging="415"/>
              <w:rPr>
                <w:b/>
                <w:i/>
              </w:rPr>
            </w:pPr>
            <w:r>
              <w:t>•</w:t>
            </w:r>
            <w:r>
              <w:tab/>
              <w:t>if not metered, per period of 12 hours or part of that period</w:t>
            </w:r>
          </w:p>
        </w:tc>
        <w:tc>
          <w:tcPr>
            <w:tcW w:w="996" w:type="dxa"/>
            <w:vAlign w:val="bottom"/>
          </w:tcPr>
          <w:p>
            <w:pPr>
              <w:pStyle w:val="yTableNAm"/>
              <w:jc w:val="right"/>
            </w:pPr>
            <w:r>
              <w:t>cost</w:t>
            </w:r>
          </w:p>
        </w:tc>
      </w:tr>
      <w:tr>
        <w:trPr>
          <w:cantSplit/>
        </w:trPr>
        <w:tc>
          <w:tcPr>
            <w:tcW w:w="567" w:type="dxa"/>
          </w:tcPr>
          <w:p>
            <w:pPr>
              <w:pStyle w:val="yTableNAm"/>
            </w:pPr>
            <w:r>
              <w:t>6.</w:t>
            </w:r>
          </w:p>
        </w:tc>
        <w:tc>
          <w:tcPr>
            <w:tcW w:w="4390" w:type="dxa"/>
          </w:tcPr>
          <w:p>
            <w:pPr>
              <w:pStyle w:val="yTableNAm"/>
            </w:pPr>
            <w:r>
              <w:t xml:space="preserve">For water supply — </w:t>
            </w:r>
          </w:p>
        </w:tc>
        <w:tc>
          <w:tcPr>
            <w:tcW w:w="996" w:type="dxa"/>
            <w:vAlign w:val="bottom"/>
          </w:tcPr>
          <w:p>
            <w:pPr>
              <w:pStyle w:val="yTableNAm"/>
              <w:jc w:val="right"/>
              <w:rPr>
                <w:szCs w:val="22"/>
              </w:rPr>
            </w:pPr>
          </w:p>
        </w:tc>
      </w:tr>
      <w:tr>
        <w:trPr>
          <w:cantSplit/>
        </w:trPr>
        <w:tc>
          <w:tcPr>
            <w:tcW w:w="567" w:type="dxa"/>
          </w:tcPr>
          <w:p>
            <w:pPr>
              <w:pStyle w:val="yTableNAm"/>
            </w:pPr>
          </w:p>
        </w:tc>
        <w:tc>
          <w:tcPr>
            <w:tcW w:w="4390" w:type="dxa"/>
          </w:tcPr>
          <w:p>
            <w:pPr>
              <w:pStyle w:val="yTableNAm"/>
              <w:tabs>
                <w:tab w:val="clear" w:pos="567"/>
                <w:tab w:val="left" w:pos="415"/>
              </w:tabs>
              <w:ind w:left="415" w:hanging="415"/>
              <w:rPr>
                <w:rFonts w:ascii="Arial" w:hAnsi="Arial"/>
                <w:b/>
              </w:rPr>
            </w:pPr>
            <w:r>
              <w:t>•</w:t>
            </w:r>
            <w:r>
              <w:tab/>
              <w:t>if metered, for units consumed, per unit with a minimum amount as for the consumption of 2 kL</w:t>
            </w:r>
          </w:p>
        </w:tc>
        <w:tc>
          <w:tcPr>
            <w:tcW w:w="996" w:type="dxa"/>
            <w:vAlign w:val="bottom"/>
          </w:tcPr>
          <w:p>
            <w:pPr>
              <w:pStyle w:val="yTableNAm"/>
              <w:jc w:val="right"/>
            </w:pPr>
            <w:r>
              <w:t>cost</w:t>
            </w:r>
          </w:p>
        </w:tc>
      </w:tr>
      <w:tr>
        <w:trPr>
          <w:cantSplit/>
        </w:trPr>
        <w:tc>
          <w:tcPr>
            <w:tcW w:w="567" w:type="dxa"/>
          </w:tcPr>
          <w:p>
            <w:pPr>
              <w:pStyle w:val="yTableNAm"/>
            </w:pPr>
          </w:p>
        </w:tc>
        <w:tc>
          <w:tcPr>
            <w:tcW w:w="4390" w:type="dxa"/>
          </w:tcPr>
          <w:p>
            <w:pPr>
              <w:pStyle w:val="yTableNAm"/>
              <w:tabs>
                <w:tab w:val="clear" w:pos="567"/>
                <w:tab w:val="left" w:pos="415"/>
              </w:tabs>
              <w:ind w:left="415" w:hanging="415"/>
              <w:rPr>
                <w:b/>
                <w:i/>
              </w:rPr>
            </w:pPr>
            <w:r>
              <w:t>•</w:t>
            </w:r>
            <w:r>
              <w:tab/>
              <w:t>if not metered, per period of 12 hours or part of that period</w:t>
            </w:r>
          </w:p>
        </w:tc>
        <w:tc>
          <w:tcPr>
            <w:tcW w:w="996" w:type="dxa"/>
            <w:vAlign w:val="bottom"/>
          </w:tcPr>
          <w:p>
            <w:pPr>
              <w:pStyle w:val="yTableNAm"/>
              <w:jc w:val="right"/>
            </w:pPr>
            <w:r>
              <w:t>cost</w:t>
            </w:r>
          </w:p>
        </w:tc>
      </w:tr>
      <w:tr>
        <w:trPr>
          <w:cantSplit/>
        </w:trPr>
        <w:tc>
          <w:tcPr>
            <w:tcW w:w="567" w:type="dxa"/>
          </w:tcPr>
          <w:p>
            <w:pPr>
              <w:pStyle w:val="yTableNAm"/>
            </w:pPr>
            <w:r>
              <w:t>7.</w:t>
            </w:r>
          </w:p>
        </w:tc>
        <w:tc>
          <w:tcPr>
            <w:tcW w:w="4390" w:type="dxa"/>
          </w:tcPr>
          <w:p>
            <w:pPr>
              <w:pStyle w:val="yTableNAm"/>
            </w:pPr>
            <w:r>
              <w:t xml:space="preserve">For rubbish removal — </w:t>
            </w:r>
          </w:p>
        </w:tc>
        <w:tc>
          <w:tcPr>
            <w:tcW w:w="996" w:type="dxa"/>
            <w:vAlign w:val="bottom"/>
          </w:tcPr>
          <w:p>
            <w:pPr>
              <w:pStyle w:val="yTableNAm"/>
              <w:jc w:val="right"/>
              <w:rPr>
                <w:szCs w:val="22"/>
              </w:rPr>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excess quantity or from vessel not using harbour, minimum per half skip supplied and emptied</w:t>
            </w:r>
          </w:p>
        </w:tc>
        <w:tc>
          <w:tcPr>
            <w:tcW w:w="996" w:type="dxa"/>
            <w:vAlign w:val="bottom"/>
          </w:tcPr>
          <w:p>
            <w:pPr>
              <w:pStyle w:val="yTableNAm"/>
              <w:jc w:val="right"/>
              <w:rPr>
                <w:szCs w:val="22"/>
              </w:rPr>
            </w:pPr>
            <w:r>
              <w:rPr>
                <w:szCs w:val="22"/>
              </w:rPr>
              <w:br/>
              <w:t>cost</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waste oil from vessels in excess of 150 L</w:t>
            </w:r>
          </w:p>
        </w:tc>
        <w:tc>
          <w:tcPr>
            <w:tcW w:w="996" w:type="dxa"/>
            <w:vAlign w:val="bottom"/>
          </w:tcPr>
          <w:p>
            <w:pPr>
              <w:pStyle w:val="yTableNAm"/>
              <w:jc w:val="right"/>
              <w:rPr>
                <w:szCs w:val="22"/>
              </w:rPr>
            </w:pPr>
            <w:r>
              <w:rPr>
                <w:szCs w:val="22"/>
              </w:rPr>
              <w:t>cost</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waste oil drum not removed by owner, per 20 L drum</w:t>
            </w:r>
          </w:p>
        </w:tc>
        <w:tc>
          <w:tcPr>
            <w:tcW w:w="996" w:type="dxa"/>
            <w:vAlign w:val="bottom"/>
          </w:tcPr>
          <w:p>
            <w:pPr>
              <w:pStyle w:val="yTableNAm"/>
              <w:jc w:val="right"/>
              <w:rPr>
                <w:szCs w:val="22"/>
              </w:rPr>
            </w:pPr>
            <w:r>
              <w:rPr>
                <w:szCs w:val="22"/>
              </w:rPr>
              <w:br/>
              <w:t>cost</w:t>
            </w:r>
          </w:p>
        </w:tc>
      </w:tr>
      <w:tr>
        <w:trPr>
          <w:cantSplit/>
        </w:trPr>
        <w:tc>
          <w:tcPr>
            <w:tcW w:w="567" w:type="dxa"/>
            <w:tcBorders>
              <w:bottom w:val="single" w:sz="4" w:space="0" w:color="auto"/>
            </w:tcBorders>
          </w:tcPr>
          <w:p>
            <w:pPr>
              <w:pStyle w:val="yTableNAm"/>
            </w:pPr>
          </w:p>
        </w:tc>
        <w:tc>
          <w:tcPr>
            <w:tcW w:w="4390" w:type="dxa"/>
            <w:tcBorders>
              <w:bottom w:val="single" w:sz="4" w:space="0" w:color="auto"/>
            </w:tcBorders>
          </w:tcPr>
          <w:p>
            <w:pPr>
              <w:pStyle w:val="yTableNAm"/>
              <w:tabs>
                <w:tab w:val="clear" w:pos="567"/>
                <w:tab w:val="left" w:pos="415"/>
              </w:tabs>
              <w:ind w:left="415" w:hanging="415"/>
            </w:pPr>
            <w:r>
              <w:t>•</w:t>
            </w:r>
            <w:r>
              <w:tab/>
              <w:t>rubbish not put in supplied bins</w:t>
            </w:r>
          </w:p>
        </w:tc>
        <w:tc>
          <w:tcPr>
            <w:tcW w:w="996" w:type="dxa"/>
            <w:tcBorders>
              <w:bottom w:val="single" w:sz="4" w:space="0" w:color="auto"/>
            </w:tcBorders>
            <w:vAlign w:val="bottom"/>
          </w:tcPr>
          <w:p>
            <w:pPr>
              <w:pStyle w:val="yTableNAm"/>
              <w:jc w:val="right"/>
              <w:rPr>
                <w:szCs w:val="22"/>
              </w:rPr>
            </w:pPr>
            <w:r>
              <w:rPr>
                <w:szCs w:val="22"/>
              </w:rPr>
              <w:t>cost</w:t>
            </w:r>
          </w:p>
        </w:tc>
      </w:tr>
    </w:tbl>
    <w:p>
      <w:pPr>
        <w:pStyle w:val="yFootnotesection"/>
      </w:pPr>
      <w:r>
        <w:tab/>
        <w:t>[Clause 19 inserted in Gazette 28 Jun 2013 p. 2863</w:t>
      </w:r>
      <w:r>
        <w:noBreakHyphen/>
        <w:t>5.]</w:t>
      </w:r>
    </w:p>
    <w:p>
      <w:pPr>
        <w:pStyle w:val="yHeading5"/>
      </w:pPr>
      <w:bookmarkStart w:id="161" w:name="_Toc375231176"/>
      <w:r>
        <w:rPr>
          <w:rStyle w:val="CharSClsNo"/>
        </w:rPr>
        <w:t>20</w:t>
      </w:r>
      <w:r>
        <w:t>.</w:t>
      </w:r>
      <w:r>
        <w:rPr>
          <w:b w:val="0"/>
        </w:rPr>
        <w:tab/>
      </w:r>
      <w:r>
        <w:t xml:space="preserve">Point Samson, </w:t>
      </w:r>
      <w:smartTag w:uri="urn:schemas-microsoft-com:office:smarttags" w:element="place">
        <w:smartTag w:uri="urn:schemas-microsoft-com:office:smarttags" w:element="PlaceName">
          <w:r>
            <w:t>Johns</w:t>
          </w:r>
        </w:smartTag>
        <w:r>
          <w:t xml:space="preserve"> </w:t>
        </w:r>
        <w:smartTag w:uri="urn:schemas-microsoft-com:office:smarttags" w:element="PlaceNam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161"/>
    </w:p>
    <w:p>
      <w:pPr>
        <w:pStyle w:val="ySubsection"/>
      </w:pPr>
      <w:r>
        <w:tab/>
        <w:t>(1)</w:t>
      </w:r>
      <w:r>
        <w:tab/>
        <w:t xml:space="preserve">This clause applies to the </w:t>
      </w:r>
      <w:smartTag w:uri="urn:schemas-microsoft-com:office:smarttags" w:element="place">
        <w:smartTag w:uri="urn:schemas-microsoft-com:office:smarttags" w:element="PlaceName">
          <w:r>
            <w:t>Johns</w:t>
          </w:r>
        </w:smartTag>
        <w:r>
          <w:t xml:space="preserve"> </w:t>
        </w:r>
        <w:smartTag w:uri="urn:schemas-microsoft-com:office:smarttags" w:element="PlaceNam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Point Samson.</w:t>
      </w:r>
    </w:p>
    <w:p>
      <w:pPr>
        <w:pStyle w:val="ySubsection"/>
      </w:pPr>
      <w:r>
        <w:tab/>
        <w:t>(2)</w:t>
      </w:r>
      <w:r>
        <w:tab/>
        <w:t xml:space="preserve">In this clause a reference to a </w:t>
      </w:r>
      <w:r>
        <w:rPr>
          <w:rStyle w:val="CharDefText"/>
        </w:rPr>
        <w:t>service vessel</w:t>
      </w:r>
      <w:r>
        <w:t xml:space="preserve"> is a reference to any vessel other than a recreational vessel, tourism vessel or fishing vessel.</w:t>
      </w:r>
    </w:p>
    <w:p>
      <w:pPr>
        <w:pStyle w:val="ySubsection"/>
      </w:pPr>
      <w:r>
        <w:tab/>
        <w:t>(3)</w:t>
      </w:r>
      <w:r>
        <w:tab/>
        <w:t>The charges and dues to be paid under regulation 10A are set out in Table 20.1.</w:t>
      </w:r>
    </w:p>
    <w:p>
      <w:pPr>
        <w:pStyle w:val="yTHeadingNAm"/>
        <w:keepLines/>
        <w:widowControl w:val="0"/>
      </w:pPr>
      <w:r>
        <w:t>Table 20.1 (Wharfage)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keepNext/>
              <w:keepLines/>
              <w:widowControl w:val="0"/>
              <w:rPr>
                <w:b/>
              </w:rPr>
            </w:pPr>
            <w:r>
              <w:rPr>
                <w:b/>
              </w:rPr>
              <w:t>Item</w:t>
            </w:r>
          </w:p>
        </w:tc>
        <w:tc>
          <w:tcPr>
            <w:tcW w:w="4394" w:type="dxa"/>
            <w:tcBorders>
              <w:top w:val="single" w:sz="4" w:space="0" w:color="auto"/>
              <w:bottom w:val="single" w:sz="4" w:space="0" w:color="auto"/>
            </w:tcBorders>
          </w:tcPr>
          <w:p>
            <w:pPr>
              <w:pStyle w:val="yTableNAm"/>
              <w:keepNext/>
              <w:keepLines/>
              <w:widowControl w:val="0"/>
              <w:rPr>
                <w:b/>
              </w:rPr>
            </w:pPr>
            <w:r>
              <w:rPr>
                <w:b/>
              </w:rPr>
              <w:t>Goods</w:t>
            </w:r>
          </w:p>
        </w:tc>
        <w:tc>
          <w:tcPr>
            <w:tcW w:w="992" w:type="dxa"/>
            <w:tcBorders>
              <w:top w:val="single" w:sz="4" w:space="0" w:color="auto"/>
              <w:bottom w:val="single" w:sz="4" w:space="0" w:color="auto"/>
            </w:tcBorders>
          </w:tcPr>
          <w:p>
            <w:pPr>
              <w:pStyle w:val="yTableNAm"/>
              <w:keepNext/>
              <w:keepLines/>
              <w:widowControl w:val="0"/>
              <w:jc w:val="center"/>
              <w:rPr>
                <w:b/>
              </w:rPr>
            </w:pPr>
            <w:r>
              <w:rPr>
                <w:b/>
              </w:rPr>
              <w:t>$</w:t>
            </w:r>
          </w:p>
        </w:tc>
      </w:tr>
      <w:tr>
        <w:trPr>
          <w:cantSplit/>
        </w:trPr>
        <w:tc>
          <w:tcPr>
            <w:tcW w:w="567" w:type="dxa"/>
          </w:tcPr>
          <w:p>
            <w:pPr>
              <w:pStyle w:val="yTableNAm"/>
              <w:keepNext/>
              <w:keepLines/>
              <w:widowControl w:val="0"/>
            </w:pPr>
            <w:r>
              <w:t>1.</w:t>
            </w:r>
          </w:p>
        </w:tc>
        <w:tc>
          <w:tcPr>
            <w:tcW w:w="4394" w:type="dxa"/>
          </w:tcPr>
          <w:p>
            <w:pPr>
              <w:pStyle w:val="yTableNAm"/>
              <w:keepNext/>
              <w:keepLines/>
              <w:widowControl w:val="0"/>
            </w:pPr>
            <w:r>
              <w:t>General cargo at the service wharf or an appurtenant area —</w:t>
            </w:r>
          </w:p>
        </w:tc>
        <w:tc>
          <w:tcPr>
            <w:tcW w:w="992" w:type="dxa"/>
          </w:tcPr>
          <w:p>
            <w:pPr>
              <w:pStyle w:val="yTableNAm"/>
              <w:keepNext/>
              <w:keepLines/>
              <w:widowControl w:val="0"/>
              <w:jc w:val="right"/>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if loaded from or into vessel, per t or m</w:t>
            </w:r>
            <w:r>
              <w:rPr>
                <w:vertAlign w:val="superscript"/>
              </w:rPr>
              <w:t>3</w:t>
            </w:r>
          </w:p>
        </w:tc>
        <w:tc>
          <w:tcPr>
            <w:tcW w:w="992" w:type="dxa"/>
          </w:tcPr>
          <w:p>
            <w:pPr>
              <w:pStyle w:val="yTableNAm"/>
              <w:jc w:val="right"/>
            </w:pPr>
            <w:r>
              <w:t>6.24</w:t>
            </w:r>
          </w:p>
        </w:tc>
      </w:tr>
      <w:tr>
        <w:trPr>
          <w:cantSplit/>
        </w:trPr>
        <w:tc>
          <w:tcPr>
            <w:tcW w:w="567" w:type="dxa"/>
            <w:tcBorders>
              <w:bottom w:val="single" w:sz="4" w:space="0" w:color="auto"/>
            </w:tcBorders>
          </w:tcPr>
          <w:p>
            <w:pPr>
              <w:pStyle w:val="yTableNAm"/>
            </w:pPr>
          </w:p>
        </w:tc>
        <w:tc>
          <w:tcPr>
            <w:tcW w:w="4394" w:type="dxa"/>
            <w:tcBorders>
              <w:bottom w:val="single" w:sz="4" w:space="0" w:color="auto"/>
            </w:tcBorders>
          </w:tcPr>
          <w:p>
            <w:pPr>
              <w:pStyle w:val="yTableNAm"/>
              <w:tabs>
                <w:tab w:val="clear" w:pos="567"/>
                <w:tab w:val="left" w:pos="415"/>
              </w:tabs>
              <w:ind w:left="415" w:hanging="415"/>
            </w:pPr>
            <w:r>
              <w:t>•</w:t>
            </w:r>
            <w:r>
              <w:tab/>
              <w:t>if vessel is lifted, per m of the vessel’s length</w:t>
            </w:r>
          </w:p>
        </w:tc>
        <w:tc>
          <w:tcPr>
            <w:tcW w:w="992" w:type="dxa"/>
            <w:tcBorders>
              <w:bottom w:val="single" w:sz="4" w:space="0" w:color="auto"/>
            </w:tcBorders>
          </w:tcPr>
          <w:p>
            <w:pPr>
              <w:pStyle w:val="yTableNAm"/>
              <w:spacing w:before="140"/>
              <w:jc w:val="right"/>
            </w:pPr>
            <w:r>
              <w:br/>
              <w:t>14.07</w:t>
            </w:r>
          </w:p>
        </w:tc>
      </w:tr>
    </w:tbl>
    <w:p>
      <w:pPr>
        <w:pStyle w:val="ySubsection"/>
      </w:pPr>
      <w:r>
        <w:tab/>
        <w:t>(4)</w:t>
      </w:r>
      <w:r>
        <w:tab/>
        <w:t>The fees and charges to be paid under regulations 6 and 94A are set out in Table 20.2.</w:t>
      </w:r>
    </w:p>
    <w:p>
      <w:pPr>
        <w:pStyle w:val="yTHeadingNAm"/>
      </w:pPr>
      <w:r>
        <w:t>Table 20.2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0" w:type="dxa"/>
            <w:tcBorders>
              <w:top w:val="single" w:sz="4" w:space="0" w:color="auto"/>
              <w:bottom w:val="single" w:sz="4" w:space="0" w:color="auto"/>
            </w:tcBorders>
          </w:tcPr>
          <w:p>
            <w:pPr>
              <w:pStyle w:val="yTableNAm"/>
              <w:rPr>
                <w:b/>
              </w:rPr>
            </w:pPr>
            <w:r>
              <w:rPr>
                <w:b/>
              </w:rPr>
              <w:t>Service</w:t>
            </w:r>
          </w:p>
        </w:tc>
        <w:tc>
          <w:tcPr>
            <w:tcW w:w="996"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0" w:type="dxa"/>
          </w:tcPr>
          <w:p>
            <w:pPr>
              <w:pStyle w:val="yTableNAm"/>
            </w:pPr>
            <w:r>
              <w:t>For use of pen or berth at land</w:t>
            </w:r>
            <w:r>
              <w:noBreakHyphen/>
              <w:t xml:space="preserve">backed wharf or service jetty by recreational vessel, tourism vessel or fishing vessel, per m of the vessel’s length — </w:t>
            </w:r>
          </w:p>
          <w:p>
            <w:pPr>
              <w:pStyle w:val="yTableNAm"/>
            </w:pPr>
            <w:r>
              <w:t>Note:</w:t>
            </w:r>
            <w:r>
              <w:tab/>
              <w:t>Includes short term loading/unloading of goods and passengers</w:t>
            </w:r>
          </w:p>
        </w:tc>
        <w:tc>
          <w:tcPr>
            <w:tcW w:w="996" w:type="dxa"/>
            <w:vAlign w:val="bottom"/>
          </w:tcPr>
          <w:p>
            <w:pPr>
              <w:pStyle w:val="yTableNAm"/>
              <w:jc w:val="right"/>
              <w:rPr>
                <w:szCs w:val="22"/>
              </w:rPr>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12 months paid in advance</w:t>
            </w:r>
          </w:p>
        </w:tc>
        <w:tc>
          <w:tcPr>
            <w:tcW w:w="996" w:type="dxa"/>
            <w:vAlign w:val="bottom"/>
          </w:tcPr>
          <w:p>
            <w:pPr>
              <w:pStyle w:val="yTableNAm"/>
              <w:jc w:val="right"/>
              <w:rPr>
                <w:szCs w:val="22"/>
              </w:rPr>
            </w:pPr>
            <w:r>
              <w:rPr>
                <w:szCs w:val="22"/>
              </w:rPr>
              <w:t>472.85</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months or more, per month, paid in advance</w:t>
            </w:r>
          </w:p>
        </w:tc>
        <w:tc>
          <w:tcPr>
            <w:tcW w:w="996" w:type="dxa"/>
            <w:vAlign w:val="bottom"/>
          </w:tcPr>
          <w:p>
            <w:pPr>
              <w:pStyle w:val="yTableNAm"/>
              <w:jc w:val="right"/>
              <w:rPr>
                <w:szCs w:val="22"/>
              </w:rPr>
            </w:pPr>
            <w:r>
              <w:rPr>
                <w:szCs w:val="22"/>
              </w:rPr>
              <w:t>47.27</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 paid in advance</w:t>
            </w:r>
          </w:p>
        </w:tc>
        <w:tc>
          <w:tcPr>
            <w:tcW w:w="996" w:type="dxa"/>
            <w:vAlign w:val="bottom"/>
          </w:tcPr>
          <w:p>
            <w:pPr>
              <w:pStyle w:val="yTableNAm"/>
              <w:jc w:val="right"/>
              <w:rPr>
                <w:szCs w:val="22"/>
              </w:rPr>
            </w:pPr>
            <w:r>
              <w:rPr>
                <w:szCs w:val="22"/>
              </w:rPr>
              <w:t>70.93</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week or more, per week, paid in advance</w:t>
            </w:r>
          </w:p>
        </w:tc>
        <w:tc>
          <w:tcPr>
            <w:tcW w:w="996" w:type="dxa"/>
            <w:vAlign w:val="bottom"/>
          </w:tcPr>
          <w:p>
            <w:pPr>
              <w:pStyle w:val="yTableNAm"/>
              <w:jc w:val="right"/>
              <w:rPr>
                <w:szCs w:val="22"/>
              </w:rPr>
            </w:pPr>
            <w:r>
              <w:rPr>
                <w:szCs w:val="22"/>
              </w:rPr>
              <w:t>47.27</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otherwise, per day</w:t>
            </w:r>
          </w:p>
        </w:tc>
        <w:tc>
          <w:tcPr>
            <w:tcW w:w="996" w:type="dxa"/>
            <w:vAlign w:val="bottom"/>
          </w:tcPr>
          <w:p>
            <w:pPr>
              <w:pStyle w:val="yTableNAm"/>
              <w:jc w:val="right"/>
              <w:rPr>
                <w:szCs w:val="22"/>
              </w:rPr>
            </w:pPr>
            <w:r>
              <w:rPr>
                <w:szCs w:val="22"/>
              </w:rPr>
              <w:t>9.45</w:t>
            </w:r>
          </w:p>
        </w:tc>
      </w:tr>
      <w:tr>
        <w:trPr>
          <w:cantSplit/>
        </w:trPr>
        <w:tc>
          <w:tcPr>
            <w:tcW w:w="567" w:type="dxa"/>
          </w:tcPr>
          <w:p>
            <w:pPr>
              <w:pStyle w:val="yTableNAm"/>
            </w:pPr>
            <w:r>
              <w:t>2.</w:t>
            </w:r>
          </w:p>
        </w:tc>
        <w:tc>
          <w:tcPr>
            <w:tcW w:w="4390" w:type="dxa"/>
          </w:tcPr>
          <w:p>
            <w:pPr>
              <w:pStyle w:val="yTableNAm"/>
            </w:pPr>
            <w:r>
              <w:t>For use of pen or berth at land</w:t>
            </w:r>
            <w:r>
              <w:noBreakHyphen/>
              <w:t xml:space="preserve">backed wharf or service jetty by a service vessel, per m of the vessel’s length — </w:t>
            </w:r>
          </w:p>
        </w:tc>
        <w:tc>
          <w:tcPr>
            <w:tcW w:w="996" w:type="dxa"/>
            <w:vAlign w:val="bottom"/>
          </w:tcPr>
          <w:p>
            <w:pPr>
              <w:pStyle w:val="yTableNAm"/>
              <w:jc w:val="right"/>
              <w:rPr>
                <w:szCs w:val="22"/>
              </w:rPr>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12 months paid in advance</w:t>
            </w:r>
          </w:p>
        </w:tc>
        <w:tc>
          <w:tcPr>
            <w:tcW w:w="996" w:type="dxa"/>
            <w:vAlign w:val="bottom"/>
          </w:tcPr>
          <w:p>
            <w:pPr>
              <w:pStyle w:val="yTableNAm"/>
              <w:jc w:val="right"/>
              <w:rPr>
                <w:szCs w:val="22"/>
              </w:rPr>
            </w:pPr>
            <w:r>
              <w:rPr>
                <w:szCs w:val="22"/>
              </w:rPr>
              <w:t>1 039.00</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months or more, per month, paid in advance</w:t>
            </w:r>
          </w:p>
        </w:tc>
        <w:tc>
          <w:tcPr>
            <w:tcW w:w="996" w:type="dxa"/>
            <w:vAlign w:val="bottom"/>
          </w:tcPr>
          <w:p>
            <w:pPr>
              <w:pStyle w:val="yTableNAm"/>
              <w:jc w:val="right"/>
              <w:rPr>
                <w:szCs w:val="22"/>
              </w:rPr>
            </w:pPr>
            <w:r>
              <w:rPr>
                <w:szCs w:val="22"/>
              </w:rPr>
              <w:t>103.90</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 paid in advance</w:t>
            </w:r>
          </w:p>
        </w:tc>
        <w:tc>
          <w:tcPr>
            <w:tcW w:w="996" w:type="dxa"/>
            <w:vAlign w:val="bottom"/>
          </w:tcPr>
          <w:p>
            <w:pPr>
              <w:pStyle w:val="yTableNAm"/>
              <w:jc w:val="right"/>
              <w:rPr>
                <w:szCs w:val="22"/>
              </w:rPr>
            </w:pPr>
            <w:r>
              <w:rPr>
                <w:szCs w:val="22"/>
              </w:rPr>
              <w:t>155.85</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up to 6 hours in a 24 hour period</w:t>
            </w:r>
          </w:p>
        </w:tc>
        <w:tc>
          <w:tcPr>
            <w:tcW w:w="996" w:type="dxa"/>
            <w:vAlign w:val="bottom"/>
          </w:tcPr>
          <w:p>
            <w:pPr>
              <w:pStyle w:val="yTableNAm"/>
              <w:jc w:val="right"/>
              <w:rPr>
                <w:szCs w:val="22"/>
              </w:rPr>
            </w:pPr>
            <w:r>
              <w:rPr>
                <w:szCs w:val="22"/>
              </w:rPr>
              <w:t>8.00</w:t>
            </w:r>
          </w:p>
        </w:tc>
      </w:tr>
      <w:tr>
        <w:trPr>
          <w:cantSplit/>
        </w:trPr>
        <w:tc>
          <w:tcPr>
            <w:tcW w:w="567" w:type="dxa"/>
          </w:tcPr>
          <w:p>
            <w:pPr>
              <w:pStyle w:val="yTableNAm"/>
            </w:pPr>
            <w:r>
              <w:t>3.</w:t>
            </w:r>
          </w:p>
        </w:tc>
        <w:tc>
          <w:tcPr>
            <w:tcW w:w="4390" w:type="dxa"/>
          </w:tcPr>
          <w:p>
            <w:pPr>
              <w:pStyle w:val="yTableNAm"/>
            </w:pPr>
            <w:r>
              <w:t xml:space="preserve">For use of service jetty and mooring/berth within area adjacent to causeway by recreational vessel, tourism vessel or fishing vessel, per m of the vessel’s length — </w:t>
            </w:r>
          </w:p>
        </w:tc>
        <w:tc>
          <w:tcPr>
            <w:tcW w:w="996" w:type="dxa"/>
            <w:vAlign w:val="bottom"/>
          </w:tcPr>
          <w:p>
            <w:pPr>
              <w:pStyle w:val="yTableNAm"/>
              <w:jc w:val="right"/>
              <w:rPr>
                <w:szCs w:val="22"/>
              </w:rPr>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12 months paid in advance</w:t>
            </w:r>
          </w:p>
        </w:tc>
        <w:tc>
          <w:tcPr>
            <w:tcW w:w="996" w:type="dxa"/>
            <w:vAlign w:val="bottom"/>
          </w:tcPr>
          <w:p>
            <w:pPr>
              <w:pStyle w:val="yTableNAm"/>
              <w:jc w:val="right"/>
              <w:rPr>
                <w:szCs w:val="22"/>
              </w:rPr>
            </w:pPr>
            <w:r>
              <w:rPr>
                <w:szCs w:val="22"/>
              </w:rPr>
              <w:t>378.28</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months or more, per month, paid in advance</w:t>
            </w:r>
          </w:p>
        </w:tc>
        <w:tc>
          <w:tcPr>
            <w:tcW w:w="996" w:type="dxa"/>
            <w:vAlign w:val="bottom"/>
          </w:tcPr>
          <w:p>
            <w:pPr>
              <w:pStyle w:val="yTableNAm"/>
              <w:jc w:val="right"/>
              <w:rPr>
                <w:szCs w:val="22"/>
              </w:rPr>
            </w:pPr>
            <w:r>
              <w:rPr>
                <w:szCs w:val="22"/>
              </w:rPr>
              <w:t>37.84</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 paid in advance</w:t>
            </w:r>
          </w:p>
        </w:tc>
        <w:tc>
          <w:tcPr>
            <w:tcW w:w="996" w:type="dxa"/>
            <w:vAlign w:val="bottom"/>
          </w:tcPr>
          <w:p>
            <w:pPr>
              <w:pStyle w:val="yTableNAm"/>
              <w:jc w:val="right"/>
              <w:rPr>
                <w:szCs w:val="22"/>
              </w:rPr>
            </w:pPr>
            <w:r>
              <w:rPr>
                <w:szCs w:val="22"/>
              </w:rPr>
              <w:t>56.74</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week or more, per week, paid in advance</w:t>
            </w:r>
          </w:p>
        </w:tc>
        <w:tc>
          <w:tcPr>
            <w:tcW w:w="996" w:type="dxa"/>
            <w:vAlign w:val="bottom"/>
          </w:tcPr>
          <w:p>
            <w:pPr>
              <w:pStyle w:val="yTableNAm"/>
              <w:jc w:val="right"/>
              <w:rPr>
                <w:szCs w:val="22"/>
              </w:rPr>
            </w:pPr>
            <w:r>
              <w:rPr>
                <w:szCs w:val="22"/>
              </w:rPr>
              <w:t>39.36</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otherwise, per day</w:t>
            </w:r>
          </w:p>
        </w:tc>
        <w:tc>
          <w:tcPr>
            <w:tcW w:w="996" w:type="dxa"/>
            <w:vAlign w:val="bottom"/>
          </w:tcPr>
          <w:p>
            <w:pPr>
              <w:pStyle w:val="yTableNAm"/>
              <w:jc w:val="right"/>
              <w:rPr>
                <w:szCs w:val="22"/>
              </w:rPr>
            </w:pPr>
            <w:r>
              <w:rPr>
                <w:szCs w:val="22"/>
              </w:rPr>
              <w:t>7.87</w:t>
            </w:r>
          </w:p>
        </w:tc>
      </w:tr>
      <w:tr>
        <w:trPr>
          <w:cantSplit/>
        </w:trPr>
        <w:tc>
          <w:tcPr>
            <w:tcW w:w="567" w:type="dxa"/>
          </w:tcPr>
          <w:p>
            <w:pPr>
              <w:pStyle w:val="yTableNAm"/>
            </w:pPr>
            <w:r>
              <w:t>4.</w:t>
            </w:r>
          </w:p>
        </w:tc>
        <w:tc>
          <w:tcPr>
            <w:tcW w:w="4390" w:type="dxa"/>
          </w:tcPr>
          <w:p>
            <w:pPr>
              <w:pStyle w:val="yTableNAm"/>
            </w:pPr>
            <w:r>
              <w:t xml:space="preserve">For use of service jetty and mooring/berth within area adjacent to causeway by a service vessel, per m of the vessel’s length — </w:t>
            </w:r>
          </w:p>
        </w:tc>
        <w:tc>
          <w:tcPr>
            <w:tcW w:w="996" w:type="dxa"/>
            <w:vAlign w:val="bottom"/>
          </w:tcPr>
          <w:p>
            <w:pPr>
              <w:pStyle w:val="yTableNAm"/>
              <w:jc w:val="right"/>
              <w:rPr>
                <w:szCs w:val="22"/>
              </w:rPr>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12 months paid in advance</w:t>
            </w:r>
          </w:p>
        </w:tc>
        <w:tc>
          <w:tcPr>
            <w:tcW w:w="996" w:type="dxa"/>
            <w:vAlign w:val="bottom"/>
          </w:tcPr>
          <w:p>
            <w:pPr>
              <w:pStyle w:val="yTableNAm"/>
              <w:jc w:val="right"/>
              <w:rPr>
                <w:szCs w:val="22"/>
              </w:rPr>
            </w:pPr>
            <w:r>
              <w:rPr>
                <w:szCs w:val="22"/>
              </w:rPr>
              <w:t>831.19</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months or more, per month, paid in advance</w:t>
            </w:r>
          </w:p>
        </w:tc>
        <w:tc>
          <w:tcPr>
            <w:tcW w:w="996" w:type="dxa"/>
            <w:vAlign w:val="bottom"/>
          </w:tcPr>
          <w:p>
            <w:pPr>
              <w:pStyle w:val="yTableNAm"/>
              <w:jc w:val="right"/>
              <w:rPr>
                <w:szCs w:val="22"/>
              </w:rPr>
            </w:pPr>
            <w:r>
              <w:rPr>
                <w:szCs w:val="22"/>
              </w:rPr>
              <w:t>83.16</w:t>
            </w:r>
          </w:p>
        </w:tc>
      </w:tr>
      <w:tr>
        <w:trPr>
          <w:cantSplit/>
        </w:trPr>
        <w:tc>
          <w:tcPr>
            <w:tcW w:w="567" w:type="dxa"/>
          </w:tcPr>
          <w:p>
            <w:pPr>
              <w:pStyle w:val="yTableNAm"/>
              <w:spacing w:before="80"/>
            </w:pPr>
          </w:p>
        </w:tc>
        <w:tc>
          <w:tcPr>
            <w:tcW w:w="4390" w:type="dxa"/>
          </w:tcPr>
          <w:p>
            <w:pPr>
              <w:pStyle w:val="yTableNAm"/>
              <w:tabs>
                <w:tab w:val="clear" w:pos="567"/>
                <w:tab w:val="left" w:pos="415"/>
              </w:tabs>
              <w:spacing w:before="80"/>
              <w:ind w:left="414" w:hanging="414"/>
              <w:rPr>
                <w:rFonts w:ascii="Arial" w:hAnsi="Arial"/>
                <w:b/>
              </w:rPr>
            </w:pPr>
            <w:r>
              <w:t>•</w:t>
            </w:r>
            <w:r>
              <w:tab/>
              <w:t>for one month or more, per month, paid in advance</w:t>
            </w:r>
          </w:p>
        </w:tc>
        <w:tc>
          <w:tcPr>
            <w:tcW w:w="996" w:type="dxa"/>
            <w:vAlign w:val="bottom"/>
          </w:tcPr>
          <w:p>
            <w:pPr>
              <w:pStyle w:val="yTableNAm"/>
              <w:spacing w:before="80"/>
              <w:jc w:val="right"/>
              <w:rPr>
                <w:rFonts w:ascii="Arial" w:hAnsi="Arial"/>
                <w:b/>
                <w:szCs w:val="22"/>
              </w:rPr>
            </w:pPr>
            <w:r>
              <w:rPr>
                <w:szCs w:val="22"/>
              </w:rPr>
              <w:t>124.68</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up to 6 hours in a 24 hour period</w:t>
            </w:r>
          </w:p>
        </w:tc>
        <w:tc>
          <w:tcPr>
            <w:tcW w:w="996" w:type="dxa"/>
            <w:vAlign w:val="bottom"/>
          </w:tcPr>
          <w:p>
            <w:pPr>
              <w:pStyle w:val="yTableNAm"/>
              <w:jc w:val="right"/>
            </w:pPr>
            <w:r>
              <w:t>6.40</w:t>
            </w:r>
          </w:p>
        </w:tc>
      </w:tr>
      <w:tr>
        <w:trPr>
          <w:cantSplit/>
        </w:trPr>
        <w:tc>
          <w:tcPr>
            <w:tcW w:w="567" w:type="dxa"/>
          </w:tcPr>
          <w:p>
            <w:pPr>
              <w:pStyle w:val="yTableNAm"/>
            </w:pPr>
            <w:r>
              <w:t>5.</w:t>
            </w:r>
          </w:p>
        </w:tc>
        <w:tc>
          <w:tcPr>
            <w:tcW w:w="4390" w:type="dxa"/>
          </w:tcPr>
          <w:p>
            <w:pPr>
              <w:pStyle w:val="yTableNAm"/>
            </w:pPr>
            <w:r>
              <w:t>For use of service wharf hardstand or appurtenant area for storage or maintenance (for short</w:t>
            </w:r>
            <w:r>
              <w:noBreakHyphen/>
              <w:t>term use only), per day —</w:t>
            </w:r>
          </w:p>
        </w:tc>
        <w:tc>
          <w:tcPr>
            <w:tcW w:w="996" w:type="dxa"/>
            <w:vAlign w:val="bottom"/>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per m</w:t>
            </w:r>
            <w:r>
              <w:rPr>
                <w:vertAlign w:val="superscript"/>
              </w:rPr>
              <w:t>2</w:t>
            </w:r>
          </w:p>
        </w:tc>
        <w:tc>
          <w:tcPr>
            <w:tcW w:w="996" w:type="dxa"/>
            <w:vAlign w:val="bottom"/>
          </w:tcPr>
          <w:p>
            <w:pPr>
              <w:pStyle w:val="yTableNAm"/>
              <w:jc w:val="right"/>
            </w:pPr>
            <w:r>
              <w:t>1.57</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minimum fee</w:t>
            </w:r>
          </w:p>
        </w:tc>
        <w:tc>
          <w:tcPr>
            <w:tcW w:w="996" w:type="dxa"/>
            <w:vAlign w:val="bottom"/>
          </w:tcPr>
          <w:p>
            <w:pPr>
              <w:pStyle w:val="yTableNAm"/>
              <w:jc w:val="right"/>
            </w:pPr>
            <w:r>
              <w:t>28.73</w:t>
            </w:r>
          </w:p>
        </w:tc>
      </w:tr>
      <w:tr>
        <w:trPr>
          <w:cantSplit/>
        </w:trPr>
        <w:tc>
          <w:tcPr>
            <w:tcW w:w="567" w:type="dxa"/>
          </w:tcPr>
          <w:p>
            <w:pPr>
              <w:pStyle w:val="yTableNAm"/>
            </w:pPr>
            <w:r>
              <w:t>6.</w:t>
            </w:r>
          </w:p>
        </w:tc>
        <w:tc>
          <w:tcPr>
            <w:tcW w:w="4390" w:type="dxa"/>
          </w:tcPr>
          <w:p>
            <w:pPr>
              <w:pStyle w:val="yTableNAm"/>
            </w:pPr>
            <w:r>
              <w:t>For electricity supply, 3</w:t>
            </w:r>
            <w:r>
              <w:noBreakHyphen/>
              <w:t>phase or single —</w:t>
            </w:r>
          </w:p>
        </w:tc>
        <w:tc>
          <w:tcPr>
            <w:tcW w:w="996" w:type="dxa"/>
            <w:vAlign w:val="bottom"/>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if metered, for units consumed, per unit with a minimum amount as for the consumption of 50 units</w:t>
            </w:r>
          </w:p>
        </w:tc>
        <w:tc>
          <w:tcPr>
            <w:tcW w:w="996" w:type="dxa"/>
            <w:vAlign w:val="bottom"/>
          </w:tcPr>
          <w:p>
            <w:pPr>
              <w:pStyle w:val="yTableNAm"/>
              <w:jc w:val="right"/>
            </w:pPr>
            <w:r>
              <w:t>cost</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if metered, for meter reading</w:t>
            </w:r>
          </w:p>
        </w:tc>
        <w:tc>
          <w:tcPr>
            <w:tcW w:w="996" w:type="dxa"/>
            <w:vAlign w:val="bottom"/>
          </w:tcPr>
          <w:p>
            <w:pPr>
              <w:pStyle w:val="yTableNAm"/>
              <w:jc w:val="right"/>
            </w:pPr>
            <w:r>
              <w:t>cost</w:t>
            </w:r>
          </w:p>
        </w:tc>
      </w:tr>
      <w:tr>
        <w:trPr>
          <w:cantSplit/>
        </w:trPr>
        <w:tc>
          <w:tcPr>
            <w:tcW w:w="567" w:type="dxa"/>
          </w:tcPr>
          <w:p>
            <w:pPr>
              <w:pStyle w:val="yTableNAm"/>
            </w:pPr>
          </w:p>
        </w:tc>
        <w:tc>
          <w:tcPr>
            <w:tcW w:w="4390" w:type="dxa"/>
          </w:tcPr>
          <w:p>
            <w:pPr>
              <w:pStyle w:val="yTableNAm"/>
              <w:tabs>
                <w:tab w:val="clear" w:pos="567"/>
                <w:tab w:val="left" w:pos="415"/>
              </w:tabs>
              <w:ind w:left="415" w:hanging="415"/>
              <w:rPr>
                <w:b/>
                <w:i/>
              </w:rPr>
            </w:pPr>
            <w:r>
              <w:t>•</w:t>
            </w:r>
            <w:r>
              <w:tab/>
              <w:t>if not metered, per period of 12 hours or part of that period</w:t>
            </w:r>
          </w:p>
        </w:tc>
        <w:tc>
          <w:tcPr>
            <w:tcW w:w="996" w:type="dxa"/>
            <w:vAlign w:val="bottom"/>
          </w:tcPr>
          <w:p>
            <w:pPr>
              <w:pStyle w:val="yTableNAm"/>
              <w:jc w:val="right"/>
            </w:pPr>
            <w:r>
              <w:t>cost</w:t>
            </w:r>
          </w:p>
        </w:tc>
      </w:tr>
      <w:tr>
        <w:trPr>
          <w:cantSplit/>
        </w:trPr>
        <w:tc>
          <w:tcPr>
            <w:tcW w:w="567" w:type="dxa"/>
          </w:tcPr>
          <w:p>
            <w:pPr>
              <w:pStyle w:val="yTableNAm"/>
            </w:pPr>
            <w:r>
              <w:t>7.</w:t>
            </w:r>
          </w:p>
        </w:tc>
        <w:tc>
          <w:tcPr>
            <w:tcW w:w="4390" w:type="dxa"/>
          </w:tcPr>
          <w:p>
            <w:pPr>
              <w:pStyle w:val="yTableNAm"/>
            </w:pPr>
            <w:r>
              <w:t xml:space="preserve">For rubbish removal — </w:t>
            </w:r>
          </w:p>
        </w:tc>
        <w:tc>
          <w:tcPr>
            <w:tcW w:w="996" w:type="dxa"/>
            <w:vAlign w:val="bottom"/>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excess quantity or from vessel not using harbour, minimum per half skip supplied and emptied</w:t>
            </w:r>
          </w:p>
        </w:tc>
        <w:tc>
          <w:tcPr>
            <w:tcW w:w="996" w:type="dxa"/>
            <w:vAlign w:val="bottom"/>
          </w:tcPr>
          <w:p>
            <w:pPr>
              <w:pStyle w:val="yTableNAm"/>
              <w:jc w:val="right"/>
            </w:pPr>
            <w:r>
              <w:t>cost</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waste oil from vessels in excess of 150 L</w:t>
            </w:r>
          </w:p>
        </w:tc>
        <w:tc>
          <w:tcPr>
            <w:tcW w:w="996" w:type="dxa"/>
            <w:vAlign w:val="bottom"/>
          </w:tcPr>
          <w:p>
            <w:pPr>
              <w:pStyle w:val="yTableNAm"/>
              <w:jc w:val="right"/>
            </w:pPr>
            <w:r>
              <w:t>cost</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waste oil drum not removed by owner, per 20 L drum</w:t>
            </w:r>
          </w:p>
        </w:tc>
        <w:tc>
          <w:tcPr>
            <w:tcW w:w="996" w:type="dxa"/>
            <w:vAlign w:val="bottom"/>
          </w:tcPr>
          <w:p>
            <w:pPr>
              <w:pStyle w:val="yTableNAm"/>
              <w:jc w:val="right"/>
            </w:pPr>
            <w:r>
              <w:t>cost</w:t>
            </w:r>
          </w:p>
        </w:tc>
      </w:tr>
      <w:tr>
        <w:trPr>
          <w:cantSplit/>
        </w:trPr>
        <w:tc>
          <w:tcPr>
            <w:tcW w:w="567" w:type="dxa"/>
            <w:tcBorders>
              <w:bottom w:val="single" w:sz="4" w:space="0" w:color="auto"/>
            </w:tcBorders>
          </w:tcPr>
          <w:p>
            <w:pPr>
              <w:pStyle w:val="yTableNAm"/>
            </w:pPr>
          </w:p>
        </w:tc>
        <w:tc>
          <w:tcPr>
            <w:tcW w:w="4390" w:type="dxa"/>
            <w:tcBorders>
              <w:bottom w:val="single" w:sz="4" w:space="0" w:color="auto"/>
            </w:tcBorders>
          </w:tcPr>
          <w:p>
            <w:pPr>
              <w:pStyle w:val="yTableNAm"/>
              <w:tabs>
                <w:tab w:val="clear" w:pos="567"/>
                <w:tab w:val="left" w:pos="415"/>
              </w:tabs>
              <w:ind w:left="415" w:hanging="415"/>
            </w:pPr>
            <w:r>
              <w:t>•</w:t>
            </w:r>
            <w:r>
              <w:tab/>
              <w:t>rubbish not put in supplied bins</w:t>
            </w:r>
          </w:p>
        </w:tc>
        <w:tc>
          <w:tcPr>
            <w:tcW w:w="996" w:type="dxa"/>
            <w:tcBorders>
              <w:bottom w:val="single" w:sz="4" w:space="0" w:color="auto"/>
            </w:tcBorders>
            <w:vAlign w:val="bottom"/>
          </w:tcPr>
          <w:p>
            <w:pPr>
              <w:pStyle w:val="yTableNAm"/>
              <w:jc w:val="right"/>
            </w:pPr>
            <w:r>
              <w:t>cost</w:t>
            </w:r>
          </w:p>
        </w:tc>
      </w:tr>
    </w:tbl>
    <w:p>
      <w:pPr>
        <w:pStyle w:val="ySubsection"/>
        <w:keepNext/>
        <w:keepLines/>
      </w:pPr>
      <w:r>
        <w:tab/>
        <w:t>(3)</w:t>
      </w:r>
      <w:r>
        <w:tab/>
        <w:t>The fees and charges to be paid under regulation 96 are set out in Table 20.3.</w:t>
      </w:r>
    </w:p>
    <w:p>
      <w:pPr>
        <w:pStyle w:val="yTHeadingNAm"/>
        <w:keepLines/>
      </w:pPr>
      <w:r>
        <w:t>Table 20.3 (Slip services)</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keepNext/>
              <w:keepLines/>
              <w:rPr>
                <w:b/>
              </w:rPr>
            </w:pPr>
            <w:r>
              <w:rPr>
                <w:b/>
              </w:rPr>
              <w:t>Item</w:t>
            </w:r>
          </w:p>
        </w:tc>
        <w:tc>
          <w:tcPr>
            <w:tcW w:w="4390" w:type="dxa"/>
            <w:tcBorders>
              <w:top w:val="single" w:sz="4" w:space="0" w:color="auto"/>
              <w:bottom w:val="single" w:sz="4" w:space="0" w:color="auto"/>
            </w:tcBorders>
          </w:tcPr>
          <w:p>
            <w:pPr>
              <w:pStyle w:val="yTableNAm"/>
              <w:keepNext/>
              <w:keepLines/>
              <w:rPr>
                <w:b/>
              </w:rPr>
            </w:pPr>
            <w:r>
              <w:rPr>
                <w:b/>
              </w:rPr>
              <w:t>Service</w:t>
            </w:r>
          </w:p>
        </w:tc>
        <w:tc>
          <w:tcPr>
            <w:tcW w:w="996" w:type="dxa"/>
            <w:tcBorders>
              <w:top w:val="single" w:sz="4" w:space="0" w:color="auto"/>
              <w:bottom w:val="single" w:sz="4" w:space="0" w:color="auto"/>
            </w:tcBorders>
          </w:tcPr>
          <w:p>
            <w:pPr>
              <w:pStyle w:val="yTableNAm"/>
              <w:keepNext/>
              <w:keepLines/>
              <w:jc w:val="center"/>
              <w:rPr>
                <w:b/>
              </w:rPr>
            </w:pPr>
            <w:r>
              <w:rPr>
                <w:b/>
              </w:rPr>
              <w:t>$</w:t>
            </w:r>
          </w:p>
        </w:tc>
      </w:tr>
      <w:tr>
        <w:trPr>
          <w:cantSplit/>
        </w:trPr>
        <w:tc>
          <w:tcPr>
            <w:tcW w:w="567" w:type="dxa"/>
          </w:tcPr>
          <w:p>
            <w:pPr>
              <w:pStyle w:val="yTableNAm"/>
            </w:pPr>
            <w:r>
              <w:t>1.</w:t>
            </w:r>
          </w:p>
        </w:tc>
        <w:tc>
          <w:tcPr>
            <w:tcW w:w="4390" w:type="dxa"/>
          </w:tcPr>
          <w:p>
            <w:pPr>
              <w:pStyle w:val="yTableNAm"/>
            </w:pPr>
            <w:r>
              <w:t xml:space="preserve">For water supply — </w:t>
            </w:r>
          </w:p>
        </w:tc>
        <w:tc>
          <w:tcPr>
            <w:tcW w:w="996" w:type="dxa"/>
            <w:vAlign w:val="bottom"/>
          </w:tcPr>
          <w:p>
            <w:pPr>
              <w:pStyle w:val="yTableNAm"/>
              <w:jc w:val="right"/>
              <w:rPr>
                <w:szCs w:val="22"/>
              </w:rPr>
            </w:pPr>
          </w:p>
        </w:tc>
      </w:tr>
      <w:tr>
        <w:trPr>
          <w:cantSplit/>
        </w:trPr>
        <w:tc>
          <w:tcPr>
            <w:tcW w:w="567" w:type="dxa"/>
          </w:tcPr>
          <w:p>
            <w:pPr>
              <w:pStyle w:val="yTableNAm"/>
            </w:pPr>
          </w:p>
        </w:tc>
        <w:tc>
          <w:tcPr>
            <w:tcW w:w="4390" w:type="dxa"/>
          </w:tcPr>
          <w:p>
            <w:pPr>
              <w:pStyle w:val="yTableNAm"/>
              <w:tabs>
                <w:tab w:val="clear" w:pos="567"/>
                <w:tab w:val="left" w:pos="415"/>
              </w:tabs>
              <w:ind w:left="415" w:hanging="415"/>
              <w:rPr>
                <w:rFonts w:ascii="Arial" w:hAnsi="Arial"/>
                <w:b/>
              </w:rPr>
            </w:pPr>
            <w:r>
              <w:t>•</w:t>
            </w:r>
            <w:r>
              <w:tab/>
              <w:t>if metered, for units consumed, per unit with a minimum amount as for the consumption of 2 kL</w:t>
            </w:r>
          </w:p>
        </w:tc>
        <w:tc>
          <w:tcPr>
            <w:tcW w:w="996" w:type="dxa"/>
            <w:vAlign w:val="bottom"/>
          </w:tcPr>
          <w:p>
            <w:pPr>
              <w:pStyle w:val="yTableNAm"/>
              <w:jc w:val="right"/>
            </w:pPr>
            <w:r>
              <w:t>cost</w:t>
            </w:r>
          </w:p>
        </w:tc>
      </w:tr>
      <w:tr>
        <w:trPr>
          <w:cantSplit/>
        </w:trPr>
        <w:tc>
          <w:tcPr>
            <w:tcW w:w="567" w:type="dxa"/>
          </w:tcPr>
          <w:p>
            <w:pPr>
              <w:pStyle w:val="yTableNAm"/>
            </w:pPr>
          </w:p>
        </w:tc>
        <w:tc>
          <w:tcPr>
            <w:tcW w:w="4390" w:type="dxa"/>
          </w:tcPr>
          <w:p>
            <w:pPr>
              <w:pStyle w:val="yTableNAm"/>
              <w:tabs>
                <w:tab w:val="clear" w:pos="567"/>
                <w:tab w:val="left" w:pos="415"/>
              </w:tabs>
              <w:ind w:left="415" w:hanging="415"/>
              <w:rPr>
                <w:b/>
                <w:i/>
              </w:rPr>
            </w:pPr>
            <w:r>
              <w:t>•</w:t>
            </w:r>
            <w:r>
              <w:tab/>
              <w:t>if not metered, per period of 12 hours or part of that period</w:t>
            </w:r>
          </w:p>
        </w:tc>
        <w:tc>
          <w:tcPr>
            <w:tcW w:w="996" w:type="dxa"/>
            <w:vAlign w:val="bottom"/>
          </w:tcPr>
          <w:p>
            <w:pPr>
              <w:pStyle w:val="yTableNAm"/>
              <w:jc w:val="right"/>
            </w:pPr>
            <w:r>
              <w:t>cost</w:t>
            </w:r>
          </w:p>
        </w:tc>
      </w:tr>
      <w:tr>
        <w:trPr>
          <w:cantSplit/>
        </w:trPr>
        <w:tc>
          <w:tcPr>
            <w:tcW w:w="567" w:type="dxa"/>
          </w:tcPr>
          <w:p>
            <w:pPr>
              <w:pStyle w:val="yTableNAm"/>
            </w:pPr>
            <w:r>
              <w:t>2.</w:t>
            </w:r>
          </w:p>
        </w:tc>
        <w:tc>
          <w:tcPr>
            <w:tcW w:w="4390" w:type="dxa"/>
          </w:tcPr>
          <w:p>
            <w:pPr>
              <w:pStyle w:val="yTableNAm"/>
            </w:pPr>
            <w:r>
              <w:t xml:space="preserve">Use of slip, per day, for a vessel for which the annual pen fee in Table 20.2 has been paid that is — </w:t>
            </w:r>
          </w:p>
        </w:tc>
        <w:tc>
          <w:tcPr>
            <w:tcW w:w="996" w:type="dxa"/>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not over 15 m long</w:t>
            </w:r>
          </w:p>
        </w:tc>
        <w:tc>
          <w:tcPr>
            <w:tcW w:w="996" w:type="dxa"/>
            <w:vAlign w:val="bottom"/>
          </w:tcPr>
          <w:p>
            <w:pPr>
              <w:pStyle w:val="yTableNAm"/>
              <w:jc w:val="right"/>
              <w:rPr>
                <w:szCs w:val="22"/>
              </w:rPr>
            </w:pPr>
            <w:r>
              <w:rPr>
                <w:szCs w:val="22"/>
              </w:rPr>
              <w:t>157.61</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over 15 m long</w:t>
            </w:r>
          </w:p>
        </w:tc>
        <w:tc>
          <w:tcPr>
            <w:tcW w:w="996" w:type="dxa"/>
            <w:vAlign w:val="bottom"/>
          </w:tcPr>
          <w:p>
            <w:pPr>
              <w:pStyle w:val="yTableNAm"/>
              <w:jc w:val="right"/>
              <w:rPr>
                <w:szCs w:val="22"/>
              </w:rPr>
            </w:pPr>
            <w:r>
              <w:rPr>
                <w:szCs w:val="22"/>
              </w:rPr>
              <w:t>223.80</w:t>
            </w:r>
          </w:p>
        </w:tc>
      </w:tr>
      <w:tr>
        <w:trPr>
          <w:cantSplit/>
        </w:trPr>
        <w:tc>
          <w:tcPr>
            <w:tcW w:w="567" w:type="dxa"/>
          </w:tcPr>
          <w:p>
            <w:pPr>
              <w:pStyle w:val="yTableNAm"/>
            </w:pPr>
            <w:r>
              <w:t>3.</w:t>
            </w:r>
          </w:p>
        </w:tc>
        <w:tc>
          <w:tcPr>
            <w:tcW w:w="4390" w:type="dxa"/>
          </w:tcPr>
          <w:p>
            <w:pPr>
              <w:pStyle w:val="yTableNAm"/>
            </w:pPr>
            <w:r>
              <w:t xml:space="preserve">Use of slip, per day, for any other vessel that is — </w:t>
            </w:r>
          </w:p>
        </w:tc>
        <w:tc>
          <w:tcPr>
            <w:tcW w:w="996" w:type="dxa"/>
            <w:vAlign w:val="bottom"/>
          </w:tcPr>
          <w:p>
            <w:pPr>
              <w:pStyle w:val="yTableNAm"/>
              <w:jc w:val="right"/>
              <w:rPr>
                <w:szCs w:val="22"/>
              </w:rPr>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not over 15 m long</w:t>
            </w:r>
          </w:p>
        </w:tc>
        <w:tc>
          <w:tcPr>
            <w:tcW w:w="996" w:type="dxa"/>
            <w:vAlign w:val="bottom"/>
          </w:tcPr>
          <w:p>
            <w:pPr>
              <w:pStyle w:val="yTableNAm"/>
              <w:jc w:val="right"/>
              <w:rPr>
                <w:szCs w:val="22"/>
              </w:rPr>
            </w:pPr>
            <w:r>
              <w:rPr>
                <w:szCs w:val="22"/>
              </w:rPr>
              <w:t>189.13</w:t>
            </w:r>
          </w:p>
        </w:tc>
      </w:tr>
      <w:tr>
        <w:trPr>
          <w:cantSplit/>
        </w:trPr>
        <w:tc>
          <w:tcPr>
            <w:tcW w:w="567" w:type="dxa"/>
            <w:tcBorders>
              <w:bottom w:val="single" w:sz="4" w:space="0" w:color="auto"/>
            </w:tcBorders>
          </w:tcPr>
          <w:p>
            <w:pPr>
              <w:pStyle w:val="yTableNAm"/>
            </w:pPr>
          </w:p>
        </w:tc>
        <w:tc>
          <w:tcPr>
            <w:tcW w:w="4390" w:type="dxa"/>
            <w:tcBorders>
              <w:bottom w:val="single" w:sz="4" w:space="0" w:color="auto"/>
            </w:tcBorders>
          </w:tcPr>
          <w:p>
            <w:pPr>
              <w:pStyle w:val="yTableNAm"/>
              <w:tabs>
                <w:tab w:val="clear" w:pos="567"/>
                <w:tab w:val="left" w:pos="415"/>
              </w:tabs>
              <w:ind w:left="415" w:hanging="415"/>
            </w:pPr>
            <w:r>
              <w:t>•</w:t>
            </w:r>
            <w:r>
              <w:tab/>
              <w:t>over 15 m long</w:t>
            </w:r>
          </w:p>
        </w:tc>
        <w:tc>
          <w:tcPr>
            <w:tcW w:w="996" w:type="dxa"/>
            <w:tcBorders>
              <w:bottom w:val="single" w:sz="4" w:space="0" w:color="auto"/>
            </w:tcBorders>
            <w:vAlign w:val="bottom"/>
          </w:tcPr>
          <w:p>
            <w:pPr>
              <w:pStyle w:val="yTableNAm"/>
              <w:jc w:val="right"/>
              <w:rPr>
                <w:szCs w:val="22"/>
              </w:rPr>
            </w:pPr>
            <w:r>
              <w:rPr>
                <w:szCs w:val="22"/>
              </w:rPr>
              <w:t>275.81</w:t>
            </w:r>
          </w:p>
        </w:tc>
      </w:tr>
    </w:tbl>
    <w:p>
      <w:pPr>
        <w:pStyle w:val="yFootnotesection"/>
      </w:pPr>
      <w:r>
        <w:tab/>
        <w:t>[Clause 20 inserted in Gazette 28 Jun 2013 p. 2865</w:t>
      </w:r>
      <w:r>
        <w:noBreakHyphen/>
        <w:t>9.]</w:t>
      </w:r>
    </w:p>
    <w:p>
      <w:pPr>
        <w:pStyle w:val="yHeading5"/>
      </w:pPr>
      <w:bookmarkStart w:id="162" w:name="_Toc375231177"/>
      <w:r>
        <w:rPr>
          <w:rStyle w:val="CharSClsNo"/>
        </w:rPr>
        <w:t>21</w:t>
      </w:r>
      <w:r>
        <w:t>.</w:t>
      </w:r>
      <w:r>
        <w:tab/>
        <w:t xml:space="preserve">Port </w:t>
      </w:r>
      <w:smartTag w:uri="urn:schemas-microsoft-com:office:smarttags" w:element="place">
        <w:smartTag w:uri="urn:schemas-microsoft-com:office:smarttags" w:element="City">
          <w:r>
            <w:t>Denison</w:t>
          </w:r>
        </w:smartTag>
      </w:smartTag>
      <w:bookmarkEnd w:id="162"/>
    </w:p>
    <w:p>
      <w:pPr>
        <w:pStyle w:val="ySubsection"/>
      </w:pPr>
      <w:r>
        <w:tab/>
        <w:t>(1)</w:t>
      </w:r>
      <w:r>
        <w:tab/>
        <w:t>This clause applies to Port Denison.</w:t>
      </w:r>
    </w:p>
    <w:p>
      <w:pPr>
        <w:pStyle w:val="ySubsection"/>
      </w:pPr>
      <w:r>
        <w:tab/>
        <w:t>(2)</w:t>
      </w:r>
      <w:r>
        <w:tab/>
        <w:t>The fees and charges to be paid under regulations 6 and 94A are set out in Table 21.1.</w:t>
      </w:r>
    </w:p>
    <w:p>
      <w:pPr>
        <w:pStyle w:val="ySubsection"/>
      </w:pPr>
      <w:r>
        <w:tab/>
        <w:t>(3)</w:t>
      </w:r>
      <w:r>
        <w:tab/>
        <w:t>In Table 21.1 the chargeable length for a pen that is 20 m long is 16 m.</w:t>
      </w:r>
    </w:p>
    <w:p>
      <w:pPr>
        <w:pStyle w:val="yTHeadingNAm"/>
        <w:keepLines/>
      </w:pPr>
      <w:r>
        <w:t>Table 21.1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709"/>
        <w:gridCol w:w="4248"/>
        <w:gridCol w:w="996"/>
      </w:tblGrid>
      <w:tr>
        <w:trPr>
          <w:cantSplit/>
          <w:tblHeader/>
        </w:trPr>
        <w:tc>
          <w:tcPr>
            <w:tcW w:w="709" w:type="dxa"/>
            <w:tcBorders>
              <w:top w:val="single" w:sz="4" w:space="0" w:color="auto"/>
              <w:bottom w:val="single" w:sz="4" w:space="0" w:color="auto"/>
            </w:tcBorders>
          </w:tcPr>
          <w:p>
            <w:pPr>
              <w:pStyle w:val="yTableNAm"/>
              <w:keepNext/>
              <w:keepLines/>
              <w:rPr>
                <w:b/>
              </w:rPr>
            </w:pPr>
            <w:r>
              <w:rPr>
                <w:b/>
              </w:rPr>
              <w:t>Item</w:t>
            </w:r>
          </w:p>
        </w:tc>
        <w:tc>
          <w:tcPr>
            <w:tcW w:w="4248" w:type="dxa"/>
            <w:tcBorders>
              <w:top w:val="single" w:sz="4" w:space="0" w:color="auto"/>
              <w:bottom w:val="single" w:sz="4" w:space="0" w:color="auto"/>
            </w:tcBorders>
          </w:tcPr>
          <w:p>
            <w:pPr>
              <w:pStyle w:val="yTableNAm"/>
              <w:keepNext/>
              <w:keepLines/>
              <w:rPr>
                <w:b/>
              </w:rPr>
            </w:pPr>
            <w:r>
              <w:rPr>
                <w:b/>
              </w:rPr>
              <w:t>Service</w:t>
            </w:r>
          </w:p>
        </w:tc>
        <w:tc>
          <w:tcPr>
            <w:tcW w:w="996" w:type="dxa"/>
            <w:tcBorders>
              <w:top w:val="single" w:sz="4" w:space="0" w:color="auto"/>
              <w:bottom w:val="single" w:sz="4" w:space="0" w:color="auto"/>
            </w:tcBorders>
          </w:tcPr>
          <w:p>
            <w:pPr>
              <w:pStyle w:val="yTableNAm"/>
              <w:keepNext/>
              <w:keepLines/>
              <w:jc w:val="center"/>
              <w:rPr>
                <w:b/>
              </w:rPr>
            </w:pPr>
            <w:r>
              <w:rPr>
                <w:b/>
              </w:rPr>
              <w:t>$</w:t>
            </w:r>
          </w:p>
        </w:tc>
      </w:tr>
      <w:tr>
        <w:trPr>
          <w:cantSplit/>
        </w:trPr>
        <w:tc>
          <w:tcPr>
            <w:tcW w:w="709" w:type="dxa"/>
          </w:tcPr>
          <w:p>
            <w:pPr>
              <w:pStyle w:val="yTableNAm"/>
            </w:pPr>
            <w:r>
              <w:t>1.</w:t>
            </w:r>
          </w:p>
        </w:tc>
        <w:tc>
          <w:tcPr>
            <w:tcW w:w="4248" w:type="dxa"/>
          </w:tcPr>
          <w:p>
            <w:pPr>
              <w:pStyle w:val="yTableNAm"/>
            </w:pPr>
            <w:r>
              <w:t xml:space="preserve">For pen for commercial or recreational vessel — </w:t>
            </w:r>
          </w:p>
        </w:tc>
        <w:tc>
          <w:tcPr>
            <w:tcW w:w="996" w:type="dxa"/>
          </w:tcPr>
          <w:p>
            <w:pPr>
              <w:pStyle w:val="yTableNAm"/>
              <w:jc w:val="right"/>
            </w:pPr>
          </w:p>
        </w:tc>
      </w:tr>
      <w:tr>
        <w:trPr>
          <w:cantSplit/>
        </w:trPr>
        <w:tc>
          <w:tcPr>
            <w:tcW w:w="709" w:type="dxa"/>
          </w:tcPr>
          <w:p>
            <w:pPr>
              <w:pStyle w:val="yTableNAm"/>
            </w:pPr>
          </w:p>
        </w:tc>
        <w:tc>
          <w:tcPr>
            <w:tcW w:w="4248" w:type="dxa"/>
          </w:tcPr>
          <w:p>
            <w:pPr>
              <w:pStyle w:val="yTableNAm"/>
              <w:tabs>
                <w:tab w:val="clear" w:pos="567"/>
                <w:tab w:val="left" w:pos="415"/>
              </w:tabs>
              <w:ind w:left="415" w:hanging="415"/>
            </w:pPr>
            <w:r>
              <w:t>•</w:t>
            </w:r>
            <w:r>
              <w:tab/>
              <w:t>for 12 months paid in advance</w:t>
            </w:r>
          </w:p>
        </w:tc>
        <w:tc>
          <w:tcPr>
            <w:tcW w:w="996" w:type="dxa"/>
          </w:tcPr>
          <w:p>
            <w:pPr>
              <w:pStyle w:val="yTableNAm"/>
              <w:jc w:val="right"/>
            </w:pPr>
            <w:r>
              <w:t>988.61</w:t>
            </w:r>
          </w:p>
        </w:tc>
      </w:tr>
      <w:tr>
        <w:trPr>
          <w:cantSplit/>
        </w:trPr>
        <w:tc>
          <w:tcPr>
            <w:tcW w:w="709" w:type="dxa"/>
          </w:tcPr>
          <w:p>
            <w:pPr>
              <w:pStyle w:val="yTableNAm"/>
            </w:pPr>
          </w:p>
        </w:tc>
        <w:tc>
          <w:tcPr>
            <w:tcW w:w="4248" w:type="dxa"/>
          </w:tcPr>
          <w:p>
            <w:pPr>
              <w:pStyle w:val="yTableNAm"/>
              <w:tabs>
                <w:tab w:val="clear" w:pos="567"/>
                <w:tab w:val="left" w:pos="415"/>
              </w:tabs>
              <w:ind w:left="415" w:hanging="415"/>
            </w:pPr>
            <w:r>
              <w:t>•</w:t>
            </w:r>
            <w:r>
              <w:tab/>
              <w:t>plus per vessel, per m of the longer of the vessel’s length and the chargeable length (if any) for the pen</w:t>
            </w:r>
          </w:p>
        </w:tc>
        <w:tc>
          <w:tcPr>
            <w:tcW w:w="996" w:type="dxa"/>
          </w:tcPr>
          <w:p>
            <w:pPr>
              <w:pStyle w:val="yTableNAm"/>
              <w:jc w:val="right"/>
            </w:pPr>
            <w:r>
              <w:br/>
            </w:r>
            <w:r>
              <w:br/>
              <w:t>80.00</w:t>
            </w:r>
          </w:p>
        </w:tc>
      </w:tr>
      <w:tr>
        <w:trPr>
          <w:cantSplit/>
        </w:trPr>
        <w:tc>
          <w:tcPr>
            <w:tcW w:w="709" w:type="dxa"/>
          </w:tcPr>
          <w:p>
            <w:pPr>
              <w:pStyle w:val="yTableNAm"/>
            </w:pPr>
            <w:r>
              <w:t>2.</w:t>
            </w:r>
          </w:p>
        </w:tc>
        <w:tc>
          <w:tcPr>
            <w:tcW w:w="4248" w:type="dxa"/>
          </w:tcPr>
          <w:p>
            <w:pPr>
              <w:pStyle w:val="yTableNAm"/>
            </w:pPr>
            <w:r>
              <w:t>For dinghy pen for 12 months paid in advance</w:t>
            </w:r>
          </w:p>
        </w:tc>
        <w:tc>
          <w:tcPr>
            <w:tcW w:w="996" w:type="dxa"/>
          </w:tcPr>
          <w:p>
            <w:pPr>
              <w:pStyle w:val="yTableNAm"/>
              <w:jc w:val="right"/>
            </w:pPr>
            <w:r>
              <w:t>259.75</w:t>
            </w:r>
          </w:p>
        </w:tc>
      </w:tr>
      <w:tr>
        <w:trPr>
          <w:cantSplit/>
        </w:trPr>
        <w:tc>
          <w:tcPr>
            <w:tcW w:w="709" w:type="dxa"/>
          </w:tcPr>
          <w:p>
            <w:pPr>
              <w:pStyle w:val="yTableNAm"/>
            </w:pPr>
            <w:r>
              <w:t>3.</w:t>
            </w:r>
          </w:p>
        </w:tc>
        <w:tc>
          <w:tcPr>
            <w:tcW w:w="4248" w:type="dxa"/>
          </w:tcPr>
          <w:p>
            <w:pPr>
              <w:pStyle w:val="yTableNAm"/>
            </w:pPr>
            <w:r>
              <w:t>For use of service jetty other than for short time to load or unload vessel for which an annual fee for the use of a pen or a swing mooring has been paid, per vessel, per day</w:t>
            </w:r>
          </w:p>
        </w:tc>
        <w:tc>
          <w:tcPr>
            <w:tcW w:w="996" w:type="dxa"/>
          </w:tcPr>
          <w:p>
            <w:pPr>
              <w:pStyle w:val="yTableNAm"/>
              <w:jc w:val="right"/>
            </w:pPr>
            <w:r>
              <w:br/>
            </w:r>
            <w:r>
              <w:br/>
            </w:r>
            <w:r>
              <w:br/>
              <w:t>45.72</w:t>
            </w:r>
          </w:p>
        </w:tc>
      </w:tr>
      <w:tr>
        <w:trPr>
          <w:cantSplit/>
        </w:trPr>
        <w:tc>
          <w:tcPr>
            <w:tcW w:w="709" w:type="dxa"/>
          </w:tcPr>
          <w:p>
            <w:pPr>
              <w:pStyle w:val="yTableNAm"/>
            </w:pPr>
            <w:r>
              <w:t>4.</w:t>
            </w:r>
          </w:p>
        </w:tc>
        <w:tc>
          <w:tcPr>
            <w:tcW w:w="4248" w:type="dxa"/>
          </w:tcPr>
          <w:p>
            <w:pPr>
              <w:pStyle w:val="yTableNAm"/>
              <w:rPr>
                <w:rStyle w:val="DraftersNotes"/>
              </w:rPr>
            </w:pPr>
            <w:r>
              <w:t>For use of service jetty for short time just to load or unload vessel for which no annual fee for the use of a pen or a swing mooring has been paid, per vessel for 12 months paid in advance</w:t>
            </w:r>
          </w:p>
        </w:tc>
        <w:tc>
          <w:tcPr>
            <w:tcW w:w="996" w:type="dxa"/>
          </w:tcPr>
          <w:p>
            <w:pPr>
              <w:pStyle w:val="yTableNAm"/>
              <w:jc w:val="right"/>
            </w:pPr>
            <w:r>
              <w:br/>
            </w:r>
            <w:r>
              <w:br/>
            </w:r>
            <w:r>
              <w:br/>
            </w:r>
            <w:r>
              <w:br/>
              <w:t>285.73</w:t>
            </w:r>
          </w:p>
        </w:tc>
      </w:tr>
      <w:tr>
        <w:trPr>
          <w:cantSplit/>
        </w:trPr>
        <w:tc>
          <w:tcPr>
            <w:tcW w:w="709" w:type="dxa"/>
            <w:tcBorders>
              <w:bottom w:val="single" w:sz="4" w:space="0" w:color="auto"/>
            </w:tcBorders>
          </w:tcPr>
          <w:p>
            <w:pPr>
              <w:pStyle w:val="yTableNAm"/>
            </w:pPr>
            <w:r>
              <w:t>5.</w:t>
            </w:r>
          </w:p>
        </w:tc>
        <w:tc>
          <w:tcPr>
            <w:tcW w:w="4248" w:type="dxa"/>
            <w:tcBorders>
              <w:bottom w:val="single" w:sz="4" w:space="0" w:color="auto"/>
            </w:tcBorders>
          </w:tcPr>
          <w:p>
            <w:pPr>
              <w:pStyle w:val="yTableNAm"/>
            </w:pPr>
            <w:r>
              <w:t>For other use of service jetty by vessel, per m of the vessel’s length, per day</w:t>
            </w:r>
          </w:p>
        </w:tc>
        <w:tc>
          <w:tcPr>
            <w:tcW w:w="996" w:type="dxa"/>
            <w:tcBorders>
              <w:bottom w:val="single" w:sz="4" w:space="0" w:color="auto"/>
            </w:tcBorders>
          </w:tcPr>
          <w:p>
            <w:pPr>
              <w:pStyle w:val="yTableNAm"/>
              <w:jc w:val="right"/>
            </w:pPr>
            <w:r>
              <w:br/>
              <w:t>5.71</w:t>
            </w:r>
          </w:p>
        </w:tc>
      </w:tr>
    </w:tbl>
    <w:p>
      <w:pPr>
        <w:pStyle w:val="ySubsection"/>
        <w:spacing w:before="120"/>
      </w:pPr>
      <w:r>
        <w:tab/>
        <w:t>(4)</w:t>
      </w:r>
      <w:r>
        <w:tab/>
        <w:t>The fees and charges to be paid under regulation 10A are set out in Table 21.2.</w:t>
      </w:r>
    </w:p>
    <w:p>
      <w:pPr>
        <w:pStyle w:val="yTHeadingNAm"/>
        <w:spacing w:before="120" w:after="40"/>
      </w:pPr>
      <w:r>
        <w:t>Table 21.2 (Wharfage)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709"/>
        <w:gridCol w:w="4248"/>
        <w:gridCol w:w="996"/>
      </w:tblGrid>
      <w:tr>
        <w:trPr>
          <w:cantSplit/>
          <w:tblHeader/>
        </w:trPr>
        <w:tc>
          <w:tcPr>
            <w:tcW w:w="709" w:type="dxa"/>
            <w:tcBorders>
              <w:top w:val="single" w:sz="4" w:space="0" w:color="auto"/>
              <w:bottom w:val="single" w:sz="4" w:space="0" w:color="auto"/>
            </w:tcBorders>
          </w:tcPr>
          <w:p>
            <w:pPr>
              <w:pStyle w:val="yTableNAm"/>
              <w:rPr>
                <w:b/>
              </w:rPr>
            </w:pPr>
            <w:r>
              <w:rPr>
                <w:b/>
              </w:rPr>
              <w:t>Item</w:t>
            </w:r>
          </w:p>
        </w:tc>
        <w:tc>
          <w:tcPr>
            <w:tcW w:w="4248" w:type="dxa"/>
            <w:tcBorders>
              <w:top w:val="single" w:sz="4" w:space="0" w:color="auto"/>
              <w:bottom w:val="single" w:sz="4" w:space="0" w:color="auto"/>
            </w:tcBorders>
          </w:tcPr>
          <w:p>
            <w:pPr>
              <w:pStyle w:val="yTableNAm"/>
              <w:rPr>
                <w:b/>
              </w:rPr>
            </w:pPr>
            <w:r>
              <w:rPr>
                <w:b/>
              </w:rPr>
              <w:t>Service</w:t>
            </w:r>
          </w:p>
        </w:tc>
        <w:tc>
          <w:tcPr>
            <w:tcW w:w="99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Borders>
              <w:top w:val="single" w:sz="4" w:space="0" w:color="auto"/>
              <w:bottom w:val="single" w:sz="4" w:space="0" w:color="auto"/>
            </w:tcBorders>
          </w:tcPr>
          <w:p>
            <w:pPr>
              <w:pStyle w:val="yTableNAm"/>
            </w:pPr>
            <w:r>
              <w:t>1.</w:t>
            </w:r>
          </w:p>
        </w:tc>
        <w:tc>
          <w:tcPr>
            <w:tcW w:w="4248" w:type="dxa"/>
            <w:tcBorders>
              <w:top w:val="single" w:sz="4" w:space="0" w:color="auto"/>
              <w:bottom w:val="single" w:sz="4" w:space="0" w:color="auto"/>
            </w:tcBorders>
          </w:tcPr>
          <w:p>
            <w:pPr>
              <w:pStyle w:val="yTableNAm"/>
            </w:pPr>
            <w:r>
              <w:t>Wharfage for general cargo if loaded from or into a vessel, per vessel, for 12 months (excludes fishing product, fishing equipment and bait)</w:t>
            </w:r>
          </w:p>
        </w:tc>
        <w:tc>
          <w:tcPr>
            <w:tcW w:w="996" w:type="dxa"/>
            <w:tcBorders>
              <w:top w:val="single" w:sz="4" w:space="0" w:color="auto"/>
              <w:bottom w:val="single" w:sz="4" w:space="0" w:color="auto"/>
            </w:tcBorders>
          </w:tcPr>
          <w:p>
            <w:pPr>
              <w:pStyle w:val="yTableNAm"/>
              <w:jc w:val="right"/>
            </w:pPr>
            <w:r>
              <w:br/>
            </w:r>
            <w:r>
              <w:br/>
            </w:r>
            <w:r>
              <w:br/>
              <w:t>571.45</w:t>
            </w:r>
          </w:p>
        </w:tc>
      </w:tr>
    </w:tbl>
    <w:p>
      <w:pPr>
        <w:pStyle w:val="yFootnotesection"/>
        <w:spacing w:before="60"/>
      </w:pPr>
      <w:r>
        <w:tab/>
        <w:t>[Clause 21 inserted in Gazette 28 Jun 2013 p. 2869</w:t>
      </w:r>
      <w:r>
        <w:noBreakHyphen/>
        <w:t>70.]</w:t>
      </w:r>
    </w:p>
    <w:p>
      <w:pPr>
        <w:pStyle w:val="yHeading5"/>
        <w:keepNext w:val="0"/>
        <w:keepLines w:val="0"/>
        <w:spacing w:before="160"/>
      </w:pPr>
      <w:bookmarkStart w:id="163" w:name="_Toc375231178"/>
      <w:r>
        <w:rPr>
          <w:rStyle w:val="CharSClsNo"/>
        </w:rPr>
        <w:t>22</w:t>
      </w:r>
      <w:r>
        <w:t>.</w:t>
      </w:r>
      <w:r>
        <w:rPr>
          <w:b w:val="0"/>
        </w:rPr>
        <w:tab/>
      </w:r>
      <w:r>
        <w:t>Port Gregory</w:t>
      </w:r>
      <w:bookmarkEnd w:id="163"/>
    </w:p>
    <w:p>
      <w:pPr>
        <w:pStyle w:val="ySubsection"/>
        <w:spacing w:before="100"/>
      </w:pPr>
      <w:r>
        <w:tab/>
        <w:t>(1)</w:t>
      </w:r>
      <w:r>
        <w:tab/>
        <w:t>This clause applies to Port Gregory.</w:t>
      </w:r>
    </w:p>
    <w:p>
      <w:pPr>
        <w:pStyle w:val="ySubsection"/>
      </w:pPr>
      <w:r>
        <w:tab/>
        <w:t>(2)</w:t>
      </w:r>
      <w:r>
        <w:tab/>
        <w:t>The fees and charges to be paid under regulation 6 are set out in Table 22.1.</w:t>
      </w:r>
    </w:p>
    <w:p>
      <w:pPr>
        <w:pStyle w:val="yTHeadingNAm"/>
      </w:pPr>
      <w:r>
        <w:t>Table 22.1 (Berthing)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0" w:type="dxa"/>
            <w:tcBorders>
              <w:top w:val="single" w:sz="4" w:space="0" w:color="auto"/>
              <w:bottom w:val="single" w:sz="4" w:space="0" w:color="auto"/>
            </w:tcBorders>
          </w:tcPr>
          <w:p>
            <w:pPr>
              <w:pStyle w:val="yTableNAm"/>
              <w:rPr>
                <w:b/>
              </w:rPr>
            </w:pPr>
            <w:r>
              <w:rPr>
                <w:b/>
              </w:rPr>
              <w:t>Service</w:t>
            </w:r>
          </w:p>
        </w:tc>
        <w:tc>
          <w:tcPr>
            <w:tcW w:w="996"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0" w:type="dxa"/>
          </w:tcPr>
          <w:p>
            <w:pPr>
              <w:pStyle w:val="yTableNAm"/>
            </w:pPr>
            <w:r>
              <w:t>For use of service jetty by vessel just to load or unload, for 12 months, per vessel paid in advance</w:t>
            </w:r>
          </w:p>
        </w:tc>
        <w:tc>
          <w:tcPr>
            <w:tcW w:w="996" w:type="dxa"/>
            <w:vAlign w:val="bottom"/>
          </w:tcPr>
          <w:p>
            <w:pPr>
              <w:pStyle w:val="yTableNAm"/>
              <w:jc w:val="right"/>
            </w:pPr>
            <w:r>
              <w:t>287.39</w:t>
            </w:r>
          </w:p>
        </w:tc>
      </w:tr>
      <w:tr>
        <w:trPr>
          <w:cantSplit/>
        </w:trPr>
        <w:tc>
          <w:tcPr>
            <w:tcW w:w="567" w:type="dxa"/>
          </w:tcPr>
          <w:p>
            <w:pPr>
              <w:pStyle w:val="yTableNAm"/>
            </w:pPr>
            <w:r>
              <w:t>2.</w:t>
            </w:r>
          </w:p>
        </w:tc>
        <w:tc>
          <w:tcPr>
            <w:tcW w:w="4390" w:type="dxa"/>
          </w:tcPr>
          <w:p>
            <w:pPr>
              <w:pStyle w:val="yTableNAm"/>
            </w:pPr>
            <w:r>
              <w:t xml:space="preserve">For other use of service jetty by vessel — </w:t>
            </w:r>
          </w:p>
        </w:tc>
        <w:tc>
          <w:tcPr>
            <w:tcW w:w="996" w:type="dxa"/>
            <w:vAlign w:val="bottom"/>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per m of the vessel’s length, per day</w:t>
            </w:r>
          </w:p>
        </w:tc>
        <w:tc>
          <w:tcPr>
            <w:tcW w:w="996" w:type="dxa"/>
            <w:vAlign w:val="bottom"/>
          </w:tcPr>
          <w:p>
            <w:pPr>
              <w:pStyle w:val="yTableNAm"/>
              <w:jc w:val="right"/>
            </w:pPr>
            <w:r>
              <w:t>5.02</w:t>
            </w:r>
          </w:p>
        </w:tc>
      </w:tr>
      <w:tr>
        <w:trPr>
          <w:cantSplit/>
        </w:trPr>
        <w:tc>
          <w:tcPr>
            <w:tcW w:w="567" w:type="dxa"/>
            <w:tcBorders>
              <w:bottom w:val="single" w:sz="4" w:space="0" w:color="auto"/>
            </w:tcBorders>
          </w:tcPr>
          <w:p>
            <w:pPr>
              <w:pStyle w:val="yTableNAm"/>
            </w:pPr>
          </w:p>
        </w:tc>
        <w:tc>
          <w:tcPr>
            <w:tcW w:w="4390" w:type="dxa"/>
            <w:tcBorders>
              <w:bottom w:val="single" w:sz="4" w:space="0" w:color="auto"/>
            </w:tcBorders>
          </w:tcPr>
          <w:p>
            <w:pPr>
              <w:pStyle w:val="yTableNAm"/>
              <w:tabs>
                <w:tab w:val="clear" w:pos="567"/>
                <w:tab w:val="left" w:pos="415"/>
              </w:tabs>
              <w:ind w:left="415" w:hanging="415"/>
            </w:pPr>
            <w:r>
              <w:t>•</w:t>
            </w:r>
            <w:r>
              <w:tab/>
              <w:t>minimum overnight</w:t>
            </w:r>
          </w:p>
        </w:tc>
        <w:tc>
          <w:tcPr>
            <w:tcW w:w="996" w:type="dxa"/>
            <w:tcBorders>
              <w:bottom w:val="single" w:sz="4" w:space="0" w:color="auto"/>
            </w:tcBorders>
            <w:vAlign w:val="bottom"/>
          </w:tcPr>
          <w:p>
            <w:pPr>
              <w:pStyle w:val="yTableNAm"/>
              <w:jc w:val="right"/>
            </w:pPr>
            <w:r>
              <w:t>55.85</w:t>
            </w:r>
          </w:p>
        </w:tc>
      </w:tr>
    </w:tbl>
    <w:p>
      <w:pPr>
        <w:pStyle w:val="yFootnotesection"/>
      </w:pPr>
      <w:r>
        <w:tab/>
        <w:t>[Clause 22 inserted in Gazette 28 Jun 2013 p. 2871.]</w:t>
      </w:r>
    </w:p>
    <w:p>
      <w:pPr>
        <w:pStyle w:val="yHeading5"/>
      </w:pPr>
      <w:bookmarkStart w:id="164" w:name="_Toc375231179"/>
      <w:r>
        <w:rPr>
          <w:rStyle w:val="CharSClsNo"/>
        </w:rPr>
        <w:t>23</w:t>
      </w:r>
      <w:r>
        <w:t>.</w:t>
      </w:r>
      <w:r>
        <w:rPr>
          <w:b w:val="0"/>
        </w:rPr>
        <w:tab/>
      </w:r>
      <w:r>
        <w:t>Wyndham</w:t>
      </w:r>
      <w:bookmarkEnd w:id="164"/>
    </w:p>
    <w:p>
      <w:pPr>
        <w:pStyle w:val="ySubsection"/>
      </w:pPr>
      <w:r>
        <w:tab/>
        <w:t>(1)</w:t>
      </w:r>
      <w:r>
        <w:tab/>
        <w:t xml:space="preserve">This clause applies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w:t>
      </w:r>
    </w:p>
    <w:p>
      <w:pPr>
        <w:pStyle w:val="ySubsection"/>
      </w:pPr>
      <w:r>
        <w:tab/>
        <w:t>(2)</w:t>
      </w:r>
      <w:r>
        <w:tab/>
        <w:t>The dues to be paid under regulation 6 are set out in Table 23.1.</w:t>
      </w:r>
    </w:p>
    <w:p>
      <w:pPr>
        <w:pStyle w:val="yTHeadingNAm"/>
      </w:pPr>
      <w:r>
        <w:t>Table 23.1 (Berthing)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1947"/>
        <w:gridCol w:w="2305"/>
        <w:gridCol w:w="1134"/>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1947" w:type="dxa"/>
            <w:tcBorders>
              <w:top w:val="single" w:sz="4" w:space="0" w:color="auto"/>
              <w:bottom w:val="single" w:sz="4" w:space="0" w:color="auto"/>
            </w:tcBorders>
          </w:tcPr>
          <w:p>
            <w:pPr>
              <w:pStyle w:val="yTableNAm"/>
              <w:rPr>
                <w:b/>
              </w:rPr>
            </w:pPr>
            <w:r>
              <w:rPr>
                <w:b/>
              </w:rPr>
              <w:t>Vessel or cargo</w:t>
            </w:r>
          </w:p>
        </w:tc>
        <w:tc>
          <w:tcPr>
            <w:tcW w:w="2305" w:type="dxa"/>
            <w:tcBorders>
              <w:top w:val="single" w:sz="4" w:space="0" w:color="auto"/>
              <w:bottom w:val="single" w:sz="4" w:space="0" w:color="auto"/>
            </w:tcBorders>
          </w:tcPr>
          <w:p>
            <w:pPr>
              <w:pStyle w:val="yTableNAm"/>
              <w:rPr>
                <w:b/>
              </w:rPr>
            </w:pPr>
            <w:r>
              <w:rPr>
                <w:b/>
              </w:rPr>
              <w:t>Dues</w:t>
            </w:r>
          </w:p>
        </w:tc>
        <w:tc>
          <w:tcPr>
            <w:tcW w:w="1134" w:type="dxa"/>
            <w:tcBorders>
              <w:top w:val="single" w:sz="4" w:space="0" w:color="auto"/>
              <w:bottom w:val="single" w:sz="4" w:space="0" w:color="auto"/>
            </w:tcBorders>
          </w:tcPr>
          <w:p>
            <w:pPr>
              <w:pStyle w:val="yTableNAm"/>
              <w:jc w:val="center"/>
              <w:rPr>
                <w:b/>
              </w:rPr>
            </w:pPr>
            <w:r>
              <w:rPr>
                <w:b/>
              </w:rPr>
              <w:t>Minimum per day ($)</w:t>
            </w:r>
          </w:p>
        </w:tc>
      </w:tr>
      <w:tr>
        <w:trPr>
          <w:cantSplit/>
        </w:trPr>
        <w:tc>
          <w:tcPr>
            <w:tcW w:w="567" w:type="dxa"/>
          </w:tcPr>
          <w:p>
            <w:pPr>
              <w:pStyle w:val="yTableNAm"/>
            </w:pPr>
            <w:r>
              <w:t>1.</w:t>
            </w:r>
          </w:p>
        </w:tc>
        <w:tc>
          <w:tcPr>
            <w:tcW w:w="1947" w:type="dxa"/>
          </w:tcPr>
          <w:p>
            <w:pPr>
              <w:pStyle w:val="yTableNAm"/>
            </w:pPr>
            <w:r>
              <w:t>Vessel of 300 gross registered tonnes or over</w:t>
            </w:r>
          </w:p>
        </w:tc>
        <w:tc>
          <w:tcPr>
            <w:tcW w:w="2305" w:type="dxa"/>
          </w:tcPr>
          <w:p>
            <w:pPr>
              <w:pStyle w:val="yTableNAm"/>
            </w:pPr>
            <w:r>
              <w:t>$1.13 per t, per m</w:t>
            </w:r>
            <w:r>
              <w:rPr>
                <w:vertAlign w:val="superscript"/>
              </w:rPr>
              <w:t>3</w:t>
            </w:r>
            <w:r>
              <w:t>, or per kL, at option of officer in charge, on all cargo landed or shipped</w:t>
            </w:r>
          </w:p>
        </w:tc>
        <w:tc>
          <w:tcPr>
            <w:tcW w:w="1134" w:type="dxa"/>
            <w:vAlign w:val="bottom"/>
          </w:tcPr>
          <w:p>
            <w:pPr>
              <w:pStyle w:val="yTableNAm"/>
              <w:jc w:val="right"/>
            </w:pPr>
            <w:r>
              <w:t>169.48</w:t>
            </w:r>
          </w:p>
        </w:tc>
      </w:tr>
      <w:tr>
        <w:trPr>
          <w:cantSplit/>
        </w:trPr>
        <w:tc>
          <w:tcPr>
            <w:tcW w:w="567" w:type="dxa"/>
          </w:tcPr>
          <w:p>
            <w:pPr>
              <w:pStyle w:val="yTableNAm"/>
            </w:pPr>
            <w:r>
              <w:t>2.</w:t>
            </w:r>
          </w:p>
        </w:tc>
        <w:tc>
          <w:tcPr>
            <w:tcW w:w="1947" w:type="dxa"/>
          </w:tcPr>
          <w:p>
            <w:pPr>
              <w:pStyle w:val="yTableNAm"/>
            </w:pPr>
            <w:r>
              <w:t>Vessel under 300 gross registered tonnes</w:t>
            </w:r>
          </w:p>
        </w:tc>
        <w:tc>
          <w:tcPr>
            <w:tcW w:w="2305" w:type="dxa"/>
          </w:tcPr>
          <w:p>
            <w:pPr>
              <w:pStyle w:val="yTableNAm"/>
            </w:pPr>
            <w:r>
              <w:t>$6.13 per m of the vessel’s length, per day</w:t>
            </w:r>
          </w:p>
        </w:tc>
        <w:tc>
          <w:tcPr>
            <w:tcW w:w="1134" w:type="dxa"/>
            <w:vAlign w:val="bottom"/>
          </w:tcPr>
          <w:p>
            <w:pPr>
              <w:pStyle w:val="yTableNAm"/>
              <w:jc w:val="right"/>
            </w:pPr>
            <w:r>
              <w:t>112.94</w:t>
            </w:r>
          </w:p>
        </w:tc>
      </w:tr>
      <w:tr>
        <w:trPr>
          <w:cantSplit/>
        </w:trPr>
        <w:tc>
          <w:tcPr>
            <w:tcW w:w="567" w:type="dxa"/>
          </w:tcPr>
          <w:p>
            <w:pPr>
              <w:pStyle w:val="yTableNAm"/>
            </w:pPr>
            <w:r>
              <w:t>3.</w:t>
            </w:r>
          </w:p>
        </w:tc>
        <w:tc>
          <w:tcPr>
            <w:tcW w:w="1947" w:type="dxa"/>
          </w:tcPr>
          <w:p>
            <w:pPr>
              <w:pStyle w:val="yTableNAm"/>
            </w:pPr>
            <w:r>
              <w:t>Vessel using berth for purposes other than handling cargo</w:t>
            </w:r>
          </w:p>
        </w:tc>
        <w:tc>
          <w:tcPr>
            <w:tcW w:w="2305" w:type="dxa"/>
          </w:tcPr>
          <w:p>
            <w:pPr>
              <w:pStyle w:val="yTableNAm"/>
            </w:pPr>
            <w:r>
              <w:t>$6.13 per m of the vessel’s length, per day</w:t>
            </w:r>
          </w:p>
        </w:tc>
        <w:tc>
          <w:tcPr>
            <w:tcW w:w="1134" w:type="dxa"/>
            <w:vAlign w:val="bottom"/>
          </w:tcPr>
          <w:p>
            <w:pPr>
              <w:pStyle w:val="yTableNAm"/>
              <w:jc w:val="right"/>
            </w:pPr>
            <w:r>
              <w:t>112.94</w:t>
            </w:r>
          </w:p>
        </w:tc>
      </w:tr>
      <w:tr>
        <w:trPr>
          <w:cantSplit/>
        </w:trPr>
        <w:tc>
          <w:tcPr>
            <w:tcW w:w="567" w:type="dxa"/>
          </w:tcPr>
          <w:p>
            <w:pPr>
              <w:pStyle w:val="yTableNAm"/>
              <w:keepNext/>
            </w:pPr>
            <w:r>
              <w:t>4.</w:t>
            </w:r>
          </w:p>
        </w:tc>
        <w:tc>
          <w:tcPr>
            <w:tcW w:w="1947" w:type="dxa"/>
          </w:tcPr>
          <w:p>
            <w:pPr>
              <w:pStyle w:val="yTableNAm"/>
            </w:pPr>
            <w:r>
              <w:t>Container, empty</w:t>
            </w:r>
          </w:p>
        </w:tc>
        <w:tc>
          <w:tcPr>
            <w:tcW w:w="2305" w:type="dxa"/>
          </w:tcPr>
          <w:p>
            <w:pPr>
              <w:pStyle w:val="yTableNAm"/>
            </w:pPr>
            <w:r>
              <w:t>$8.80 per container</w:t>
            </w:r>
          </w:p>
        </w:tc>
        <w:tc>
          <w:tcPr>
            <w:tcW w:w="1134" w:type="dxa"/>
          </w:tcPr>
          <w:p>
            <w:pPr>
              <w:pStyle w:val="yTableNAm"/>
              <w:jc w:val="right"/>
            </w:pPr>
          </w:p>
        </w:tc>
      </w:tr>
      <w:tr>
        <w:trPr>
          <w:cantSplit/>
        </w:trPr>
        <w:tc>
          <w:tcPr>
            <w:tcW w:w="567" w:type="dxa"/>
            <w:tcBorders>
              <w:bottom w:val="single" w:sz="4" w:space="0" w:color="auto"/>
            </w:tcBorders>
          </w:tcPr>
          <w:p>
            <w:pPr>
              <w:pStyle w:val="yTableNAm"/>
            </w:pPr>
            <w:r>
              <w:t>5.</w:t>
            </w:r>
          </w:p>
        </w:tc>
        <w:tc>
          <w:tcPr>
            <w:tcW w:w="1947" w:type="dxa"/>
            <w:tcBorders>
              <w:bottom w:val="single" w:sz="4" w:space="0" w:color="auto"/>
            </w:tcBorders>
          </w:tcPr>
          <w:p>
            <w:pPr>
              <w:pStyle w:val="yTableNAm"/>
            </w:pPr>
            <w:r>
              <w:t>Container, loaded</w:t>
            </w:r>
          </w:p>
        </w:tc>
        <w:tc>
          <w:tcPr>
            <w:tcW w:w="2305" w:type="dxa"/>
            <w:tcBorders>
              <w:bottom w:val="single" w:sz="4" w:space="0" w:color="auto"/>
            </w:tcBorders>
          </w:tcPr>
          <w:p>
            <w:pPr>
              <w:pStyle w:val="yTableNAm"/>
            </w:pPr>
            <w:r>
              <w:t>$28.30 per container</w:t>
            </w:r>
          </w:p>
        </w:tc>
        <w:tc>
          <w:tcPr>
            <w:tcW w:w="1134" w:type="dxa"/>
            <w:tcBorders>
              <w:bottom w:val="single" w:sz="4" w:space="0" w:color="auto"/>
            </w:tcBorders>
          </w:tcPr>
          <w:p>
            <w:pPr>
              <w:pStyle w:val="yTableNAm"/>
              <w:jc w:val="right"/>
            </w:pPr>
          </w:p>
        </w:tc>
      </w:tr>
    </w:tbl>
    <w:p>
      <w:pPr>
        <w:pStyle w:val="ySubsection"/>
      </w:pPr>
      <w:r>
        <w:tab/>
        <w:t>(3)</w:t>
      </w:r>
      <w:r>
        <w:tab/>
        <w:t>The charges and dues to be paid under regulation 10A are set out in Table 23.2.</w:t>
      </w:r>
    </w:p>
    <w:p>
      <w:pPr>
        <w:pStyle w:val="yTHeadingNAm"/>
      </w:pPr>
      <w:r>
        <w:t>Table 23.2 (Wharfage)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4" w:type="dxa"/>
            <w:tcBorders>
              <w:top w:val="single" w:sz="4" w:space="0" w:color="auto"/>
              <w:bottom w:val="single" w:sz="4" w:space="0" w:color="auto"/>
            </w:tcBorders>
          </w:tcPr>
          <w:p>
            <w:pPr>
              <w:pStyle w:val="yTableNAm"/>
              <w:rPr>
                <w:b/>
              </w:rPr>
            </w:pPr>
            <w:r>
              <w:rPr>
                <w:b/>
              </w:rPr>
              <w:t>Goods</w:t>
            </w:r>
          </w:p>
        </w:tc>
        <w:tc>
          <w:tcPr>
            <w:tcW w:w="992"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4" w:type="dxa"/>
          </w:tcPr>
          <w:p>
            <w:pPr>
              <w:pStyle w:val="yTableNAm"/>
            </w:pPr>
            <w:r>
              <w:t xml:space="preserve">Cargo in 20 feet equivalent unit (TEU) containers — </w:t>
            </w:r>
          </w:p>
        </w:tc>
        <w:tc>
          <w:tcPr>
            <w:tcW w:w="992" w:type="dxa"/>
            <w:vAlign w:val="bottom"/>
          </w:tcPr>
          <w:p>
            <w:pPr>
              <w:pStyle w:val="yTableNAm"/>
              <w:jc w:val="right"/>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fertiliser, per TEU</w:t>
            </w:r>
          </w:p>
        </w:tc>
        <w:tc>
          <w:tcPr>
            <w:tcW w:w="992" w:type="dxa"/>
            <w:vAlign w:val="bottom"/>
          </w:tcPr>
          <w:p>
            <w:pPr>
              <w:pStyle w:val="yTableNAm"/>
              <w:jc w:val="right"/>
            </w:pPr>
            <w:r>
              <w:t>98.25</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explosives, per TEU</w:t>
            </w:r>
          </w:p>
        </w:tc>
        <w:tc>
          <w:tcPr>
            <w:tcW w:w="992" w:type="dxa"/>
            <w:vAlign w:val="bottom"/>
          </w:tcPr>
          <w:p>
            <w:pPr>
              <w:pStyle w:val="yTableNAm"/>
              <w:jc w:val="right"/>
            </w:pPr>
            <w:r>
              <w:t>121.55</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products of the soil (not otherwise specified), per TEU</w:t>
            </w:r>
          </w:p>
        </w:tc>
        <w:tc>
          <w:tcPr>
            <w:tcW w:w="992" w:type="dxa"/>
            <w:vAlign w:val="bottom"/>
          </w:tcPr>
          <w:p>
            <w:pPr>
              <w:pStyle w:val="yTableNAm"/>
              <w:jc w:val="right"/>
            </w:pPr>
            <w:r>
              <w:t>61.68</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not otherwise specified in this item, per TEU</w:t>
            </w:r>
          </w:p>
        </w:tc>
        <w:tc>
          <w:tcPr>
            <w:tcW w:w="992" w:type="dxa"/>
            <w:vAlign w:val="bottom"/>
          </w:tcPr>
          <w:p>
            <w:pPr>
              <w:pStyle w:val="yTableNAm"/>
              <w:jc w:val="right"/>
            </w:pPr>
            <w:r>
              <w:t>194.81</w:t>
            </w:r>
          </w:p>
        </w:tc>
      </w:tr>
      <w:tr>
        <w:trPr>
          <w:cantSplit/>
        </w:trPr>
        <w:tc>
          <w:tcPr>
            <w:tcW w:w="567" w:type="dxa"/>
          </w:tcPr>
          <w:p>
            <w:pPr>
              <w:pStyle w:val="yTableNAm"/>
            </w:pPr>
            <w:r>
              <w:t>2.</w:t>
            </w:r>
          </w:p>
        </w:tc>
        <w:tc>
          <w:tcPr>
            <w:tcW w:w="4394" w:type="dxa"/>
          </w:tcPr>
          <w:p>
            <w:pPr>
              <w:pStyle w:val="yTableNAm"/>
            </w:pPr>
            <w:r>
              <w:t>Empty TEU containers, per TEU</w:t>
            </w:r>
          </w:p>
        </w:tc>
        <w:tc>
          <w:tcPr>
            <w:tcW w:w="992" w:type="dxa"/>
            <w:vAlign w:val="bottom"/>
          </w:tcPr>
          <w:p>
            <w:pPr>
              <w:pStyle w:val="yTableNAm"/>
              <w:jc w:val="right"/>
            </w:pPr>
            <w:r>
              <w:t>56.62</w:t>
            </w:r>
          </w:p>
        </w:tc>
      </w:tr>
      <w:tr>
        <w:trPr>
          <w:cantSplit/>
        </w:trPr>
        <w:tc>
          <w:tcPr>
            <w:tcW w:w="567" w:type="dxa"/>
          </w:tcPr>
          <w:p>
            <w:pPr>
              <w:pStyle w:val="yTableNAm"/>
            </w:pPr>
            <w:r>
              <w:t>3.</w:t>
            </w:r>
          </w:p>
        </w:tc>
        <w:tc>
          <w:tcPr>
            <w:tcW w:w="4394" w:type="dxa"/>
          </w:tcPr>
          <w:p>
            <w:pPr>
              <w:pStyle w:val="yTableNAm"/>
            </w:pPr>
            <w:r>
              <w:t>Cargo, whether in containers (not TEU containers) or otherwise —</w:t>
            </w:r>
          </w:p>
        </w:tc>
        <w:tc>
          <w:tcPr>
            <w:tcW w:w="992" w:type="dxa"/>
            <w:vAlign w:val="bottom"/>
          </w:tcPr>
          <w:p>
            <w:pPr>
              <w:pStyle w:val="yTableNAm"/>
              <w:jc w:val="right"/>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 xml:space="preserve">animals, live — </w:t>
            </w:r>
          </w:p>
        </w:tc>
        <w:tc>
          <w:tcPr>
            <w:tcW w:w="992" w:type="dxa"/>
            <w:vAlign w:val="bottom"/>
          </w:tcPr>
          <w:p>
            <w:pPr>
              <w:pStyle w:val="yTableNAm"/>
              <w:jc w:val="right"/>
            </w:pPr>
          </w:p>
        </w:tc>
      </w:tr>
      <w:tr>
        <w:trPr>
          <w:cantSplit/>
        </w:trPr>
        <w:tc>
          <w:tcPr>
            <w:tcW w:w="567" w:type="dxa"/>
          </w:tcPr>
          <w:p>
            <w:pPr>
              <w:pStyle w:val="yTableNAm"/>
            </w:pPr>
          </w:p>
        </w:tc>
        <w:tc>
          <w:tcPr>
            <w:tcW w:w="4394" w:type="dxa"/>
          </w:tcPr>
          <w:p>
            <w:pPr>
              <w:pStyle w:val="yTableNAm"/>
              <w:tabs>
                <w:tab w:val="clear" w:pos="567"/>
                <w:tab w:val="left" w:pos="443"/>
                <w:tab w:val="left" w:pos="840"/>
              </w:tabs>
            </w:pPr>
            <w:r>
              <w:tab/>
              <w:t>•</w:t>
            </w:r>
            <w:r>
              <w:tab/>
              <w:t>cattle (bullocks, cows, etc.), per head</w:t>
            </w:r>
          </w:p>
        </w:tc>
        <w:tc>
          <w:tcPr>
            <w:tcW w:w="992" w:type="dxa"/>
            <w:vAlign w:val="bottom"/>
          </w:tcPr>
          <w:p>
            <w:pPr>
              <w:pStyle w:val="yTableNAm"/>
              <w:jc w:val="right"/>
            </w:pPr>
            <w:r>
              <w:t>2.42</w:t>
            </w:r>
          </w:p>
        </w:tc>
      </w:tr>
      <w:tr>
        <w:trPr>
          <w:cantSplit/>
        </w:trPr>
        <w:tc>
          <w:tcPr>
            <w:tcW w:w="567" w:type="dxa"/>
          </w:tcPr>
          <w:p>
            <w:pPr>
              <w:pStyle w:val="yTableNAm"/>
            </w:pPr>
          </w:p>
        </w:tc>
        <w:tc>
          <w:tcPr>
            <w:tcW w:w="4394" w:type="dxa"/>
          </w:tcPr>
          <w:p>
            <w:pPr>
              <w:pStyle w:val="yTableNAm"/>
              <w:tabs>
                <w:tab w:val="clear" w:pos="567"/>
                <w:tab w:val="left" w:pos="443"/>
                <w:tab w:val="left" w:pos="840"/>
              </w:tabs>
            </w:pPr>
            <w:r>
              <w:tab/>
              <w:t>•</w:t>
            </w:r>
            <w:r>
              <w:tab/>
              <w:t>dogs, goats, pigs, sheep, per head</w:t>
            </w:r>
          </w:p>
        </w:tc>
        <w:tc>
          <w:tcPr>
            <w:tcW w:w="992" w:type="dxa"/>
            <w:vAlign w:val="bottom"/>
          </w:tcPr>
          <w:p>
            <w:pPr>
              <w:pStyle w:val="yTableNAm"/>
              <w:jc w:val="right"/>
            </w:pPr>
            <w:r>
              <w:t>0.50</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bulk, by pipeline, per kL</w:t>
            </w:r>
          </w:p>
        </w:tc>
        <w:tc>
          <w:tcPr>
            <w:tcW w:w="992" w:type="dxa"/>
            <w:vAlign w:val="bottom"/>
          </w:tcPr>
          <w:p>
            <w:pPr>
              <w:pStyle w:val="yTableNAm"/>
              <w:jc w:val="right"/>
            </w:pPr>
            <w:r>
              <w:t>10.31</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bulk, by pipeline using road tanker on jetty, per kL</w:t>
            </w:r>
          </w:p>
        </w:tc>
        <w:tc>
          <w:tcPr>
            <w:tcW w:w="992" w:type="dxa"/>
            <w:vAlign w:val="bottom"/>
          </w:tcPr>
          <w:p>
            <w:pPr>
              <w:pStyle w:val="yTableNAm"/>
              <w:jc w:val="right"/>
            </w:pPr>
            <w:r>
              <w:t>10.73</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containers (not TEU containers), empty, per t or m</w:t>
            </w:r>
            <w:r>
              <w:rPr>
                <w:vertAlign w:val="superscript"/>
              </w:rPr>
              <w:t>3</w:t>
            </w:r>
          </w:p>
        </w:tc>
        <w:tc>
          <w:tcPr>
            <w:tcW w:w="992" w:type="dxa"/>
            <w:vAlign w:val="bottom"/>
          </w:tcPr>
          <w:p>
            <w:pPr>
              <w:pStyle w:val="yTableNAm"/>
              <w:jc w:val="right"/>
            </w:pPr>
            <w:r>
              <w:t>2.42</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explosives, per t or m</w:t>
            </w:r>
            <w:r>
              <w:rPr>
                <w:vertAlign w:val="superscript"/>
              </w:rPr>
              <w:t>3</w:t>
            </w:r>
          </w:p>
        </w:tc>
        <w:tc>
          <w:tcPr>
            <w:tcW w:w="992" w:type="dxa"/>
            <w:vAlign w:val="bottom"/>
          </w:tcPr>
          <w:p>
            <w:pPr>
              <w:pStyle w:val="yTableNAm"/>
              <w:jc w:val="right"/>
            </w:pPr>
            <w:r>
              <w:t>4.18</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fertiliser, per t or m</w:t>
            </w:r>
            <w:r>
              <w:rPr>
                <w:vertAlign w:val="superscript"/>
              </w:rPr>
              <w:t>3</w:t>
            </w:r>
          </w:p>
        </w:tc>
        <w:tc>
          <w:tcPr>
            <w:tcW w:w="992" w:type="dxa"/>
            <w:vAlign w:val="bottom"/>
          </w:tcPr>
          <w:p>
            <w:pPr>
              <w:pStyle w:val="yTableNAm"/>
              <w:jc w:val="right"/>
            </w:pPr>
            <w:r>
              <w:t>3.40</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meat, chilled or frozen, per t or m</w:t>
            </w:r>
            <w:r>
              <w:rPr>
                <w:vertAlign w:val="superscript"/>
              </w:rPr>
              <w:t>3</w:t>
            </w:r>
          </w:p>
        </w:tc>
        <w:tc>
          <w:tcPr>
            <w:tcW w:w="992" w:type="dxa"/>
            <w:vAlign w:val="bottom"/>
          </w:tcPr>
          <w:p>
            <w:pPr>
              <w:pStyle w:val="yTableNAm"/>
              <w:jc w:val="right"/>
            </w:pPr>
            <w:r>
              <w:t>4.00</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ore, per t</w:t>
            </w:r>
          </w:p>
        </w:tc>
        <w:tc>
          <w:tcPr>
            <w:tcW w:w="992" w:type="dxa"/>
            <w:vAlign w:val="bottom"/>
          </w:tcPr>
          <w:p>
            <w:pPr>
              <w:pStyle w:val="yTableNAm"/>
              <w:jc w:val="right"/>
            </w:pPr>
            <w:r>
              <w:t>3.31</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products of the soil (not otherwise specified), per t or m</w:t>
            </w:r>
            <w:r>
              <w:rPr>
                <w:vertAlign w:val="superscript"/>
              </w:rPr>
              <w:t>3</w:t>
            </w:r>
          </w:p>
        </w:tc>
        <w:tc>
          <w:tcPr>
            <w:tcW w:w="992" w:type="dxa"/>
            <w:vAlign w:val="bottom"/>
          </w:tcPr>
          <w:p>
            <w:pPr>
              <w:pStyle w:val="yTableNAm"/>
              <w:jc w:val="right"/>
            </w:pPr>
            <w:r>
              <w:t>2.28</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 xml:space="preserve">vehicles — </w:t>
            </w:r>
          </w:p>
        </w:tc>
        <w:tc>
          <w:tcPr>
            <w:tcW w:w="992" w:type="dxa"/>
            <w:vAlign w:val="bottom"/>
          </w:tcPr>
          <w:p>
            <w:pPr>
              <w:pStyle w:val="yTableNAm"/>
              <w:jc w:val="right"/>
            </w:pPr>
          </w:p>
        </w:tc>
      </w:tr>
      <w:tr>
        <w:trPr>
          <w:cantSplit/>
        </w:trPr>
        <w:tc>
          <w:tcPr>
            <w:tcW w:w="567" w:type="dxa"/>
          </w:tcPr>
          <w:p>
            <w:pPr>
              <w:pStyle w:val="yTableNAm"/>
            </w:pPr>
          </w:p>
        </w:tc>
        <w:tc>
          <w:tcPr>
            <w:tcW w:w="4394" w:type="dxa"/>
          </w:tcPr>
          <w:p>
            <w:pPr>
              <w:pStyle w:val="yTableNAm"/>
              <w:tabs>
                <w:tab w:val="clear" w:pos="567"/>
                <w:tab w:val="left" w:pos="443"/>
                <w:tab w:val="left" w:pos="835"/>
              </w:tabs>
              <w:ind w:left="835" w:hanging="835"/>
            </w:pPr>
            <w:r>
              <w:tab/>
              <w:t>•</w:t>
            </w:r>
            <w:r>
              <w:tab/>
              <w:t>commercial vehicles on own wheels, per t or m</w:t>
            </w:r>
            <w:r>
              <w:rPr>
                <w:vertAlign w:val="superscript"/>
              </w:rPr>
              <w:t>3</w:t>
            </w:r>
          </w:p>
        </w:tc>
        <w:tc>
          <w:tcPr>
            <w:tcW w:w="992" w:type="dxa"/>
            <w:vAlign w:val="bottom"/>
          </w:tcPr>
          <w:p>
            <w:pPr>
              <w:pStyle w:val="yTableNAm"/>
              <w:jc w:val="right"/>
            </w:pPr>
            <w:r>
              <w:t>3.99</w:t>
            </w:r>
          </w:p>
        </w:tc>
      </w:tr>
      <w:tr>
        <w:trPr>
          <w:cantSplit/>
        </w:trPr>
        <w:tc>
          <w:tcPr>
            <w:tcW w:w="567" w:type="dxa"/>
          </w:tcPr>
          <w:p>
            <w:pPr>
              <w:pStyle w:val="yTableNAm"/>
            </w:pPr>
          </w:p>
        </w:tc>
        <w:tc>
          <w:tcPr>
            <w:tcW w:w="4394" w:type="dxa"/>
          </w:tcPr>
          <w:p>
            <w:pPr>
              <w:pStyle w:val="yTableNAm"/>
              <w:tabs>
                <w:tab w:val="clear" w:pos="567"/>
                <w:tab w:val="left" w:pos="443"/>
                <w:tab w:val="left" w:pos="793"/>
                <w:tab w:val="left" w:pos="1644"/>
              </w:tabs>
              <w:ind w:left="793" w:hanging="793"/>
            </w:pPr>
            <w:r>
              <w:tab/>
              <w:t>•</w:t>
            </w:r>
            <w:r>
              <w:tab/>
              <w:t>other vehicles on own wheels, per t or m</w:t>
            </w:r>
            <w:r>
              <w:rPr>
                <w:vertAlign w:val="superscript"/>
              </w:rPr>
              <w:t>3</w:t>
            </w:r>
          </w:p>
        </w:tc>
        <w:tc>
          <w:tcPr>
            <w:tcW w:w="992" w:type="dxa"/>
            <w:vAlign w:val="bottom"/>
          </w:tcPr>
          <w:p>
            <w:pPr>
              <w:pStyle w:val="yTableNAm"/>
              <w:jc w:val="right"/>
            </w:pPr>
            <w:r>
              <w:t>3.81</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recreational vessel, per m of the vessel’s length</w:t>
            </w:r>
          </w:p>
        </w:tc>
        <w:tc>
          <w:tcPr>
            <w:tcW w:w="992" w:type="dxa"/>
            <w:vAlign w:val="bottom"/>
          </w:tcPr>
          <w:p>
            <w:pPr>
              <w:pStyle w:val="yTableNAm"/>
              <w:jc w:val="right"/>
            </w:pPr>
            <w:r>
              <w:t>15.08</w:t>
            </w:r>
          </w:p>
        </w:tc>
      </w:tr>
      <w:tr>
        <w:trPr>
          <w:cantSplit/>
        </w:trPr>
        <w:tc>
          <w:tcPr>
            <w:tcW w:w="567" w:type="dxa"/>
            <w:tcBorders>
              <w:bottom w:val="single" w:sz="4" w:space="0" w:color="auto"/>
            </w:tcBorders>
          </w:tcPr>
          <w:p>
            <w:pPr>
              <w:pStyle w:val="yTableNAm"/>
            </w:pPr>
          </w:p>
        </w:tc>
        <w:tc>
          <w:tcPr>
            <w:tcW w:w="4394" w:type="dxa"/>
            <w:tcBorders>
              <w:bottom w:val="single" w:sz="4" w:space="0" w:color="auto"/>
            </w:tcBorders>
          </w:tcPr>
          <w:p>
            <w:pPr>
              <w:pStyle w:val="yTableNAm"/>
              <w:tabs>
                <w:tab w:val="clear" w:pos="567"/>
                <w:tab w:val="left" w:pos="415"/>
              </w:tabs>
              <w:ind w:left="415" w:hanging="415"/>
            </w:pPr>
            <w:r>
              <w:t>•</w:t>
            </w:r>
            <w:r>
              <w:tab/>
              <w:t>not otherwise specified in this item, per t or m</w:t>
            </w:r>
            <w:r>
              <w:rPr>
                <w:vertAlign w:val="superscript"/>
              </w:rPr>
              <w:t>3</w:t>
            </w:r>
          </w:p>
        </w:tc>
        <w:tc>
          <w:tcPr>
            <w:tcW w:w="992" w:type="dxa"/>
            <w:tcBorders>
              <w:bottom w:val="single" w:sz="4" w:space="0" w:color="auto"/>
            </w:tcBorders>
            <w:vAlign w:val="bottom"/>
          </w:tcPr>
          <w:p>
            <w:pPr>
              <w:pStyle w:val="yTableNAm"/>
              <w:jc w:val="right"/>
            </w:pPr>
            <w:r>
              <w:t>6.58</w:t>
            </w:r>
          </w:p>
        </w:tc>
      </w:tr>
    </w:tbl>
    <w:p>
      <w:pPr>
        <w:pStyle w:val="ySubsection"/>
      </w:pPr>
      <w:r>
        <w:tab/>
        <w:t>(4)</w:t>
      </w:r>
      <w:r>
        <w:tab/>
        <w:t>The dues to be paid under regulation 11 are set out in Table 23.3.</w:t>
      </w:r>
    </w:p>
    <w:p>
      <w:pPr>
        <w:pStyle w:val="yTHeadingNAm"/>
      </w:pPr>
      <w:r>
        <w:t>Table 23.3 (Transhipment)</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3685"/>
        <w:gridCol w:w="1701"/>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3685" w:type="dxa"/>
            <w:tcBorders>
              <w:top w:val="single" w:sz="4" w:space="0" w:color="auto"/>
              <w:bottom w:val="single" w:sz="4" w:space="0" w:color="auto"/>
            </w:tcBorders>
          </w:tcPr>
          <w:p>
            <w:pPr>
              <w:pStyle w:val="yTableNAm"/>
              <w:rPr>
                <w:b/>
              </w:rPr>
            </w:pPr>
            <w:r>
              <w:rPr>
                <w:b/>
              </w:rPr>
              <w:t>Goods</w:t>
            </w:r>
          </w:p>
        </w:tc>
        <w:tc>
          <w:tcPr>
            <w:tcW w:w="1701" w:type="dxa"/>
            <w:tcBorders>
              <w:top w:val="single" w:sz="4" w:space="0" w:color="auto"/>
              <w:bottom w:val="single" w:sz="4" w:space="0" w:color="auto"/>
            </w:tcBorders>
          </w:tcPr>
          <w:p>
            <w:pPr>
              <w:pStyle w:val="yTableNAm"/>
              <w:jc w:val="center"/>
              <w:rPr>
                <w:b/>
              </w:rPr>
            </w:pPr>
            <w:r>
              <w:rPr>
                <w:b/>
              </w:rPr>
              <w:t>Dues</w:t>
            </w:r>
          </w:p>
        </w:tc>
      </w:tr>
      <w:tr>
        <w:trPr>
          <w:cantSplit/>
        </w:trPr>
        <w:tc>
          <w:tcPr>
            <w:tcW w:w="567" w:type="dxa"/>
          </w:tcPr>
          <w:p>
            <w:pPr>
              <w:pStyle w:val="yTableNAm"/>
            </w:pPr>
            <w:r>
              <w:t>1.</w:t>
            </w:r>
          </w:p>
        </w:tc>
        <w:tc>
          <w:tcPr>
            <w:tcW w:w="3685" w:type="dxa"/>
          </w:tcPr>
          <w:p>
            <w:pPr>
              <w:pStyle w:val="yTableNAm"/>
            </w:pPr>
            <w:r>
              <w:t xml:space="preserve">For cargo — </w:t>
            </w:r>
          </w:p>
        </w:tc>
        <w:tc>
          <w:tcPr>
            <w:tcW w:w="1701" w:type="dxa"/>
          </w:tcPr>
          <w:p>
            <w:pPr>
              <w:pStyle w:val="yTableNAm"/>
            </w:pPr>
          </w:p>
        </w:tc>
      </w:tr>
      <w:tr>
        <w:trPr>
          <w:cantSplit/>
        </w:trPr>
        <w:tc>
          <w:tcPr>
            <w:tcW w:w="567" w:type="dxa"/>
          </w:tcPr>
          <w:p>
            <w:pPr>
              <w:pStyle w:val="yTableNAm"/>
            </w:pPr>
          </w:p>
        </w:tc>
        <w:tc>
          <w:tcPr>
            <w:tcW w:w="3685" w:type="dxa"/>
          </w:tcPr>
          <w:p>
            <w:pPr>
              <w:pStyle w:val="yTableNAm"/>
              <w:tabs>
                <w:tab w:val="clear" w:pos="567"/>
                <w:tab w:val="left" w:pos="415"/>
              </w:tabs>
              <w:ind w:left="415" w:hanging="415"/>
            </w:pPr>
            <w:r>
              <w:t>•</w:t>
            </w:r>
            <w:r>
              <w:tab/>
              <w:t>loaded over the side of a vessel to another vessel</w:t>
            </w:r>
          </w:p>
        </w:tc>
        <w:tc>
          <w:tcPr>
            <w:tcW w:w="1701" w:type="dxa"/>
          </w:tcPr>
          <w:p>
            <w:pPr>
              <w:pStyle w:val="yTableNAm"/>
            </w:pPr>
            <w:r>
              <w:t>50% of wharfage for the cargo</w:t>
            </w:r>
          </w:p>
        </w:tc>
      </w:tr>
      <w:tr>
        <w:trPr>
          <w:cantSplit/>
        </w:trPr>
        <w:tc>
          <w:tcPr>
            <w:tcW w:w="567" w:type="dxa"/>
            <w:tcBorders>
              <w:bottom w:val="single" w:sz="4" w:space="0" w:color="auto"/>
            </w:tcBorders>
          </w:tcPr>
          <w:p>
            <w:pPr>
              <w:pStyle w:val="yTableNAm"/>
            </w:pPr>
          </w:p>
        </w:tc>
        <w:tc>
          <w:tcPr>
            <w:tcW w:w="3685" w:type="dxa"/>
            <w:tcBorders>
              <w:bottom w:val="single" w:sz="4" w:space="0" w:color="auto"/>
            </w:tcBorders>
          </w:tcPr>
          <w:p>
            <w:pPr>
              <w:pStyle w:val="yTableNAm"/>
              <w:tabs>
                <w:tab w:val="clear" w:pos="567"/>
                <w:tab w:val="left" w:pos="415"/>
              </w:tabs>
              <w:ind w:left="415" w:hanging="415"/>
            </w:pPr>
            <w:r>
              <w:t>•</w:t>
            </w:r>
            <w:r>
              <w:tab/>
              <w:t>landed on jetty</w:t>
            </w:r>
          </w:p>
        </w:tc>
        <w:tc>
          <w:tcPr>
            <w:tcW w:w="1701" w:type="dxa"/>
            <w:tcBorders>
              <w:bottom w:val="single" w:sz="4" w:space="0" w:color="auto"/>
            </w:tcBorders>
          </w:tcPr>
          <w:p>
            <w:pPr>
              <w:pStyle w:val="yTableNAm"/>
            </w:pPr>
            <w:r>
              <w:t>100% of wharfage for the cargo</w:t>
            </w:r>
          </w:p>
        </w:tc>
      </w:tr>
    </w:tbl>
    <w:p>
      <w:pPr>
        <w:pStyle w:val="ySubsection"/>
      </w:pPr>
      <w:r>
        <w:tab/>
        <w:t>(5)</w:t>
      </w:r>
      <w:r>
        <w:tab/>
        <w:t>The charges to be paid under regulation 25 for storage are set out in Table 23.4.</w:t>
      </w:r>
    </w:p>
    <w:p>
      <w:pPr>
        <w:pStyle w:val="yTHeadingNAm"/>
        <w:keepLines/>
        <w:widowControl w:val="0"/>
      </w:pPr>
      <w:r>
        <w:t>Table 23.4 (Storage)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keepNext/>
              <w:keepLines/>
              <w:widowControl w:val="0"/>
              <w:rPr>
                <w:b/>
              </w:rPr>
            </w:pPr>
            <w:r>
              <w:rPr>
                <w:b/>
              </w:rPr>
              <w:t>Item</w:t>
            </w:r>
          </w:p>
        </w:tc>
        <w:tc>
          <w:tcPr>
            <w:tcW w:w="4394" w:type="dxa"/>
            <w:tcBorders>
              <w:top w:val="single" w:sz="4" w:space="0" w:color="auto"/>
              <w:bottom w:val="single" w:sz="4" w:space="0" w:color="auto"/>
            </w:tcBorders>
          </w:tcPr>
          <w:p>
            <w:pPr>
              <w:pStyle w:val="yTableNAm"/>
              <w:keepNext/>
              <w:keepLines/>
              <w:widowControl w:val="0"/>
              <w:rPr>
                <w:b/>
              </w:rPr>
            </w:pPr>
            <w:r>
              <w:rPr>
                <w:b/>
              </w:rPr>
              <w:t>Goods</w:t>
            </w:r>
          </w:p>
        </w:tc>
        <w:tc>
          <w:tcPr>
            <w:tcW w:w="992" w:type="dxa"/>
            <w:tcBorders>
              <w:top w:val="single" w:sz="4" w:space="0" w:color="auto"/>
              <w:bottom w:val="single" w:sz="4" w:space="0" w:color="auto"/>
            </w:tcBorders>
          </w:tcPr>
          <w:p>
            <w:pPr>
              <w:pStyle w:val="yTableNAm"/>
              <w:keepNext/>
              <w:keepLines/>
              <w:widowControl w:val="0"/>
              <w:jc w:val="center"/>
              <w:rPr>
                <w:b/>
              </w:rPr>
            </w:pPr>
            <w:r>
              <w:rPr>
                <w:b/>
              </w:rPr>
              <w:t>$</w:t>
            </w:r>
          </w:p>
        </w:tc>
      </w:tr>
      <w:tr>
        <w:trPr>
          <w:cantSplit/>
        </w:trPr>
        <w:tc>
          <w:tcPr>
            <w:tcW w:w="567" w:type="dxa"/>
          </w:tcPr>
          <w:p>
            <w:pPr>
              <w:pStyle w:val="yTableNAm"/>
              <w:keepNext/>
              <w:keepLines/>
              <w:widowControl w:val="0"/>
            </w:pPr>
            <w:r>
              <w:t>1.</w:t>
            </w:r>
          </w:p>
        </w:tc>
        <w:tc>
          <w:tcPr>
            <w:tcW w:w="4394" w:type="dxa"/>
          </w:tcPr>
          <w:p>
            <w:pPr>
              <w:pStyle w:val="yTableNAm"/>
              <w:keepNext/>
              <w:keepLines/>
              <w:widowControl w:val="0"/>
            </w:pPr>
            <w:r>
              <w:t>Goods in transit not removed from goods shed within 3 days after being received, per t, per day</w:t>
            </w:r>
          </w:p>
        </w:tc>
        <w:tc>
          <w:tcPr>
            <w:tcW w:w="992" w:type="dxa"/>
            <w:vAlign w:val="bottom"/>
          </w:tcPr>
          <w:p>
            <w:pPr>
              <w:pStyle w:val="yTableNAm"/>
              <w:keepNext/>
              <w:keepLines/>
              <w:widowControl w:val="0"/>
              <w:tabs>
                <w:tab w:val="clear" w:pos="567"/>
              </w:tabs>
              <w:spacing w:before="0"/>
              <w:jc w:val="right"/>
              <w:rPr>
                <w:bCs/>
              </w:rPr>
            </w:pPr>
            <w:r>
              <w:t>0.66</w:t>
            </w:r>
          </w:p>
        </w:tc>
      </w:tr>
      <w:tr>
        <w:trPr>
          <w:cantSplit/>
        </w:trPr>
        <w:tc>
          <w:tcPr>
            <w:tcW w:w="567" w:type="dxa"/>
          </w:tcPr>
          <w:p>
            <w:pPr>
              <w:pStyle w:val="yTableNAm"/>
            </w:pPr>
            <w:r>
              <w:t>2.</w:t>
            </w:r>
          </w:p>
        </w:tc>
        <w:tc>
          <w:tcPr>
            <w:tcW w:w="4394" w:type="dxa"/>
          </w:tcPr>
          <w:p>
            <w:pPr>
              <w:pStyle w:val="yTableNAm"/>
            </w:pPr>
            <w:r>
              <w:t>Goods being transhipped —</w:t>
            </w:r>
          </w:p>
        </w:tc>
        <w:tc>
          <w:tcPr>
            <w:tcW w:w="992" w:type="dxa"/>
            <w:vAlign w:val="bottom"/>
          </w:tcPr>
          <w:p>
            <w:pPr>
              <w:pStyle w:val="yTableNAm"/>
              <w:keepNext/>
              <w:tabs>
                <w:tab w:val="clear" w:pos="567"/>
              </w:tabs>
              <w:spacing w:before="0"/>
              <w:jc w:val="right"/>
              <w:rPr>
                <w:bCs/>
              </w:rPr>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first 2 weeks, per t or m</w:t>
            </w:r>
            <w:r>
              <w:rPr>
                <w:vertAlign w:val="superscript"/>
              </w:rPr>
              <w:t>3</w:t>
            </w:r>
            <w:r>
              <w:t>, per week</w:t>
            </w:r>
          </w:p>
        </w:tc>
        <w:tc>
          <w:tcPr>
            <w:tcW w:w="992" w:type="dxa"/>
            <w:vAlign w:val="bottom"/>
          </w:tcPr>
          <w:p>
            <w:pPr>
              <w:pStyle w:val="yTableNAm"/>
              <w:keepNext/>
              <w:tabs>
                <w:tab w:val="clear" w:pos="567"/>
              </w:tabs>
              <w:spacing w:before="0"/>
              <w:jc w:val="right"/>
              <w:rPr>
                <w:bCs/>
              </w:rPr>
            </w:pPr>
            <w:r>
              <w:rPr>
                <w:bCs/>
              </w:rPr>
              <w:t>0.66</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after the first 2 weeks, per t or m</w:t>
            </w:r>
            <w:r>
              <w:rPr>
                <w:vertAlign w:val="superscript"/>
              </w:rPr>
              <w:t>3</w:t>
            </w:r>
            <w:r>
              <w:t>, per day</w:t>
            </w:r>
          </w:p>
        </w:tc>
        <w:tc>
          <w:tcPr>
            <w:tcW w:w="992" w:type="dxa"/>
            <w:vAlign w:val="bottom"/>
          </w:tcPr>
          <w:p>
            <w:pPr>
              <w:pStyle w:val="yTableNAm"/>
              <w:keepNext/>
              <w:tabs>
                <w:tab w:val="clear" w:pos="567"/>
              </w:tabs>
              <w:spacing w:before="0"/>
              <w:jc w:val="right"/>
              <w:rPr>
                <w:bCs/>
              </w:rPr>
            </w:pPr>
            <w:r>
              <w:rPr>
                <w:bCs/>
              </w:rPr>
              <w:t>0.66</w:t>
            </w:r>
          </w:p>
        </w:tc>
      </w:tr>
      <w:tr>
        <w:trPr>
          <w:cantSplit/>
        </w:trPr>
        <w:tc>
          <w:tcPr>
            <w:tcW w:w="567" w:type="dxa"/>
            <w:tcBorders>
              <w:bottom w:val="single" w:sz="4" w:space="0" w:color="auto"/>
            </w:tcBorders>
          </w:tcPr>
          <w:p>
            <w:pPr>
              <w:pStyle w:val="yTableNAm"/>
            </w:pPr>
            <w:r>
              <w:t>3.</w:t>
            </w:r>
          </w:p>
        </w:tc>
        <w:tc>
          <w:tcPr>
            <w:tcW w:w="4394" w:type="dxa"/>
            <w:tcBorders>
              <w:bottom w:val="single" w:sz="4" w:space="0" w:color="auto"/>
            </w:tcBorders>
          </w:tcPr>
          <w:p>
            <w:pPr>
              <w:pStyle w:val="yTableNAm"/>
            </w:pPr>
            <w:r>
              <w:t>Goods at container park, Wyndham, per loaded container</w:t>
            </w:r>
          </w:p>
        </w:tc>
        <w:tc>
          <w:tcPr>
            <w:tcW w:w="992" w:type="dxa"/>
            <w:tcBorders>
              <w:bottom w:val="single" w:sz="4" w:space="0" w:color="auto"/>
            </w:tcBorders>
            <w:vAlign w:val="bottom"/>
          </w:tcPr>
          <w:p>
            <w:pPr>
              <w:pStyle w:val="yTableNAm"/>
              <w:keepNext/>
              <w:tabs>
                <w:tab w:val="clear" w:pos="567"/>
              </w:tabs>
              <w:spacing w:before="0"/>
              <w:jc w:val="right"/>
              <w:rPr>
                <w:bCs/>
              </w:rPr>
            </w:pPr>
            <w:r>
              <w:rPr>
                <w:bCs/>
              </w:rPr>
              <w:t>36.08</w:t>
            </w:r>
          </w:p>
        </w:tc>
      </w:tr>
    </w:tbl>
    <w:p>
      <w:pPr>
        <w:pStyle w:val="ySubsection"/>
      </w:pPr>
      <w:r>
        <w:tab/>
        <w:t>(6)</w:t>
      </w:r>
      <w:r>
        <w:tab/>
        <w:t>The charges to be paid under regulation 96 are set out in Table 23.5.</w:t>
      </w:r>
    </w:p>
    <w:p>
      <w:pPr>
        <w:pStyle w:val="yTHeadingNAm"/>
      </w:pPr>
      <w:r>
        <w:t>Table 23.5 (Slip services)</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4" w:type="dxa"/>
            <w:tcBorders>
              <w:top w:val="single" w:sz="4" w:space="0" w:color="auto"/>
              <w:bottom w:val="single" w:sz="4" w:space="0" w:color="auto"/>
            </w:tcBorders>
          </w:tcPr>
          <w:p>
            <w:pPr>
              <w:pStyle w:val="yTableNAm"/>
              <w:rPr>
                <w:b/>
              </w:rPr>
            </w:pPr>
            <w:r>
              <w:rPr>
                <w:b/>
              </w:rPr>
              <w:t>Service</w:t>
            </w:r>
          </w:p>
        </w:tc>
        <w:tc>
          <w:tcPr>
            <w:tcW w:w="992"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4" w:type="dxa"/>
          </w:tcPr>
          <w:p>
            <w:pPr>
              <w:pStyle w:val="yTableNAm"/>
            </w:pPr>
            <w:r>
              <w:t xml:space="preserve">Use of slip, per day, for a vessel that is — </w:t>
            </w:r>
          </w:p>
        </w:tc>
        <w:tc>
          <w:tcPr>
            <w:tcW w:w="992" w:type="dxa"/>
          </w:tcPr>
          <w:p>
            <w:pPr>
              <w:pStyle w:val="yTableNAm"/>
              <w:jc w:val="right"/>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not over 15 m long</w:t>
            </w:r>
          </w:p>
        </w:tc>
        <w:tc>
          <w:tcPr>
            <w:tcW w:w="992" w:type="dxa"/>
            <w:vAlign w:val="bottom"/>
          </w:tcPr>
          <w:p>
            <w:pPr>
              <w:pStyle w:val="yTableNAm"/>
              <w:jc w:val="right"/>
              <w:rPr>
                <w:szCs w:val="22"/>
              </w:rPr>
            </w:pPr>
            <w:r>
              <w:rPr>
                <w:szCs w:val="22"/>
              </w:rPr>
              <w:t>138.95</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over 15 m long</w:t>
            </w:r>
          </w:p>
        </w:tc>
        <w:tc>
          <w:tcPr>
            <w:tcW w:w="992" w:type="dxa"/>
            <w:vAlign w:val="bottom"/>
          </w:tcPr>
          <w:p>
            <w:pPr>
              <w:pStyle w:val="yTableNAm"/>
              <w:jc w:val="right"/>
              <w:rPr>
                <w:szCs w:val="22"/>
              </w:rPr>
            </w:pPr>
            <w:r>
              <w:rPr>
                <w:szCs w:val="22"/>
              </w:rPr>
              <w:t>202.40</w:t>
            </w:r>
          </w:p>
        </w:tc>
      </w:tr>
      <w:tr>
        <w:trPr>
          <w:cantSplit/>
        </w:trPr>
        <w:tc>
          <w:tcPr>
            <w:tcW w:w="567" w:type="dxa"/>
            <w:tcBorders>
              <w:bottom w:val="single" w:sz="4" w:space="0" w:color="auto"/>
            </w:tcBorders>
          </w:tcPr>
          <w:p>
            <w:pPr>
              <w:pStyle w:val="yTableNAm"/>
            </w:pPr>
            <w:r>
              <w:t>2.</w:t>
            </w:r>
          </w:p>
        </w:tc>
        <w:tc>
          <w:tcPr>
            <w:tcW w:w="4394" w:type="dxa"/>
            <w:tcBorders>
              <w:bottom w:val="single" w:sz="4" w:space="0" w:color="auto"/>
            </w:tcBorders>
          </w:tcPr>
          <w:p>
            <w:pPr>
              <w:pStyle w:val="yTableNAm"/>
            </w:pPr>
            <w:r>
              <w:t>Haulage, for each haul up or down</w:t>
            </w:r>
          </w:p>
        </w:tc>
        <w:tc>
          <w:tcPr>
            <w:tcW w:w="992" w:type="dxa"/>
            <w:tcBorders>
              <w:bottom w:val="single" w:sz="4" w:space="0" w:color="auto"/>
            </w:tcBorders>
            <w:vAlign w:val="bottom"/>
          </w:tcPr>
          <w:p>
            <w:pPr>
              <w:pStyle w:val="yTableNAm"/>
              <w:jc w:val="right"/>
              <w:rPr>
                <w:szCs w:val="22"/>
              </w:rPr>
            </w:pPr>
            <w:r>
              <w:rPr>
                <w:szCs w:val="22"/>
              </w:rPr>
              <w:t>169.79</w:t>
            </w:r>
          </w:p>
        </w:tc>
      </w:tr>
    </w:tbl>
    <w:p>
      <w:pPr>
        <w:pStyle w:val="ySubsection"/>
        <w:keepNext/>
        <w:keepLines/>
      </w:pPr>
      <w:r>
        <w:tab/>
        <w:t>(7)</w:t>
      </w:r>
      <w:r>
        <w:tab/>
        <w:t>The fees to be paid under regulation 105I are set out in Table 23.6.</w:t>
      </w:r>
    </w:p>
    <w:p>
      <w:pPr>
        <w:pStyle w:val="yTHeadingNAm"/>
        <w:keepLines/>
      </w:pPr>
      <w:r>
        <w:t>Table 23.6 (Weighbridge use)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keepNext/>
              <w:keepLines/>
              <w:rPr>
                <w:b/>
              </w:rPr>
            </w:pPr>
            <w:r>
              <w:rPr>
                <w:b/>
              </w:rPr>
              <w:t>Item</w:t>
            </w:r>
          </w:p>
        </w:tc>
        <w:tc>
          <w:tcPr>
            <w:tcW w:w="4394" w:type="dxa"/>
            <w:tcBorders>
              <w:top w:val="single" w:sz="4" w:space="0" w:color="auto"/>
              <w:bottom w:val="single" w:sz="4" w:space="0" w:color="auto"/>
            </w:tcBorders>
          </w:tcPr>
          <w:p>
            <w:pPr>
              <w:pStyle w:val="yTableNAm"/>
              <w:keepNext/>
              <w:keepLines/>
              <w:rPr>
                <w:b/>
              </w:rPr>
            </w:pPr>
            <w:r>
              <w:rPr>
                <w:b/>
              </w:rPr>
              <w:t>Service</w:t>
            </w:r>
          </w:p>
        </w:tc>
        <w:tc>
          <w:tcPr>
            <w:tcW w:w="992" w:type="dxa"/>
            <w:tcBorders>
              <w:top w:val="single" w:sz="4" w:space="0" w:color="auto"/>
              <w:bottom w:val="single" w:sz="4" w:space="0" w:color="auto"/>
            </w:tcBorders>
          </w:tcPr>
          <w:p>
            <w:pPr>
              <w:pStyle w:val="yTableNAm"/>
              <w:keepNext/>
              <w:keepLines/>
              <w:jc w:val="center"/>
              <w:rPr>
                <w:b/>
              </w:rPr>
            </w:pPr>
            <w:r>
              <w:rPr>
                <w:b/>
              </w:rPr>
              <w:t>$</w:t>
            </w:r>
          </w:p>
        </w:tc>
      </w:tr>
      <w:tr>
        <w:trPr>
          <w:cantSplit/>
        </w:trPr>
        <w:tc>
          <w:tcPr>
            <w:tcW w:w="567" w:type="dxa"/>
          </w:tcPr>
          <w:p>
            <w:pPr>
              <w:pStyle w:val="yTableNAm"/>
            </w:pPr>
            <w:r>
              <w:t>1.</w:t>
            </w:r>
          </w:p>
        </w:tc>
        <w:tc>
          <w:tcPr>
            <w:tcW w:w="4394" w:type="dxa"/>
          </w:tcPr>
          <w:p>
            <w:pPr>
              <w:pStyle w:val="yTableNAm"/>
            </w:pPr>
            <w:r>
              <w:t xml:space="preserve">Use of weighbridge — </w:t>
            </w:r>
          </w:p>
        </w:tc>
        <w:tc>
          <w:tcPr>
            <w:tcW w:w="992" w:type="dxa"/>
          </w:tcPr>
          <w:p>
            <w:pPr>
              <w:pStyle w:val="yTableNAm"/>
              <w:jc w:val="right"/>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not over 10 t</w:t>
            </w:r>
          </w:p>
        </w:tc>
        <w:tc>
          <w:tcPr>
            <w:tcW w:w="992" w:type="dxa"/>
            <w:vAlign w:val="bottom"/>
          </w:tcPr>
          <w:p>
            <w:pPr>
              <w:pStyle w:val="yTableNAm"/>
              <w:jc w:val="right"/>
              <w:rPr>
                <w:szCs w:val="22"/>
              </w:rPr>
            </w:pPr>
            <w:r>
              <w:rPr>
                <w:szCs w:val="22"/>
              </w:rPr>
              <w:t>12.94</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over 10 t but not over 30 t</w:t>
            </w:r>
          </w:p>
        </w:tc>
        <w:tc>
          <w:tcPr>
            <w:tcW w:w="992" w:type="dxa"/>
            <w:vAlign w:val="bottom"/>
          </w:tcPr>
          <w:p>
            <w:pPr>
              <w:pStyle w:val="yTableNAm"/>
              <w:jc w:val="right"/>
              <w:rPr>
                <w:szCs w:val="22"/>
              </w:rPr>
            </w:pPr>
            <w:r>
              <w:rPr>
                <w:szCs w:val="22"/>
              </w:rPr>
              <w:t>14.72</w:t>
            </w:r>
          </w:p>
        </w:tc>
      </w:tr>
      <w:tr>
        <w:trPr>
          <w:cantSplit/>
        </w:trPr>
        <w:tc>
          <w:tcPr>
            <w:tcW w:w="567" w:type="dxa"/>
            <w:tcBorders>
              <w:bottom w:val="single" w:sz="4" w:space="0" w:color="auto"/>
            </w:tcBorders>
          </w:tcPr>
          <w:p>
            <w:pPr>
              <w:pStyle w:val="yTableNAm"/>
            </w:pPr>
          </w:p>
        </w:tc>
        <w:tc>
          <w:tcPr>
            <w:tcW w:w="4394" w:type="dxa"/>
            <w:tcBorders>
              <w:bottom w:val="single" w:sz="4" w:space="0" w:color="auto"/>
            </w:tcBorders>
          </w:tcPr>
          <w:p>
            <w:pPr>
              <w:pStyle w:val="yTableNAm"/>
              <w:tabs>
                <w:tab w:val="clear" w:pos="567"/>
                <w:tab w:val="left" w:pos="415"/>
              </w:tabs>
              <w:ind w:left="415" w:hanging="415"/>
            </w:pPr>
            <w:r>
              <w:t>•</w:t>
            </w:r>
            <w:r>
              <w:tab/>
              <w:t>for over 30 t</w:t>
            </w:r>
          </w:p>
        </w:tc>
        <w:tc>
          <w:tcPr>
            <w:tcW w:w="992" w:type="dxa"/>
            <w:tcBorders>
              <w:bottom w:val="single" w:sz="4" w:space="0" w:color="auto"/>
            </w:tcBorders>
            <w:vAlign w:val="bottom"/>
          </w:tcPr>
          <w:p>
            <w:pPr>
              <w:pStyle w:val="yTableNAm"/>
              <w:jc w:val="right"/>
              <w:rPr>
                <w:szCs w:val="22"/>
              </w:rPr>
            </w:pPr>
            <w:r>
              <w:rPr>
                <w:szCs w:val="22"/>
              </w:rPr>
              <w:t>18.38</w:t>
            </w:r>
          </w:p>
        </w:tc>
      </w:tr>
    </w:tbl>
    <w:p>
      <w:pPr>
        <w:pStyle w:val="ySubsection"/>
      </w:pPr>
      <w:r>
        <w:tab/>
        <w:t>(8)</w:t>
      </w:r>
      <w:r>
        <w:tab/>
        <w:t xml:space="preserve">The charge to be paid for each kilolitre of water supplied to a vessel is the relevant amount prescribed in the </w:t>
      </w:r>
      <w:r>
        <w:rPr>
          <w:i/>
          <w:iCs/>
        </w:rPr>
        <w:t>Water Agencies (Charges) By</w:t>
      </w:r>
      <w:r>
        <w:rPr>
          <w:i/>
          <w:iCs/>
        </w:rPr>
        <w:noBreakHyphen/>
        <w:t>laws 1987</w:t>
      </w:r>
      <w:r>
        <w:t xml:space="preserve"> Schedule 1 item 31(b).</w:t>
      </w:r>
    </w:p>
    <w:p>
      <w:pPr>
        <w:pStyle w:val="ySubsection"/>
      </w:pPr>
      <w:r>
        <w:tab/>
        <w:t>(9)</w:t>
      </w:r>
      <w:r>
        <w:tab/>
        <w:t>The charge for lighting, per hour or part of an hour, is set out in Table 23.7.</w:t>
      </w:r>
    </w:p>
    <w:p>
      <w:pPr>
        <w:pStyle w:val="yTHeadingNAm"/>
      </w:pPr>
      <w:r>
        <w:t>Table 23.7 (Lighting)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4" w:type="dxa"/>
            <w:tcBorders>
              <w:top w:val="single" w:sz="4" w:space="0" w:color="auto"/>
              <w:bottom w:val="single" w:sz="4" w:space="0" w:color="auto"/>
            </w:tcBorders>
          </w:tcPr>
          <w:p>
            <w:pPr>
              <w:pStyle w:val="yTableNAm"/>
              <w:rPr>
                <w:b/>
              </w:rPr>
            </w:pPr>
            <w:r>
              <w:rPr>
                <w:b/>
              </w:rPr>
              <w:t>Service</w:t>
            </w:r>
          </w:p>
        </w:tc>
        <w:tc>
          <w:tcPr>
            <w:tcW w:w="992"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4" w:type="dxa"/>
          </w:tcPr>
          <w:p>
            <w:pPr>
              <w:pStyle w:val="yTableNAm"/>
            </w:pPr>
            <w:r>
              <w:t>For jetty, shed and yard</w:t>
            </w:r>
          </w:p>
        </w:tc>
        <w:tc>
          <w:tcPr>
            <w:tcW w:w="992" w:type="dxa"/>
            <w:vAlign w:val="bottom"/>
          </w:tcPr>
          <w:p>
            <w:pPr>
              <w:pStyle w:val="yTableNAm"/>
              <w:jc w:val="right"/>
              <w:rPr>
                <w:szCs w:val="22"/>
              </w:rPr>
            </w:pPr>
            <w:r>
              <w:rPr>
                <w:szCs w:val="22"/>
              </w:rPr>
              <w:t>31.20</w:t>
            </w:r>
          </w:p>
        </w:tc>
      </w:tr>
      <w:tr>
        <w:trPr>
          <w:cantSplit/>
        </w:trPr>
        <w:tc>
          <w:tcPr>
            <w:tcW w:w="567" w:type="dxa"/>
          </w:tcPr>
          <w:p>
            <w:pPr>
              <w:pStyle w:val="yTableNAm"/>
            </w:pPr>
            <w:r>
              <w:t>2.</w:t>
            </w:r>
          </w:p>
        </w:tc>
        <w:tc>
          <w:tcPr>
            <w:tcW w:w="4394" w:type="dxa"/>
          </w:tcPr>
          <w:p>
            <w:pPr>
              <w:pStyle w:val="yTableNAm"/>
            </w:pPr>
            <w:r>
              <w:t>For jetty only</w:t>
            </w:r>
          </w:p>
        </w:tc>
        <w:tc>
          <w:tcPr>
            <w:tcW w:w="992" w:type="dxa"/>
            <w:vAlign w:val="bottom"/>
          </w:tcPr>
          <w:p>
            <w:pPr>
              <w:pStyle w:val="yTableNAm"/>
              <w:jc w:val="right"/>
              <w:rPr>
                <w:szCs w:val="22"/>
              </w:rPr>
            </w:pPr>
            <w:r>
              <w:rPr>
                <w:szCs w:val="22"/>
              </w:rPr>
              <w:t>10.02</w:t>
            </w:r>
          </w:p>
        </w:tc>
      </w:tr>
      <w:tr>
        <w:trPr>
          <w:cantSplit/>
        </w:trPr>
        <w:tc>
          <w:tcPr>
            <w:tcW w:w="567" w:type="dxa"/>
            <w:tcBorders>
              <w:bottom w:val="single" w:sz="4" w:space="0" w:color="auto"/>
            </w:tcBorders>
          </w:tcPr>
          <w:p>
            <w:pPr>
              <w:pStyle w:val="yTableNAm"/>
            </w:pPr>
            <w:r>
              <w:t>3.</w:t>
            </w:r>
          </w:p>
        </w:tc>
        <w:tc>
          <w:tcPr>
            <w:tcW w:w="4394" w:type="dxa"/>
            <w:tcBorders>
              <w:bottom w:val="single" w:sz="4" w:space="0" w:color="auto"/>
            </w:tcBorders>
          </w:tcPr>
          <w:p>
            <w:pPr>
              <w:pStyle w:val="yTableNAm"/>
            </w:pPr>
            <w:r>
              <w:t>For reduced lighting</w:t>
            </w:r>
          </w:p>
        </w:tc>
        <w:tc>
          <w:tcPr>
            <w:tcW w:w="992" w:type="dxa"/>
            <w:tcBorders>
              <w:bottom w:val="single" w:sz="4" w:space="0" w:color="auto"/>
            </w:tcBorders>
            <w:vAlign w:val="bottom"/>
          </w:tcPr>
          <w:p>
            <w:pPr>
              <w:pStyle w:val="yTableNAm"/>
              <w:jc w:val="right"/>
              <w:rPr>
                <w:szCs w:val="22"/>
              </w:rPr>
            </w:pPr>
            <w:r>
              <w:rPr>
                <w:szCs w:val="22"/>
              </w:rPr>
              <w:t>3.31</w:t>
            </w:r>
          </w:p>
        </w:tc>
      </w:tr>
    </w:tbl>
    <w:p>
      <w:pPr>
        <w:pStyle w:val="yFootnotesection"/>
      </w:pPr>
      <w:r>
        <w:tab/>
        <w:t>[Clause 23 inserted in Gazette 28 Jun 2013 p. 2871</w:t>
      </w:r>
      <w:r>
        <w:noBreakHyphen/>
        <w:t>5.]</w:t>
      </w:r>
    </w:p>
    <w:p>
      <w:pPr>
        <w:pStyle w:val="yHeading3"/>
        <w:keepLines/>
      </w:pPr>
      <w:bookmarkStart w:id="165" w:name="_Toc375231180"/>
      <w:r>
        <w:rPr>
          <w:rStyle w:val="CharSDivNo"/>
        </w:rPr>
        <w:t>Division 2</w:t>
      </w:r>
      <w:r>
        <w:rPr>
          <w:b w:val="0"/>
        </w:rPr>
        <w:t> — </w:t>
      </w:r>
      <w:r>
        <w:rPr>
          <w:rStyle w:val="CharSDivText"/>
        </w:rPr>
        <w:t>Charges, dues and fees not specified in Division 1</w:t>
      </w:r>
      <w:bookmarkEnd w:id="165"/>
    </w:p>
    <w:p>
      <w:pPr>
        <w:pStyle w:val="yFootnoteheading"/>
        <w:keepNext/>
        <w:keepLines/>
      </w:pPr>
      <w:r>
        <w:tab/>
        <w:t>[Heading inserted in Gazette 28 Jun 2013 p. 2875.]</w:t>
      </w:r>
    </w:p>
    <w:p>
      <w:pPr>
        <w:pStyle w:val="yHeading5"/>
      </w:pPr>
      <w:bookmarkStart w:id="166" w:name="_Toc375231181"/>
      <w:r>
        <w:rPr>
          <w:rStyle w:val="CharSClsNo"/>
        </w:rPr>
        <w:t>24</w:t>
      </w:r>
      <w:r>
        <w:t>.</w:t>
      </w:r>
      <w:r>
        <w:rPr>
          <w:b w:val="0"/>
        </w:rPr>
        <w:tab/>
      </w:r>
      <w:r>
        <w:t>Wharfage (r. 10A)</w:t>
      </w:r>
      <w:bookmarkEnd w:id="166"/>
    </w:p>
    <w:p>
      <w:pPr>
        <w:pStyle w:val="ySubsection"/>
        <w:keepNext/>
        <w:keepLines/>
      </w:pPr>
      <w:r>
        <w:tab/>
      </w:r>
      <w:r>
        <w:tab/>
        <w:t>The dues and charges to be paid under regulation 10A at a place for which no such dues or charges are prescribed in Division 1 are set out in Table 24.1.</w:t>
      </w:r>
    </w:p>
    <w:p>
      <w:pPr>
        <w:pStyle w:val="yTHeadingNAm"/>
        <w:keepLines/>
      </w:pPr>
      <w:r>
        <w:t>Table 24.1 (Wharfage)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87"/>
        <w:gridCol w:w="999"/>
      </w:tblGrid>
      <w:tr>
        <w:trPr>
          <w:cantSplit/>
          <w:tblHeader/>
        </w:trPr>
        <w:tc>
          <w:tcPr>
            <w:tcW w:w="567" w:type="dxa"/>
            <w:tcBorders>
              <w:top w:val="single" w:sz="4" w:space="0" w:color="auto"/>
              <w:bottom w:val="single" w:sz="4" w:space="0" w:color="auto"/>
            </w:tcBorders>
          </w:tcPr>
          <w:p>
            <w:pPr>
              <w:pStyle w:val="yTableNAm"/>
              <w:keepNext/>
              <w:keepLines/>
              <w:rPr>
                <w:b/>
              </w:rPr>
            </w:pPr>
            <w:r>
              <w:rPr>
                <w:b/>
              </w:rPr>
              <w:t>Item</w:t>
            </w:r>
          </w:p>
        </w:tc>
        <w:tc>
          <w:tcPr>
            <w:tcW w:w="4387" w:type="dxa"/>
            <w:tcBorders>
              <w:top w:val="single" w:sz="4" w:space="0" w:color="auto"/>
              <w:bottom w:val="single" w:sz="4" w:space="0" w:color="auto"/>
            </w:tcBorders>
          </w:tcPr>
          <w:p>
            <w:pPr>
              <w:pStyle w:val="yTableNAm"/>
              <w:keepNext/>
              <w:keepLines/>
              <w:rPr>
                <w:b/>
              </w:rPr>
            </w:pPr>
            <w:r>
              <w:rPr>
                <w:b/>
              </w:rPr>
              <w:t>Service</w:t>
            </w:r>
          </w:p>
        </w:tc>
        <w:tc>
          <w:tcPr>
            <w:tcW w:w="999" w:type="dxa"/>
            <w:tcBorders>
              <w:top w:val="single" w:sz="4" w:space="0" w:color="auto"/>
              <w:bottom w:val="single" w:sz="4" w:space="0" w:color="auto"/>
            </w:tcBorders>
          </w:tcPr>
          <w:p>
            <w:pPr>
              <w:pStyle w:val="yTableNAm"/>
              <w:keepNext/>
              <w:keepLines/>
              <w:jc w:val="center"/>
              <w:rPr>
                <w:b/>
              </w:rPr>
            </w:pPr>
            <w:r>
              <w:rPr>
                <w:b/>
              </w:rPr>
              <w:t>$</w:t>
            </w:r>
          </w:p>
        </w:tc>
      </w:tr>
      <w:tr>
        <w:trPr>
          <w:cantSplit/>
        </w:trPr>
        <w:tc>
          <w:tcPr>
            <w:tcW w:w="567" w:type="dxa"/>
          </w:tcPr>
          <w:p>
            <w:pPr>
              <w:pStyle w:val="yTableNAm"/>
            </w:pPr>
            <w:r>
              <w:t>1.</w:t>
            </w:r>
          </w:p>
        </w:tc>
        <w:tc>
          <w:tcPr>
            <w:tcW w:w="4387" w:type="dxa"/>
          </w:tcPr>
          <w:p>
            <w:pPr>
              <w:pStyle w:val="yTableNAm"/>
            </w:pPr>
            <w:r>
              <w:t>Wharfage for general cargo —</w:t>
            </w:r>
          </w:p>
        </w:tc>
        <w:tc>
          <w:tcPr>
            <w:tcW w:w="999" w:type="dxa"/>
          </w:tcPr>
          <w:p>
            <w:pPr>
              <w:pStyle w:val="yTableNAm"/>
              <w:jc w:val="right"/>
            </w:pPr>
          </w:p>
        </w:tc>
      </w:tr>
      <w:tr>
        <w:trPr>
          <w:cantSplit/>
        </w:trPr>
        <w:tc>
          <w:tcPr>
            <w:tcW w:w="567" w:type="dxa"/>
          </w:tcPr>
          <w:p>
            <w:pPr>
              <w:pStyle w:val="yTableNAm"/>
            </w:pPr>
          </w:p>
        </w:tc>
        <w:tc>
          <w:tcPr>
            <w:tcW w:w="4387" w:type="dxa"/>
          </w:tcPr>
          <w:p>
            <w:pPr>
              <w:pStyle w:val="yTableNAm"/>
              <w:tabs>
                <w:tab w:val="clear" w:pos="567"/>
                <w:tab w:val="left" w:pos="415"/>
              </w:tabs>
              <w:ind w:left="415" w:hanging="415"/>
            </w:pPr>
            <w:r>
              <w:t>•</w:t>
            </w:r>
            <w:r>
              <w:tab/>
              <w:t>if loaded from or into vessel, per t or m</w:t>
            </w:r>
            <w:r>
              <w:rPr>
                <w:vertAlign w:val="superscript"/>
              </w:rPr>
              <w:t>3</w:t>
            </w:r>
          </w:p>
        </w:tc>
        <w:tc>
          <w:tcPr>
            <w:tcW w:w="999" w:type="dxa"/>
            <w:vAlign w:val="bottom"/>
          </w:tcPr>
          <w:p>
            <w:pPr>
              <w:pStyle w:val="yTableNAm"/>
              <w:jc w:val="right"/>
              <w:rPr>
                <w:szCs w:val="22"/>
              </w:rPr>
            </w:pPr>
            <w:r>
              <w:rPr>
                <w:szCs w:val="22"/>
              </w:rPr>
              <w:t>6.30</w:t>
            </w:r>
          </w:p>
        </w:tc>
      </w:tr>
      <w:tr>
        <w:trPr>
          <w:cantSplit/>
        </w:trPr>
        <w:tc>
          <w:tcPr>
            <w:tcW w:w="567" w:type="dxa"/>
            <w:tcBorders>
              <w:bottom w:val="single" w:sz="4" w:space="0" w:color="auto"/>
            </w:tcBorders>
          </w:tcPr>
          <w:p>
            <w:pPr>
              <w:pStyle w:val="yTableNAm"/>
            </w:pPr>
          </w:p>
        </w:tc>
        <w:tc>
          <w:tcPr>
            <w:tcW w:w="4387" w:type="dxa"/>
            <w:tcBorders>
              <w:bottom w:val="single" w:sz="4" w:space="0" w:color="auto"/>
            </w:tcBorders>
          </w:tcPr>
          <w:p>
            <w:pPr>
              <w:pStyle w:val="yTableNAm"/>
              <w:tabs>
                <w:tab w:val="clear" w:pos="567"/>
                <w:tab w:val="left" w:pos="415"/>
              </w:tabs>
              <w:ind w:left="415" w:hanging="415"/>
            </w:pPr>
            <w:r>
              <w:t>•</w:t>
            </w:r>
            <w:r>
              <w:tab/>
              <w:t>if vessel is lifted, per m of the vessel’s length</w:t>
            </w:r>
          </w:p>
        </w:tc>
        <w:tc>
          <w:tcPr>
            <w:tcW w:w="999" w:type="dxa"/>
            <w:tcBorders>
              <w:bottom w:val="single" w:sz="4" w:space="0" w:color="auto"/>
            </w:tcBorders>
            <w:vAlign w:val="bottom"/>
          </w:tcPr>
          <w:p>
            <w:pPr>
              <w:pStyle w:val="yTableNAm"/>
              <w:jc w:val="right"/>
              <w:rPr>
                <w:szCs w:val="22"/>
              </w:rPr>
            </w:pPr>
            <w:r>
              <w:rPr>
                <w:szCs w:val="22"/>
              </w:rPr>
              <w:t>14.18</w:t>
            </w:r>
          </w:p>
        </w:tc>
      </w:tr>
    </w:tbl>
    <w:p>
      <w:pPr>
        <w:pStyle w:val="yFootnotesection"/>
      </w:pPr>
      <w:r>
        <w:tab/>
        <w:t>[Clause 24 inserted in Gazette 28 Jun 2013 p. 2875</w:t>
      </w:r>
      <w:r>
        <w:noBreakHyphen/>
        <w:t>6.]</w:t>
      </w:r>
    </w:p>
    <w:p>
      <w:pPr>
        <w:pStyle w:val="yHeading5"/>
      </w:pPr>
      <w:bookmarkStart w:id="167" w:name="_Toc375231182"/>
      <w:r>
        <w:rPr>
          <w:rStyle w:val="CharSClsNo"/>
        </w:rPr>
        <w:t>25</w:t>
      </w:r>
      <w:r>
        <w:t>.</w:t>
      </w:r>
      <w:r>
        <w:rPr>
          <w:b w:val="0"/>
        </w:rPr>
        <w:tab/>
      </w:r>
      <w:r>
        <w:t>Rubbish removal (r. 53A)</w:t>
      </w:r>
      <w:bookmarkEnd w:id="167"/>
    </w:p>
    <w:p>
      <w:pPr>
        <w:pStyle w:val="ySubsection"/>
      </w:pPr>
      <w:r>
        <w:tab/>
      </w:r>
      <w:r>
        <w:tab/>
        <w:t>The fees to be paid under regulation 53A at a place for which no such fees are prescribed in Division 1 are set out in Table 25.1.</w:t>
      </w:r>
    </w:p>
    <w:p>
      <w:pPr>
        <w:pStyle w:val="yTHeadingNAm"/>
      </w:pPr>
      <w:r>
        <w:t>Table 25.1 (Rubbish removal)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87"/>
        <w:gridCol w:w="999"/>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87" w:type="dxa"/>
            <w:tcBorders>
              <w:top w:val="single" w:sz="4" w:space="0" w:color="auto"/>
              <w:bottom w:val="single" w:sz="4" w:space="0" w:color="auto"/>
            </w:tcBorders>
          </w:tcPr>
          <w:p>
            <w:pPr>
              <w:pStyle w:val="yTableNAm"/>
              <w:rPr>
                <w:b/>
              </w:rPr>
            </w:pPr>
            <w:r>
              <w:rPr>
                <w:b/>
              </w:rPr>
              <w:t>Service</w:t>
            </w:r>
          </w:p>
        </w:tc>
        <w:tc>
          <w:tcPr>
            <w:tcW w:w="999"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87" w:type="dxa"/>
          </w:tcPr>
          <w:p>
            <w:pPr>
              <w:pStyle w:val="yTableNAm"/>
            </w:pPr>
            <w:r>
              <w:t xml:space="preserve">Rubbish removal — </w:t>
            </w:r>
          </w:p>
        </w:tc>
        <w:tc>
          <w:tcPr>
            <w:tcW w:w="999" w:type="dxa"/>
          </w:tcPr>
          <w:p>
            <w:pPr>
              <w:pStyle w:val="yTableNAm"/>
              <w:jc w:val="right"/>
            </w:pPr>
          </w:p>
        </w:tc>
      </w:tr>
      <w:tr>
        <w:trPr>
          <w:cantSplit/>
        </w:trPr>
        <w:tc>
          <w:tcPr>
            <w:tcW w:w="567" w:type="dxa"/>
          </w:tcPr>
          <w:p>
            <w:pPr>
              <w:pStyle w:val="yTableNAm"/>
            </w:pPr>
          </w:p>
        </w:tc>
        <w:tc>
          <w:tcPr>
            <w:tcW w:w="4387" w:type="dxa"/>
          </w:tcPr>
          <w:p>
            <w:pPr>
              <w:pStyle w:val="yTableNAm"/>
              <w:tabs>
                <w:tab w:val="clear" w:pos="567"/>
                <w:tab w:val="left" w:pos="415"/>
              </w:tabs>
              <w:ind w:left="415" w:hanging="415"/>
            </w:pPr>
            <w:r>
              <w:t>•</w:t>
            </w:r>
            <w:r>
              <w:tab/>
              <w:t>for excess quantities, or if not from vessel using wharf or public jetty, per service</w:t>
            </w:r>
          </w:p>
        </w:tc>
        <w:tc>
          <w:tcPr>
            <w:tcW w:w="999" w:type="dxa"/>
            <w:vAlign w:val="bottom"/>
          </w:tcPr>
          <w:p>
            <w:pPr>
              <w:pStyle w:val="yTableNAm"/>
              <w:jc w:val="right"/>
            </w:pPr>
            <w:r>
              <w:t>78.81</w:t>
            </w:r>
          </w:p>
        </w:tc>
      </w:tr>
      <w:tr>
        <w:trPr>
          <w:cantSplit/>
        </w:trPr>
        <w:tc>
          <w:tcPr>
            <w:tcW w:w="567" w:type="dxa"/>
            <w:tcBorders>
              <w:bottom w:val="single" w:sz="4" w:space="0" w:color="auto"/>
            </w:tcBorders>
          </w:tcPr>
          <w:p>
            <w:pPr>
              <w:pStyle w:val="yTableNAm"/>
            </w:pPr>
          </w:p>
        </w:tc>
        <w:tc>
          <w:tcPr>
            <w:tcW w:w="4387" w:type="dxa"/>
            <w:tcBorders>
              <w:bottom w:val="single" w:sz="4" w:space="0" w:color="auto"/>
            </w:tcBorders>
          </w:tcPr>
          <w:p>
            <w:pPr>
              <w:pStyle w:val="yTableNAm"/>
              <w:tabs>
                <w:tab w:val="clear" w:pos="567"/>
                <w:tab w:val="left" w:pos="415"/>
              </w:tabs>
              <w:ind w:left="415" w:hanging="415"/>
            </w:pPr>
            <w:r>
              <w:t>•</w:t>
            </w:r>
            <w:r>
              <w:tab/>
              <w:t>to clean up rubbish not placed in bins</w:t>
            </w:r>
          </w:p>
        </w:tc>
        <w:tc>
          <w:tcPr>
            <w:tcW w:w="999" w:type="dxa"/>
            <w:tcBorders>
              <w:bottom w:val="single" w:sz="4" w:space="0" w:color="auto"/>
            </w:tcBorders>
            <w:vAlign w:val="bottom"/>
          </w:tcPr>
          <w:p>
            <w:pPr>
              <w:pStyle w:val="yTableNAm"/>
              <w:jc w:val="right"/>
            </w:pPr>
            <w:r>
              <w:t>cost</w:t>
            </w:r>
          </w:p>
        </w:tc>
      </w:tr>
    </w:tbl>
    <w:p>
      <w:pPr>
        <w:pStyle w:val="yFootnotesection"/>
      </w:pPr>
      <w:r>
        <w:tab/>
        <w:t>[Clause 25 inserted in Gazette 28 Jun 2013 p. 2876.]</w:t>
      </w:r>
    </w:p>
    <w:p>
      <w:pPr>
        <w:pStyle w:val="yHeading5"/>
      </w:pPr>
      <w:bookmarkStart w:id="168" w:name="_Toc375231183"/>
      <w:r>
        <w:rPr>
          <w:rStyle w:val="CharSClsNo"/>
        </w:rPr>
        <w:t>26</w:t>
      </w:r>
      <w:r>
        <w:t>.</w:t>
      </w:r>
      <w:r>
        <w:rPr>
          <w:b w:val="0"/>
        </w:rPr>
        <w:tab/>
      </w:r>
      <w:r>
        <w:t>Pile mooring (r. 94B)</w:t>
      </w:r>
      <w:bookmarkEnd w:id="168"/>
    </w:p>
    <w:p>
      <w:pPr>
        <w:pStyle w:val="ySubsection"/>
      </w:pPr>
      <w:r>
        <w:tab/>
      </w:r>
      <w:r>
        <w:tab/>
        <w:t>The fees to be paid under regulation 94B at a place for which no such fees are prescribed in Division 1 are set out in Table 26.1.</w:t>
      </w:r>
    </w:p>
    <w:p>
      <w:pPr>
        <w:pStyle w:val="yTHeadingNAm"/>
      </w:pPr>
      <w:r>
        <w:t>Table 26.1 (Pile mooring)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88"/>
        <w:gridCol w:w="998"/>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88" w:type="dxa"/>
            <w:tcBorders>
              <w:top w:val="single" w:sz="4" w:space="0" w:color="auto"/>
              <w:bottom w:val="single" w:sz="4" w:space="0" w:color="auto"/>
            </w:tcBorders>
          </w:tcPr>
          <w:p>
            <w:pPr>
              <w:pStyle w:val="yTableNAm"/>
              <w:rPr>
                <w:b/>
              </w:rPr>
            </w:pPr>
            <w:r>
              <w:rPr>
                <w:b/>
              </w:rPr>
              <w:t>Service</w:t>
            </w:r>
          </w:p>
        </w:tc>
        <w:tc>
          <w:tcPr>
            <w:tcW w:w="998"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88" w:type="dxa"/>
          </w:tcPr>
          <w:p>
            <w:pPr>
              <w:pStyle w:val="yTableNAm"/>
            </w:pPr>
            <w:r>
              <w:t xml:space="preserve">For pile mooring, per m of the vessel’s length — </w:t>
            </w:r>
          </w:p>
        </w:tc>
        <w:tc>
          <w:tcPr>
            <w:tcW w:w="998" w:type="dxa"/>
          </w:tcPr>
          <w:p>
            <w:pPr>
              <w:pStyle w:val="yTableNAm"/>
              <w:jc w:val="right"/>
            </w:pPr>
          </w:p>
        </w:tc>
      </w:tr>
      <w:tr>
        <w:trPr>
          <w:cantSplit/>
        </w:trPr>
        <w:tc>
          <w:tcPr>
            <w:tcW w:w="567" w:type="dxa"/>
          </w:tcPr>
          <w:p>
            <w:pPr>
              <w:pStyle w:val="yTableNAm"/>
            </w:pPr>
          </w:p>
        </w:tc>
        <w:tc>
          <w:tcPr>
            <w:tcW w:w="4388" w:type="dxa"/>
          </w:tcPr>
          <w:p>
            <w:pPr>
              <w:pStyle w:val="yTableNAm"/>
              <w:tabs>
                <w:tab w:val="clear" w:pos="567"/>
                <w:tab w:val="left" w:pos="415"/>
              </w:tabs>
              <w:ind w:left="415" w:hanging="415"/>
            </w:pPr>
            <w:r>
              <w:t>•</w:t>
            </w:r>
            <w:r>
              <w:tab/>
              <w:t>for 12 months paid in advance</w:t>
            </w:r>
          </w:p>
        </w:tc>
        <w:tc>
          <w:tcPr>
            <w:tcW w:w="998" w:type="dxa"/>
            <w:vAlign w:val="bottom"/>
          </w:tcPr>
          <w:p>
            <w:pPr>
              <w:pStyle w:val="yTableNAm"/>
              <w:jc w:val="right"/>
              <w:rPr>
                <w:szCs w:val="22"/>
              </w:rPr>
            </w:pPr>
            <w:r>
              <w:rPr>
                <w:szCs w:val="22"/>
              </w:rPr>
              <w:t>157.61</w:t>
            </w:r>
          </w:p>
        </w:tc>
      </w:tr>
      <w:tr>
        <w:trPr>
          <w:cantSplit/>
        </w:trPr>
        <w:tc>
          <w:tcPr>
            <w:tcW w:w="567" w:type="dxa"/>
          </w:tcPr>
          <w:p>
            <w:pPr>
              <w:pStyle w:val="yTableNAm"/>
            </w:pPr>
          </w:p>
        </w:tc>
        <w:tc>
          <w:tcPr>
            <w:tcW w:w="4388" w:type="dxa"/>
          </w:tcPr>
          <w:p>
            <w:pPr>
              <w:pStyle w:val="yTableNAm"/>
              <w:tabs>
                <w:tab w:val="clear" w:pos="567"/>
                <w:tab w:val="left" w:pos="415"/>
              </w:tabs>
              <w:ind w:left="415" w:hanging="415"/>
            </w:pPr>
            <w:r>
              <w:t>•</w:t>
            </w:r>
            <w:r>
              <w:tab/>
              <w:t>for one month paid in advance</w:t>
            </w:r>
          </w:p>
        </w:tc>
        <w:tc>
          <w:tcPr>
            <w:tcW w:w="998" w:type="dxa"/>
            <w:vAlign w:val="bottom"/>
          </w:tcPr>
          <w:p>
            <w:pPr>
              <w:pStyle w:val="yTableNAm"/>
              <w:jc w:val="right"/>
              <w:rPr>
                <w:szCs w:val="22"/>
              </w:rPr>
            </w:pPr>
            <w:r>
              <w:rPr>
                <w:szCs w:val="22"/>
              </w:rPr>
              <w:t>23.65</w:t>
            </w:r>
          </w:p>
        </w:tc>
      </w:tr>
      <w:tr>
        <w:trPr>
          <w:cantSplit/>
        </w:trPr>
        <w:tc>
          <w:tcPr>
            <w:tcW w:w="567" w:type="dxa"/>
            <w:tcBorders>
              <w:bottom w:val="single" w:sz="4" w:space="0" w:color="auto"/>
            </w:tcBorders>
          </w:tcPr>
          <w:p>
            <w:pPr>
              <w:pStyle w:val="yTableNAm"/>
            </w:pPr>
          </w:p>
        </w:tc>
        <w:tc>
          <w:tcPr>
            <w:tcW w:w="4388" w:type="dxa"/>
            <w:tcBorders>
              <w:bottom w:val="single" w:sz="4" w:space="0" w:color="auto"/>
            </w:tcBorders>
          </w:tcPr>
          <w:p>
            <w:pPr>
              <w:pStyle w:val="yTableNAm"/>
              <w:tabs>
                <w:tab w:val="clear" w:pos="567"/>
                <w:tab w:val="left" w:pos="415"/>
              </w:tabs>
              <w:ind w:left="415" w:hanging="415"/>
            </w:pPr>
            <w:r>
              <w:t>•</w:t>
            </w:r>
            <w:r>
              <w:tab/>
              <w:t>otherwise, per day</w:t>
            </w:r>
          </w:p>
        </w:tc>
        <w:tc>
          <w:tcPr>
            <w:tcW w:w="998" w:type="dxa"/>
            <w:tcBorders>
              <w:bottom w:val="single" w:sz="4" w:space="0" w:color="auto"/>
            </w:tcBorders>
            <w:vAlign w:val="bottom"/>
          </w:tcPr>
          <w:p>
            <w:pPr>
              <w:pStyle w:val="yTableNAm"/>
              <w:jc w:val="right"/>
              <w:rPr>
                <w:szCs w:val="22"/>
              </w:rPr>
            </w:pPr>
            <w:r>
              <w:rPr>
                <w:szCs w:val="22"/>
              </w:rPr>
              <w:t>3.17</w:t>
            </w:r>
          </w:p>
        </w:tc>
      </w:tr>
    </w:tbl>
    <w:p>
      <w:pPr>
        <w:pStyle w:val="yFootnotesection"/>
      </w:pPr>
      <w:r>
        <w:tab/>
        <w:t>[Clause 26 inserted in Gazette 28 Jun 2013 p. 2876</w:t>
      </w:r>
      <w:r>
        <w:noBreakHyphen/>
        <w:t>7.]</w:t>
      </w:r>
    </w:p>
    <w:p>
      <w:pPr>
        <w:pStyle w:val="yHeading5"/>
      </w:pPr>
      <w:bookmarkStart w:id="169" w:name="_Toc375231184"/>
      <w:r>
        <w:rPr>
          <w:rStyle w:val="CharSClsNo"/>
        </w:rPr>
        <w:t>27</w:t>
      </w:r>
      <w:r>
        <w:t>.</w:t>
      </w:r>
      <w:r>
        <w:rPr>
          <w:b w:val="0"/>
        </w:rPr>
        <w:tab/>
      </w:r>
      <w:r>
        <w:t>Berthing and mooring (r. 94C)</w:t>
      </w:r>
      <w:bookmarkEnd w:id="169"/>
    </w:p>
    <w:p>
      <w:pPr>
        <w:pStyle w:val="ySubsection"/>
      </w:pPr>
      <w:r>
        <w:tab/>
      </w:r>
      <w:r>
        <w:tab/>
        <w:t>The fees to be paid under regulation 94C at a place for which no such fees are prescribed in Division 1 are set out in Table 27.1.</w:t>
      </w:r>
    </w:p>
    <w:p>
      <w:pPr>
        <w:pStyle w:val="yTHeadingNAm"/>
      </w:pPr>
      <w:r>
        <w:t>Table 27.1 (Berthing or mooring)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87"/>
        <w:gridCol w:w="999"/>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87" w:type="dxa"/>
            <w:tcBorders>
              <w:top w:val="single" w:sz="4" w:space="0" w:color="auto"/>
              <w:bottom w:val="single" w:sz="4" w:space="0" w:color="auto"/>
            </w:tcBorders>
          </w:tcPr>
          <w:p>
            <w:pPr>
              <w:pStyle w:val="yTableNAm"/>
              <w:rPr>
                <w:b/>
              </w:rPr>
            </w:pPr>
            <w:r>
              <w:rPr>
                <w:b/>
              </w:rPr>
              <w:t>Service</w:t>
            </w:r>
          </w:p>
        </w:tc>
        <w:tc>
          <w:tcPr>
            <w:tcW w:w="999"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87" w:type="dxa"/>
          </w:tcPr>
          <w:p>
            <w:pPr>
              <w:pStyle w:val="yTableNAm"/>
            </w:pPr>
            <w:r>
              <w:t xml:space="preserve">Berthing or mooring — </w:t>
            </w:r>
          </w:p>
        </w:tc>
        <w:tc>
          <w:tcPr>
            <w:tcW w:w="999" w:type="dxa"/>
          </w:tcPr>
          <w:p>
            <w:pPr>
              <w:pStyle w:val="yTableNAm"/>
              <w:jc w:val="right"/>
            </w:pPr>
          </w:p>
        </w:tc>
      </w:tr>
      <w:tr>
        <w:trPr>
          <w:cantSplit/>
        </w:trPr>
        <w:tc>
          <w:tcPr>
            <w:tcW w:w="567" w:type="dxa"/>
          </w:tcPr>
          <w:p>
            <w:pPr>
              <w:pStyle w:val="yTableNAm"/>
            </w:pPr>
          </w:p>
        </w:tc>
        <w:tc>
          <w:tcPr>
            <w:tcW w:w="4387" w:type="dxa"/>
          </w:tcPr>
          <w:p>
            <w:pPr>
              <w:pStyle w:val="yTableNAm"/>
              <w:tabs>
                <w:tab w:val="clear" w:pos="567"/>
                <w:tab w:val="left" w:pos="415"/>
              </w:tabs>
              <w:ind w:left="415" w:hanging="415"/>
            </w:pPr>
            <w:r>
              <w:t>•</w:t>
            </w:r>
            <w:r>
              <w:tab/>
              <w:t>for 12 months paid in advance</w:t>
            </w:r>
          </w:p>
        </w:tc>
        <w:tc>
          <w:tcPr>
            <w:tcW w:w="999" w:type="dxa"/>
            <w:vAlign w:val="bottom"/>
          </w:tcPr>
          <w:p>
            <w:pPr>
              <w:pStyle w:val="yTableNAm"/>
              <w:jc w:val="right"/>
              <w:rPr>
                <w:szCs w:val="22"/>
              </w:rPr>
            </w:pPr>
            <w:r>
              <w:rPr>
                <w:szCs w:val="22"/>
              </w:rPr>
              <w:t>238.37</w:t>
            </w:r>
          </w:p>
        </w:tc>
      </w:tr>
      <w:tr>
        <w:trPr>
          <w:cantSplit/>
        </w:trPr>
        <w:tc>
          <w:tcPr>
            <w:tcW w:w="567" w:type="dxa"/>
          </w:tcPr>
          <w:p>
            <w:pPr>
              <w:pStyle w:val="yTableNAm"/>
            </w:pPr>
          </w:p>
        </w:tc>
        <w:tc>
          <w:tcPr>
            <w:tcW w:w="4387" w:type="dxa"/>
          </w:tcPr>
          <w:p>
            <w:pPr>
              <w:pStyle w:val="yTableNAm"/>
              <w:tabs>
                <w:tab w:val="clear" w:pos="567"/>
                <w:tab w:val="left" w:pos="415"/>
              </w:tabs>
              <w:ind w:left="415" w:hanging="415"/>
            </w:pPr>
            <w:r>
              <w:t>•</w:t>
            </w:r>
            <w:r>
              <w:tab/>
              <w:t>per day, per m of the vessel’s length</w:t>
            </w:r>
          </w:p>
        </w:tc>
        <w:tc>
          <w:tcPr>
            <w:tcW w:w="999" w:type="dxa"/>
            <w:vAlign w:val="bottom"/>
          </w:tcPr>
          <w:p>
            <w:pPr>
              <w:pStyle w:val="yTableNAm"/>
              <w:jc w:val="right"/>
              <w:rPr>
                <w:szCs w:val="22"/>
              </w:rPr>
            </w:pPr>
            <w:r>
              <w:rPr>
                <w:szCs w:val="22"/>
              </w:rPr>
              <w:t>4.73</w:t>
            </w:r>
          </w:p>
        </w:tc>
      </w:tr>
      <w:tr>
        <w:trPr>
          <w:cantSplit/>
        </w:trPr>
        <w:tc>
          <w:tcPr>
            <w:tcW w:w="567" w:type="dxa"/>
          </w:tcPr>
          <w:p>
            <w:pPr>
              <w:pStyle w:val="yTableNAm"/>
            </w:pPr>
            <w:r>
              <w:t>2.</w:t>
            </w:r>
          </w:p>
        </w:tc>
        <w:tc>
          <w:tcPr>
            <w:tcW w:w="4387" w:type="dxa"/>
          </w:tcPr>
          <w:p>
            <w:pPr>
              <w:pStyle w:val="yTableNAm"/>
            </w:pPr>
            <w:r>
              <w:t xml:space="preserve">Electricity supply — </w:t>
            </w:r>
          </w:p>
        </w:tc>
        <w:tc>
          <w:tcPr>
            <w:tcW w:w="999" w:type="dxa"/>
            <w:vAlign w:val="bottom"/>
          </w:tcPr>
          <w:p>
            <w:pPr>
              <w:pStyle w:val="yTableNAm"/>
              <w:jc w:val="right"/>
              <w:rPr>
                <w:szCs w:val="22"/>
              </w:rPr>
            </w:pPr>
          </w:p>
        </w:tc>
      </w:tr>
      <w:tr>
        <w:trPr>
          <w:cantSplit/>
        </w:trPr>
        <w:tc>
          <w:tcPr>
            <w:tcW w:w="567" w:type="dxa"/>
          </w:tcPr>
          <w:p>
            <w:pPr>
              <w:pStyle w:val="yTableNAm"/>
            </w:pPr>
          </w:p>
        </w:tc>
        <w:tc>
          <w:tcPr>
            <w:tcW w:w="4387" w:type="dxa"/>
          </w:tcPr>
          <w:p>
            <w:pPr>
              <w:pStyle w:val="yTableNAm"/>
              <w:tabs>
                <w:tab w:val="clear" w:pos="567"/>
                <w:tab w:val="left" w:pos="415"/>
              </w:tabs>
              <w:ind w:left="415" w:hanging="415"/>
            </w:pPr>
            <w:r>
              <w:t>•</w:t>
            </w:r>
            <w:r>
              <w:tab/>
              <w:t>3</w:t>
            </w:r>
            <w:r>
              <w:noBreakHyphen/>
              <w:t>phase, if metering shows usage of more than $31.52 in a 12 hour period</w:t>
            </w:r>
          </w:p>
        </w:tc>
        <w:tc>
          <w:tcPr>
            <w:tcW w:w="999" w:type="dxa"/>
            <w:vAlign w:val="bottom"/>
          </w:tcPr>
          <w:p>
            <w:pPr>
              <w:pStyle w:val="yTableNAm"/>
              <w:jc w:val="right"/>
              <w:rPr>
                <w:szCs w:val="22"/>
              </w:rPr>
            </w:pPr>
            <w:r>
              <w:rPr>
                <w:szCs w:val="22"/>
              </w:rPr>
              <w:t>cost</w:t>
            </w:r>
          </w:p>
        </w:tc>
      </w:tr>
      <w:tr>
        <w:trPr>
          <w:cantSplit/>
        </w:trPr>
        <w:tc>
          <w:tcPr>
            <w:tcW w:w="567" w:type="dxa"/>
            <w:tcBorders>
              <w:bottom w:val="single" w:sz="4" w:space="0" w:color="auto"/>
            </w:tcBorders>
          </w:tcPr>
          <w:p>
            <w:pPr>
              <w:pStyle w:val="yTableNAm"/>
            </w:pPr>
          </w:p>
        </w:tc>
        <w:tc>
          <w:tcPr>
            <w:tcW w:w="4387" w:type="dxa"/>
            <w:tcBorders>
              <w:bottom w:val="single" w:sz="4" w:space="0" w:color="auto"/>
            </w:tcBorders>
          </w:tcPr>
          <w:p>
            <w:pPr>
              <w:pStyle w:val="yTableNAm"/>
              <w:tabs>
                <w:tab w:val="clear" w:pos="567"/>
                <w:tab w:val="left" w:pos="415"/>
              </w:tabs>
              <w:ind w:left="415" w:hanging="415"/>
            </w:pPr>
            <w:r>
              <w:t>•</w:t>
            </w:r>
            <w:r>
              <w:tab/>
              <w:t>3</w:t>
            </w:r>
            <w:r>
              <w:noBreakHyphen/>
              <w:t>phase, otherwise per period of 12 hours or part of that period</w:t>
            </w:r>
          </w:p>
        </w:tc>
        <w:tc>
          <w:tcPr>
            <w:tcW w:w="999" w:type="dxa"/>
            <w:tcBorders>
              <w:bottom w:val="single" w:sz="4" w:space="0" w:color="auto"/>
            </w:tcBorders>
            <w:vAlign w:val="bottom"/>
          </w:tcPr>
          <w:p>
            <w:pPr>
              <w:pStyle w:val="yTableNAm"/>
              <w:jc w:val="right"/>
              <w:rPr>
                <w:szCs w:val="22"/>
              </w:rPr>
            </w:pPr>
            <w:r>
              <w:rPr>
                <w:szCs w:val="22"/>
              </w:rPr>
              <w:t>31.52</w:t>
            </w:r>
          </w:p>
        </w:tc>
      </w:tr>
    </w:tbl>
    <w:p>
      <w:pPr>
        <w:pStyle w:val="yFootnotesection"/>
      </w:pPr>
      <w:r>
        <w:tab/>
        <w:t>[Clause 27 inserted in Gazette 28 Jun 2013 p. 2877.]</w:t>
      </w:r>
    </w:p>
    <w:p>
      <w:pPr>
        <w:pStyle w:val="yHeading5"/>
      </w:pPr>
      <w:bookmarkStart w:id="170" w:name="_Toc375231185"/>
      <w:r>
        <w:rPr>
          <w:rStyle w:val="CharSClsNo"/>
        </w:rPr>
        <w:t>28</w:t>
      </w:r>
      <w:r>
        <w:t>.</w:t>
      </w:r>
      <w:r>
        <w:rPr>
          <w:b w:val="0"/>
        </w:rPr>
        <w:tab/>
      </w:r>
      <w:r>
        <w:t>Slip services (r. 96)</w:t>
      </w:r>
      <w:bookmarkEnd w:id="170"/>
    </w:p>
    <w:p>
      <w:pPr>
        <w:pStyle w:val="ySubsection"/>
      </w:pPr>
      <w:r>
        <w:tab/>
      </w:r>
      <w:r>
        <w:tab/>
        <w:t>The charges to be paid under regulation 96 for services at a slip controlled and managed by the Department at a place for which no such fees are prescribed in Division 1 are set out in Table 28.1.</w:t>
      </w:r>
    </w:p>
    <w:p>
      <w:pPr>
        <w:pStyle w:val="yTHeadingNAm"/>
      </w:pPr>
      <w:r>
        <w:t>Table 28.1 (Slip services)</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88"/>
        <w:gridCol w:w="6"/>
        <w:gridCol w:w="992"/>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88" w:type="dxa"/>
            <w:tcBorders>
              <w:top w:val="single" w:sz="4" w:space="0" w:color="auto"/>
              <w:bottom w:val="single" w:sz="4" w:space="0" w:color="auto"/>
            </w:tcBorders>
          </w:tcPr>
          <w:p>
            <w:pPr>
              <w:pStyle w:val="yTableNAm"/>
              <w:rPr>
                <w:b/>
              </w:rPr>
            </w:pPr>
            <w:r>
              <w:rPr>
                <w:b/>
              </w:rPr>
              <w:t>Service</w:t>
            </w:r>
          </w:p>
        </w:tc>
        <w:tc>
          <w:tcPr>
            <w:tcW w:w="998" w:type="dxa"/>
            <w:gridSpan w:val="2"/>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4" w:type="dxa"/>
            <w:gridSpan w:val="2"/>
          </w:tcPr>
          <w:p>
            <w:pPr>
              <w:pStyle w:val="yTableNAm"/>
            </w:pPr>
            <w:r>
              <w:t xml:space="preserve">Water supply, per day — </w:t>
            </w:r>
          </w:p>
        </w:tc>
        <w:tc>
          <w:tcPr>
            <w:tcW w:w="992" w:type="dxa"/>
          </w:tcPr>
          <w:p>
            <w:pPr>
              <w:pStyle w:val="yTableNAm"/>
              <w:jc w:val="right"/>
            </w:pPr>
          </w:p>
        </w:tc>
      </w:tr>
      <w:tr>
        <w:trPr>
          <w:cantSplit/>
        </w:trPr>
        <w:tc>
          <w:tcPr>
            <w:tcW w:w="567" w:type="dxa"/>
          </w:tcPr>
          <w:p>
            <w:pPr>
              <w:pStyle w:val="yTableNAm"/>
            </w:pPr>
          </w:p>
        </w:tc>
        <w:tc>
          <w:tcPr>
            <w:tcW w:w="4394" w:type="dxa"/>
            <w:gridSpan w:val="2"/>
          </w:tcPr>
          <w:p>
            <w:pPr>
              <w:pStyle w:val="yTableNAm"/>
              <w:tabs>
                <w:tab w:val="clear" w:pos="567"/>
                <w:tab w:val="left" w:pos="415"/>
              </w:tabs>
              <w:ind w:left="415" w:hanging="415"/>
            </w:pPr>
            <w:r>
              <w:t>•</w:t>
            </w:r>
            <w:r>
              <w:tab/>
              <w:t>if metering indicates usage of more than $4.73 in a day</w:t>
            </w:r>
          </w:p>
        </w:tc>
        <w:tc>
          <w:tcPr>
            <w:tcW w:w="992" w:type="dxa"/>
            <w:vAlign w:val="bottom"/>
          </w:tcPr>
          <w:p>
            <w:pPr>
              <w:pStyle w:val="yTableNAm"/>
              <w:jc w:val="right"/>
            </w:pPr>
            <w:r>
              <w:br/>
              <w:t>cost</w:t>
            </w:r>
          </w:p>
        </w:tc>
      </w:tr>
      <w:tr>
        <w:trPr>
          <w:cantSplit/>
        </w:trPr>
        <w:tc>
          <w:tcPr>
            <w:tcW w:w="567" w:type="dxa"/>
          </w:tcPr>
          <w:p>
            <w:pPr>
              <w:pStyle w:val="yTableNAm"/>
            </w:pPr>
          </w:p>
        </w:tc>
        <w:tc>
          <w:tcPr>
            <w:tcW w:w="4394" w:type="dxa"/>
            <w:gridSpan w:val="2"/>
          </w:tcPr>
          <w:p>
            <w:pPr>
              <w:pStyle w:val="yTableNAm"/>
              <w:tabs>
                <w:tab w:val="clear" w:pos="567"/>
                <w:tab w:val="left" w:pos="415"/>
              </w:tabs>
              <w:ind w:left="415" w:hanging="415"/>
            </w:pPr>
            <w:r>
              <w:t>•</w:t>
            </w:r>
            <w:r>
              <w:tab/>
              <w:t>otherwise, per day</w:t>
            </w:r>
          </w:p>
        </w:tc>
        <w:tc>
          <w:tcPr>
            <w:tcW w:w="992" w:type="dxa"/>
            <w:vAlign w:val="bottom"/>
          </w:tcPr>
          <w:p>
            <w:pPr>
              <w:pStyle w:val="yTableNAm"/>
              <w:jc w:val="right"/>
            </w:pPr>
            <w:r>
              <w:t>4.73</w:t>
            </w:r>
          </w:p>
        </w:tc>
      </w:tr>
      <w:tr>
        <w:trPr>
          <w:cantSplit/>
        </w:trPr>
        <w:tc>
          <w:tcPr>
            <w:tcW w:w="567" w:type="dxa"/>
          </w:tcPr>
          <w:p>
            <w:pPr>
              <w:pStyle w:val="yTableNAm"/>
            </w:pPr>
            <w:r>
              <w:t>2.</w:t>
            </w:r>
          </w:p>
        </w:tc>
        <w:tc>
          <w:tcPr>
            <w:tcW w:w="4394" w:type="dxa"/>
            <w:gridSpan w:val="2"/>
          </w:tcPr>
          <w:p>
            <w:pPr>
              <w:pStyle w:val="yTableNAm"/>
            </w:pPr>
            <w:r>
              <w:t xml:space="preserve">Electricity supply — </w:t>
            </w:r>
          </w:p>
        </w:tc>
        <w:tc>
          <w:tcPr>
            <w:tcW w:w="992" w:type="dxa"/>
            <w:vAlign w:val="bottom"/>
          </w:tcPr>
          <w:p>
            <w:pPr>
              <w:pStyle w:val="yTableNAm"/>
              <w:jc w:val="right"/>
            </w:pPr>
          </w:p>
        </w:tc>
      </w:tr>
      <w:tr>
        <w:trPr>
          <w:cantSplit/>
        </w:trPr>
        <w:tc>
          <w:tcPr>
            <w:tcW w:w="567" w:type="dxa"/>
          </w:tcPr>
          <w:p>
            <w:pPr>
              <w:pStyle w:val="yTableNAm"/>
            </w:pPr>
          </w:p>
        </w:tc>
        <w:tc>
          <w:tcPr>
            <w:tcW w:w="4394" w:type="dxa"/>
            <w:gridSpan w:val="2"/>
          </w:tcPr>
          <w:p>
            <w:pPr>
              <w:pStyle w:val="yTableNAm"/>
              <w:tabs>
                <w:tab w:val="clear" w:pos="567"/>
                <w:tab w:val="left" w:pos="415"/>
              </w:tabs>
              <w:ind w:left="415" w:hanging="415"/>
            </w:pPr>
            <w:r>
              <w:t>•</w:t>
            </w:r>
            <w:r>
              <w:tab/>
              <w:t>if metering indicates usage of more than $7.87 in a day</w:t>
            </w:r>
          </w:p>
        </w:tc>
        <w:tc>
          <w:tcPr>
            <w:tcW w:w="992" w:type="dxa"/>
            <w:vAlign w:val="bottom"/>
          </w:tcPr>
          <w:p>
            <w:pPr>
              <w:pStyle w:val="yTableNAm"/>
              <w:jc w:val="right"/>
            </w:pPr>
            <w:r>
              <w:br/>
              <w:t>cost</w:t>
            </w:r>
          </w:p>
        </w:tc>
      </w:tr>
      <w:tr>
        <w:trPr>
          <w:cantSplit/>
        </w:trPr>
        <w:tc>
          <w:tcPr>
            <w:tcW w:w="567" w:type="dxa"/>
            <w:tcBorders>
              <w:bottom w:val="single" w:sz="4" w:space="0" w:color="auto"/>
            </w:tcBorders>
          </w:tcPr>
          <w:p>
            <w:pPr>
              <w:pStyle w:val="yTableNAm"/>
            </w:pPr>
          </w:p>
        </w:tc>
        <w:tc>
          <w:tcPr>
            <w:tcW w:w="4394" w:type="dxa"/>
            <w:gridSpan w:val="2"/>
            <w:tcBorders>
              <w:bottom w:val="single" w:sz="4" w:space="0" w:color="auto"/>
            </w:tcBorders>
          </w:tcPr>
          <w:p>
            <w:pPr>
              <w:pStyle w:val="yTableNAm"/>
              <w:tabs>
                <w:tab w:val="clear" w:pos="567"/>
                <w:tab w:val="left" w:pos="415"/>
              </w:tabs>
              <w:ind w:left="415" w:hanging="415"/>
            </w:pPr>
            <w:r>
              <w:t>•</w:t>
            </w:r>
            <w:r>
              <w:tab/>
              <w:t>otherwise, per day</w:t>
            </w:r>
          </w:p>
        </w:tc>
        <w:tc>
          <w:tcPr>
            <w:tcW w:w="992" w:type="dxa"/>
            <w:tcBorders>
              <w:bottom w:val="single" w:sz="4" w:space="0" w:color="auto"/>
            </w:tcBorders>
            <w:vAlign w:val="bottom"/>
          </w:tcPr>
          <w:p>
            <w:pPr>
              <w:pStyle w:val="yTableNAm"/>
              <w:jc w:val="right"/>
            </w:pPr>
            <w:r>
              <w:t>7.87</w:t>
            </w:r>
          </w:p>
        </w:tc>
      </w:tr>
    </w:tbl>
    <w:p>
      <w:pPr>
        <w:pStyle w:val="yFootnotesection"/>
      </w:pPr>
      <w:r>
        <w:tab/>
        <w:t>[Clause 28 inserted in Gazette 28 Jun 2013 p. 2877</w:t>
      </w:r>
      <w:r>
        <w:noBreakHyphen/>
        <w:t>8.]</w:t>
      </w:r>
    </w:p>
    <w:p>
      <w:pPr>
        <w:pStyle w:val="yScheduleHeading"/>
      </w:pPr>
      <w:bookmarkStart w:id="171" w:name="_Toc375231186"/>
      <w:r>
        <w:rPr>
          <w:rStyle w:val="CharSchNo"/>
        </w:rPr>
        <w:t>Schedule 1A</w:t>
      </w:r>
      <w:r>
        <w:rPr>
          <w:rStyle w:val="CharSDivNo"/>
        </w:rPr>
        <w:t> </w:t>
      </w:r>
      <w:r>
        <w:t>—</w:t>
      </w:r>
      <w:r>
        <w:rPr>
          <w:rStyle w:val="CharSDivText"/>
        </w:rPr>
        <w:t> </w:t>
      </w:r>
      <w:r>
        <w:rPr>
          <w:rStyle w:val="CharSchText"/>
        </w:rPr>
        <w:t>Fuel oil wharfage</w:t>
      </w:r>
      <w:bookmarkEnd w:id="171"/>
    </w:p>
    <w:p>
      <w:pPr>
        <w:pStyle w:val="yShoulderClause"/>
      </w:pPr>
      <w:r>
        <w:t>[r. 11B(2)]</w:t>
      </w:r>
    </w:p>
    <w:p>
      <w:pPr>
        <w:pStyle w:val="yFootnoteheading"/>
        <w:spacing w:after="60"/>
      </w:pPr>
      <w:r>
        <w:tab/>
        <w:t>[Heading inserted in Gazette 28 Jun 2013 p. 2878.]</w:t>
      </w:r>
    </w:p>
    <w:p>
      <w:pPr>
        <w:pStyle w:val="yHeading5"/>
      </w:pPr>
      <w:bookmarkStart w:id="172" w:name="_Toc375231187"/>
      <w:r>
        <w:rPr>
          <w:rStyle w:val="CharSClsNo"/>
        </w:rPr>
        <w:t>1</w:t>
      </w:r>
      <w:r>
        <w:t>.</w:t>
      </w:r>
      <w:r>
        <w:rPr>
          <w:b w:val="0"/>
        </w:rPr>
        <w:tab/>
      </w:r>
      <w:r>
        <w:t>Wharfage for fuel (r. 11B(2))</w:t>
      </w:r>
      <w:bookmarkEnd w:id="172"/>
    </w:p>
    <w:p>
      <w:pPr>
        <w:pStyle w:val="ySubsection"/>
      </w:pPr>
      <w:r>
        <w:tab/>
      </w:r>
      <w:r>
        <w:tab/>
        <w:t>The rate to be paid for fuel oil under regulation 11B(2) at a place listed in the Table is set out opposite the place.</w:t>
      </w:r>
    </w:p>
    <w:p>
      <w:pPr>
        <w:pStyle w:val="yTHeadingNAm"/>
      </w:pPr>
      <w:r>
        <w:t>Table (Wharfage for fuel oil)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87"/>
        <w:gridCol w:w="999"/>
      </w:tblGrid>
      <w:tr>
        <w:trPr>
          <w:cantSplit/>
          <w:tblHeader/>
        </w:trPr>
        <w:tc>
          <w:tcPr>
            <w:tcW w:w="567" w:type="dxa"/>
            <w:tcBorders>
              <w:top w:val="single" w:sz="4" w:space="0" w:color="auto"/>
              <w:bottom w:val="single" w:sz="4" w:space="0" w:color="auto"/>
            </w:tcBorders>
          </w:tcPr>
          <w:p>
            <w:pPr>
              <w:pStyle w:val="yTableNAm"/>
              <w:spacing w:before="80"/>
              <w:rPr>
                <w:rFonts w:ascii="Arial" w:hAnsi="Arial"/>
                <w:b/>
              </w:rPr>
            </w:pPr>
            <w:r>
              <w:rPr>
                <w:b/>
              </w:rPr>
              <w:t>Item</w:t>
            </w:r>
          </w:p>
        </w:tc>
        <w:tc>
          <w:tcPr>
            <w:tcW w:w="4387" w:type="dxa"/>
            <w:tcBorders>
              <w:top w:val="single" w:sz="4" w:space="0" w:color="auto"/>
              <w:bottom w:val="single" w:sz="4" w:space="0" w:color="auto"/>
            </w:tcBorders>
          </w:tcPr>
          <w:p>
            <w:pPr>
              <w:pStyle w:val="yTableNAm"/>
              <w:spacing w:before="80"/>
              <w:rPr>
                <w:b/>
              </w:rPr>
            </w:pPr>
            <w:r>
              <w:rPr>
                <w:b/>
              </w:rPr>
              <w:t>Service</w:t>
            </w:r>
          </w:p>
        </w:tc>
        <w:tc>
          <w:tcPr>
            <w:tcW w:w="999" w:type="dxa"/>
            <w:tcBorders>
              <w:top w:val="single" w:sz="4" w:space="0" w:color="auto"/>
              <w:bottom w:val="single" w:sz="4" w:space="0" w:color="auto"/>
            </w:tcBorders>
          </w:tcPr>
          <w:p>
            <w:pPr>
              <w:pStyle w:val="yTableNAm"/>
              <w:tabs>
                <w:tab w:val="clear" w:pos="567"/>
              </w:tabs>
              <w:spacing w:before="80"/>
              <w:rPr>
                <w:b/>
              </w:rPr>
            </w:pPr>
            <w:r>
              <w:rPr>
                <w:b/>
              </w:rPr>
              <w:t>$/L</w:t>
            </w:r>
          </w:p>
        </w:tc>
      </w:tr>
      <w:tr>
        <w:trPr>
          <w:cantSplit/>
        </w:trPr>
        <w:tc>
          <w:tcPr>
            <w:tcW w:w="567" w:type="dxa"/>
          </w:tcPr>
          <w:p>
            <w:pPr>
              <w:pStyle w:val="yTableNAm"/>
              <w:spacing w:before="80"/>
            </w:pPr>
            <w:r>
              <w:t>1.</w:t>
            </w:r>
          </w:p>
        </w:tc>
        <w:tc>
          <w:tcPr>
            <w:tcW w:w="4387" w:type="dxa"/>
          </w:tcPr>
          <w:p>
            <w:pPr>
              <w:pStyle w:val="yTableNAm"/>
              <w:spacing w:before="80"/>
              <w:rPr>
                <w:rFonts w:ascii="Arial" w:hAnsi="Arial"/>
                <w:b/>
              </w:rPr>
            </w:pPr>
            <w:r>
              <w:t>Albany, at Albany Waterfront Marina</w:t>
            </w:r>
          </w:p>
        </w:tc>
        <w:tc>
          <w:tcPr>
            <w:tcW w:w="999" w:type="dxa"/>
          </w:tcPr>
          <w:p>
            <w:pPr>
              <w:pStyle w:val="yTableNAm"/>
              <w:spacing w:before="80"/>
              <w:rPr>
                <w:rFonts w:ascii="Arial" w:hAnsi="Arial"/>
                <w:b/>
              </w:rPr>
            </w:pPr>
            <w:r>
              <w:t>0.056</w:t>
            </w:r>
          </w:p>
        </w:tc>
      </w:tr>
      <w:tr>
        <w:trPr>
          <w:cantSplit/>
        </w:trPr>
        <w:tc>
          <w:tcPr>
            <w:tcW w:w="567" w:type="dxa"/>
          </w:tcPr>
          <w:p>
            <w:pPr>
              <w:pStyle w:val="yTableNAm"/>
              <w:spacing w:before="80"/>
              <w:rPr>
                <w:rFonts w:ascii="Arial" w:hAnsi="Arial"/>
                <w:b/>
              </w:rPr>
            </w:pPr>
            <w:r>
              <w:t>2.</w:t>
            </w:r>
          </w:p>
        </w:tc>
        <w:tc>
          <w:tcPr>
            <w:tcW w:w="4387" w:type="dxa"/>
          </w:tcPr>
          <w:p>
            <w:pPr>
              <w:pStyle w:val="yTableNAm"/>
              <w:spacing w:before="80"/>
              <w:rPr>
                <w:rFonts w:ascii="Arial" w:hAnsi="Arial"/>
                <w:b/>
              </w:rPr>
            </w:pPr>
            <w:r>
              <w:t>Albany, at Emu Point Boat Harbour</w:t>
            </w:r>
          </w:p>
        </w:tc>
        <w:tc>
          <w:tcPr>
            <w:tcW w:w="999" w:type="dxa"/>
          </w:tcPr>
          <w:p>
            <w:pPr>
              <w:pStyle w:val="yTableNAm"/>
              <w:spacing w:before="80"/>
              <w:rPr>
                <w:rFonts w:ascii="Arial" w:hAnsi="Arial"/>
                <w:b/>
              </w:rPr>
            </w:pPr>
            <w:r>
              <w:t>0.056</w:t>
            </w:r>
          </w:p>
        </w:tc>
      </w:tr>
      <w:tr>
        <w:trPr>
          <w:cantSplit/>
        </w:trPr>
        <w:tc>
          <w:tcPr>
            <w:tcW w:w="567" w:type="dxa"/>
          </w:tcPr>
          <w:p>
            <w:pPr>
              <w:pStyle w:val="yTableNAm"/>
              <w:spacing w:before="80"/>
              <w:rPr>
                <w:rFonts w:ascii="Arial" w:hAnsi="Arial"/>
                <w:b/>
              </w:rPr>
            </w:pPr>
            <w:r>
              <w:t>3.</w:t>
            </w:r>
          </w:p>
        </w:tc>
        <w:tc>
          <w:tcPr>
            <w:tcW w:w="4387" w:type="dxa"/>
          </w:tcPr>
          <w:p>
            <w:pPr>
              <w:pStyle w:val="yTableNAm"/>
              <w:spacing w:before="80"/>
              <w:rPr>
                <w:rFonts w:ascii="Arial" w:hAnsi="Arial"/>
                <w:b/>
              </w:rPr>
            </w:pPr>
            <w:r>
              <w:t>Augusta</w:t>
            </w:r>
          </w:p>
        </w:tc>
        <w:tc>
          <w:tcPr>
            <w:tcW w:w="999" w:type="dxa"/>
          </w:tcPr>
          <w:p>
            <w:pPr>
              <w:pStyle w:val="yTableNAm"/>
              <w:spacing w:before="80"/>
              <w:rPr>
                <w:rFonts w:ascii="Arial" w:hAnsi="Arial"/>
                <w:b/>
              </w:rPr>
            </w:pPr>
            <w:r>
              <w:t>0.028</w:t>
            </w:r>
          </w:p>
        </w:tc>
      </w:tr>
      <w:tr>
        <w:trPr>
          <w:cantSplit/>
        </w:trPr>
        <w:tc>
          <w:tcPr>
            <w:tcW w:w="567" w:type="dxa"/>
          </w:tcPr>
          <w:p>
            <w:pPr>
              <w:pStyle w:val="yTableNAm"/>
              <w:spacing w:before="80"/>
              <w:rPr>
                <w:rFonts w:ascii="Arial" w:hAnsi="Arial"/>
                <w:b/>
              </w:rPr>
            </w:pPr>
            <w:r>
              <w:t>4.</w:t>
            </w:r>
          </w:p>
        </w:tc>
        <w:tc>
          <w:tcPr>
            <w:tcW w:w="4387" w:type="dxa"/>
          </w:tcPr>
          <w:p>
            <w:pPr>
              <w:pStyle w:val="yTableNAm"/>
              <w:spacing w:before="80"/>
              <w:rPr>
                <w:rFonts w:ascii="Arial" w:hAnsi="Arial"/>
                <w:b/>
              </w:rPr>
            </w:pPr>
            <w:r>
              <w:t>Bremer Bay</w:t>
            </w:r>
          </w:p>
        </w:tc>
        <w:tc>
          <w:tcPr>
            <w:tcW w:w="999" w:type="dxa"/>
          </w:tcPr>
          <w:p>
            <w:pPr>
              <w:pStyle w:val="yTableNAm"/>
              <w:spacing w:before="80"/>
              <w:rPr>
                <w:rFonts w:ascii="Arial" w:hAnsi="Arial"/>
                <w:b/>
              </w:rPr>
            </w:pPr>
            <w:r>
              <w:t>0.043</w:t>
            </w:r>
          </w:p>
        </w:tc>
      </w:tr>
      <w:tr>
        <w:trPr>
          <w:cantSplit/>
        </w:trPr>
        <w:tc>
          <w:tcPr>
            <w:tcW w:w="567" w:type="dxa"/>
          </w:tcPr>
          <w:p>
            <w:pPr>
              <w:pStyle w:val="yTableNAm"/>
              <w:spacing w:before="80"/>
              <w:rPr>
                <w:rFonts w:ascii="Arial" w:hAnsi="Arial"/>
                <w:b/>
              </w:rPr>
            </w:pPr>
            <w:r>
              <w:t>5.</w:t>
            </w:r>
          </w:p>
        </w:tc>
        <w:tc>
          <w:tcPr>
            <w:tcW w:w="4387" w:type="dxa"/>
          </w:tcPr>
          <w:p>
            <w:pPr>
              <w:pStyle w:val="yTableNAm"/>
              <w:spacing w:before="80"/>
              <w:rPr>
                <w:rFonts w:ascii="Arial" w:hAnsi="Arial"/>
                <w:b/>
              </w:rPr>
            </w:pPr>
            <w:r>
              <w:t>Bunbury, at Casuarina Boat Harbour</w:t>
            </w:r>
          </w:p>
        </w:tc>
        <w:tc>
          <w:tcPr>
            <w:tcW w:w="999" w:type="dxa"/>
          </w:tcPr>
          <w:p>
            <w:pPr>
              <w:pStyle w:val="yTableNAm"/>
              <w:spacing w:before="80"/>
              <w:rPr>
                <w:rFonts w:ascii="Arial" w:hAnsi="Arial"/>
                <w:b/>
              </w:rPr>
            </w:pPr>
            <w:r>
              <w:t>0.043</w:t>
            </w:r>
          </w:p>
        </w:tc>
      </w:tr>
      <w:tr>
        <w:trPr>
          <w:cantSplit/>
        </w:trPr>
        <w:tc>
          <w:tcPr>
            <w:tcW w:w="567" w:type="dxa"/>
          </w:tcPr>
          <w:p>
            <w:pPr>
              <w:pStyle w:val="yTableNAm"/>
              <w:spacing w:before="80"/>
              <w:rPr>
                <w:rFonts w:ascii="Arial" w:hAnsi="Arial"/>
                <w:b/>
              </w:rPr>
            </w:pPr>
            <w:r>
              <w:t>6.</w:t>
            </w:r>
          </w:p>
        </w:tc>
        <w:tc>
          <w:tcPr>
            <w:tcW w:w="4387" w:type="dxa"/>
          </w:tcPr>
          <w:p>
            <w:pPr>
              <w:pStyle w:val="yTableNAm"/>
              <w:spacing w:before="80"/>
              <w:rPr>
                <w:rFonts w:ascii="Arial" w:hAnsi="Arial"/>
                <w:b/>
              </w:rPr>
            </w:pPr>
            <w:r>
              <w:t>Carnarvon</w:t>
            </w:r>
          </w:p>
        </w:tc>
        <w:tc>
          <w:tcPr>
            <w:tcW w:w="999" w:type="dxa"/>
          </w:tcPr>
          <w:p>
            <w:pPr>
              <w:pStyle w:val="yTableNAm"/>
              <w:spacing w:before="80"/>
              <w:rPr>
                <w:rFonts w:ascii="Arial" w:hAnsi="Arial"/>
                <w:b/>
              </w:rPr>
            </w:pPr>
            <w:r>
              <w:t>0.065</w:t>
            </w:r>
          </w:p>
        </w:tc>
      </w:tr>
      <w:tr>
        <w:trPr>
          <w:cantSplit/>
        </w:trPr>
        <w:tc>
          <w:tcPr>
            <w:tcW w:w="567" w:type="dxa"/>
          </w:tcPr>
          <w:p>
            <w:pPr>
              <w:pStyle w:val="yTableNAm"/>
              <w:spacing w:before="80"/>
              <w:rPr>
                <w:rFonts w:ascii="Arial" w:hAnsi="Arial"/>
                <w:b/>
              </w:rPr>
            </w:pPr>
            <w:r>
              <w:t>7.</w:t>
            </w:r>
          </w:p>
        </w:tc>
        <w:tc>
          <w:tcPr>
            <w:tcW w:w="4387" w:type="dxa"/>
          </w:tcPr>
          <w:p>
            <w:pPr>
              <w:pStyle w:val="yTableNAm"/>
              <w:spacing w:before="80"/>
              <w:rPr>
                <w:rFonts w:ascii="Arial" w:hAnsi="Arial"/>
                <w:b/>
              </w:rPr>
            </w:pPr>
            <w:r>
              <w:t>Exmouth</w:t>
            </w:r>
          </w:p>
        </w:tc>
        <w:tc>
          <w:tcPr>
            <w:tcW w:w="999" w:type="dxa"/>
          </w:tcPr>
          <w:p>
            <w:pPr>
              <w:pStyle w:val="yTableNAm"/>
              <w:spacing w:before="80"/>
              <w:rPr>
                <w:rFonts w:ascii="Arial" w:hAnsi="Arial"/>
                <w:b/>
              </w:rPr>
            </w:pPr>
            <w:r>
              <w:t>0.053</w:t>
            </w:r>
          </w:p>
        </w:tc>
      </w:tr>
      <w:tr>
        <w:trPr>
          <w:cantSplit/>
        </w:trPr>
        <w:tc>
          <w:tcPr>
            <w:tcW w:w="567" w:type="dxa"/>
          </w:tcPr>
          <w:p>
            <w:pPr>
              <w:pStyle w:val="yTableNAm"/>
              <w:spacing w:before="80"/>
              <w:rPr>
                <w:rFonts w:ascii="Arial" w:hAnsi="Arial"/>
                <w:b/>
              </w:rPr>
            </w:pPr>
            <w:r>
              <w:t>8.</w:t>
            </w:r>
          </w:p>
        </w:tc>
        <w:tc>
          <w:tcPr>
            <w:tcW w:w="4387" w:type="dxa"/>
          </w:tcPr>
          <w:p>
            <w:pPr>
              <w:pStyle w:val="yTableNAm"/>
              <w:spacing w:before="80"/>
              <w:rPr>
                <w:rFonts w:ascii="Arial" w:hAnsi="Arial"/>
                <w:b/>
              </w:rPr>
            </w:pPr>
            <w:r>
              <w:t>Fremantle, at Fremantle Fishing Boat Harbour</w:t>
            </w:r>
          </w:p>
        </w:tc>
        <w:tc>
          <w:tcPr>
            <w:tcW w:w="999" w:type="dxa"/>
          </w:tcPr>
          <w:p>
            <w:pPr>
              <w:pStyle w:val="yTableNAm"/>
              <w:spacing w:before="80"/>
              <w:rPr>
                <w:rFonts w:ascii="Arial" w:hAnsi="Arial"/>
                <w:b/>
              </w:rPr>
            </w:pPr>
            <w:r>
              <w:t>0.022</w:t>
            </w:r>
          </w:p>
        </w:tc>
      </w:tr>
      <w:tr>
        <w:trPr>
          <w:cantSplit/>
        </w:trPr>
        <w:tc>
          <w:tcPr>
            <w:tcW w:w="567" w:type="dxa"/>
          </w:tcPr>
          <w:p>
            <w:pPr>
              <w:pStyle w:val="yTableNAm"/>
              <w:spacing w:before="80"/>
              <w:rPr>
                <w:rFonts w:ascii="Arial" w:hAnsi="Arial"/>
                <w:b/>
              </w:rPr>
            </w:pPr>
            <w:r>
              <w:t>9.</w:t>
            </w:r>
          </w:p>
        </w:tc>
        <w:tc>
          <w:tcPr>
            <w:tcW w:w="4387" w:type="dxa"/>
          </w:tcPr>
          <w:p>
            <w:pPr>
              <w:pStyle w:val="yTableNAm"/>
              <w:spacing w:before="80"/>
              <w:rPr>
                <w:rFonts w:ascii="Arial" w:hAnsi="Arial"/>
                <w:b/>
              </w:rPr>
            </w:pPr>
            <w:r>
              <w:t>Green Head</w:t>
            </w:r>
          </w:p>
        </w:tc>
        <w:tc>
          <w:tcPr>
            <w:tcW w:w="999" w:type="dxa"/>
          </w:tcPr>
          <w:p>
            <w:pPr>
              <w:pStyle w:val="yTableNAm"/>
              <w:spacing w:before="80"/>
              <w:rPr>
                <w:rFonts w:ascii="Arial" w:hAnsi="Arial"/>
                <w:b/>
              </w:rPr>
            </w:pPr>
            <w:r>
              <w:t>0.081</w:t>
            </w:r>
          </w:p>
        </w:tc>
      </w:tr>
      <w:tr>
        <w:trPr>
          <w:cantSplit/>
        </w:trPr>
        <w:tc>
          <w:tcPr>
            <w:tcW w:w="567" w:type="dxa"/>
          </w:tcPr>
          <w:p>
            <w:pPr>
              <w:pStyle w:val="yTableNAm"/>
              <w:spacing w:before="80"/>
              <w:rPr>
                <w:rFonts w:ascii="Arial" w:hAnsi="Arial"/>
                <w:b/>
              </w:rPr>
            </w:pPr>
            <w:r>
              <w:t>10.</w:t>
            </w:r>
          </w:p>
        </w:tc>
        <w:tc>
          <w:tcPr>
            <w:tcW w:w="4387" w:type="dxa"/>
          </w:tcPr>
          <w:p>
            <w:pPr>
              <w:pStyle w:val="yTableNAm"/>
              <w:spacing w:before="80"/>
              <w:rPr>
                <w:rFonts w:ascii="Arial" w:hAnsi="Arial"/>
                <w:b/>
              </w:rPr>
            </w:pPr>
            <w:r>
              <w:t>Hopetoun</w:t>
            </w:r>
          </w:p>
        </w:tc>
        <w:tc>
          <w:tcPr>
            <w:tcW w:w="999" w:type="dxa"/>
          </w:tcPr>
          <w:p>
            <w:pPr>
              <w:pStyle w:val="yTableNAm"/>
              <w:spacing w:before="80"/>
              <w:rPr>
                <w:rFonts w:ascii="Arial" w:hAnsi="Arial"/>
                <w:b/>
              </w:rPr>
            </w:pPr>
            <w:r>
              <w:t>0.049</w:t>
            </w:r>
          </w:p>
        </w:tc>
      </w:tr>
      <w:tr>
        <w:trPr>
          <w:cantSplit/>
        </w:trPr>
        <w:tc>
          <w:tcPr>
            <w:tcW w:w="567" w:type="dxa"/>
          </w:tcPr>
          <w:p>
            <w:pPr>
              <w:pStyle w:val="yTableNAm"/>
              <w:spacing w:before="80"/>
              <w:rPr>
                <w:rFonts w:ascii="Arial" w:hAnsi="Arial"/>
                <w:b/>
              </w:rPr>
            </w:pPr>
            <w:r>
              <w:t>11.</w:t>
            </w:r>
          </w:p>
        </w:tc>
        <w:tc>
          <w:tcPr>
            <w:tcW w:w="4387" w:type="dxa"/>
          </w:tcPr>
          <w:p>
            <w:pPr>
              <w:pStyle w:val="yTableNAm"/>
              <w:spacing w:before="80"/>
              <w:rPr>
                <w:rFonts w:ascii="Arial" w:hAnsi="Arial"/>
                <w:b/>
              </w:rPr>
            </w:pPr>
            <w:r>
              <w:t>Kalbarri</w:t>
            </w:r>
          </w:p>
        </w:tc>
        <w:tc>
          <w:tcPr>
            <w:tcW w:w="999" w:type="dxa"/>
          </w:tcPr>
          <w:p>
            <w:pPr>
              <w:pStyle w:val="yTableNAm"/>
              <w:spacing w:before="80"/>
              <w:rPr>
                <w:rFonts w:ascii="Arial" w:hAnsi="Arial"/>
                <w:b/>
              </w:rPr>
            </w:pPr>
            <w:r>
              <w:t>0.053</w:t>
            </w:r>
          </w:p>
        </w:tc>
      </w:tr>
      <w:tr>
        <w:trPr>
          <w:cantSplit/>
        </w:trPr>
        <w:tc>
          <w:tcPr>
            <w:tcW w:w="567" w:type="dxa"/>
          </w:tcPr>
          <w:p>
            <w:pPr>
              <w:pStyle w:val="yTableNAm"/>
              <w:spacing w:before="80"/>
              <w:rPr>
                <w:rFonts w:ascii="Arial" w:hAnsi="Arial"/>
                <w:b/>
              </w:rPr>
            </w:pPr>
            <w:r>
              <w:t>12.</w:t>
            </w:r>
          </w:p>
        </w:tc>
        <w:tc>
          <w:tcPr>
            <w:tcW w:w="4387" w:type="dxa"/>
          </w:tcPr>
          <w:p>
            <w:pPr>
              <w:pStyle w:val="yTableNAm"/>
              <w:spacing w:before="80"/>
              <w:rPr>
                <w:rFonts w:ascii="Arial" w:hAnsi="Arial"/>
                <w:b/>
              </w:rPr>
            </w:pPr>
            <w:r>
              <w:t>Lancelin</w:t>
            </w:r>
          </w:p>
        </w:tc>
        <w:tc>
          <w:tcPr>
            <w:tcW w:w="999" w:type="dxa"/>
          </w:tcPr>
          <w:p>
            <w:pPr>
              <w:pStyle w:val="yTableNAm"/>
              <w:spacing w:before="80"/>
              <w:rPr>
                <w:rFonts w:ascii="Arial" w:hAnsi="Arial"/>
                <w:b/>
              </w:rPr>
            </w:pPr>
            <w:r>
              <w:t>0.032</w:t>
            </w:r>
          </w:p>
        </w:tc>
      </w:tr>
      <w:tr>
        <w:trPr>
          <w:cantSplit/>
        </w:trPr>
        <w:tc>
          <w:tcPr>
            <w:tcW w:w="567" w:type="dxa"/>
          </w:tcPr>
          <w:p>
            <w:pPr>
              <w:pStyle w:val="yTableNAm"/>
              <w:spacing w:before="80"/>
              <w:rPr>
                <w:rFonts w:ascii="Arial" w:hAnsi="Arial"/>
                <w:b/>
              </w:rPr>
            </w:pPr>
            <w:r>
              <w:t>13.</w:t>
            </w:r>
          </w:p>
        </w:tc>
        <w:tc>
          <w:tcPr>
            <w:tcW w:w="4387" w:type="dxa"/>
          </w:tcPr>
          <w:p>
            <w:pPr>
              <w:pStyle w:val="yTableNAm"/>
              <w:spacing w:before="80"/>
              <w:rPr>
                <w:rFonts w:ascii="Arial" w:hAnsi="Arial"/>
                <w:b/>
              </w:rPr>
            </w:pPr>
            <w:r>
              <w:t>Leeman</w:t>
            </w:r>
          </w:p>
        </w:tc>
        <w:tc>
          <w:tcPr>
            <w:tcW w:w="999" w:type="dxa"/>
          </w:tcPr>
          <w:p>
            <w:pPr>
              <w:pStyle w:val="yTableNAm"/>
              <w:spacing w:before="80"/>
              <w:rPr>
                <w:rFonts w:ascii="Arial" w:hAnsi="Arial"/>
                <w:b/>
              </w:rPr>
            </w:pPr>
            <w:r>
              <w:t>0.050</w:t>
            </w:r>
          </w:p>
        </w:tc>
      </w:tr>
      <w:tr>
        <w:trPr>
          <w:cantSplit/>
        </w:trPr>
        <w:tc>
          <w:tcPr>
            <w:tcW w:w="567" w:type="dxa"/>
          </w:tcPr>
          <w:p>
            <w:pPr>
              <w:pStyle w:val="yTableNAm"/>
              <w:spacing w:before="80"/>
              <w:rPr>
                <w:rFonts w:ascii="Arial" w:hAnsi="Arial"/>
                <w:b/>
              </w:rPr>
            </w:pPr>
            <w:r>
              <w:t>14.</w:t>
            </w:r>
          </w:p>
        </w:tc>
        <w:tc>
          <w:tcPr>
            <w:tcW w:w="4387" w:type="dxa"/>
          </w:tcPr>
          <w:p>
            <w:pPr>
              <w:pStyle w:val="yTableNAm"/>
              <w:spacing w:before="80"/>
              <w:rPr>
                <w:rFonts w:ascii="Arial" w:hAnsi="Arial"/>
                <w:b/>
              </w:rPr>
            </w:pPr>
            <w:r>
              <w:t>Onslow, at Beadon Creek Boat Harbour</w:t>
            </w:r>
          </w:p>
        </w:tc>
        <w:tc>
          <w:tcPr>
            <w:tcW w:w="999" w:type="dxa"/>
          </w:tcPr>
          <w:p>
            <w:pPr>
              <w:pStyle w:val="yTableNAm"/>
              <w:spacing w:before="80"/>
              <w:rPr>
                <w:rFonts w:ascii="Arial" w:hAnsi="Arial"/>
                <w:b/>
              </w:rPr>
            </w:pPr>
            <w:r>
              <w:t>0.053</w:t>
            </w:r>
          </w:p>
        </w:tc>
      </w:tr>
      <w:tr>
        <w:trPr>
          <w:cantSplit/>
        </w:trPr>
        <w:tc>
          <w:tcPr>
            <w:tcW w:w="567" w:type="dxa"/>
          </w:tcPr>
          <w:p>
            <w:pPr>
              <w:pStyle w:val="yTableNAm"/>
              <w:spacing w:before="80"/>
              <w:rPr>
                <w:rFonts w:ascii="Arial" w:hAnsi="Arial"/>
                <w:b/>
              </w:rPr>
            </w:pPr>
            <w:r>
              <w:t>15.</w:t>
            </w:r>
          </w:p>
        </w:tc>
        <w:tc>
          <w:tcPr>
            <w:tcW w:w="4387" w:type="dxa"/>
          </w:tcPr>
          <w:p>
            <w:pPr>
              <w:pStyle w:val="yTableNAm"/>
              <w:spacing w:before="80"/>
              <w:rPr>
                <w:rFonts w:ascii="Arial" w:hAnsi="Arial"/>
                <w:b/>
              </w:rPr>
            </w:pPr>
            <w:r>
              <w:t>Point Samson, at Johns Creek Boat Harbour</w:t>
            </w:r>
          </w:p>
        </w:tc>
        <w:tc>
          <w:tcPr>
            <w:tcW w:w="999" w:type="dxa"/>
          </w:tcPr>
          <w:p>
            <w:pPr>
              <w:pStyle w:val="yTableNAm"/>
              <w:spacing w:before="80"/>
              <w:rPr>
                <w:rFonts w:ascii="Arial" w:hAnsi="Arial"/>
                <w:b/>
              </w:rPr>
            </w:pPr>
            <w:r>
              <w:t>0.053</w:t>
            </w:r>
          </w:p>
        </w:tc>
      </w:tr>
      <w:tr>
        <w:trPr>
          <w:cantSplit/>
        </w:trPr>
        <w:tc>
          <w:tcPr>
            <w:tcW w:w="567" w:type="dxa"/>
          </w:tcPr>
          <w:p>
            <w:pPr>
              <w:pStyle w:val="yTableNAm"/>
              <w:spacing w:before="80"/>
              <w:rPr>
                <w:rFonts w:ascii="Arial" w:hAnsi="Arial"/>
                <w:b/>
              </w:rPr>
            </w:pPr>
            <w:r>
              <w:t>16.</w:t>
            </w:r>
          </w:p>
        </w:tc>
        <w:tc>
          <w:tcPr>
            <w:tcW w:w="4387" w:type="dxa"/>
          </w:tcPr>
          <w:p>
            <w:pPr>
              <w:pStyle w:val="yTableNAm"/>
              <w:spacing w:before="80"/>
              <w:rPr>
                <w:rFonts w:ascii="Arial" w:hAnsi="Arial"/>
                <w:b/>
              </w:rPr>
            </w:pPr>
            <w:r>
              <w:t>Port Gregory</w:t>
            </w:r>
          </w:p>
        </w:tc>
        <w:tc>
          <w:tcPr>
            <w:tcW w:w="999" w:type="dxa"/>
          </w:tcPr>
          <w:p>
            <w:pPr>
              <w:pStyle w:val="yTableNAm"/>
              <w:spacing w:before="80"/>
              <w:rPr>
                <w:rFonts w:ascii="Arial" w:hAnsi="Arial"/>
                <w:b/>
              </w:rPr>
            </w:pPr>
            <w:r>
              <w:t>0.070</w:t>
            </w:r>
          </w:p>
        </w:tc>
      </w:tr>
      <w:tr>
        <w:trPr>
          <w:cantSplit/>
        </w:trPr>
        <w:tc>
          <w:tcPr>
            <w:tcW w:w="567" w:type="dxa"/>
            <w:tcBorders>
              <w:bottom w:val="single" w:sz="4" w:space="0" w:color="auto"/>
            </w:tcBorders>
          </w:tcPr>
          <w:p>
            <w:pPr>
              <w:pStyle w:val="yTableNAm"/>
              <w:spacing w:before="80"/>
              <w:rPr>
                <w:rFonts w:ascii="Arial" w:hAnsi="Arial"/>
                <w:b/>
              </w:rPr>
            </w:pPr>
            <w:r>
              <w:t>17.</w:t>
            </w:r>
          </w:p>
        </w:tc>
        <w:tc>
          <w:tcPr>
            <w:tcW w:w="4387" w:type="dxa"/>
            <w:tcBorders>
              <w:bottom w:val="single" w:sz="4" w:space="0" w:color="auto"/>
            </w:tcBorders>
          </w:tcPr>
          <w:p>
            <w:pPr>
              <w:pStyle w:val="yTableNAm"/>
              <w:spacing w:before="80"/>
              <w:rPr>
                <w:rFonts w:ascii="Arial" w:hAnsi="Arial"/>
                <w:b/>
              </w:rPr>
            </w:pPr>
            <w:r>
              <w:t>Wyndham</w:t>
            </w:r>
          </w:p>
        </w:tc>
        <w:tc>
          <w:tcPr>
            <w:tcW w:w="999" w:type="dxa"/>
            <w:tcBorders>
              <w:bottom w:val="single" w:sz="4" w:space="0" w:color="auto"/>
            </w:tcBorders>
          </w:tcPr>
          <w:p>
            <w:pPr>
              <w:pStyle w:val="yTableNAm"/>
              <w:spacing w:before="80"/>
              <w:rPr>
                <w:rFonts w:ascii="Arial" w:hAnsi="Arial"/>
                <w:b/>
              </w:rPr>
            </w:pPr>
            <w:r>
              <w:t>0.01031</w:t>
            </w:r>
          </w:p>
        </w:tc>
      </w:tr>
    </w:tbl>
    <w:p>
      <w:pPr>
        <w:pStyle w:val="yFootnotesection"/>
      </w:pPr>
      <w:r>
        <w:tab/>
        <w:t>[Clause 1 inserted in Gazette 28 Jun 2013 p. 2878</w:t>
      </w:r>
      <w:r>
        <w:noBreakHyphen/>
        <w:t>9.]</w:t>
      </w:r>
    </w:p>
    <w:p>
      <w:pPr>
        <w:pStyle w:val="yScheduleHeading"/>
      </w:pPr>
      <w:bookmarkStart w:id="173" w:name="_Toc375231188"/>
      <w:r>
        <w:rPr>
          <w:rStyle w:val="CharSchNo"/>
        </w:rPr>
        <w:t>Schedule 2</w:t>
      </w:r>
      <w:r>
        <w:t> — </w:t>
      </w:r>
      <w:r>
        <w:rPr>
          <w:rStyle w:val="CharSchText"/>
        </w:rPr>
        <w:t>Port of Perth fees</w:t>
      </w:r>
      <w:bookmarkEnd w:id="173"/>
    </w:p>
    <w:p>
      <w:pPr>
        <w:pStyle w:val="yShoulderClause"/>
      </w:pPr>
      <w:r>
        <w:t>[r. 72]</w:t>
      </w:r>
    </w:p>
    <w:p>
      <w:pPr>
        <w:pStyle w:val="yFootnoteheading"/>
        <w:spacing w:after="60"/>
      </w:pPr>
      <w:r>
        <w:tab/>
        <w:t>[Heading inserted in Gazette 28 Jun 2013 p. 2879.]</w:t>
      </w:r>
    </w:p>
    <w:p>
      <w:pPr>
        <w:pStyle w:val="yHeading3"/>
      </w:pPr>
      <w:bookmarkStart w:id="174" w:name="_Toc375231189"/>
      <w:r>
        <w:rPr>
          <w:rStyle w:val="CharSDivNo"/>
        </w:rPr>
        <w:t>Division 1</w:t>
      </w:r>
      <w:r>
        <w:rPr>
          <w:bCs/>
        </w:rPr>
        <w:t> — </w:t>
      </w:r>
      <w:r>
        <w:rPr>
          <w:rStyle w:val="CharSDivText"/>
        </w:rPr>
        <w:t>Fees for jetties</w:t>
      </w:r>
      <w:bookmarkEnd w:id="174"/>
    </w:p>
    <w:p>
      <w:pPr>
        <w:pStyle w:val="yFootnoteheading"/>
        <w:spacing w:after="60"/>
      </w:pPr>
      <w:r>
        <w:tab/>
        <w:t>[Heading inserted in Gazette 28 Jun 2013 p. 2879.]</w:t>
      </w:r>
    </w:p>
    <w:p>
      <w:pPr>
        <w:pStyle w:val="yHeading5"/>
      </w:pPr>
      <w:bookmarkStart w:id="175" w:name="_Toc375231190"/>
      <w:r>
        <w:rPr>
          <w:rStyle w:val="CharSClsNo"/>
        </w:rPr>
        <w:t>1</w:t>
      </w:r>
      <w:r>
        <w:t>.</w:t>
      </w:r>
      <w:r>
        <w:tab/>
        <w:t xml:space="preserve">Barrack Street and </w:t>
      </w:r>
      <w:smartTag w:uri="urn:schemas-microsoft-com:office:smarttags" w:element="Street">
        <w:smartTag w:uri="urn:schemas-microsoft-com:office:smarttags" w:element="address">
          <w:r>
            <w:t>Mends Street</w:t>
          </w:r>
        </w:smartTag>
      </w:smartTag>
      <w:r>
        <w:t xml:space="preserve"> jetties</w:t>
      </w:r>
      <w:bookmarkEnd w:id="175"/>
    </w:p>
    <w:p>
      <w:pPr>
        <w:pStyle w:val="ySubsection"/>
      </w:pPr>
      <w:r>
        <w:tab/>
        <w:t>(1)</w:t>
      </w:r>
      <w:r>
        <w:tab/>
        <w:t xml:space="preserve">This clause applies to jetties at </w:t>
      </w:r>
      <w:smartTag w:uri="urn:schemas-microsoft-com:office:smarttags" w:element="Street">
        <w:smartTag w:uri="urn:schemas-microsoft-com:office:smarttags" w:element="address">
          <w:r>
            <w:t>Barrack Street</w:t>
          </w:r>
        </w:smartTag>
      </w:smartTag>
      <w:r>
        <w:t xml:space="preserve"> and </w:t>
      </w:r>
      <w:smartTag w:uri="urn:schemas-microsoft-com:office:smarttags" w:element="Street">
        <w:smartTag w:uri="urn:schemas-microsoft-com:office:smarttags" w:element="address">
          <w:r>
            <w:t>Mends Street</w:t>
          </w:r>
        </w:smartTag>
      </w:smartTag>
      <w:r>
        <w:t>.</w:t>
      </w:r>
    </w:p>
    <w:p>
      <w:pPr>
        <w:pStyle w:val="ySubsection"/>
      </w:pPr>
      <w:r>
        <w:tab/>
        <w:t>(2)</w:t>
      </w:r>
      <w:r>
        <w:tab/>
        <w:t>The fees to be paid under regulation 72 for a permit to use a jetty are set out in Table 1.1.</w:t>
      </w:r>
    </w:p>
    <w:p>
      <w:pPr>
        <w:pStyle w:val="yTHeadingNAm"/>
      </w:pPr>
      <w:r>
        <w:t>Table 1.1 (Jetty permits)</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5386"/>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5386" w:type="dxa"/>
            <w:tcBorders>
              <w:top w:val="single" w:sz="4" w:space="0" w:color="auto"/>
              <w:bottom w:val="single" w:sz="4" w:space="0" w:color="auto"/>
            </w:tcBorders>
          </w:tcPr>
          <w:p>
            <w:pPr>
              <w:pStyle w:val="yTableNAm"/>
              <w:rPr>
                <w:b/>
              </w:rPr>
            </w:pPr>
            <w:r>
              <w:rPr>
                <w:b/>
              </w:rPr>
              <w:t>Service and fee</w:t>
            </w:r>
          </w:p>
        </w:tc>
      </w:tr>
      <w:tr>
        <w:trPr>
          <w:cantSplit/>
        </w:trPr>
        <w:tc>
          <w:tcPr>
            <w:tcW w:w="567" w:type="dxa"/>
          </w:tcPr>
          <w:p>
            <w:pPr>
              <w:pStyle w:val="yTableNAm"/>
            </w:pPr>
            <w:r>
              <w:t>1.</w:t>
            </w:r>
          </w:p>
        </w:tc>
        <w:tc>
          <w:tcPr>
            <w:tcW w:w="5386" w:type="dxa"/>
          </w:tcPr>
          <w:p>
            <w:pPr>
              <w:pStyle w:val="yTableNAm"/>
            </w:pPr>
            <w:r>
              <w:t>For vessel for 12 months — the higher of $4 321.67 and the result of the following calculation —</w:t>
            </w:r>
          </w:p>
        </w:tc>
      </w:tr>
      <w:tr>
        <w:trPr>
          <w:cantSplit/>
        </w:trPr>
        <w:tc>
          <w:tcPr>
            <w:tcW w:w="567" w:type="dxa"/>
          </w:tcPr>
          <w:p>
            <w:pPr>
              <w:pStyle w:val="yTableNAm"/>
            </w:pPr>
          </w:p>
        </w:tc>
        <w:tc>
          <w:tcPr>
            <w:tcW w:w="5386" w:type="dxa"/>
          </w:tcPr>
          <w:p>
            <w:pPr>
              <w:pStyle w:val="yTableNAm"/>
              <w:tabs>
                <w:tab w:val="clear" w:pos="567"/>
                <w:tab w:val="left" w:pos="415"/>
              </w:tabs>
              <w:ind w:left="415" w:hanging="415"/>
            </w:pPr>
            <w:r>
              <w:t>•</w:t>
            </w:r>
            <w:r>
              <w:tab/>
              <w:t>$60.50 per passenger calculated on the vessel’s passenger carrying capacity under its highest class of survey</w:t>
            </w:r>
          </w:p>
        </w:tc>
      </w:tr>
      <w:tr>
        <w:trPr>
          <w:cantSplit/>
        </w:trPr>
        <w:tc>
          <w:tcPr>
            <w:tcW w:w="567" w:type="dxa"/>
          </w:tcPr>
          <w:p>
            <w:pPr>
              <w:pStyle w:val="yTableNAm"/>
            </w:pPr>
          </w:p>
        </w:tc>
        <w:tc>
          <w:tcPr>
            <w:tcW w:w="5386" w:type="dxa"/>
          </w:tcPr>
          <w:p>
            <w:pPr>
              <w:pStyle w:val="yTableNAm"/>
              <w:tabs>
                <w:tab w:val="clear" w:pos="567"/>
                <w:tab w:val="left" w:pos="415"/>
              </w:tabs>
              <w:ind w:left="415" w:hanging="415"/>
            </w:pPr>
            <w:r>
              <w:t>•</w:t>
            </w:r>
            <w:r>
              <w:tab/>
              <w:t>plus —</w:t>
            </w:r>
          </w:p>
        </w:tc>
      </w:tr>
      <w:tr>
        <w:trPr>
          <w:cantSplit/>
        </w:trPr>
        <w:tc>
          <w:tcPr>
            <w:tcW w:w="567" w:type="dxa"/>
          </w:tcPr>
          <w:p>
            <w:pPr>
              <w:pStyle w:val="yTableNAm"/>
            </w:pPr>
          </w:p>
        </w:tc>
        <w:tc>
          <w:tcPr>
            <w:tcW w:w="5386" w:type="dxa"/>
          </w:tcPr>
          <w:p>
            <w:pPr>
              <w:pStyle w:val="yTableNAm"/>
              <w:tabs>
                <w:tab w:val="clear" w:pos="567"/>
                <w:tab w:val="left" w:pos="510"/>
                <w:tab w:val="left" w:pos="875"/>
              </w:tabs>
              <w:ind w:left="891" w:hanging="891"/>
            </w:pPr>
            <w:r>
              <w:tab/>
              <w:t>•</w:t>
            </w:r>
            <w:r>
              <w:tab/>
              <w:t>for vessel up to 35 m long, the higher of $7 778.98 and $432.17 per m of the vessel’s length; or</w:t>
            </w:r>
          </w:p>
        </w:tc>
      </w:tr>
      <w:tr>
        <w:trPr>
          <w:cantSplit/>
        </w:trPr>
        <w:tc>
          <w:tcPr>
            <w:tcW w:w="567" w:type="dxa"/>
          </w:tcPr>
          <w:p>
            <w:pPr>
              <w:pStyle w:val="yTableNAm"/>
            </w:pPr>
          </w:p>
        </w:tc>
        <w:tc>
          <w:tcPr>
            <w:tcW w:w="5386" w:type="dxa"/>
          </w:tcPr>
          <w:p>
            <w:pPr>
              <w:pStyle w:val="yTableNAm"/>
              <w:tabs>
                <w:tab w:val="clear" w:pos="567"/>
                <w:tab w:val="left" w:pos="510"/>
                <w:tab w:val="left" w:pos="875"/>
              </w:tabs>
              <w:ind w:left="891" w:hanging="891"/>
            </w:pPr>
            <w:r>
              <w:tab/>
              <w:t>•</w:t>
            </w:r>
            <w:r>
              <w:tab/>
              <w:t>for vessel 35 m long or over, $691.47 per m of the vessel’s length</w:t>
            </w:r>
          </w:p>
        </w:tc>
      </w:tr>
      <w:tr>
        <w:trPr>
          <w:cantSplit/>
        </w:trPr>
        <w:tc>
          <w:tcPr>
            <w:tcW w:w="567" w:type="dxa"/>
          </w:tcPr>
          <w:p>
            <w:pPr>
              <w:pStyle w:val="yTableNAm"/>
            </w:pPr>
          </w:p>
        </w:tc>
        <w:tc>
          <w:tcPr>
            <w:tcW w:w="5386" w:type="dxa"/>
          </w:tcPr>
          <w:p>
            <w:pPr>
              <w:pStyle w:val="yTableNAm"/>
              <w:tabs>
                <w:tab w:val="clear" w:pos="567"/>
                <w:tab w:val="left" w:pos="415"/>
              </w:tabs>
              <w:ind w:left="415" w:hanging="415"/>
            </w:pPr>
            <w:r>
              <w:t>•</w:t>
            </w:r>
            <w:r>
              <w:tab/>
              <w:t>minus — $6 050.35</w:t>
            </w:r>
          </w:p>
        </w:tc>
      </w:tr>
      <w:tr>
        <w:trPr>
          <w:cantSplit/>
        </w:trPr>
        <w:tc>
          <w:tcPr>
            <w:tcW w:w="567" w:type="dxa"/>
            <w:tcBorders>
              <w:bottom w:val="single" w:sz="4" w:space="0" w:color="auto"/>
            </w:tcBorders>
          </w:tcPr>
          <w:p>
            <w:pPr>
              <w:pStyle w:val="yTableNAm"/>
            </w:pPr>
            <w:r>
              <w:t>2.</w:t>
            </w:r>
          </w:p>
        </w:tc>
        <w:tc>
          <w:tcPr>
            <w:tcW w:w="5386" w:type="dxa"/>
            <w:tcBorders>
              <w:bottom w:val="single" w:sz="4" w:space="0" w:color="auto"/>
            </w:tcBorders>
          </w:tcPr>
          <w:p>
            <w:pPr>
              <w:pStyle w:val="yTableNAm"/>
            </w:pPr>
            <w:r>
              <w:t>Sullage fee for vessel for which the item 1 fee has not been paid, per pump out — $86.44</w:t>
            </w:r>
          </w:p>
        </w:tc>
      </w:tr>
    </w:tbl>
    <w:p>
      <w:pPr>
        <w:pStyle w:val="yFootnotesection"/>
      </w:pPr>
      <w:r>
        <w:tab/>
        <w:t>[Clause 1 inserted in Gazette 28 Jun 2013 p. 2879</w:t>
      </w:r>
      <w:r>
        <w:noBreakHyphen/>
        <w:t>80.]</w:t>
      </w:r>
    </w:p>
    <w:p>
      <w:pPr>
        <w:pStyle w:val="yHeading5"/>
      </w:pPr>
      <w:bookmarkStart w:id="176" w:name="_Toc375231191"/>
      <w:r>
        <w:rPr>
          <w:rStyle w:val="CharSClsNo"/>
        </w:rPr>
        <w:t>2</w:t>
      </w:r>
      <w:r>
        <w:t>.</w:t>
      </w:r>
      <w:r>
        <w:rPr>
          <w:b w:val="0"/>
        </w:rPr>
        <w:tab/>
      </w:r>
      <w:r>
        <w:t xml:space="preserve">Other jetties in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bookmarkEnd w:id="176"/>
    </w:p>
    <w:p>
      <w:pPr>
        <w:pStyle w:val="ySubsection"/>
      </w:pPr>
      <w:r>
        <w:tab/>
        <w:t>(1)</w:t>
      </w:r>
      <w:r>
        <w:tab/>
        <w:t xml:space="preserve">This clause applies to jetties in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other than at </w:t>
      </w:r>
      <w:smartTag w:uri="urn:schemas-microsoft-com:office:smarttags" w:element="Street">
        <w:smartTag w:uri="urn:schemas-microsoft-com:office:smarttags" w:element="address">
          <w:r>
            <w:t>Barrack Street</w:t>
          </w:r>
        </w:smartTag>
      </w:smartTag>
      <w:r>
        <w:t xml:space="preserve"> or </w:t>
      </w:r>
      <w:smartTag w:uri="urn:schemas-microsoft-com:office:smarttags" w:element="Street">
        <w:smartTag w:uri="urn:schemas-microsoft-com:office:smarttags" w:element="address">
          <w:r>
            <w:t>Mends Street</w:t>
          </w:r>
        </w:smartTag>
      </w:smartTag>
      <w:r>
        <w:t>.</w:t>
      </w:r>
    </w:p>
    <w:p>
      <w:pPr>
        <w:pStyle w:val="ySubsection"/>
      </w:pPr>
      <w:r>
        <w:tab/>
        <w:t>(2)</w:t>
      </w:r>
      <w:r>
        <w:tab/>
        <w:t>The fees to be paid under regulation 72 for a permit to use a jetty are set out in Table 2.1.</w:t>
      </w:r>
    </w:p>
    <w:p>
      <w:pPr>
        <w:pStyle w:val="yTHeadingNAm"/>
      </w:pPr>
      <w:r>
        <w:t>Table 2.1 (Jetty permits)</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87"/>
        <w:gridCol w:w="999"/>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87" w:type="dxa"/>
            <w:tcBorders>
              <w:top w:val="single" w:sz="4" w:space="0" w:color="auto"/>
              <w:bottom w:val="single" w:sz="4" w:space="0" w:color="auto"/>
            </w:tcBorders>
          </w:tcPr>
          <w:p>
            <w:pPr>
              <w:pStyle w:val="yTableNAm"/>
              <w:rPr>
                <w:b/>
              </w:rPr>
            </w:pPr>
            <w:r>
              <w:rPr>
                <w:b/>
              </w:rPr>
              <w:t>Service</w:t>
            </w:r>
          </w:p>
        </w:tc>
        <w:tc>
          <w:tcPr>
            <w:tcW w:w="999"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87" w:type="dxa"/>
          </w:tcPr>
          <w:p>
            <w:pPr>
              <w:pStyle w:val="yTableNAm"/>
            </w:pPr>
            <w:r>
              <w:t>For commercial or charter vessel —</w:t>
            </w:r>
          </w:p>
        </w:tc>
        <w:tc>
          <w:tcPr>
            <w:tcW w:w="999" w:type="dxa"/>
          </w:tcPr>
          <w:p>
            <w:pPr>
              <w:pStyle w:val="yTableNAm"/>
              <w:jc w:val="right"/>
            </w:pPr>
          </w:p>
        </w:tc>
      </w:tr>
      <w:tr>
        <w:trPr>
          <w:cantSplit/>
        </w:trPr>
        <w:tc>
          <w:tcPr>
            <w:tcW w:w="567" w:type="dxa"/>
            <w:tcBorders>
              <w:bottom w:val="single" w:sz="4" w:space="0" w:color="auto"/>
            </w:tcBorders>
          </w:tcPr>
          <w:p>
            <w:pPr>
              <w:pStyle w:val="yTableNAm"/>
            </w:pPr>
          </w:p>
        </w:tc>
        <w:tc>
          <w:tcPr>
            <w:tcW w:w="4387" w:type="dxa"/>
            <w:tcBorders>
              <w:bottom w:val="single" w:sz="4" w:space="0" w:color="auto"/>
            </w:tcBorders>
          </w:tcPr>
          <w:p>
            <w:pPr>
              <w:pStyle w:val="yTableNAm"/>
              <w:tabs>
                <w:tab w:val="clear" w:pos="567"/>
                <w:tab w:val="left" w:pos="415"/>
              </w:tabs>
              <w:ind w:left="415" w:hanging="415"/>
            </w:pPr>
            <w:r>
              <w:t>•</w:t>
            </w:r>
            <w:r>
              <w:tab/>
              <w:t>for 12 months, per m of the vessel’s length</w:t>
            </w:r>
          </w:p>
        </w:tc>
        <w:tc>
          <w:tcPr>
            <w:tcW w:w="999" w:type="dxa"/>
            <w:tcBorders>
              <w:bottom w:val="single" w:sz="4" w:space="0" w:color="auto"/>
            </w:tcBorders>
            <w:vAlign w:val="bottom"/>
          </w:tcPr>
          <w:p>
            <w:pPr>
              <w:pStyle w:val="yTableNAm"/>
              <w:jc w:val="right"/>
            </w:pPr>
            <w:r>
              <w:t>80.50</w:t>
            </w:r>
          </w:p>
        </w:tc>
      </w:tr>
    </w:tbl>
    <w:p>
      <w:pPr>
        <w:pStyle w:val="yFootnotesection"/>
      </w:pPr>
      <w:r>
        <w:tab/>
        <w:t>[Clause 2 inserted in Gazette 28 Jun 2013 p. 2880.]</w:t>
      </w:r>
    </w:p>
    <w:p>
      <w:pPr>
        <w:pStyle w:val="yHeading3"/>
      </w:pPr>
      <w:bookmarkStart w:id="177" w:name="_Toc375231192"/>
      <w:r>
        <w:rPr>
          <w:rStyle w:val="CharSDivNo"/>
        </w:rPr>
        <w:t>Division 2</w:t>
      </w:r>
      <w:r>
        <w:rPr>
          <w:bCs/>
        </w:rPr>
        <w:t> — </w:t>
      </w:r>
      <w:r>
        <w:rPr>
          <w:rStyle w:val="CharSDivText"/>
        </w:rPr>
        <w:t>Fees for boat pens</w:t>
      </w:r>
      <w:bookmarkEnd w:id="177"/>
    </w:p>
    <w:p>
      <w:pPr>
        <w:pStyle w:val="yFootnoteheading"/>
        <w:spacing w:after="60"/>
      </w:pPr>
      <w:r>
        <w:tab/>
        <w:t>[Heading inserted in Gazette 28 Jun 2013 p. 2881.]</w:t>
      </w:r>
    </w:p>
    <w:p>
      <w:pPr>
        <w:pStyle w:val="yHeading5"/>
      </w:pPr>
      <w:bookmarkStart w:id="178" w:name="_Toc375231193"/>
      <w:r>
        <w:rPr>
          <w:rStyle w:val="CharSClsNo"/>
        </w:rPr>
        <w:t>3</w:t>
      </w:r>
      <w:r>
        <w:t>.</w:t>
      </w:r>
      <w:r>
        <w:rPr>
          <w:b w:val="0"/>
        </w:rPr>
        <w:tab/>
      </w:r>
      <w:r>
        <w:t xml:space="preserve">Fremantle, </w:t>
      </w:r>
      <w:smartTag w:uri="urn:schemas-microsoft-com:office:smarttags" w:element="place">
        <w:smartTag w:uri="urn:schemas-microsoft-com:office:smarttags" w:element="PlaceName">
          <w:r>
            <w:t>Challenger</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178"/>
    </w:p>
    <w:p>
      <w:pPr>
        <w:pStyle w:val="ySubsection"/>
      </w:pPr>
      <w:r>
        <w:tab/>
        <w:t>(1)</w:t>
      </w:r>
      <w:r>
        <w:tab/>
        <w:t xml:space="preserve">This clause applies to </w:t>
      </w:r>
      <w:smartTag w:uri="urn:schemas-microsoft-com:office:smarttags" w:element="place">
        <w:smartTag w:uri="urn:schemas-microsoft-com:office:smarttags" w:element="PlaceName">
          <w:r>
            <w:t>Challenger</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Fremantle.</w:t>
      </w:r>
    </w:p>
    <w:p>
      <w:pPr>
        <w:pStyle w:val="ySubsection"/>
      </w:pPr>
      <w:r>
        <w:tab/>
        <w:t>(2)</w:t>
      </w:r>
      <w:r>
        <w:tab/>
        <w:t>The fees to be paid under regulation 72 for a permit to use a boat pen are set out in Table 3.1.</w:t>
      </w:r>
    </w:p>
    <w:p>
      <w:pPr>
        <w:pStyle w:val="yTHeadingNAm"/>
      </w:pPr>
      <w:r>
        <w:t>Table 3.1 (Pen permits)</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4" w:type="dxa"/>
            <w:tcBorders>
              <w:top w:val="single" w:sz="4" w:space="0" w:color="auto"/>
              <w:bottom w:val="single" w:sz="4" w:space="0" w:color="auto"/>
            </w:tcBorders>
          </w:tcPr>
          <w:p>
            <w:pPr>
              <w:pStyle w:val="yTableNAm"/>
              <w:rPr>
                <w:b/>
              </w:rPr>
            </w:pPr>
            <w:r>
              <w:rPr>
                <w:b/>
              </w:rPr>
              <w:t>Service</w:t>
            </w:r>
          </w:p>
        </w:tc>
        <w:tc>
          <w:tcPr>
            <w:tcW w:w="992"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4" w:type="dxa"/>
          </w:tcPr>
          <w:p>
            <w:pPr>
              <w:pStyle w:val="yTableNAm"/>
            </w:pPr>
            <w:r>
              <w:t>For catamaran pen with walkways, per m of the longer of the vessel’s length and the pen’s length —</w:t>
            </w:r>
          </w:p>
        </w:tc>
        <w:tc>
          <w:tcPr>
            <w:tcW w:w="992" w:type="dxa"/>
          </w:tcPr>
          <w:p>
            <w:pPr>
              <w:pStyle w:val="yTableNAm"/>
              <w:jc w:val="right"/>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12 months paid in advance</w:t>
            </w:r>
          </w:p>
        </w:tc>
        <w:tc>
          <w:tcPr>
            <w:tcW w:w="992" w:type="dxa"/>
            <w:vAlign w:val="bottom"/>
          </w:tcPr>
          <w:p>
            <w:pPr>
              <w:pStyle w:val="yTableNAm"/>
              <w:jc w:val="right"/>
              <w:rPr>
                <w:szCs w:val="22"/>
              </w:rPr>
            </w:pPr>
            <w:r>
              <w:rPr>
                <w:szCs w:val="22"/>
              </w:rPr>
              <w:t>811.14</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3 months or more, per month, paid in advance</w:t>
            </w:r>
          </w:p>
        </w:tc>
        <w:tc>
          <w:tcPr>
            <w:tcW w:w="992" w:type="dxa"/>
            <w:vAlign w:val="bottom"/>
          </w:tcPr>
          <w:p>
            <w:pPr>
              <w:pStyle w:val="yTableNAm"/>
              <w:jc w:val="right"/>
              <w:rPr>
                <w:szCs w:val="22"/>
              </w:rPr>
            </w:pPr>
            <w:r>
              <w:rPr>
                <w:szCs w:val="22"/>
              </w:rPr>
              <w:t>81.15</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one month or more, per month, paid in advance</w:t>
            </w:r>
          </w:p>
        </w:tc>
        <w:tc>
          <w:tcPr>
            <w:tcW w:w="992" w:type="dxa"/>
            <w:vAlign w:val="bottom"/>
          </w:tcPr>
          <w:p>
            <w:pPr>
              <w:pStyle w:val="yTableNAm"/>
              <w:jc w:val="right"/>
              <w:rPr>
                <w:szCs w:val="22"/>
              </w:rPr>
            </w:pPr>
            <w:r>
              <w:rPr>
                <w:szCs w:val="22"/>
              </w:rPr>
              <w:t>121.67</w:t>
            </w:r>
          </w:p>
        </w:tc>
      </w:tr>
      <w:tr>
        <w:trPr>
          <w:cantSplit/>
        </w:trPr>
        <w:tc>
          <w:tcPr>
            <w:tcW w:w="567" w:type="dxa"/>
          </w:tcPr>
          <w:p>
            <w:pPr>
              <w:pStyle w:val="yTableNAm"/>
            </w:pPr>
            <w:r>
              <w:t>2.</w:t>
            </w:r>
          </w:p>
        </w:tc>
        <w:tc>
          <w:tcPr>
            <w:tcW w:w="4394" w:type="dxa"/>
          </w:tcPr>
          <w:p>
            <w:pPr>
              <w:pStyle w:val="yTableNAm"/>
            </w:pPr>
            <w:r>
              <w:t>For other pen with walkways, per m of the longer of the vessel’s length and the pen’s length —</w:t>
            </w:r>
          </w:p>
        </w:tc>
        <w:tc>
          <w:tcPr>
            <w:tcW w:w="992" w:type="dxa"/>
            <w:vAlign w:val="bottom"/>
          </w:tcPr>
          <w:p>
            <w:pPr>
              <w:pStyle w:val="yTableNAm"/>
              <w:jc w:val="right"/>
              <w:rPr>
                <w:szCs w:val="22"/>
              </w:rPr>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12 months paid in advance</w:t>
            </w:r>
          </w:p>
        </w:tc>
        <w:tc>
          <w:tcPr>
            <w:tcW w:w="992" w:type="dxa"/>
            <w:vAlign w:val="bottom"/>
          </w:tcPr>
          <w:p>
            <w:pPr>
              <w:pStyle w:val="yTableNAm"/>
              <w:jc w:val="right"/>
              <w:rPr>
                <w:szCs w:val="22"/>
              </w:rPr>
            </w:pPr>
            <w:r>
              <w:rPr>
                <w:szCs w:val="22"/>
              </w:rPr>
              <w:t>558.90</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3 months or more, per month, paid in advance</w:t>
            </w:r>
          </w:p>
        </w:tc>
        <w:tc>
          <w:tcPr>
            <w:tcW w:w="992" w:type="dxa"/>
            <w:vAlign w:val="bottom"/>
          </w:tcPr>
          <w:p>
            <w:pPr>
              <w:pStyle w:val="yTableNAm"/>
              <w:jc w:val="right"/>
              <w:rPr>
                <w:szCs w:val="22"/>
              </w:rPr>
            </w:pPr>
            <w:r>
              <w:rPr>
                <w:szCs w:val="22"/>
              </w:rPr>
              <w:t>55.89</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one month or more, per month, paid in advance</w:t>
            </w:r>
          </w:p>
        </w:tc>
        <w:tc>
          <w:tcPr>
            <w:tcW w:w="992" w:type="dxa"/>
            <w:vAlign w:val="bottom"/>
          </w:tcPr>
          <w:p>
            <w:pPr>
              <w:pStyle w:val="yTableNAm"/>
              <w:jc w:val="right"/>
              <w:rPr>
                <w:szCs w:val="22"/>
              </w:rPr>
            </w:pPr>
            <w:r>
              <w:rPr>
                <w:szCs w:val="22"/>
              </w:rPr>
              <w:t>83.83</w:t>
            </w:r>
          </w:p>
        </w:tc>
      </w:tr>
      <w:tr>
        <w:trPr>
          <w:cantSplit/>
        </w:trPr>
        <w:tc>
          <w:tcPr>
            <w:tcW w:w="567" w:type="dxa"/>
          </w:tcPr>
          <w:p>
            <w:pPr>
              <w:pStyle w:val="yTableNAm"/>
            </w:pPr>
            <w:r>
              <w:t>3.</w:t>
            </w:r>
          </w:p>
        </w:tc>
        <w:tc>
          <w:tcPr>
            <w:tcW w:w="4394" w:type="dxa"/>
          </w:tcPr>
          <w:p>
            <w:pPr>
              <w:pStyle w:val="yTableNAm"/>
            </w:pPr>
            <w:r>
              <w:t>For pen without walkways, per m of the longer of the vessel’s length and the pen’s length —</w:t>
            </w:r>
          </w:p>
        </w:tc>
        <w:tc>
          <w:tcPr>
            <w:tcW w:w="992" w:type="dxa"/>
            <w:vAlign w:val="bottom"/>
          </w:tcPr>
          <w:p>
            <w:pPr>
              <w:pStyle w:val="yTableNAm"/>
              <w:jc w:val="right"/>
              <w:rPr>
                <w:szCs w:val="22"/>
              </w:rPr>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12 months paid in advance</w:t>
            </w:r>
          </w:p>
        </w:tc>
        <w:tc>
          <w:tcPr>
            <w:tcW w:w="992" w:type="dxa"/>
            <w:vAlign w:val="bottom"/>
          </w:tcPr>
          <w:p>
            <w:pPr>
              <w:pStyle w:val="yTableNAm"/>
              <w:jc w:val="right"/>
              <w:rPr>
                <w:szCs w:val="22"/>
              </w:rPr>
            </w:pPr>
            <w:r>
              <w:rPr>
                <w:szCs w:val="22"/>
              </w:rPr>
              <w:t>504.81</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3 months or more, per month, paid in advance</w:t>
            </w:r>
          </w:p>
        </w:tc>
        <w:tc>
          <w:tcPr>
            <w:tcW w:w="992" w:type="dxa"/>
            <w:vAlign w:val="bottom"/>
          </w:tcPr>
          <w:p>
            <w:pPr>
              <w:pStyle w:val="yTableNAm"/>
              <w:jc w:val="right"/>
              <w:rPr>
                <w:szCs w:val="22"/>
              </w:rPr>
            </w:pPr>
            <w:r>
              <w:rPr>
                <w:szCs w:val="22"/>
              </w:rPr>
              <w:t>50.49</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one month or more, per month, paid in advance</w:t>
            </w:r>
          </w:p>
        </w:tc>
        <w:tc>
          <w:tcPr>
            <w:tcW w:w="992" w:type="dxa"/>
            <w:vAlign w:val="bottom"/>
          </w:tcPr>
          <w:p>
            <w:pPr>
              <w:pStyle w:val="yTableNAm"/>
              <w:jc w:val="right"/>
              <w:rPr>
                <w:szCs w:val="22"/>
              </w:rPr>
            </w:pPr>
            <w:r>
              <w:rPr>
                <w:szCs w:val="22"/>
              </w:rPr>
              <w:t>75.72</w:t>
            </w:r>
          </w:p>
        </w:tc>
      </w:tr>
      <w:tr>
        <w:trPr>
          <w:cantSplit/>
        </w:trPr>
        <w:tc>
          <w:tcPr>
            <w:tcW w:w="567" w:type="dxa"/>
          </w:tcPr>
          <w:p>
            <w:pPr>
              <w:pStyle w:val="yTableNAm"/>
            </w:pPr>
            <w:r>
              <w:t>4.</w:t>
            </w:r>
          </w:p>
        </w:tc>
        <w:tc>
          <w:tcPr>
            <w:tcW w:w="4394" w:type="dxa"/>
          </w:tcPr>
          <w:p>
            <w:pPr>
              <w:pStyle w:val="yTableNAm"/>
            </w:pPr>
            <w:r>
              <w:t>For casual use of pen —</w:t>
            </w:r>
          </w:p>
        </w:tc>
        <w:tc>
          <w:tcPr>
            <w:tcW w:w="992" w:type="dxa"/>
            <w:vAlign w:val="bottom"/>
          </w:tcPr>
          <w:p>
            <w:pPr>
              <w:pStyle w:val="yTableNAm"/>
              <w:jc w:val="right"/>
              <w:rPr>
                <w:szCs w:val="22"/>
              </w:rPr>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one week or more, per week, paid in advance</w:t>
            </w:r>
          </w:p>
        </w:tc>
        <w:tc>
          <w:tcPr>
            <w:tcW w:w="992" w:type="dxa"/>
            <w:vAlign w:val="bottom"/>
          </w:tcPr>
          <w:p>
            <w:pPr>
              <w:pStyle w:val="yTableNAm"/>
              <w:jc w:val="right"/>
              <w:rPr>
                <w:szCs w:val="22"/>
              </w:rPr>
            </w:pPr>
            <w:r>
              <w:rPr>
                <w:szCs w:val="22"/>
              </w:rPr>
              <w:t>225.37</w:t>
            </w:r>
          </w:p>
        </w:tc>
      </w:tr>
      <w:tr>
        <w:tc>
          <w:tcPr>
            <w:tcW w:w="567" w:type="dxa"/>
          </w:tcPr>
          <w:p>
            <w:pPr>
              <w:pStyle w:val="yTableNAm"/>
            </w:pPr>
          </w:p>
        </w:tc>
        <w:tc>
          <w:tcPr>
            <w:tcW w:w="4394" w:type="dxa"/>
          </w:tcPr>
          <w:p>
            <w:pPr>
              <w:pStyle w:val="yTableNAm"/>
              <w:tabs>
                <w:tab w:val="clear" w:pos="567"/>
                <w:tab w:val="left" w:pos="415"/>
              </w:tabs>
              <w:ind w:left="415" w:hanging="415"/>
            </w:pPr>
            <w:r>
              <w:t>•</w:t>
            </w:r>
            <w:r>
              <w:tab/>
              <w:t>otherwise, per day</w:t>
            </w:r>
          </w:p>
        </w:tc>
        <w:tc>
          <w:tcPr>
            <w:tcW w:w="992" w:type="dxa"/>
            <w:vAlign w:val="bottom"/>
          </w:tcPr>
          <w:p>
            <w:pPr>
              <w:pStyle w:val="yTableNAm"/>
              <w:jc w:val="right"/>
              <w:rPr>
                <w:szCs w:val="22"/>
              </w:rPr>
            </w:pPr>
            <w:r>
              <w:rPr>
                <w:szCs w:val="22"/>
              </w:rPr>
              <w:t>45.07</w:t>
            </w:r>
          </w:p>
        </w:tc>
      </w:tr>
      <w:tr>
        <w:tc>
          <w:tcPr>
            <w:tcW w:w="567" w:type="dxa"/>
            <w:tcBorders>
              <w:bottom w:val="single" w:sz="4" w:space="0" w:color="auto"/>
            </w:tcBorders>
          </w:tcPr>
          <w:p>
            <w:pPr>
              <w:pStyle w:val="yTableNAm"/>
            </w:pPr>
            <w:r>
              <w:t>5.</w:t>
            </w:r>
          </w:p>
        </w:tc>
        <w:tc>
          <w:tcPr>
            <w:tcW w:w="4394" w:type="dxa"/>
            <w:tcBorders>
              <w:bottom w:val="single" w:sz="4" w:space="0" w:color="auto"/>
            </w:tcBorders>
          </w:tcPr>
          <w:p>
            <w:pPr>
              <w:pStyle w:val="yTableNAm"/>
            </w:pPr>
            <w:r>
              <w:t>For living on board a vessel, per vessel, per month</w:t>
            </w:r>
          </w:p>
        </w:tc>
        <w:tc>
          <w:tcPr>
            <w:tcW w:w="992" w:type="dxa"/>
            <w:tcBorders>
              <w:bottom w:val="single" w:sz="4" w:space="0" w:color="auto"/>
            </w:tcBorders>
            <w:vAlign w:val="bottom"/>
          </w:tcPr>
          <w:p>
            <w:pPr>
              <w:pStyle w:val="yTableNAm"/>
              <w:jc w:val="right"/>
              <w:rPr>
                <w:szCs w:val="22"/>
              </w:rPr>
            </w:pPr>
            <w:r>
              <w:rPr>
                <w:szCs w:val="22"/>
              </w:rPr>
              <w:t>130.69</w:t>
            </w:r>
          </w:p>
        </w:tc>
      </w:tr>
    </w:tbl>
    <w:p>
      <w:pPr>
        <w:pStyle w:val="yFootnotesection"/>
      </w:pPr>
      <w:r>
        <w:tab/>
        <w:t>[Clause 3 inserted in Gazette 28 Jun 2013 p. 2881</w:t>
      </w:r>
      <w:r>
        <w:noBreakHyphen/>
        <w:t>2.]</w:t>
      </w:r>
    </w:p>
    <w:p>
      <w:pPr>
        <w:pStyle w:val="yHeading5"/>
      </w:pPr>
      <w:bookmarkStart w:id="179" w:name="_Toc375231194"/>
      <w:r>
        <w:rPr>
          <w:rStyle w:val="CharSClsNo"/>
        </w:rPr>
        <w:t>4</w:t>
      </w:r>
      <w:r>
        <w:t>.</w:t>
      </w:r>
      <w:r>
        <w:rPr>
          <w:b w:val="0"/>
        </w:rPr>
        <w:tab/>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179"/>
    </w:p>
    <w:p>
      <w:pPr>
        <w:pStyle w:val="ySubsection"/>
      </w:pPr>
      <w:r>
        <w:tab/>
        <w:t>(1)</w:t>
      </w:r>
      <w:r>
        <w:tab/>
        <w:t xml:space="preserve">This clause applies to </w:t>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fees to be paid under regulation 72 for a permit to use a jetty or boat pen are set out in Table 4.1.</w:t>
      </w:r>
    </w:p>
    <w:p>
      <w:pPr>
        <w:pStyle w:val="ySubsection"/>
        <w:keepNext/>
      </w:pPr>
      <w:r>
        <w:tab/>
        <w:t>(3)</w:t>
      </w:r>
      <w:r>
        <w:tab/>
        <w:t>In Table 4.1, the chargeable length for a pen is —</w:t>
      </w:r>
    </w:p>
    <w:p>
      <w:pPr>
        <w:pStyle w:val="yIndenta"/>
      </w:pPr>
      <w:r>
        <w:tab/>
        <w:t>(a)</w:t>
      </w:r>
      <w:r>
        <w:tab/>
        <w:t>if the pen is 10 m long, 8 m;</w:t>
      </w:r>
    </w:p>
    <w:p>
      <w:pPr>
        <w:pStyle w:val="yIndenta"/>
      </w:pPr>
      <w:r>
        <w:tab/>
        <w:t>(b)</w:t>
      </w:r>
      <w:r>
        <w:tab/>
        <w:t>if the pen is 12 m long, 9.6 m;</w:t>
      </w:r>
    </w:p>
    <w:p>
      <w:pPr>
        <w:pStyle w:val="yIndenta"/>
      </w:pPr>
      <w:r>
        <w:tab/>
        <w:t>(c)</w:t>
      </w:r>
      <w:r>
        <w:tab/>
        <w:t>if the pen is 13 m long, 10.4 m;</w:t>
      </w:r>
    </w:p>
    <w:p>
      <w:pPr>
        <w:pStyle w:val="yIndenta"/>
      </w:pPr>
      <w:r>
        <w:tab/>
        <w:t>(d)</w:t>
      </w:r>
      <w:r>
        <w:tab/>
        <w:t>if the pen is 15 m long, 12 m;</w:t>
      </w:r>
    </w:p>
    <w:p>
      <w:pPr>
        <w:pStyle w:val="yIndenta"/>
      </w:pPr>
      <w:r>
        <w:tab/>
        <w:t>(e)</w:t>
      </w:r>
      <w:r>
        <w:tab/>
        <w:t>if the pen is 18 m long, 14.4 m;</w:t>
      </w:r>
    </w:p>
    <w:p>
      <w:pPr>
        <w:pStyle w:val="yIndenta"/>
      </w:pPr>
      <w:r>
        <w:tab/>
        <w:t>(f)</w:t>
      </w:r>
      <w:r>
        <w:tab/>
        <w:t>if the pen is 20 m long, 16 m;</w:t>
      </w:r>
    </w:p>
    <w:p>
      <w:pPr>
        <w:pStyle w:val="yIndenta"/>
      </w:pPr>
      <w:r>
        <w:tab/>
        <w:t>(g)</w:t>
      </w:r>
      <w:r>
        <w:tab/>
        <w:t>if the pen is 22 m long, 17.6 m;</w:t>
      </w:r>
    </w:p>
    <w:p>
      <w:pPr>
        <w:pStyle w:val="yIndenta"/>
      </w:pPr>
      <w:r>
        <w:tab/>
        <w:t>(h)</w:t>
      </w:r>
      <w:r>
        <w:tab/>
        <w:t>if the pen is 25 m long, 20 m.</w:t>
      </w:r>
    </w:p>
    <w:p>
      <w:pPr>
        <w:pStyle w:val="yTHeadingNAm"/>
      </w:pPr>
      <w:r>
        <w:t>Table 4.1 (Jetty and pen permits)</w:t>
      </w:r>
    </w:p>
    <w:tbl>
      <w:tblPr>
        <w:tblW w:w="0" w:type="auto"/>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tblHeader/>
        </w:trPr>
        <w:tc>
          <w:tcPr>
            <w:tcW w:w="567" w:type="dxa"/>
            <w:tcBorders>
              <w:top w:val="single" w:sz="4" w:space="0" w:color="auto"/>
              <w:bottom w:val="single" w:sz="4" w:space="0" w:color="auto"/>
            </w:tcBorders>
          </w:tcPr>
          <w:p>
            <w:pPr>
              <w:pStyle w:val="yTableNAm"/>
              <w:rPr>
                <w:b/>
              </w:rPr>
            </w:pPr>
            <w:r>
              <w:rPr>
                <w:b/>
              </w:rPr>
              <w:t>Item</w:t>
            </w:r>
          </w:p>
        </w:tc>
        <w:tc>
          <w:tcPr>
            <w:tcW w:w="4394" w:type="dxa"/>
            <w:tcBorders>
              <w:top w:val="single" w:sz="4" w:space="0" w:color="auto"/>
              <w:bottom w:val="single" w:sz="4" w:space="0" w:color="auto"/>
            </w:tcBorders>
          </w:tcPr>
          <w:p>
            <w:pPr>
              <w:pStyle w:val="yTableNAm"/>
              <w:rPr>
                <w:b/>
              </w:rPr>
            </w:pPr>
            <w:r>
              <w:rPr>
                <w:b/>
              </w:rPr>
              <w:t>Service</w:t>
            </w:r>
          </w:p>
        </w:tc>
        <w:tc>
          <w:tcPr>
            <w:tcW w:w="992" w:type="dxa"/>
            <w:tcBorders>
              <w:top w:val="single" w:sz="4" w:space="0" w:color="auto"/>
              <w:bottom w:val="single" w:sz="4" w:space="0" w:color="auto"/>
            </w:tcBorders>
          </w:tcPr>
          <w:p>
            <w:pPr>
              <w:pStyle w:val="yTableNAm"/>
              <w:jc w:val="center"/>
              <w:rPr>
                <w:b/>
              </w:rPr>
            </w:pPr>
            <w:r>
              <w:rPr>
                <w:b/>
              </w:rPr>
              <w:t>$</w:t>
            </w:r>
          </w:p>
        </w:tc>
      </w:tr>
      <w:tr>
        <w:tc>
          <w:tcPr>
            <w:tcW w:w="567" w:type="dxa"/>
            <w:tcBorders>
              <w:top w:val="single" w:sz="4" w:space="0" w:color="auto"/>
            </w:tcBorders>
          </w:tcPr>
          <w:p>
            <w:pPr>
              <w:pStyle w:val="yTableNAm"/>
            </w:pPr>
            <w:r>
              <w:t>1.</w:t>
            </w:r>
          </w:p>
        </w:tc>
        <w:tc>
          <w:tcPr>
            <w:tcW w:w="4394" w:type="dxa"/>
            <w:tcBorders>
              <w:top w:val="single" w:sz="4" w:space="0" w:color="auto"/>
            </w:tcBorders>
          </w:tcPr>
          <w:p>
            <w:pPr>
              <w:pStyle w:val="yTableNAm"/>
            </w:pPr>
            <w:r>
              <w:t xml:space="preserve">For fixed pen in pen sets A to L2 for commercial vessel, per m of the longer of the vessel’s length and the chargeable length of the pen — </w:t>
            </w:r>
          </w:p>
        </w:tc>
        <w:tc>
          <w:tcPr>
            <w:tcW w:w="992" w:type="dxa"/>
            <w:tcBorders>
              <w:top w:val="single" w:sz="4" w:space="0" w:color="auto"/>
            </w:tcBorders>
          </w:tcPr>
          <w:p>
            <w:pPr>
              <w:pStyle w:val="yTableNAm"/>
              <w:jc w:val="right"/>
            </w:pPr>
          </w:p>
        </w:tc>
      </w:tr>
      <w:tr>
        <w:tc>
          <w:tcPr>
            <w:tcW w:w="567" w:type="dxa"/>
          </w:tcPr>
          <w:p>
            <w:pPr>
              <w:pStyle w:val="yTableNAm"/>
            </w:pPr>
          </w:p>
        </w:tc>
        <w:tc>
          <w:tcPr>
            <w:tcW w:w="4394" w:type="dxa"/>
          </w:tcPr>
          <w:p>
            <w:pPr>
              <w:pStyle w:val="yTableNAm"/>
              <w:tabs>
                <w:tab w:val="clear" w:pos="567"/>
                <w:tab w:val="left" w:pos="415"/>
              </w:tabs>
              <w:ind w:left="415" w:hanging="415"/>
            </w:pPr>
            <w:r>
              <w:t>•</w:t>
            </w:r>
            <w:r>
              <w:tab/>
              <w:t>for 12 months paid in advance</w:t>
            </w:r>
          </w:p>
        </w:tc>
        <w:tc>
          <w:tcPr>
            <w:tcW w:w="992" w:type="dxa"/>
            <w:vAlign w:val="bottom"/>
          </w:tcPr>
          <w:p>
            <w:pPr>
              <w:pStyle w:val="yTableNAm"/>
              <w:jc w:val="right"/>
              <w:rPr>
                <w:szCs w:val="22"/>
              </w:rPr>
            </w:pPr>
            <w:r>
              <w:rPr>
                <w:szCs w:val="22"/>
              </w:rPr>
              <w:t>552.87</w:t>
            </w:r>
          </w:p>
        </w:tc>
      </w:tr>
      <w:tr>
        <w:tc>
          <w:tcPr>
            <w:tcW w:w="567" w:type="dxa"/>
          </w:tcPr>
          <w:p>
            <w:pPr>
              <w:pStyle w:val="yTableNAm"/>
            </w:pPr>
          </w:p>
        </w:tc>
        <w:tc>
          <w:tcPr>
            <w:tcW w:w="4394" w:type="dxa"/>
          </w:tcPr>
          <w:p>
            <w:pPr>
              <w:pStyle w:val="yTableNAm"/>
              <w:tabs>
                <w:tab w:val="clear" w:pos="567"/>
                <w:tab w:val="left" w:pos="415"/>
              </w:tabs>
              <w:ind w:left="415" w:hanging="415"/>
            </w:pPr>
            <w:r>
              <w:t>•</w:t>
            </w:r>
            <w:r>
              <w:tab/>
              <w:t>for 3 months or more, per month, paid in advance</w:t>
            </w:r>
          </w:p>
        </w:tc>
        <w:tc>
          <w:tcPr>
            <w:tcW w:w="992" w:type="dxa"/>
            <w:vAlign w:val="bottom"/>
          </w:tcPr>
          <w:p>
            <w:pPr>
              <w:pStyle w:val="yTableNAm"/>
              <w:jc w:val="right"/>
              <w:rPr>
                <w:szCs w:val="22"/>
              </w:rPr>
            </w:pPr>
            <w:r>
              <w:rPr>
                <w:szCs w:val="22"/>
              </w:rPr>
              <w:t>55.31</w:t>
            </w:r>
          </w:p>
        </w:tc>
      </w:tr>
      <w:tr>
        <w:tc>
          <w:tcPr>
            <w:tcW w:w="567" w:type="dxa"/>
          </w:tcPr>
          <w:p>
            <w:pPr>
              <w:pStyle w:val="yTableNAm"/>
            </w:pPr>
          </w:p>
        </w:tc>
        <w:tc>
          <w:tcPr>
            <w:tcW w:w="4394" w:type="dxa"/>
          </w:tcPr>
          <w:p>
            <w:pPr>
              <w:pStyle w:val="yTableNAm"/>
              <w:tabs>
                <w:tab w:val="clear" w:pos="567"/>
                <w:tab w:val="left" w:pos="415"/>
              </w:tabs>
              <w:ind w:left="415" w:hanging="415"/>
            </w:pPr>
            <w:r>
              <w:t>•</w:t>
            </w:r>
            <w:r>
              <w:tab/>
              <w:t>for one month or more, per month, paid in advance</w:t>
            </w:r>
          </w:p>
        </w:tc>
        <w:tc>
          <w:tcPr>
            <w:tcW w:w="992" w:type="dxa"/>
            <w:vAlign w:val="bottom"/>
          </w:tcPr>
          <w:p>
            <w:pPr>
              <w:pStyle w:val="yTableNAm"/>
              <w:jc w:val="right"/>
              <w:rPr>
                <w:szCs w:val="22"/>
              </w:rPr>
            </w:pPr>
            <w:r>
              <w:rPr>
                <w:szCs w:val="22"/>
              </w:rPr>
              <w:t>82.93</w:t>
            </w:r>
          </w:p>
        </w:tc>
      </w:tr>
      <w:tr>
        <w:tc>
          <w:tcPr>
            <w:tcW w:w="567" w:type="dxa"/>
          </w:tcPr>
          <w:p>
            <w:pPr>
              <w:pStyle w:val="yTableNAm"/>
            </w:pPr>
            <w:r>
              <w:t>2.</w:t>
            </w:r>
          </w:p>
        </w:tc>
        <w:tc>
          <w:tcPr>
            <w:tcW w:w="4394" w:type="dxa"/>
          </w:tcPr>
          <w:p>
            <w:pPr>
              <w:pStyle w:val="yTableNAm"/>
            </w:pPr>
            <w:r>
              <w:t xml:space="preserve">For floating pen in pen sets A to L2 for commercial vessel, per m of the longer of the vessel’s length and the chargeable length of the pen — </w:t>
            </w:r>
          </w:p>
        </w:tc>
        <w:tc>
          <w:tcPr>
            <w:tcW w:w="992" w:type="dxa"/>
            <w:vAlign w:val="bottom"/>
          </w:tcPr>
          <w:p>
            <w:pPr>
              <w:pStyle w:val="yTableNAm"/>
              <w:jc w:val="right"/>
              <w:rPr>
                <w:szCs w:val="22"/>
              </w:rPr>
            </w:pPr>
          </w:p>
        </w:tc>
      </w:tr>
      <w:tr>
        <w:tc>
          <w:tcPr>
            <w:tcW w:w="567" w:type="dxa"/>
          </w:tcPr>
          <w:p>
            <w:pPr>
              <w:pStyle w:val="yTableNAm"/>
            </w:pPr>
          </w:p>
        </w:tc>
        <w:tc>
          <w:tcPr>
            <w:tcW w:w="4394" w:type="dxa"/>
          </w:tcPr>
          <w:p>
            <w:pPr>
              <w:pStyle w:val="yTableNAm"/>
              <w:tabs>
                <w:tab w:val="clear" w:pos="567"/>
                <w:tab w:val="left" w:pos="415"/>
              </w:tabs>
              <w:ind w:left="415" w:hanging="415"/>
            </w:pPr>
            <w:r>
              <w:t>•</w:t>
            </w:r>
            <w:r>
              <w:tab/>
              <w:t>for 12 months paid in advance</w:t>
            </w:r>
          </w:p>
        </w:tc>
        <w:tc>
          <w:tcPr>
            <w:tcW w:w="992" w:type="dxa"/>
            <w:vAlign w:val="bottom"/>
          </w:tcPr>
          <w:p>
            <w:pPr>
              <w:pStyle w:val="yTableNAm"/>
              <w:jc w:val="right"/>
              <w:rPr>
                <w:szCs w:val="22"/>
              </w:rPr>
            </w:pPr>
            <w:r>
              <w:rPr>
                <w:szCs w:val="22"/>
              </w:rPr>
              <w:t>589.19</w:t>
            </w:r>
          </w:p>
        </w:tc>
      </w:tr>
      <w:tr>
        <w:tc>
          <w:tcPr>
            <w:tcW w:w="567" w:type="dxa"/>
          </w:tcPr>
          <w:p>
            <w:pPr>
              <w:pStyle w:val="yTableNAm"/>
            </w:pPr>
          </w:p>
        </w:tc>
        <w:tc>
          <w:tcPr>
            <w:tcW w:w="4394" w:type="dxa"/>
          </w:tcPr>
          <w:p>
            <w:pPr>
              <w:pStyle w:val="yTableNAm"/>
              <w:tabs>
                <w:tab w:val="clear" w:pos="567"/>
                <w:tab w:val="left" w:pos="415"/>
              </w:tabs>
              <w:ind w:left="415" w:hanging="415"/>
            </w:pPr>
            <w:r>
              <w:t>•</w:t>
            </w:r>
            <w:r>
              <w:tab/>
              <w:t>for 3 months or more, per month, paid in advance</w:t>
            </w:r>
          </w:p>
        </w:tc>
        <w:tc>
          <w:tcPr>
            <w:tcW w:w="992" w:type="dxa"/>
            <w:vAlign w:val="bottom"/>
          </w:tcPr>
          <w:p>
            <w:pPr>
              <w:pStyle w:val="yTableNAm"/>
              <w:jc w:val="right"/>
              <w:rPr>
                <w:szCs w:val="22"/>
              </w:rPr>
            </w:pPr>
            <w:r>
              <w:rPr>
                <w:szCs w:val="22"/>
              </w:rPr>
              <w:t>58.92</w:t>
            </w:r>
          </w:p>
        </w:tc>
      </w:tr>
      <w:tr>
        <w:tc>
          <w:tcPr>
            <w:tcW w:w="567" w:type="dxa"/>
          </w:tcPr>
          <w:p>
            <w:pPr>
              <w:pStyle w:val="yTableNAm"/>
            </w:pPr>
          </w:p>
        </w:tc>
        <w:tc>
          <w:tcPr>
            <w:tcW w:w="4394" w:type="dxa"/>
          </w:tcPr>
          <w:p>
            <w:pPr>
              <w:pStyle w:val="yTableNAm"/>
              <w:tabs>
                <w:tab w:val="clear" w:pos="567"/>
                <w:tab w:val="left" w:pos="415"/>
              </w:tabs>
              <w:ind w:left="415" w:hanging="415"/>
            </w:pPr>
            <w:r>
              <w:t>•</w:t>
            </w:r>
            <w:r>
              <w:tab/>
              <w:t>for one month or more, per month, paid in advance</w:t>
            </w:r>
          </w:p>
        </w:tc>
        <w:tc>
          <w:tcPr>
            <w:tcW w:w="992" w:type="dxa"/>
            <w:vAlign w:val="bottom"/>
          </w:tcPr>
          <w:p>
            <w:pPr>
              <w:pStyle w:val="yTableNAm"/>
              <w:jc w:val="right"/>
              <w:rPr>
                <w:szCs w:val="22"/>
              </w:rPr>
            </w:pPr>
            <w:r>
              <w:rPr>
                <w:szCs w:val="22"/>
              </w:rPr>
              <w:t>88.37</w:t>
            </w:r>
          </w:p>
        </w:tc>
      </w:tr>
      <w:tr>
        <w:tc>
          <w:tcPr>
            <w:tcW w:w="567" w:type="dxa"/>
          </w:tcPr>
          <w:p>
            <w:pPr>
              <w:pStyle w:val="yTableNAm"/>
              <w:keepNext/>
            </w:pPr>
            <w:r>
              <w:t>3.</w:t>
            </w:r>
          </w:p>
        </w:tc>
        <w:tc>
          <w:tcPr>
            <w:tcW w:w="4394" w:type="dxa"/>
          </w:tcPr>
          <w:p>
            <w:pPr>
              <w:pStyle w:val="yTableNAm"/>
              <w:keepNext/>
            </w:pPr>
            <w:r>
              <w:t>For fixed pen in pen sets A to L2 for recreational vessel, per m of the longer of the vessel’s length and the chargeable length of the pen —</w:t>
            </w:r>
          </w:p>
        </w:tc>
        <w:tc>
          <w:tcPr>
            <w:tcW w:w="992" w:type="dxa"/>
            <w:vAlign w:val="bottom"/>
          </w:tcPr>
          <w:p>
            <w:pPr>
              <w:pStyle w:val="yTableNAm"/>
              <w:keepNext/>
              <w:jc w:val="right"/>
              <w:rPr>
                <w:szCs w:val="22"/>
              </w:rPr>
            </w:pPr>
          </w:p>
        </w:tc>
      </w:tr>
      <w:tr>
        <w:tc>
          <w:tcPr>
            <w:tcW w:w="567" w:type="dxa"/>
          </w:tcPr>
          <w:p>
            <w:pPr>
              <w:pStyle w:val="yTableNAm"/>
            </w:pPr>
          </w:p>
        </w:tc>
        <w:tc>
          <w:tcPr>
            <w:tcW w:w="4394" w:type="dxa"/>
          </w:tcPr>
          <w:p>
            <w:pPr>
              <w:pStyle w:val="yTableNAm"/>
              <w:tabs>
                <w:tab w:val="clear" w:pos="567"/>
                <w:tab w:val="left" w:pos="415"/>
              </w:tabs>
              <w:ind w:left="415" w:hanging="415"/>
            </w:pPr>
            <w:r>
              <w:t>•</w:t>
            </w:r>
            <w:r>
              <w:tab/>
              <w:t>for 12 months paid in advance</w:t>
            </w:r>
          </w:p>
        </w:tc>
        <w:tc>
          <w:tcPr>
            <w:tcW w:w="992" w:type="dxa"/>
            <w:vAlign w:val="bottom"/>
          </w:tcPr>
          <w:p>
            <w:pPr>
              <w:pStyle w:val="yTableNAm"/>
              <w:jc w:val="right"/>
              <w:rPr>
                <w:szCs w:val="22"/>
              </w:rPr>
            </w:pPr>
            <w:r>
              <w:rPr>
                <w:szCs w:val="22"/>
              </w:rPr>
              <w:t>508.76</w:t>
            </w:r>
          </w:p>
        </w:tc>
      </w:tr>
      <w:tr>
        <w:tc>
          <w:tcPr>
            <w:tcW w:w="567" w:type="dxa"/>
          </w:tcPr>
          <w:p>
            <w:pPr>
              <w:pStyle w:val="yTableNAm"/>
            </w:pPr>
          </w:p>
        </w:tc>
        <w:tc>
          <w:tcPr>
            <w:tcW w:w="4394" w:type="dxa"/>
          </w:tcPr>
          <w:p>
            <w:pPr>
              <w:pStyle w:val="yTableNAm"/>
              <w:tabs>
                <w:tab w:val="clear" w:pos="567"/>
                <w:tab w:val="left" w:pos="415"/>
              </w:tabs>
              <w:ind w:left="415" w:hanging="415"/>
            </w:pPr>
            <w:r>
              <w:t>•</w:t>
            </w:r>
            <w:r>
              <w:tab/>
              <w:t>for 3 months or more, per month, paid in advance</w:t>
            </w:r>
          </w:p>
        </w:tc>
        <w:tc>
          <w:tcPr>
            <w:tcW w:w="992" w:type="dxa"/>
            <w:vAlign w:val="bottom"/>
          </w:tcPr>
          <w:p>
            <w:pPr>
              <w:pStyle w:val="yTableNAm"/>
              <w:jc w:val="right"/>
              <w:rPr>
                <w:szCs w:val="22"/>
              </w:rPr>
            </w:pPr>
            <w:r>
              <w:rPr>
                <w:szCs w:val="22"/>
              </w:rPr>
              <w:t>50.85</w:t>
            </w:r>
          </w:p>
        </w:tc>
      </w:tr>
      <w:tr>
        <w:tc>
          <w:tcPr>
            <w:tcW w:w="567" w:type="dxa"/>
          </w:tcPr>
          <w:p>
            <w:pPr>
              <w:pStyle w:val="yTableNAm"/>
            </w:pPr>
          </w:p>
        </w:tc>
        <w:tc>
          <w:tcPr>
            <w:tcW w:w="4394" w:type="dxa"/>
          </w:tcPr>
          <w:p>
            <w:pPr>
              <w:pStyle w:val="yTableNAm"/>
              <w:tabs>
                <w:tab w:val="clear" w:pos="567"/>
                <w:tab w:val="left" w:pos="415"/>
              </w:tabs>
              <w:ind w:left="415" w:hanging="415"/>
            </w:pPr>
            <w:r>
              <w:t>•</w:t>
            </w:r>
            <w:r>
              <w:tab/>
              <w:t>for one month or more, per month, paid in advance</w:t>
            </w:r>
          </w:p>
        </w:tc>
        <w:tc>
          <w:tcPr>
            <w:tcW w:w="992" w:type="dxa"/>
            <w:vAlign w:val="bottom"/>
          </w:tcPr>
          <w:p>
            <w:pPr>
              <w:pStyle w:val="yTableNAm"/>
              <w:jc w:val="right"/>
              <w:rPr>
                <w:szCs w:val="22"/>
              </w:rPr>
            </w:pPr>
            <w:r>
              <w:rPr>
                <w:szCs w:val="22"/>
              </w:rPr>
              <w:t>76.32</w:t>
            </w:r>
          </w:p>
        </w:tc>
      </w:tr>
      <w:tr>
        <w:tc>
          <w:tcPr>
            <w:tcW w:w="567" w:type="dxa"/>
          </w:tcPr>
          <w:p>
            <w:pPr>
              <w:pStyle w:val="yTableNAm"/>
            </w:pPr>
            <w:r>
              <w:t>4.</w:t>
            </w:r>
          </w:p>
        </w:tc>
        <w:tc>
          <w:tcPr>
            <w:tcW w:w="4394" w:type="dxa"/>
          </w:tcPr>
          <w:p>
            <w:pPr>
              <w:pStyle w:val="yTableNAm"/>
            </w:pPr>
            <w:r>
              <w:t xml:space="preserve">For floating pen in pen sets A to L2 for recreational vessel — </w:t>
            </w:r>
          </w:p>
        </w:tc>
        <w:tc>
          <w:tcPr>
            <w:tcW w:w="992" w:type="dxa"/>
            <w:vAlign w:val="bottom"/>
          </w:tcPr>
          <w:p>
            <w:pPr>
              <w:pStyle w:val="yTableNAm"/>
              <w:jc w:val="right"/>
              <w:rPr>
                <w:szCs w:val="22"/>
              </w:rPr>
            </w:pPr>
          </w:p>
        </w:tc>
      </w:tr>
      <w:tr>
        <w:tc>
          <w:tcPr>
            <w:tcW w:w="567" w:type="dxa"/>
          </w:tcPr>
          <w:p>
            <w:pPr>
              <w:pStyle w:val="yTableNAm"/>
            </w:pPr>
          </w:p>
        </w:tc>
        <w:tc>
          <w:tcPr>
            <w:tcW w:w="4394" w:type="dxa"/>
          </w:tcPr>
          <w:p>
            <w:pPr>
              <w:pStyle w:val="yTableNAm"/>
              <w:tabs>
                <w:tab w:val="clear" w:pos="567"/>
                <w:tab w:val="left" w:pos="415"/>
              </w:tabs>
              <w:ind w:left="415" w:hanging="415"/>
            </w:pPr>
            <w:r>
              <w:t>•</w:t>
            </w:r>
            <w:r>
              <w:tab/>
              <w:t>for 12 months paid in advance</w:t>
            </w:r>
          </w:p>
        </w:tc>
        <w:tc>
          <w:tcPr>
            <w:tcW w:w="992" w:type="dxa"/>
            <w:vAlign w:val="bottom"/>
          </w:tcPr>
          <w:p>
            <w:pPr>
              <w:pStyle w:val="yTableNAm"/>
              <w:jc w:val="right"/>
              <w:rPr>
                <w:szCs w:val="22"/>
              </w:rPr>
            </w:pPr>
            <w:r>
              <w:rPr>
                <w:szCs w:val="22"/>
              </w:rPr>
              <w:t>545.12</w:t>
            </w:r>
          </w:p>
        </w:tc>
      </w:tr>
      <w:tr>
        <w:tc>
          <w:tcPr>
            <w:tcW w:w="567" w:type="dxa"/>
          </w:tcPr>
          <w:p>
            <w:pPr>
              <w:pStyle w:val="yTableNAm"/>
            </w:pPr>
          </w:p>
        </w:tc>
        <w:tc>
          <w:tcPr>
            <w:tcW w:w="4394" w:type="dxa"/>
          </w:tcPr>
          <w:p>
            <w:pPr>
              <w:pStyle w:val="yTableNAm"/>
              <w:tabs>
                <w:tab w:val="clear" w:pos="567"/>
                <w:tab w:val="left" w:pos="415"/>
              </w:tabs>
              <w:ind w:left="415" w:hanging="415"/>
            </w:pPr>
            <w:r>
              <w:t>•</w:t>
            </w:r>
            <w:r>
              <w:tab/>
              <w:t>for 3 months or more, per month, paid in advance</w:t>
            </w:r>
          </w:p>
        </w:tc>
        <w:tc>
          <w:tcPr>
            <w:tcW w:w="992" w:type="dxa"/>
            <w:vAlign w:val="bottom"/>
          </w:tcPr>
          <w:p>
            <w:pPr>
              <w:pStyle w:val="yTableNAm"/>
              <w:jc w:val="right"/>
              <w:rPr>
                <w:szCs w:val="22"/>
              </w:rPr>
            </w:pPr>
            <w:r>
              <w:rPr>
                <w:szCs w:val="22"/>
              </w:rPr>
              <w:t>54.53</w:t>
            </w:r>
          </w:p>
        </w:tc>
      </w:tr>
      <w:tr>
        <w:tc>
          <w:tcPr>
            <w:tcW w:w="567" w:type="dxa"/>
          </w:tcPr>
          <w:p>
            <w:pPr>
              <w:pStyle w:val="yTableNAm"/>
            </w:pPr>
          </w:p>
        </w:tc>
        <w:tc>
          <w:tcPr>
            <w:tcW w:w="4394" w:type="dxa"/>
          </w:tcPr>
          <w:p>
            <w:pPr>
              <w:pStyle w:val="yTableNAm"/>
              <w:tabs>
                <w:tab w:val="clear" w:pos="567"/>
                <w:tab w:val="left" w:pos="415"/>
              </w:tabs>
              <w:ind w:left="415" w:hanging="415"/>
            </w:pPr>
            <w:r>
              <w:t>•</w:t>
            </w:r>
            <w:r>
              <w:tab/>
              <w:t>for one month or more, per month, paid in advance</w:t>
            </w:r>
          </w:p>
        </w:tc>
        <w:tc>
          <w:tcPr>
            <w:tcW w:w="992" w:type="dxa"/>
            <w:vAlign w:val="bottom"/>
          </w:tcPr>
          <w:p>
            <w:pPr>
              <w:pStyle w:val="yTableNAm"/>
              <w:jc w:val="right"/>
              <w:rPr>
                <w:szCs w:val="22"/>
              </w:rPr>
            </w:pPr>
            <w:r>
              <w:rPr>
                <w:szCs w:val="22"/>
              </w:rPr>
              <w:t>81.77</w:t>
            </w:r>
          </w:p>
        </w:tc>
      </w:tr>
      <w:tr>
        <w:tc>
          <w:tcPr>
            <w:tcW w:w="567" w:type="dxa"/>
          </w:tcPr>
          <w:p>
            <w:pPr>
              <w:pStyle w:val="yTableNAm"/>
            </w:pPr>
            <w:r>
              <w:t>5.</w:t>
            </w:r>
          </w:p>
        </w:tc>
        <w:tc>
          <w:tcPr>
            <w:tcW w:w="4394" w:type="dxa"/>
          </w:tcPr>
          <w:p>
            <w:pPr>
              <w:pStyle w:val="yTableNAm"/>
            </w:pPr>
            <w:r>
              <w:t>For pen for one week or more, per week —</w:t>
            </w:r>
          </w:p>
        </w:tc>
        <w:tc>
          <w:tcPr>
            <w:tcW w:w="992" w:type="dxa"/>
            <w:vAlign w:val="bottom"/>
          </w:tcPr>
          <w:p>
            <w:pPr>
              <w:pStyle w:val="yTableNAm"/>
              <w:jc w:val="right"/>
              <w:rPr>
                <w:szCs w:val="22"/>
              </w:rPr>
            </w:pPr>
          </w:p>
        </w:tc>
      </w:tr>
      <w:tr>
        <w:tc>
          <w:tcPr>
            <w:tcW w:w="567" w:type="dxa"/>
          </w:tcPr>
          <w:p>
            <w:pPr>
              <w:pStyle w:val="yTableNAm"/>
            </w:pPr>
          </w:p>
        </w:tc>
        <w:tc>
          <w:tcPr>
            <w:tcW w:w="4394" w:type="dxa"/>
          </w:tcPr>
          <w:p>
            <w:pPr>
              <w:pStyle w:val="yTableNAm"/>
              <w:tabs>
                <w:tab w:val="clear" w:pos="567"/>
                <w:tab w:val="left" w:pos="415"/>
                <w:tab w:val="left" w:pos="793"/>
              </w:tabs>
              <w:ind w:left="415" w:hanging="415"/>
            </w:pPr>
            <w:r>
              <w:t>•</w:t>
            </w:r>
            <w:r>
              <w:tab/>
              <w:t xml:space="preserve">for commercial vessel — </w:t>
            </w:r>
          </w:p>
          <w:p>
            <w:pPr>
              <w:pStyle w:val="yTableNAm"/>
              <w:tabs>
                <w:tab w:val="clear" w:pos="567"/>
                <w:tab w:val="left" w:pos="415"/>
                <w:tab w:val="left" w:pos="793"/>
              </w:tabs>
              <w:ind w:left="415" w:hanging="415"/>
            </w:pPr>
            <w:r>
              <w:tab/>
              <w:t>•</w:t>
            </w:r>
            <w:r>
              <w:tab/>
              <w:t>per m of the vessel’s length</w:t>
            </w:r>
          </w:p>
          <w:p>
            <w:pPr>
              <w:pStyle w:val="yTableNAm"/>
              <w:tabs>
                <w:tab w:val="clear" w:pos="567"/>
                <w:tab w:val="left" w:pos="415"/>
                <w:tab w:val="left" w:pos="793"/>
              </w:tabs>
              <w:ind w:left="415" w:hanging="415"/>
            </w:pPr>
            <w:r>
              <w:tab/>
              <w:t>•</w:t>
            </w:r>
            <w:r>
              <w:tab/>
              <w:t xml:space="preserve">minimum fee </w:t>
            </w:r>
          </w:p>
        </w:tc>
        <w:tc>
          <w:tcPr>
            <w:tcW w:w="992" w:type="dxa"/>
            <w:vAlign w:val="bottom"/>
          </w:tcPr>
          <w:p>
            <w:pPr>
              <w:pStyle w:val="yTableNAm"/>
              <w:jc w:val="right"/>
              <w:rPr>
                <w:szCs w:val="22"/>
              </w:rPr>
            </w:pPr>
          </w:p>
          <w:p>
            <w:pPr>
              <w:pStyle w:val="yTableNAm"/>
              <w:jc w:val="right"/>
              <w:rPr>
                <w:szCs w:val="22"/>
              </w:rPr>
            </w:pPr>
            <w:r>
              <w:rPr>
                <w:szCs w:val="22"/>
              </w:rPr>
              <w:t>29.45</w:t>
            </w:r>
          </w:p>
          <w:p>
            <w:pPr>
              <w:pStyle w:val="yTableNAm"/>
              <w:jc w:val="right"/>
              <w:rPr>
                <w:szCs w:val="22"/>
              </w:rPr>
            </w:pPr>
            <w:r>
              <w:rPr>
                <w:szCs w:val="22"/>
              </w:rPr>
              <w:t>239.94</w:t>
            </w:r>
          </w:p>
        </w:tc>
      </w:tr>
      <w:tr>
        <w:tc>
          <w:tcPr>
            <w:tcW w:w="567" w:type="dxa"/>
          </w:tcPr>
          <w:p>
            <w:pPr>
              <w:pStyle w:val="yTableNAm"/>
            </w:pPr>
          </w:p>
        </w:tc>
        <w:tc>
          <w:tcPr>
            <w:tcW w:w="4394" w:type="dxa"/>
          </w:tcPr>
          <w:p>
            <w:pPr>
              <w:pStyle w:val="yTableNAm"/>
              <w:tabs>
                <w:tab w:val="clear" w:pos="567"/>
                <w:tab w:val="left" w:pos="415"/>
                <w:tab w:val="left" w:pos="793"/>
              </w:tabs>
              <w:ind w:left="415" w:hanging="415"/>
            </w:pPr>
            <w:r>
              <w:t>•</w:t>
            </w:r>
            <w:r>
              <w:tab/>
              <w:t xml:space="preserve">for recreational vessel — </w:t>
            </w:r>
          </w:p>
          <w:p>
            <w:pPr>
              <w:pStyle w:val="yTableNAm"/>
              <w:tabs>
                <w:tab w:val="clear" w:pos="567"/>
                <w:tab w:val="left" w:pos="415"/>
                <w:tab w:val="left" w:pos="793"/>
              </w:tabs>
              <w:ind w:left="415" w:hanging="415"/>
            </w:pPr>
            <w:r>
              <w:tab/>
              <w:t>•</w:t>
            </w:r>
            <w:r>
              <w:tab/>
              <w:t>per m of the vessel’s length</w:t>
            </w:r>
          </w:p>
          <w:p>
            <w:pPr>
              <w:pStyle w:val="yTableNAm"/>
              <w:tabs>
                <w:tab w:val="clear" w:pos="567"/>
                <w:tab w:val="left" w:pos="415"/>
                <w:tab w:val="left" w:pos="793"/>
              </w:tabs>
              <w:ind w:left="415" w:hanging="415"/>
            </w:pPr>
            <w:r>
              <w:tab/>
              <w:t>•</w:t>
            </w:r>
            <w:r>
              <w:tab/>
              <w:t xml:space="preserve">minimum fee </w:t>
            </w:r>
          </w:p>
        </w:tc>
        <w:tc>
          <w:tcPr>
            <w:tcW w:w="992" w:type="dxa"/>
            <w:vAlign w:val="bottom"/>
          </w:tcPr>
          <w:p>
            <w:pPr>
              <w:pStyle w:val="yTableNAm"/>
              <w:jc w:val="right"/>
              <w:rPr>
                <w:szCs w:val="22"/>
              </w:rPr>
            </w:pPr>
          </w:p>
          <w:p>
            <w:pPr>
              <w:pStyle w:val="yTableNAm"/>
              <w:jc w:val="right"/>
              <w:rPr>
                <w:szCs w:val="22"/>
              </w:rPr>
            </w:pPr>
            <w:r>
              <w:rPr>
                <w:szCs w:val="22"/>
              </w:rPr>
              <w:t>27.26</w:t>
            </w:r>
          </w:p>
          <w:p>
            <w:pPr>
              <w:pStyle w:val="yTableNAm"/>
              <w:jc w:val="right"/>
              <w:rPr>
                <w:szCs w:val="22"/>
              </w:rPr>
            </w:pPr>
            <w:r>
              <w:rPr>
                <w:szCs w:val="22"/>
              </w:rPr>
              <w:t>239.94</w:t>
            </w:r>
          </w:p>
        </w:tc>
      </w:tr>
      <w:tr>
        <w:tc>
          <w:tcPr>
            <w:tcW w:w="567" w:type="dxa"/>
          </w:tcPr>
          <w:p>
            <w:pPr>
              <w:pStyle w:val="yTableNAm"/>
            </w:pPr>
            <w:r>
              <w:t>6.</w:t>
            </w:r>
          </w:p>
        </w:tc>
        <w:tc>
          <w:tcPr>
            <w:tcW w:w="4394" w:type="dxa"/>
          </w:tcPr>
          <w:p>
            <w:pPr>
              <w:pStyle w:val="yTableNAm"/>
            </w:pPr>
            <w:r>
              <w:t xml:space="preserve">For pen, per day — </w:t>
            </w:r>
          </w:p>
        </w:tc>
        <w:tc>
          <w:tcPr>
            <w:tcW w:w="992" w:type="dxa"/>
            <w:vAlign w:val="bottom"/>
          </w:tcPr>
          <w:p>
            <w:pPr>
              <w:pStyle w:val="yTableNAm"/>
              <w:jc w:val="right"/>
              <w:rPr>
                <w:szCs w:val="22"/>
              </w:rPr>
            </w:pPr>
          </w:p>
        </w:tc>
      </w:tr>
      <w:tr>
        <w:tc>
          <w:tcPr>
            <w:tcW w:w="567" w:type="dxa"/>
          </w:tcPr>
          <w:p>
            <w:pPr>
              <w:pStyle w:val="yTableNAm"/>
            </w:pPr>
          </w:p>
        </w:tc>
        <w:tc>
          <w:tcPr>
            <w:tcW w:w="4394" w:type="dxa"/>
          </w:tcPr>
          <w:p>
            <w:pPr>
              <w:pStyle w:val="yTableNAm"/>
              <w:tabs>
                <w:tab w:val="clear" w:pos="567"/>
                <w:tab w:val="left" w:pos="415"/>
                <w:tab w:val="left" w:pos="793"/>
              </w:tabs>
              <w:ind w:left="415" w:hanging="415"/>
            </w:pPr>
            <w:r>
              <w:t>•</w:t>
            </w:r>
            <w:r>
              <w:tab/>
              <w:t>for commercial vessel —</w:t>
            </w:r>
          </w:p>
          <w:p>
            <w:pPr>
              <w:pStyle w:val="yTableNAm"/>
              <w:tabs>
                <w:tab w:val="clear" w:pos="567"/>
                <w:tab w:val="left" w:pos="415"/>
                <w:tab w:val="left" w:pos="793"/>
              </w:tabs>
              <w:ind w:left="415" w:hanging="415"/>
            </w:pPr>
            <w:r>
              <w:tab/>
              <w:t>•</w:t>
            </w:r>
            <w:r>
              <w:tab/>
              <w:t>per m of the vessel’s length</w:t>
            </w:r>
          </w:p>
          <w:p>
            <w:pPr>
              <w:pStyle w:val="yTableNAm"/>
              <w:tabs>
                <w:tab w:val="clear" w:pos="567"/>
                <w:tab w:val="left" w:pos="415"/>
                <w:tab w:val="left" w:pos="793"/>
              </w:tabs>
              <w:ind w:left="415" w:hanging="415"/>
            </w:pPr>
            <w:r>
              <w:tab/>
              <w:t>•</w:t>
            </w:r>
            <w:r>
              <w:tab/>
              <w:t>minimum fee for overnight use</w:t>
            </w:r>
          </w:p>
        </w:tc>
        <w:tc>
          <w:tcPr>
            <w:tcW w:w="992" w:type="dxa"/>
            <w:vAlign w:val="bottom"/>
          </w:tcPr>
          <w:p>
            <w:pPr>
              <w:pStyle w:val="yTableNAm"/>
              <w:jc w:val="right"/>
              <w:rPr>
                <w:szCs w:val="22"/>
              </w:rPr>
            </w:pPr>
          </w:p>
          <w:p>
            <w:pPr>
              <w:pStyle w:val="yTableNAm"/>
              <w:jc w:val="right"/>
              <w:rPr>
                <w:szCs w:val="22"/>
              </w:rPr>
            </w:pPr>
            <w:r>
              <w:rPr>
                <w:szCs w:val="22"/>
              </w:rPr>
              <w:t>5.90</w:t>
            </w:r>
          </w:p>
          <w:p>
            <w:pPr>
              <w:pStyle w:val="yTableNAm"/>
              <w:jc w:val="right"/>
              <w:rPr>
                <w:szCs w:val="22"/>
              </w:rPr>
            </w:pPr>
            <w:r>
              <w:rPr>
                <w:szCs w:val="22"/>
              </w:rPr>
              <w:t>47.96</w:t>
            </w:r>
          </w:p>
        </w:tc>
      </w:tr>
      <w:tr>
        <w:tc>
          <w:tcPr>
            <w:tcW w:w="567" w:type="dxa"/>
          </w:tcPr>
          <w:p>
            <w:pPr>
              <w:pStyle w:val="yTableNAm"/>
            </w:pPr>
          </w:p>
        </w:tc>
        <w:tc>
          <w:tcPr>
            <w:tcW w:w="4394" w:type="dxa"/>
          </w:tcPr>
          <w:p>
            <w:pPr>
              <w:pStyle w:val="yTableNAm"/>
              <w:tabs>
                <w:tab w:val="clear" w:pos="567"/>
                <w:tab w:val="left" w:pos="415"/>
                <w:tab w:val="left" w:pos="793"/>
              </w:tabs>
              <w:ind w:left="415" w:hanging="415"/>
            </w:pPr>
            <w:r>
              <w:t>•</w:t>
            </w:r>
            <w:r>
              <w:tab/>
              <w:t xml:space="preserve">for recreational vessel — </w:t>
            </w:r>
          </w:p>
          <w:p>
            <w:pPr>
              <w:pStyle w:val="yTableNAm"/>
              <w:tabs>
                <w:tab w:val="clear" w:pos="567"/>
                <w:tab w:val="left" w:pos="415"/>
                <w:tab w:val="left" w:pos="793"/>
              </w:tabs>
              <w:ind w:left="415" w:hanging="415"/>
            </w:pPr>
            <w:r>
              <w:tab/>
              <w:t>•</w:t>
            </w:r>
            <w:r>
              <w:tab/>
              <w:t>per m of the vessel’s length</w:t>
            </w:r>
          </w:p>
          <w:p>
            <w:pPr>
              <w:pStyle w:val="yTableNAm"/>
              <w:tabs>
                <w:tab w:val="clear" w:pos="567"/>
                <w:tab w:val="left" w:pos="415"/>
                <w:tab w:val="left" w:pos="793"/>
              </w:tabs>
              <w:ind w:left="415" w:hanging="415"/>
            </w:pPr>
            <w:r>
              <w:tab/>
              <w:t>•</w:t>
            </w:r>
            <w:r>
              <w:tab/>
              <w:t>minimum fee for overnight use</w:t>
            </w:r>
          </w:p>
        </w:tc>
        <w:tc>
          <w:tcPr>
            <w:tcW w:w="992" w:type="dxa"/>
            <w:vAlign w:val="bottom"/>
          </w:tcPr>
          <w:p>
            <w:pPr>
              <w:pStyle w:val="yTableNAm"/>
              <w:jc w:val="right"/>
              <w:rPr>
                <w:szCs w:val="22"/>
              </w:rPr>
            </w:pPr>
          </w:p>
          <w:p>
            <w:pPr>
              <w:pStyle w:val="yTableNAm"/>
              <w:jc w:val="right"/>
              <w:rPr>
                <w:szCs w:val="22"/>
              </w:rPr>
            </w:pPr>
            <w:r>
              <w:rPr>
                <w:szCs w:val="22"/>
              </w:rPr>
              <w:t>5.45</w:t>
            </w:r>
          </w:p>
          <w:p>
            <w:pPr>
              <w:pStyle w:val="yTableNAm"/>
              <w:jc w:val="right"/>
              <w:rPr>
                <w:szCs w:val="22"/>
              </w:rPr>
            </w:pPr>
            <w:r>
              <w:rPr>
                <w:szCs w:val="22"/>
              </w:rPr>
              <w:t>47.96</w:t>
            </w:r>
          </w:p>
        </w:tc>
      </w:tr>
      <w:tr>
        <w:tc>
          <w:tcPr>
            <w:tcW w:w="567" w:type="dxa"/>
          </w:tcPr>
          <w:p>
            <w:pPr>
              <w:pStyle w:val="yTableNAm"/>
            </w:pPr>
            <w:r>
              <w:t>7.</w:t>
            </w:r>
          </w:p>
        </w:tc>
        <w:tc>
          <w:tcPr>
            <w:tcW w:w="4394" w:type="dxa"/>
          </w:tcPr>
          <w:p>
            <w:pPr>
              <w:pStyle w:val="yTableNAm"/>
            </w:pPr>
            <w:r>
              <w:t xml:space="preserve">For use of service jetty, per m of the vessel’s length — </w:t>
            </w:r>
          </w:p>
        </w:tc>
        <w:tc>
          <w:tcPr>
            <w:tcW w:w="992" w:type="dxa"/>
            <w:vAlign w:val="bottom"/>
          </w:tcPr>
          <w:p>
            <w:pPr>
              <w:pStyle w:val="yTableNAm"/>
              <w:jc w:val="right"/>
              <w:rPr>
                <w:szCs w:val="22"/>
              </w:rPr>
            </w:pPr>
          </w:p>
        </w:tc>
      </w:tr>
      <w:tr>
        <w:tc>
          <w:tcPr>
            <w:tcW w:w="567" w:type="dxa"/>
          </w:tcPr>
          <w:p>
            <w:pPr>
              <w:pStyle w:val="yTableNAm"/>
            </w:pPr>
          </w:p>
        </w:tc>
        <w:tc>
          <w:tcPr>
            <w:tcW w:w="4394" w:type="dxa"/>
          </w:tcPr>
          <w:p>
            <w:pPr>
              <w:pStyle w:val="yTableNAm"/>
              <w:tabs>
                <w:tab w:val="clear" w:pos="567"/>
                <w:tab w:val="left" w:pos="415"/>
                <w:tab w:val="left" w:pos="793"/>
              </w:tabs>
              <w:ind w:left="415" w:hanging="415"/>
            </w:pPr>
            <w:r>
              <w:t>•</w:t>
            </w:r>
            <w:r>
              <w:tab/>
              <w:t>for commercial vessel</w:t>
            </w:r>
          </w:p>
        </w:tc>
        <w:tc>
          <w:tcPr>
            <w:tcW w:w="992" w:type="dxa"/>
            <w:vAlign w:val="bottom"/>
          </w:tcPr>
          <w:p>
            <w:pPr>
              <w:pStyle w:val="yTableNAm"/>
              <w:jc w:val="right"/>
              <w:rPr>
                <w:szCs w:val="22"/>
              </w:rPr>
            </w:pPr>
            <w:r>
              <w:rPr>
                <w:szCs w:val="22"/>
              </w:rPr>
              <w:t>5.90</w:t>
            </w:r>
          </w:p>
        </w:tc>
      </w:tr>
      <w:tr>
        <w:tc>
          <w:tcPr>
            <w:tcW w:w="567" w:type="dxa"/>
          </w:tcPr>
          <w:p>
            <w:pPr>
              <w:pStyle w:val="yTableNAm"/>
            </w:pPr>
          </w:p>
        </w:tc>
        <w:tc>
          <w:tcPr>
            <w:tcW w:w="4394" w:type="dxa"/>
          </w:tcPr>
          <w:p>
            <w:pPr>
              <w:pStyle w:val="yTableNAm"/>
              <w:tabs>
                <w:tab w:val="clear" w:pos="567"/>
                <w:tab w:val="left" w:pos="415"/>
                <w:tab w:val="left" w:pos="793"/>
              </w:tabs>
              <w:ind w:left="415" w:hanging="415"/>
            </w:pPr>
            <w:r>
              <w:t>•</w:t>
            </w:r>
            <w:r>
              <w:tab/>
              <w:t>for recreational vessel</w:t>
            </w:r>
          </w:p>
        </w:tc>
        <w:tc>
          <w:tcPr>
            <w:tcW w:w="992" w:type="dxa"/>
            <w:vAlign w:val="bottom"/>
          </w:tcPr>
          <w:p>
            <w:pPr>
              <w:pStyle w:val="yTableNAm"/>
              <w:jc w:val="right"/>
              <w:rPr>
                <w:szCs w:val="22"/>
              </w:rPr>
            </w:pPr>
            <w:r>
              <w:rPr>
                <w:szCs w:val="22"/>
              </w:rPr>
              <w:t>5.45</w:t>
            </w:r>
          </w:p>
        </w:tc>
      </w:tr>
      <w:tr>
        <w:tc>
          <w:tcPr>
            <w:tcW w:w="567" w:type="dxa"/>
          </w:tcPr>
          <w:p>
            <w:pPr>
              <w:pStyle w:val="yTableNAm"/>
            </w:pPr>
            <w:r>
              <w:t>8.</w:t>
            </w:r>
          </w:p>
        </w:tc>
        <w:tc>
          <w:tcPr>
            <w:tcW w:w="4394" w:type="dxa"/>
          </w:tcPr>
          <w:p>
            <w:pPr>
              <w:pStyle w:val="yTableNAm"/>
            </w:pPr>
            <w:r>
              <w:t>For use of service jetty for up to 3 hours by recreational vessel, per vessel</w:t>
            </w:r>
          </w:p>
        </w:tc>
        <w:tc>
          <w:tcPr>
            <w:tcW w:w="992" w:type="dxa"/>
            <w:vAlign w:val="bottom"/>
          </w:tcPr>
          <w:p>
            <w:pPr>
              <w:pStyle w:val="yTableNAm"/>
              <w:jc w:val="right"/>
              <w:rPr>
                <w:szCs w:val="22"/>
              </w:rPr>
            </w:pPr>
            <w:r>
              <w:rPr>
                <w:szCs w:val="22"/>
              </w:rPr>
              <w:t>35.28</w:t>
            </w:r>
          </w:p>
        </w:tc>
      </w:tr>
      <w:tr>
        <w:tc>
          <w:tcPr>
            <w:tcW w:w="567" w:type="dxa"/>
            <w:tcBorders>
              <w:bottom w:val="single" w:sz="4" w:space="0" w:color="auto"/>
            </w:tcBorders>
          </w:tcPr>
          <w:p>
            <w:pPr>
              <w:pStyle w:val="yTableNAm"/>
            </w:pPr>
            <w:r>
              <w:t>9.</w:t>
            </w:r>
          </w:p>
        </w:tc>
        <w:tc>
          <w:tcPr>
            <w:tcW w:w="4394" w:type="dxa"/>
            <w:tcBorders>
              <w:bottom w:val="single" w:sz="4" w:space="0" w:color="auto"/>
            </w:tcBorders>
          </w:tcPr>
          <w:p>
            <w:pPr>
              <w:pStyle w:val="yTableNAm"/>
            </w:pPr>
            <w:r>
              <w:t>For living on board a vessel, per vessel, per month</w:t>
            </w:r>
          </w:p>
        </w:tc>
        <w:tc>
          <w:tcPr>
            <w:tcW w:w="992" w:type="dxa"/>
            <w:tcBorders>
              <w:bottom w:val="single" w:sz="4" w:space="0" w:color="auto"/>
            </w:tcBorders>
            <w:vAlign w:val="bottom"/>
          </w:tcPr>
          <w:p>
            <w:pPr>
              <w:pStyle w:val="yTableNAm"/>
              <w:jc w:val="right"/>
              <w:rPr>
                <w:szCs w:val="22"/>
              </w:rPr>
            </w:pPr>
            <w:r>
              <w:rPr>
                <w:szCs w:val="22"/>
              </w:rPr>
              <w:t>130.69</w:t>
            </w:r>
          </w:p>
        </w:tc>
      </w:tr>
    </w:tbl>
    <w:p>
      <w:pPr>
        <w:pStyle w:val="yFootnotesection"/>
      </w:pPr>
      <w:r>
        <w:tab/>
        <w:t>[Clause 4 inserted in Gazette 28 Jun 2013 p. 2882</w:t>
      </w:r>
      <w:r>
        <w:noBreakHyphen/>
        <w:t>5.]</w:t>
      </w:r>
    </w:p>
    <w:p>
      <w:pPr>
        <w:tabs>
          <w:tab w:val="left" w:pos="423"/>
        </w:tabs>
        <w:ind w:left="423" w:hanging="423"/>
        <w:sectPr>
          <w:headerReference w:type="even" r:id="rId28"/>
          <w:headerReference w:type="default" r:id="rId29"/>
          <w:pgSz w:w="11906" w:h="16838" w:code="9"/>
          <w:pgMar w:top="2376" w:right="2404" w:bottom="3544" w:left="2404" w:header="709" w:footer="3380" w:gutter="0"/>
          <w:cols w:space="720"/>
          <w:noEndnote/>
          <w:docGrid w:linePitch="326"/>
        </w:sectPr>
      </w:pPr>
    </w:p>
    <w:p>
      <w:pPr>
        <w:pStyle w:val="yScheduleHeading"/>
        <w:outlineLvl w:val="0"/>
      </w:pPr>
      <w:bookmarkStart w:id="180" w:name="_Toc375231195"/>
      <w:r>
        <w:rPr>
          <w:rStyle w:val="CharSchNo"/>
        </w:rPr>
        <w:t>Schedule 3</w:t>
      </w:r>
      <w:r>
        <w:rPr>
          <w:rStyle w:val="CharSDivNo"/>
        </w:rPr>
        <w:t> </w:t>
      </w:r>
      <w:r>
        <w:t>—</w:t>
      </w:r>
      <w:r>
        <w:rPr>
          <w:rStyle w:val="CharSDivText"/>
        </w:rPr>
        <w:t> </w:t>
      </w:r>
      <w:r>
        <w:rPr>
          <w:rStyle w:val="CharSchText"/>
        </w:rPr>
        <w:t>Forms</w:t>
      </w:r>
      <w:bookmarkEnd w:id="180"/>
    </w:p>
    <w:p>
      <w:pPr>
        <w:pStyle w:val="yFootnoteheading"/>
      </w:pPr>
      <w:r>
        <w:tab/>
        <w:t>[Heading inserted in Gazette 24 Jun 2005 p. 2829.]</w:t>
      </w:r>
    </w:p>
    <w:p>
      <w:pPr>
        <w:pStyle w:val="yFootnotesection"/>
      </w:pPr>
      <w:r>
        <w:tab/>
        <w:t>[Forms 1 and 2 deleted in Gazette 24 Nov 1972 p. 4491.]</w:t>
      </w:r>
    </w:p>
    <w:p>
      <w:pPr>
        <w:pStyle w:val="yTable"/>
        <w:jc w:val="center"/>
        <w:outlineLvl w:val="0"/>
        <w:rPr>
          <w:b/>
        </w:rPr>
      </w:pPr>
      <w:r>
        <w:rPr>
          <w:b/>
        </w:rPr>
        <w:t>Form 3</w:t>
      </w:r>
    </w:p>
    <w:p>
      <w:pPr>
        <w:pStyle w:val="yTable"/>
        <w:jc w:val="center"/>
      </w:pPr>
      <w:smartTag w:uri="urn:schemas-microsoft-com:office:smarttags" w:element="place">
        <w:smartTag w:uri="urn:schemas-microsoft-com:office:smarttags" w:element="State">
          <w:r>
            <w:t>Western Australia</w:t>
          </w:r>
        </w:smartTag>
      </w:smartTag>
    </w:p>
    <w:p>
      <w:pPr>
        <w:pStyle w:val="yTable"/>
        <w:jc w:val="center"/>
      </w:pPr>
      <w:r>
        <w:t>Department of Marine and Harbours</w:t>
      </w:r>
      <w:r>
        <w:rPr>
          <w:vertAlign w:val="superscript"/>
        </w:rPr>
        <w:t> 7</w:t>
      </w:r>
    </w:p>
    <w:p>
      <w:pPr>
        <w:pStyle w:val="yTable"/>
        <w:jc w:val="center"/>
      </w:pPr>
      <w:r>
        <w:rPr>
          <w:i/>
        </w:rPr>
        <w:t>Jetties Act 1926</w:t>
      </w:r>
    </w:p>
    <w:p>
      <w:pPr>
        <w:pStyle w:val="yTable"/>
        <w:jc w:val="center"/>
        <w:rPr>
          <w:b/>
        </w:rPr>
      </w:pPr>
      <w:r>
        <w:rPr>
          <w:b/>
        </w:rPr>
        <w:t>APPLICATION FOR USE OF SLIPWAY</w:t>
      </w:r>
    </w:p>
    <w:p>
      <w:pPr>
        <w:pStyle w:val="yTable"/>
      </w:pPr>
      <w:r>
        <w:t>The Harbour Master or Officer in Charge,</w:t>
      </w:r>
    </w:p>
    <w:p>
      <w:pPr>
        <w:pStyle w:val="yTable"/>
        <w:tabs>
          <w:tab w:val="right" w:leader="dot" w:pos="3261"/>
        </w:tabs>
      </w:pPr>
      <w:r>
        <w:t>.............................................. Slipway</w:t>
      </w:r>
    </w:p>
    <w:p>
      <w:pPr>
        <w:pStyle w:val="yTable"/>
        <w:tabs>
          <w:tab w:val="right" w:leader="dot" w:pos="7088"/>
        </w:tabs>
      </w:pPr>
      <w:r>
        <w:t>Application is hereby made for the use of slipway for the purpose of slipping</w:t>
      </w:r>
    </w:p>
    <w:p>
      <w:pPr>
        <w:pStyle w:val="yTable"/>
        <w:tabs>
          <w:tab w:val="right" w:leader="dot" w:pos="7088"/>
        </w:tabs>
        <w:spacing w:before="0"/>
      </w:pPr>
      <w:r>
        <w:t>............................................................................., the particulars of which are:</w:t>
      </w:r>
      <w:r>
        <w:rPr>
          <w:i/>
          <w:snapToGrid w:val="0"/>
        </w:rPr>
        <w:t xml:space="preserve"> —</w:t>
      </w:r>
    </w:p>
    <w:p>
      <w:pPr>
        <w:pStyle w:val="yTable"/>
        <w:tabs>
          <w:tab w:val="left" w:pos="3686"/>
        </w:tabs>
        <w:ind w:right="8"/>
      </w:pPr>
      <w:r>
        <w:t xml:space="preserve">Length overall .................................... </w:t>
      </w:r>
      <w:r>
        <w:tab/>
        <w:t>........................................... metres</w:t>
      </w:r>
    </w:p>
    <w:p>
      <w:pPr>
        <w:pStyle w:val="yTable"/>
        <w:tabs>
          <w:tab w:val="left" w:pos="3686"/>
        </w:tabs>
        <w:spacing w:before="0"/>
        <w:ind w:right="8"/>
      </w:pPr>
      <w:r>
        <w:t xml:space="preserve">Beam (extreme) ................................. </w:t>
      </w:r>
      <w:r>
        <w:tab/>
        <w:t>........................................... metres</w:t>
      </w:r>
    </w:p>
    <w:p>
      <w:pPr>
        <w:pStyle w:val="yTable"/>
        <w:tabs>
          <w:tab w:val="left" w:pos="3686"/>
        </w:tabs>
        <w:spacing w:before="0"/>
        <w:ind w:right="8"/>
      </w:pPr>
      <w:r>
        <w:t>Draught </w:t>
      </w:r>
      <w:r>
        <w:rPr>
          <w:i/>
          <w:snapToGrid w:val="0"/>
        </w:rPr>
        <w:t>—</w:t>
      </w:r>
      <w:r>
        <w:t xml:space="preserve"> Forward ........................... </w:t>
      </w:r>
      <w:r>
        <w:tab/>
        <w:t>........................................... metres</w:t>
      </w:r>
    </w:p>
    <w:p>
      <w:pPr>
        <w:pStyle w:val="yTable"/>
        <w:tabs>
          <w:tab w:val="left" w:pos="3686"/>
        </w:tabs>
        <w:spacing w:before="0"/>
        <w:ind w:right="8"/>
      </w:pPr>
      <w:r>
        <w:t xml:space="preserve">              </w:t>
      </w:r>
      <w:r>
        <w:rPr>
          <w:i/>
          <w:snapToGrid w:val="0"/>
        </w:rPr>
        <w:t>—</w:t>
      </w:r>
      <w:r>
        <w:t xml:space="preserve"> Aft ..................................... </w:t>
      </w:r>
      <w:r>
        <w:tab/>
        <w:t>........................................... metres</w:t>
      </w:r>
    </w:p>
    <w:p>
      <w:pPr>
        <w:pStyle w:val="yTable"/>
        <w:tabs>
          <w:tab w:val="left" w:pos="3686"/>
        </w:tabs>
        <w:spacing w:before="0"/>
        <w:ind w:right="8"/>
      </w:pPr>
      <w:r>
        <w:t xml:space="preserve">Deadweight ........................................ </w:t>
      </w:r>
      <w:r>
        <w:tab/>
        <w:t>........................................... tonnes</w:t>
      </w:r>
    </w:p>
    <w:p>
      <w:pPr>
        <w:pStyle w:val="yTable"/>
        <w:tabs>
          <w:tab w:val="left" w:pos="3686"/>
        </w:tabs>
        <w:spacing w:before="0"/>
        <w:ind w:right="8"/>
      </w:pPr>
      <w:r>
        <w:t xml:space="preserve">Gross tonnage .................................... </w:t>
      </w:r>
      <w:r>
        <w:tab/>
        <w:t>............................................... tons</w:t>
      </w:r>
    </w:p>
    <w:p>
      <w:pPr>
        <w:pStyle w:val="yTable"/>
        <w:tabs>
          <w:tab w:val="right" w:leader="dot" w:pos="7088"/>
        </w:tabs>
        <w:spacing w:before="0"/>
        <w:ind w:right="8"/>
      </w:pPr>
      <w:r>
        <w:t>Particulars of keel or any peculiarity in construction to be given here</w:t>
      </w:r>
    </w:p>
    <w:p>
      <w:pPr>
        <w:pStyle w:val="yTable"/>
        <w:tabs>
          <w:tab w:val="right" w:leader="dot" w:pos="7088"/>
        </w:tabs>
        <w:spacing w:before="0"/>
      </w:pPr>
      <w:r>
        <w:t>.................................................................................................................................</w:t>
      </w:r>
    </w:p>
    <w:p>
      <w:pPr>
        <w:pStyle w:val="yTable"/>
        <w:tabs>
          <w:tab w:val="right" w:leader="dot" w:pos="7088"/>
        </w:tabs>
        <w:spacing w:before="0"/>
      </w:pPr>
      <w:r>
        <w:t>.................................................................................................................................</w:t>
      </w:r>
    </w:p>
    <w:p>
      <w:pPr>
        <w:pStyle w:val="yTable"/>
        <w:tabs>
          <w:tab w:val="left" w:leader="dot" w:pos="2835"/>
          <w:tab w:val="left" w:leader="dot" w:pos="3969"/>
          <w:tab w:val="left" w:leader="dot" w:pos="5670"/>
          <w:tab w:val="right" w:leader="dot" w:pos="7088"/>
        </w:tabs>
        <w:spacing w:before="0"/>
      </w:pPr>
      <w:r>
        <w:t>Date slip required ....................... 20............... Time ............................. a.m./p.m.</w:t>
      </w:r>
    </w:p>
    <w:p>
      <w:pPr>
        <w:pStyle w:val="yTable"/>
        <w:tabs>
          <w:tab w:val="left" w:leader="dot" w:pos="2835"/>
          <w:tab w:val="left" w:leader="dot" w:pos="3969"/>
          <w:tab w:val="left" w:leader="dot" w:pos="5670"/>
          <w:tab w:val="right" w:leader="dot" w:pos="7088"/>
        </w:tabs>
        <w:spacing w:before="0"/>
      </w:pPr>
      <w:r>
        <w:t>Date launching required ............. 20............... Time ............................. a.m./p.m.</w:t>
      </w:r>
    </w:p>
    <w:p>
      <w:pPr>
        <w:pStyle w:val="yTable"/>
        <w:tabs>
          <w:tab w:val="right" w:leader="dot" w:pos="7088"/>
        </w:tabs>
        <w:spacing w:before="0"/>
      </w:pPr>
      <w:r>
        <w:t>State work to be done when vessel is on slip .........................................................</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pPr>
      <w:r>
        <w:fldChar w:fldCharType="begin"/>
      </w:r>
      <w:r>
        <w:instrText>ADVANCE \R 654.15</w:instrText>
      </w:r>
      <w:r>
        <w:fldChar w:fldCharType="end"/>
      </w:r>
      <w:r>
        <w:t xml:space="preserve">I hereby agree that in the event of the use of the slip being granted, I shall accept and be bound by the conditions and scale of charges prescribed in the </w:t>
      </w:r>
      <w:r>
        <w:rPr>
          <w:i/>
        </w:rPr>
        <w:t>Jetties Regulations 1940</w:t>
      </w:r>
      <w:r>
        <w:rPr>
          <w:vertAlign w:val="superscript"/>
        </w:rPr>
        <w:t> 8</w:t>
      </w:r>
      <w:r>
        <w:t>.</w:t>
      </w:r>
    </w:p>
    <w:p>
      <w:pPr>
        <w:pStyle w:val="yTable"/>
        <w:tabs>
          <w:tab w:val="left" w:pos="4253"/>
        </w:tabs>
        <w:spacing w:before="240"/>
      </w:pPr>
      <w:r>
        <w:t>Date ...................................................</w:t>
      </w:r>
      <w:r>
        <w:tab/>
        <w:t>...................................................</w:t>
      </w:r>
    </w:p>
    <w:p>
      <w:pPr>
        <w:pStyle w:val="yTable"/>
        <w:tabs>
          <w:tab w:val="right" w:leader="dot" w:pos="7088"/>
        </w:tabs>
        <w:spacing w:before="0"/>
        <w:ind w:left="4253"/>
        <w:jc w:val="center"/>
      </w:pPr>
      <w:r>
        <w:t>Master or Owner</w:t>
      </w:r>
    </w:p>
    <w:p>
      <w:pPr>
        <w:pStyle w:val="yTable"/>
        <w:keepNext/>
        <w:keepLines/>
        <w:tabs>
          <w:tab w:val="right" w:leader="dot" w:pos="7088"/>
        </w:tabs>
        <w:spacing w:before="0" w:after="120"/>
      </w:pPr>
      <w:r>
        <w:t>THE TREASURY CASHIER,</w:t>
      </w:r>
    </w:p>
    <w:p>
      <w:pPr>
        <w:pStyle w:val="yTable"/>
        <w:keepNext/>
        <w:keepLines/>
        <w:tabs>
          <w:tab w:val="right" w:leader="dot" w:pos="7088"/>
        </w:tabs>
        <w:spacing w:before="240"/>
      </w:pPr>
      <w:r>
        <w:fldChar w:fldCharType="begin"/>
      </w:r>
      <w:r>
        <w:instrText>ADVANCE \R 994.20</w:instrText>
      </w:r>
      <w:r>
        <w:fldChar w:fldCharType="end"/>
      </w:r>
      <w:r>
        <w:t>The above vessel occupied the slip from ............................................ a.m./p.m.</w:t>
      </w:r>
    </w:p>
    <w:p>
      <w:pPr>
        <w:pStyle w:val="yTable"/>
        <w:keepNext/>
        <w:keepLines/>
        <w:tabs>
          <w:tab w:val="left" w:leader="dot" w:pos="1560"/>
          <w:tab w:val="left" w:leader="dot" w:pos="3261"/>
          <w:tab w:val="right" w:leader="dot" w:pos="7088"/>
        </w:tabs>
        <w:spacing w:before="0"/>
      </w:pPr>
      <w:r>
        <w:t>on ........................ to .......................... a.m./p.m. on ..............................................</w:t>
      </w:r>
    </w:p>
    <w:p>
      <w:pPr>
        <w:pStyle w:val="yTable"/>
        <w:tabs>
          <w:tab w:val="right" w:leader="dot" w:pos="7088"/>
        </w:tabs>
        <w:spacing w:before="0"/>
      </w:pPr>
      <w:r>
        <w:t>The fee payable is $ ......................................... Details are shown on Docket No.</w:t>
      </w:r>
    </w:p>
    <w:p>
      <w:pPr>
        <w:pStyle w:val="yTable"/>
        <w:tabs>
          <w:tab w:val="right" w:leader="dot" w:pos="3686"/>
        </w:tabs>
        <w:spacing w:before="0"/>
      </w:pPr>
      <w:r>
        <w:t xml:space="preserve">.................................................................... </w:t>
      </w:r>
    </w:p>
    <w:p>
      <w:pPr>
        <w:pStyle w:val="yTable"/>
        <w:tabs>
          <w:tab w:val="right" w:leader="dot" w:pos="7088"/>
        </w:tabs>
        <w:ind w:left="3969"/>
      </w:pPr>
      <w:r>
        <w:t>........................................................</w:t>
      </w:r>
    </w:p>
    <w:p>
      <w:pPr>
        <w:pStyle w:val="yTable"/>
        <w:tabs>
          <w:tab w:val="right" w:leader="dot" w:pos="7088"/>
        </w:tabs>
        <w:spacing w:before="0"/>
        <w:ind w:left="3969"/>
        <w:jc w:val="center"/>
      </w:pPr>
      <w:r>
        <w:t>Officer in Charge of Slip</w:t>
      </w:r>
    </w:p>
    <w:p>
      <w:pPr>
        <w:pStyle w:val="yFootnotesection"/>
      </w:pPr>
      <w:r>
        <w:tab/>
        <w:t>[Form 3 inserted in Gazette 6 Jul 1984 p. 2029.]</w:t>
      </w:r>
    </w:p>
    <w:p>
      <w:pPr>
        <w:pStyle w:val="yEdnoteschedule"/>
        <w:outlineLvl w:val="9"/>
      </w:pPr>
      <w:r>
        <w:t>[Schedule 4 deleted in Gazette 22 Jun 2007 p. 2940.]</w:t>
      </w:r>
    </w:p>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pgSz w:w="11906" w:h="16838" w:code="9"/>
          <w:pgMar w:top="2376" w:right="2405" w:bottom="3542" w:left="2405" w:header="706" w:footer="3380" w:gutter="0"/>
          <w:cols w:space="720"/>
          <w:noEndnote/>
          <w:docGrid w:linePitch="326"/>
        </w:sectPr>
      </w:pPr>
    </w:p>
    <w:p>
      <w:pPr>
        <w:pStyle w:val="nHeading2"/>
        <w:outlineLvl w:val="0"/>
      </w:pPr>
      <w:bookmarkStart w:id="181" w:name="_Toc375231196"/>
      <w:r>
        <w:t>Notes</w:t>
      </w:r>
      <w:bookmarkEnd w:id="181"/>
    </w:p>
    <w:p>
      <w:pPr>
        <w:pStyle w:val="nSubsection"/>
        <w:rPr>
          <w:snapToGrid w:val="0"/>
        </w:rPr>
      </w:pPr>
      <w:r>
        <w:rPr>
          <w:snapToGrid w:val="0"/>
          <w:vertAlign w:val="superscript"/>
        </w:rPr>
        <w:t>1</w:t>
      </w:r>
      <w:r>
        <w:rPr>
          <w:snapToGrid w:val="0"/>
        </w:rPr>
        <w:tab/>
        <w:t xml:space="preserve">This reprint is a compilation as at 11 October 2013 of the </w:t>
      </w:r>
      <w:r>
        <w:rPr>
          <w:i/>
          <w:snapToGrid w:val="0"/>
        </w:rPr>
        <w:t>Jetties Regulations 1940</w:t>
      </w:r>
      <w:r>
        <w:rPr>
          <w:snapToGrid w:val="0"/>
        </w:rPr>
        <w:t xml:space="preserve"> and includes the amendments made by the other written laws referred to in the following table.  The table also contains information about any reprint.</w:t>
      </w:r>
    </w:p>
    <w:p>
      <w:pPr>
        <w:pStyle w:val="nHeading3"/>
      </w:pPr>
      <w:bookmarkStart w:id="182" w:name="_Toc375231197"/>
      <w:r>
        <w:t>Compilation table</w:t>
      </w:r>
      <w:bookmarkEnd w:id="18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Pr>
          <w:p>
            <w:pPr>
              <w:pStyle w:val="nTable"/>
              <w:spacing w:after="40"/>
              <w:ind w:right="170"/>
              <w:rPr>
                <w:sz w:val="19"/>
              </w:rPr>
            </w:pPr>
            <w:r>
              <w:rPr>
                <w:i/>
                <w:sz w:val="19"/>
              </w:rPr>
              <w:t>Jetties Act Regulations 1940 </w:t>
            </w:r>
            <w:r>
              <w:rPr>
                <w:sz w:val="19"/>
                <w:vertAlign w:val="superscript"/>
              </w:rPr>
              <w:t>9, 10</w:t>
            </w:r>
          </w:p>
        </w:tc>
        <w:tc>
          <w:tcPr>
            <w:tcW w:w="1276" w:type="dxa"/>
          </w:tcPr>
          <w:p>
            <w:pPr>
              <w:pStyle w:val="nTable"/>
              <w:spacing w:after="40"/>
              <w:rPr>
                <w:sz w:val="19"/>
              </w:rPr>
            </w:pPr>
            <w:r>
              <w:rPr>
                <w:sz w:val="19"/>
              </w:rPr>
              <w:t>6 Sep 1940 p. 1622</w:t>
            </w:r>
            <w:r>
              <w:rPr>
                <w:sz w:val="19"/>
              </w:rPr>
              <w:noBreakHyphen/>
              <w:t xml:space="preserve">40 </w:t>
            </w:r>
          </w:p>
        </w:tc>
        <w:tc>
          <w:tcPr>
            <w:tcW w:w="2693" w:type="dxa"/>
          </w:tcPr>
          <w:p>
            <w:pPr>
              <w:pStyle w:val="nTable"/>
              <w:spacing w:after="40"/>
              <w:rPr>
                <w:sz w:val="19"/>
              </w:rPr>
            </w:pPr>
            <w:r>
              <w:rPr>
                <w:sz w:val="19"/>
              </w:rPr>
              <w:t xml:space="preserve">6 Sep 1940 (see direction preceding regulations in </w:t>
            </w:r>
            <w:r>
              <w:rPr>
                <w:i/>
                <w:sz w:val="19"/>
              </w:rPr>
              <w:t>Gazette</w:t>
            </w:r>
            <w:r>
              <w:rPr>
                <w:sz w:val="19"/>
              </w:rPr>
              <w:t xml:space="preserve"> 6 Sep 1940 p. 1622)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 Aug 1941 p. 1073</w:t>
            </w:r>
          </w:p>
        </w:tc>
        <w:tc>
          <w:tcPr>
            <w:tcW w:w="2693" w:type="dxa"/>
          </w:tcPr>
          <w:p>
            <w:pPr>
              <w:pStyle w:val="nTable"/>
              <w:spacing w:after="40"/>
              <w:rPr>
                <w:sz w:val="19"/>
              </w:rPr>
            </w:pPr>
            <w:r>
              <w:rPr>
                <w:sz w:val="19"/>
              </w:rPr>
              <w:t>1 Aug 1941</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rFonts w:ascii="Arial" w:hAnsi="Arial"/>
                <w:b/>
                <w:sz w:val="19"/>
              </w:rPr>
            </w:pPr>
            <w:r>
              <w:rPr>
                <w:sz w:val="19"/>
              </w:rPr>
              <w:t>5 Sep 1941 p. 1244</w:t>
            </w:r>
          </w:p>
        </w:tc>
        <w:tc>
          <w:tcPr>
            <w:tcW w:w="2693" w:type="dxa"/>
          </w:tcPr>
          <w:p>
            <w:pPr>
              <w:pStyle w:val="nTable"/>
              <w:spacing w:after="40"/>
              <w:rPr>
                <w:sz w:val="19"/>
              </w:rPr>
            </w:pPr>
            <w:r>
              <w:rPr>
                <w:sz w:val="19"/>
              </w:rPr>
              <w:t>5 Sep 1941</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 xml:space="preserve">21 Jan 1944 p. 26 </w:t>
            </w:r>
          </w:p>
        </w:tc>
        <w:tc>
          <w:tcPr>
            <w:tcW w:w="2693" w:type="dxa"/>
          </w:tcPr>
          <w:p>
            <w:pPr>
              <w:pStyle w:val="nTable"/>
              <w:spacing w:after="40"/>
              <w:rPr>
                <w:sz w:val="19"/>
              </w:rPr>
            </w:pPr>
            <w:r>
              <w:rPr>
                <w:sz w:val="19"/>
              </w:rPr>
              <w:t>21 Jan 1944</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10 Mar 1944 p. 154</w:t>
            </w:r>
          </w:p>
        </w:tc>
        <w:tc>
          <w:tcPr>
            <w:tcW w:w="2693" w:type="dxa"/>
          </w:tcPr>
          <w:p>
            <w:pPr>
              <w:pStyle w:val="nTable"/>
              <w:spacing w:after="40"/>
              <w:rPr>
                <w:sz w:val="19"/>
              </w:rPr>
            </w:pPr>
            <w:r>
              <w:rPr>
                <w:sz w:val="19"/>
              </w:rPr>
              <w:t>10 Mar 1944</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rFonts w:ascii="Arial" w:hAnsi="Arial"/>
                <w:b/>
                <w:sz w:val="19"/>
              </w:rPr>
            </w:pPr>
            <w:r>
              <w:rPr>
                <w:sz w:val="19"/>
              </w:rPr>
              <w:t>20 Oct 1944 p. 893</w:t>
            </w:r>
          </w:p>
        </w:tc>
        <w:tc>
          <w:tcPr>
            <w:tcW w:w="2693" w:type="dxa"/>
          </w:tcPr>
          <w:p>
            <w:pPr>
              <w:pStyle w:val="nTable"/>
              <w:spacing w:after="40"/>
              <w:rPr>
                <w:sz w:val="19"/>
              </w:rPr>
            </w:pPr>
            <w:r>
              <w:rPr>
                <w:sz w:val="19"/>
              </w:rPr>
              <w:t>20 Oct 1944</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11 Jan 1946 p. 13</w:t>
            </w:r>
          </w:p>
        </w:tc>
        <w:tc>
          <w:tcPr>
            <w:tcW w:w="2693" w:type="dxa"/>
          </w:tcPr>
          <w:p>
            <w:pPr>
              <w:pStyle w:val="nTable"/>
              <w:spacing w:after="40"/>
              <w:rPr>
                <w:rFonts w:ascii="Arial" w:hAnsi="Arial"/>
                <w:b/>
                <w:sz w:val="19"/>
              </w:rPr>
            </w:pPr>
            <w:r>
              <w:rPr>
                <w:sz w:val="19"/>
              </w:rPr>
              <w:t>11 Jan 1946</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rFonts w:ascii="Arial" w:hAnsi="Arial"/>
                <w:b/>
                <w:sz w:val="19"/>
              </w:rPr>
            </w:pPr>
            <w:r>
              <w:rPr>
                <w:sz w:val="19"/>
              </w:rPr>
              <w:t>3 Jan 1947</w:t>
            </w:r>
            <w:r>
              <w:rPr>
                <w:sz w:val="19"/>
              </w:rPr>
              <w:br/>
              <w:t>p. 7</w:t>
            </w:r>
          </w:p>
        </w:tc>
        <w:tc>
          <w:tcPr>
            <w:tcW w:w="2693" w:type="dxa"/>
          </w:tcPr>
          <w:p>
            <w:pPr>
              <w:pStyle w:val="nTable"/>
              <w:spacing w:after="40"/>
              <w:rPr>
                <w:sz w:val="19"/>
              </w:rPr>
            </w:pPr>
            <w:r>
              <w:rPr>
                <w:sz w:val="19"/>
              </w:rPr>
              <w:t>3 Jan 1947</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rFonts w:ascii="Arial" w:hAnsi="Arial"/>
                <w:b/>
                <w:sz w:val="19"/>
              </w:rPr>
            </w:pPr>
            <w:r>
              <w:rPr>
                <w:sz w:val="19"/>
              </w:rPr>
              <w:t>31 Jan 1947 p. 182</w:t>
            </w:r>
          </w:p>
        </w:tc>
        <w:tc>
          <w:tcPr>
            <w:tcW w:w="2693" w:type="dxa"/>
          </w:tcPr>
          <w:p>
            <w:pPr>
              <w:pStyle w:val="nTable"/>
              <w:spacing w:after="40"/>
              <w:rPr>
                <w:sz w:val="19"/>
              </w:rPr>
            </w:pPr>
            <w:r>
              <w:rPr>
                <w:sz w:val="19"/>
              </w:rPr>
              <w:t>31 Jan 1947</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23 May 1947 p. 885</w:t>
            </w:r>
          </w:p>
        </w:tc>
        <w:tc>
          <w:tcPr>
            <w:tcW w:w="2693" w:type="dxa"/>
          </w:tcPr>
          <w:p>
            <w:pPr>
              <w:pStyle w:val="nTable"/>
              <w:spacing w:after="40"/>
              <w:rPr>
                <w:sz w:val="19"/>
              </w:rPr>
            </w:pPr>
            <w:r>
              <w:rPr>
                <w:sz w:val="19"/>
              </w:rPr>
              <w:t>23 May 1947</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rFonts w:ascii="Arial" w:hAnsi="Arial"/>
                <w:b/>
                <w:sz w:val="19"/>
              </w:rPr>
            </w:pPr>
            <w:r>
              <w:rPr>
                <w:sz w:val="19"/>
              </w:rPr>
              <w:t>29 Oct 1948 p. 2579</w:t>
            </w:r>
          </w:p>
        </w:tc>
        <w:tc>
          <w:tcPr>
            <w:tcW w:w="2693" w:type="dxa"/>
          </w:tcPr>
          <w:p>
            <w:pPr>
              <w:pStyle w:val="nTable"/>
              <w:spacing w:after="40"/>
              <w:rPr>
                <w:rFonts w:ascii="Arial" w:hAnsi="Arial"/>
                <w:b/>
                <w:sz w:val="19"/>
              </w:rPr>
            </w:pPr>
            <w:r>
              <w:rPr>
                <w:sz w:val="19"/>
              </w:rPr>
              <w:t>29 Oct 1948</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rFonts w:ascii="Arial" w:hAnsi="Arial"/>
                <w:b/>
                <w:sz w:val="19"/>
              </w:rPr>
            </w:pPr>
            <w:r>
              <w:rPr>
                <w:sz w:val="19"/>
              </w:rPr>
              <w:t>31 Dec 1948 p. 3114</w:t>
            </w:r>
          </w:p>
        </w:tc>
        <w:tc>
          <w:tcPr>
            <w:tcW w:w="2693" w:type="dxa"/>
          </w:tcPr>
          <w:p>
            <w:pPr>
              <w:pStyle w:val="nTable"/>
              <w:spacing w:after="40"/>
              <w:rPr>
                <w:sz w:val="19"/>
              </w:rPr>
            </w:pPr>
            <w:r>
              <w:rPr>
                <w:sz w:val="19"/>
              </w:rPr>
              <w:t>31 Dec 1948</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3 Nov 1950 p. 2461</w:t>
            </w:r>
          </w:p>
        </w:tc>
        <w:tc>
          <w:tcPr>
            <w:tcW w:w="2693" w:type="dxa"/>
          </w:tcPr>
          <w:p>
            <w:pPr>
              <w:pStyle w:val="nTable"/>
              <w:spacing w:after="40"/>
              <w:rPr>
                <w:sz w:val="19"/>
              </w:rPr>
            </w:pPr>
            <w:r>
              <w:rPr>
                <w:sz w:val="19"/>
              </w:rPr>
              <w:t>3 Nov 1950</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rFonts w:ascii="Arial" w:hAnsi="Arial"/>
                <w:b/>
                <w:sz w:val="19"/>
              </w:rPr>
            </w:pPr>
            <w:r>
              <w:rPr>
                <w:sz w:val="19"/>
              </w:rPr>
              <w:t>2 Mar 1951 p. 470</w:t>
            </w:r>
          </w:p>
        </w:tc>
        <w:tc>
          <w:tcPr>
            <w:tcW w:w="2693" w:type="dxa"/>
          </w:tcPr>
          <w:p>
            <w:pPr>
              <w:pStyle w:val="nTable"/>
              <w:spacing w:after="40"/>
              <w:rPr>
                <w:sz w:val="19"/>
              </w:rPr>
            </w:pPr>
            <w:r>
              <w:rPr>
                <w:sz w:val="19"/>
              </w:rPr>
              <w:t>2 Mar 1951</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 xml:space="preserve">28 Sep 1951 p. 2575 </w:t>
            </w:r>
          </w:p>
        </w:tc>
        <w:tc>
          <w:tcPr>
            <w:tcW w:w="2693" w:type="dxa"/>
          </w:tcPr>
          <w:p>
            <w:pPr>
              <w:pStyle w:val="nTable"/>
              <w:spacing w:after="40"/>
              <w:rPr>
                <w:sz w:val="19"/>
              </w:rPr>
            </w:pPr>
            <w:r>
              <w:rPr>
                <w:sz w:val="19"/>
              </w:rPr>
              <w:t>28 Sep 1951</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 Nov 1951 p. 3021</w:t>
            </w:r>
          </w:p>
        </w:tc>
        <w:tc>
          <w:tcPr>
            <w:tcW w:w="2693" w:type="dxa"/>
          </w:tcPr>
          <w:p>
            <w:pPr>
              <w:pStyle w:val="nTable"/>
              <w:spacing w:after="40"/>
              <w:rPr>
                <w:sz w:val="19"/>
              </w:rPr>
            </w:pPr>
            <w:r>
              <w:rPr>
                <w:sz w:val="19"/>
              </w:rPr>
              <w:t>2 Nov 1951</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 May 1952 p. 1106</w:t>
            </w:r>
          </w:p>
        </w:tc>
        <w:tc>
          <w:tcPr>
            <w:tcW w:w="2693" w:type="dxa"/>
          </w:tcPr>
          <w:p>
            <w:pPr>
              <w:pStyle w:val="nTable"/>
              <w:spacing w:after="40"/>
              <w:rPr>
                <w:rFonts w:ascii="Arial" w:hAnsi="Arial"/>
                <w:b/>
                <w:sz w:val="19"/>
              </w:rPr>
            </w:pPr>
            <w:r>
              <w:rPr>
                <w:sz w:val="19"/>
              </w:rPr>
              <w:t>2 May 1952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30 May 1952 p. 1335</w:t>
            </w:r>
          </w:p>
        </w:tc>
        <w:tc>
          <w:tcPr>
            <w:tcW w:w="2693" w:type="dxa"/>
          </w:tcPr>
          <w:p>
            <w:pPr>
              <w:pStyle w:val="nTable"/>
              <w:spacing w:after="40"/>
              <w:rPr>
                <w:sz w:val="19"/>
              </w:rPr>
            </w:pPr>
            <w:r>
              <w:rPr>
                <w:sz w:val="19"/>
              </w:rPr>
              <w:t>30 May 1952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5 Dec 1952 p. 2867</w:t>
            </w:r>
          </w:p>
        </w:tc>
        <w:tc>
          <w:tcPr>
            <w:tcW w:w="2693" w:type="dxa"/>
          </w:tcPr>
          <w:p>
            <w:pPr>
              <w:pStyle w:val="nTable"/>
              <w:spacing w:after="40"/>
              <w:rPr>
                <w:sz w:val="19"/>
              </w:rPr>
            </w:pPr>
            <w:r>
              <w:rPr>
                <w:sz w:val="19"/>
              </w:rPr>
              <w:t>5 Dec 1952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22 May 1953 p. 987</w:t>
            </w:r>
          </w:p>
        </w:tc>
        <w:tc>
          <w:tcPr>
            <w:tcW w:w="2693" w:type="dxa"/>
          </w:tcPr>
          <w:p>
            <w:pPr>
              <w:pStyle w:val="nTable"/>
              <w:spacing w:after="40"/>
              <w:rPr>
                <w:sz w:val="19"/>
              </w:rPr>
            </w:pPr>
            <w:r>
              <w:rPr>
                <w:sz w:val="19"/>
              </w:rPr>
              <w:t>22 May 1953</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23 Jul 1954 p. 1291</w:t>
            </w:r>
          </w:p>
        </w:tc>
        <w:tc>
          <w:tcPr>
            <w:tcW w:w="2693" w:type="dxa"/>
          </w:tcPr>
          <w:p>
            <w:pPr>
              <w:pStyle w:val="nTable"/>
              <w:spacing w:after="40"/>
              <w:rPr>
                <w:sz w:val="19"/>
              </w:rPr>
            </w:pPr>
            <w:r>
              <w:rPr>
                <w:sz w:val="19"/>
              </w:rPr>
              <w:t>23 Jul 1954</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19 Jul 1956 p. 1781</w:t>
            </w:r>
          </w:p>
        </w:tc>
        <w:tc>
          <w:tcPr>
            <w:tcW w:w="2693" w:type="dxa"/>
          </w:tcPr>
          <w:p>
            <w:pPr>
              <w:pStyle w:val="nTable"/>
              <w:spacing w:after="40"/>
              <w:rPr>
                <w:sz w:val="19"/>
              </w:rPr>
            </w:pPr>
            <w:r>
              <w:rPr>
                <w:sz w:val="19"/>
              </w:rPr>
              <w:t>19 Jul 1956</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16 Apr 1957 p. 1127</w:t>
            </w:r>
          </w:p>
        </w:tc>
        <w:tc>
          <w:tcPr>
            <w:tcW w:w="2693" w:type="dxa"/>
          </w:tcPr>
          <w:p>
            <w:pPr>
              <w:pStyle w:val="nTable"/>
              <w:spacing w:after="40"/>
              <w:rPr>
                <w:sz w:val="19"/>
              </w:rPr>
            </w:pPr>
            <w:r>
              <w:rPr>
                <w:sz w:val="19"/>
              </w:rPr>
              <w:t>16 Apr 1957</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12 Jul 1957 p. 2269-78</w:t>
            </w:r>
          </w:p>
        </w:tc>
        <w:tc>
          <w:tcPr>
            <w:tcW w:w="2693" w:type="dxa"/>
          </w:tcPr>
          <w:p>
            <w:pPr>
              <w:pStyle w:val="nTable"/>
              <w:spacing w:after="40"/>
              <w:rPr>
                <w:sz w:val="19"/>
              </w:rPr>
            </w:pPr>
            <w:r>
              <w:rPr>
                <w:sz w:val="19"/>
              </w:rPr>
              <w:t>12 Jul 1957</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17 Mar 1960 p. 777-92</w:t>
            </w:r>
          </w:p>
        </w:tc>
        <w:tc>
          <w:tcPr>
            <w:tcW w:w="2693" w:type="dxa"/>
          </w:tcPr>
          <w:p>
            <w:pPr>
              <w:pStyle w:val="nTable"/>
              <w:spacing w:after="40"/>
              <w:rPr>
                <w:sz w:val="19"/>
              </w:rPr>
            </w:pPr>
            <w:r>
              <w:rPr>
                <w:sz w:val="19"/>
              </w:rPr>
              <w:t>17 Mar 1960</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28 Sep 1960 p. 2987-8</w:t>
            </w:r>
          </w:p>
        </w:tc>
        <w:tc>
          <w:tcPr>
            <w:tcW w:w="2693" w:type="dxa"/>
          </w:tcPr>
          <w:p>
            <w:pPr>
              <w:pStyle w:val="nTable"/>
              <w:spacing w:after="40"/>
              <w:rPr>
                <w:sz w:val="19"/>
              </w:rPr>
            </w:pPr>
            <w:r>
              <w:rPr>
                <w:sz w:val="19"/>
              </w:rPr>
              <w:t>28 Sep 1960</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Jetties Act Regulations 1940 </w:t>
            </w:r>
            <w:r>
              <w:rPr>
                <w:b/>
                <w:sz w:val="19"/>
              </w:rPr>
              <w:t xml:space="preserve">authorised 21 Jul 1961 in </w:t>
            </w:r>
            <w:r>
              <w:rPr>
                <w:b/>
                <w:i/>
                <w:sz w:val="19"/>
              </w:rPr>
              <w:t>Gazette</w:t>
            </w:r>
            <w:r>
              <w:rPr>
                <w:b/>
                <w:sz w:val="19"/>
              </w:rPr>
              <w:t xml:space="preserve"> 1 Aug 1961 p. 2323-68</w:t>
            </w:r>
            <w:r>
              <w:rPr>
                <w:sz w:val="19"/>
              </w:rPr>
              <w:t xml:space="preserve"> (includes amendments listed above) </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26 Oct 1962 p. 3482-3</w:t>
            </w:r>
          </w:p>
        </w:tc>
        <w:tc>
          <w:tcPr>
            <w:tcW w:w="2693" w:type="dxa"/>
          </w:tcPr>
          <w:p>
            <w:pPr>
              <w:pStyle w:val="nTable"/>
              <w:spacing w:after="40"/>
              <w:rPr>
                <w:sz w:val="19"/>
              </w:rPr>
            </w:pPr>
            <w:r>
              <w:rPr>
                <w:sz w:val="19"/>
              </w:rPr>
              <w:t>26 Oct 1962</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20 Dec 1962 p. 4054</w:t>
            </w:r>
          </w:p>
        </w:tc>
        <w:tc>
          <w:tcPr>
            <w:tcW w:w="2693" w:type="dxa"/>
          </w:tcPr>
          <w:p>
            <w:pPr>
              <w:pStyle w:val="nTable"/>
              <w:spacing w:after="40"/>
              <w:rPr>
                <w:sz w:val="19"/>
              </w:rPr>
            </w:pPr>
            <w:r>
              <w:rPr>
                <w:sz w:val="19"/>
              </w:rPr>
              <w:t>20 Dec 1962</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7 Feb 1963 p. 570</w:t>
            </w:r>
          </w:p>
        </w:tc>
        <w:tc>
          <w:tcPr>
            <w:tcW w:w="2693" w:type="dxa"/>
          </w:tcPr>
          <w:p>
            <w:pPr>
              <w:pStyle w:val="nTable"/>
              <w:spacing w:after="40"/>
              <w:rPr>
                <w:sz w:val="19"/>
              </w:rPr>
            </w:pPr>
            <w:r>
              <w:rPr>
                <w:sz w:val="19"/>
              </w:rPr>
              <w:t>7 Feb 1963</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16 Sep 1963 p. 2828-31</w:t>
            </w:r>
          </w:p>
        </w:tc>
        <w:tc>
          <w:tcPr>
            <w:tcW w:w="2693" w:type="dxa"/>
          </w:tcPr>
          <w:p>
            <w:pPr>
              <w:pStyle w:val="nTable"/>
              <w:spacing w:after="40"/>
              <w:rPr>
                <w:sz w:val="19"/>
              </w:rPr>
            </w:pPr>
            <w:r>
              <w:rPr>
                <w:sz w:val="19"/>
              </w:rPr>
              <w:t>16 Sep 1963</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23 Jun 1964 p. 2500</w:t>
            </w:r>
          </w:p>
        </w:tc>
        <w:tc>
          <w:tcPr>
            <w:tcW w:w="2693" w:type="dxa"/>
          </w:tcPr>
          <w:p>
            <w:pPr>
              <w:pStyle w:val="nTable"/>
              <w:spacing w:after="40"/>
              <w:rPr>
                <w:sz w:val="19"/>
              </w:rPr>
            </w:pPr>
            <w:r>
              <w:rPr>
                <w:sz w:val="19"/>
              </w:rPr>
              <w:t>23 Jun 1964</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11 Aug 1964 p. 2880</w:t>
            </w:r>
          </w:p>
        </w:tc>
        <w:tc>
          <w:tcPr>
            <w:tcW w:w="2693" w:type="dxa"/>
          </w:tcPr>
          <w:p>
            <w:pPr>
              <w:pStyle w:val="nTable"/>
              <w:spacing w:after="40"/>
              <w:rPr>
                <w:sz w:val="19"/>
              </w:rPr>
            </w:pPr>
            <w:r>
              <w:rPr>
                <w:sz w:val="19"/>
              </w:rPr>
              <w:t>11 Aug 1964</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9 Dec 1964 p. 3907</w:t>
            </w:r>
          </w:p>
        </w:tc>
        <w:tc>
          <w:tcPr>
            <w:tcW w:w="2693" w:type="dxa"/>
          </w:tcPr>
          <w:p>
            <w:pPr>
              <w:pStyle w:val="nTable"/>
              <w:spacing w:after="40"/>
              <w:rPr>
                <w:sz w:val="19"/>
              </w:rPr>
            </w:pPr>
            <w:r>
              <w:rPr>
                <w:sz w:val="19"/>
              </w:rPr>
              <w:t>9 Dec 1964</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8 Feb 1965 p. 467</w:t>
            </w:r>
          </w:p>
        </w:tc>
        <w:tc>
          <w:tcPr>
            <w:tcW w:w="2693" w:type="dxa"/>
          </w:tcPr>
          <w:p>
            <w:pPr>
              <w:pStyle w:val="nTable"/>
              <w:spacing w:after="40"/>
              <w:rPr>
                <w:sz w:val="19"/>
              </w:rPr>
            </w:pPr>
            <w:r>
              <w:rPr>
                <w:sz w:val="19"/>
              </w:rPr>
              <w:t>8 Feb 1965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12 May 1965 p. 1464</w:t>
            </w:r>
          </w:p>
        </w:tc>
        <w:tc>
          <w:tcPr>
            <w:tcW w:w="2693" w:type="dxa"/>
          </w:tcPr>
          <w:p>
            <w:pPr>
              <w:pStyle w:val="nTable"/>
              <w:spacing w:after="40"/>
              <w:rPr>
                <w:sz w:val="19"/>
              </w:rPr>
            </w:pPr>
            <w:r>
              <w:rPr>
                <w:sz w:val="19"/>
              </w:rPr>
              <w:t>12 May 1965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26 May 1965 p. 1614</w:t>
            </w:r>
          </w:p>
        </w:tc>
        <w:tc>
          <w:tcPr>
            <w:tcW w:w="2693" w:type="dxa"/>
          </w:tcPr>
          <w:p>
            <w:pPr>
              <w:pStyle w:val="nTable"/>
              <w:spacing w:after="40"/>
              <w:rPr>
                <w:sz w:val="19"/>
              </w:rPr>
            </w:pPr>
            <w:r>
              <w:rPr>
                <w:sz w:val="19"/>
              </w:rPr>
              <w:t>26 May 1965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10 Jun 1965 p. 1726</w:t>
            </w:r>
          </w:p>
        </w:tc>
        <w:tc>
          <w:tcPr>
            <w:tcW w:w="2693" w:type="dxa"/>
          </w:tcPr>
          <w:p>
            <w:pPr>
              <w:pStyle w:val="nTable"/>
              <w:spacing w:after="40"/>
              <w:rPr>
                <w:sz w:val="19"/>
              </w:rPr>
            </w:pPr>
            <w:r>
              <w:rPr>
                <w:sz w:val="19"/>
              </w:rPr>
              <w:t>10 Jun 1965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 Sep 1965 p. 2590-6</w:t>
            </w:r>
          </w:p>
        </w:tc>
        <w:tc>
          <w:tcPr>
            <w:tcW w:w="2693" w:type="dxa"/>
          </w:tcPr>
          <w:p>
            <w:pPr>
              <w:pStyle w:val="nTable"/>
              <w:spacing w:after="40"/>
              <w:rPr>
                <w:sz w:val="19"/>
              </w:rPr>
            </w:pPr>
            <w:r>
              <w:rPr>
                <w:sz w:val="19"/>
              </w:rPr>
              <w:t>1 Sep 1965</w:t>
            </w:r>
          </w:p>
        </w:tc>
      </w:tr>
      <w:tr>
        <w:trPr>
          <w:cantSplit/>
        </w:trPr>
        <w:tc>
          <w:tcPr>
            <w:tcW w:w="4394" w:type="dxa"/>
            <w:gridSpan w:val="2"/>
          </w:tcPr>
          <w:p>
            <w:pPr>
              <w:pStyle w:val="nTable"/>
              <w:spacing w:after="40"/>
              <w:ind w:right="170"/>
              <w:rPr>
                <w:rFonts w:ascii="Arial" w:hAnsi="Arial"/>
                <w:b/>
                <w:sz w:val="19"/>
              </w:rPr>
            </w:pPr>
            <w:r>
              <w:rPr>
                <w:i/>
                <w:sz w:val="19"/>
              </w:rPr>
              <w:t>Decimal Currency Act 1965</w:t>
            </w:r>
            <w:r>
              <w:rPr>
                <w:b/>
                <w:i/>
                <w:sz w:val="19"/>
              </w:rPr>
              <w:t xml:space="preserve"> </w:t>
            </w:r>
            <w:r>
              <w:rPr>
                <w:sz w:val="19"/>
              </w:rPr>
              <w:t>assented to 21 Dec 1965</w:t>
            </w:r>
          </w:p>
        </w:tc>
        <w:tc>
          <w:tcPr>
            <w:tcW w:w="2693" w:type="dxa"/>
          </w:tcPr>
          <w:p>
            <w:pPr>
              <w:pStyle w:val="nTable"/>
              <w:spacing w:after="40"/>
              <w:rPr>
                <w:sz w:val="19"/>
              </w:rPr>
            </w:pPr>
            <w:r>
              <w:rPr>
                <w:sz w:val="19"/>
              </w:rPr>
              <w:t>Act other than s. 4-9: 21 Dec 1965 (see s. 2(1));</w:t>
            </w:r>
            <w:r>
              <w:rPr>
                <w:sz w:val="19"/>
              </w:rPr>
              <w:br/>
              <w:t>s. 4-9: 14 Feb 1966 (see s. 2(2))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17 Mar 1966 p. 731</w:t>
            </w:r>
          </w:p>
        </w:tc>
        <w:tc>
          <w:tcPr>
            <w:tcW w:w="2693" w:type="dxa"/>
          </w:tcPr>
          <w:p>
            <w:pPr>
              <w:pStyle w:val="nTable"/>
              <w:spacing w:after="40"/>
              <w:rPr>
                <w:sz w:val="19"/>
              </w:rPr>
            </w:pPr>
            <w:r>
              <w:rPr>
                <w:sz w:val="19"/>
              </w:rPr>
              <w:t>17 Mar 1966</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14 Apr 1966 p. 918</w:t>
            </w:r>
          </w:p>
        </w:tc>
        <w:tc>
          <w:tcPr>
            <w:tcW w:w="2693" w:type="dxa"/>
          </w:tcPr>
          <w:p>
            <w:pPr>
              <w:pStyle w:val="nTable"/>
              <w:spacing w:after="40"/>
              <w:rPr>
                <w:sz w:val="19"/>
              </w:rPr>
            </w:pPr>
            <w:r>
              <w:rPr>
                <w:sz w:val="19"/>
              </w:rPr>
              <w:t>14 Apr 1966</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4 Jun 1968 p. 1684-93</w:t>
            </w:r>
          </w:p>
        </w:tc>
        <w:tc>
          <w:tcPr>
            <w:tcW w:w="2693" w:type="dxa"/>
          </w:tcPr>
          <w:p>
            <w:pPr>
              <w:pStyle w:val="nTable"/>
              <w:spacing w:after="40"/>
              <w:rPr>
                <w:sz w:val="19"/>
              </w:rPr>
            </w:pPr>
            <w:r>
              <w:rPr>
                <w:sz w:val="19"/>
              </w:rPr>
              <w:t>4 Jun 1968</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30 Dec 1968 p. 3949</w:t>
            </w:r>
          </w:p>
        </w:tc>
        <w:tc>
          <w:tcPr>
            <w:tcW w:w="2693" w:type="dxa"/>
          </w:tcPr>
          <w:p>
            <w:pPr>
              <w:pStyle w:val="nTable"/>
              <w:spacing w:after="40"/>
              <w:rPr>
                <w:sz w:val="19"/>
              </w:rPr>
            </w:pPr>
            <w:r>
              <w:rPr>
                <w:sz w:val="19"/>
              </w:rPr>
              <w:t>30 Dec 1968</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24 Nov 1972 p. 4486-91</w:t>
            </w:r>
          </w:p>
        </w:tc>
        <w:tc>
          <w:tcPr>
            <w:tcW w:w="2693" w:type="dxa"/>
          </w:tcPr>
          <w:p>
            <w:pPr>
              <w:pStyle w:val="nTable"/>
              <w:spacing w:after="40"/>
              <w:rPr>
                <w:sz w:val="19"/>
              </w:rPr>
            </w:pPr>
            <w:r>
              <w:rPr>
                <w:sz w:val="19"/>
              </w:rPr>
              <w:t>24 Nov 1972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15 Jun 1973 p. 2237</w:t>
            </w:r>
            <w:r>
              <w:rPr>
                <w:sz w:val="19"/>
              </w:rPr>
              <w:noBreakHyphen/>
              <w:t>42 (erratum 13 Dec 1974 p. 5544)</w:t>
            </w:r>
          </w:p>
        </w:tc>
        <w:tc>
          <w:tcPr>
            <w:tcW w:w="2693" w:type="dxa"/>
          </w:tcPr>
          <w:p>
            <w:pPr>
              <w:pStyle w:val="nTable"/>
              <w:spacing w:after="40"/>
              <w:rPr>
                <w:sz w:val="19"/>
              </w:rPr>
            </w:pPr>
            <w:r>
              <w:rPr>
                <w:sz w:val="19"/>
              </w:rPr>
              <w:t>1 Jul 1973</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19 Oct 1973 p. 3818-19</w:t>
            </w:r>
          </w:p>
        </w:tc>
        <w:tc>
          <w:tcPr>
            <w:tcW w:w="2693" w:type="dxa"/>
          </w:tcPr>
          <w:p>
            <w:pPr>
              <w:pStyle w:val="nTable"/>
              <w:spacing w:after="40"/>
              <w:rPr>
                <w:sz w:val="19"/>
              </w:rPr>
            </w:pPr>
            <w:r>
              <w:rPr>
                <w:sz w:val="19"/>
              </w:rPr>
              <w:t>19 Oct 1973</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9 Nov 1973 p. 4192</w:t>
            </w:r>
          </w:p>
        </w:tc>
        <w:tc>
          <w:tcPr>
            <w:tcW w:w="2693" w:type="dxa"/>
          </w:tcPr>
          <w:p>
            <w:pPr>
              <w:pStyle w:val="nTable"/>
              <w:spacing w:after="40"/>
              <w:rPr>
                <w:sz w:val="19"/>
              </w:rPr>
            </w:pPr>
            <w:r>
              <w:rPr>
                <w:sz w:val="19"/>
              </w:rPr>
              <w:t xml:space="preserve">9 Nov 1973 </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Jetties Act Regulations 1940 </w:t>
            </w:r>
            <w:r>
              <w:rPr>
                <w:b/>
                <w:sz w:val="19"/>
              </w:rPr>
              <w:t xml:space="preserve">authorised 29 Nov 1974 in </w:t>
            </w:r>
            <w:r>
              <w:rPr>
                <w:b/>
                <w:i/>
                <w:sz w:val="19"/>
              </w:rPr>
              <w:t xml:space="preserve">Gazette </w:t>
            </w:r>
            <w:r>
              <w:rPr>
                <w:b/>
                <w:sz w:val="19"/>
              </w:rPr>
              <w:t>10 Dec 1974 p. 5291-318</w:t>
            </w:r>
            <w:r>
              <w:rPr>
                <w:sz w:val="19"/>
              </w:rPr>
              <w:t xml:space="preserve"> (includes amendments listed above)</w:t>
            </w:r>
          </w:p>
        </w:tc>
      </w:tr>
      <w:tr>
        <w:trPr>
          <w:cantSplit/>
        </w:trPr>
        <w:tc>
          <w:tcPr>
            <w:tcW w:w="3118" w:type="dxa"/>
          </w:tcPr>
          <w:p>
            <w:pPr>
              <w:pStyle w:val="nTable"/>
              <w:spacing w:after="40"/>
              <w:ind w:right="170"/>
              <w:rPr>
                <w:rFonts w:ascii="Arial" w:hAnsi="Arial"/>
                <w:b/>
                <w:sz w:val="19"/>
              </w:rPr>
            </w:pPr>
            <w:r>
              <w:rPr>
                <w:sz w:val="19"/>
              </w:rPr>
              <w:t>Untitled regulations</w:t>
            </w:r>
          </w:p>
        </w:tc>
        <w:tc>
          <w:tcPr>
            <w:tcW w:w="1276" w:type="dxa"/>
          </w:tcPr>
          <w:p>
            <w:pPr>
              <w:pStyle w:val="nTable"/>
              <w:spacing w:after="40"/>
              <w:rPr>
                <w:rFonts w:ascii="Arial" w:hAnsi="Arial"/>
                <w:b/>
                <w:sz w:val="19"/>
              </w:rPr>
            </w:pPr>
            <w:r>
              <w:rPr>
                <w:sz w:val="19"/>
              </w:rPr>
              <w:t>22 Aug 1975 p. 3040-3</w:t>
            </w:r>
          </w:p>
        </w:tc>
        <w:tc>
          <w:tcPr>
            <w:tcW w:w="2693" w:type="dxa"/>
          </w:tcPr>
          <w:p>
            <w:pPr>
              <w:pStyle w:val="nTable"/>
              <w:spacing w:after="40"/>
              <w:rPr>
                <w:rFonts w:ascii="Arial" w:hAnsi="Arial"/>
                <w:b/>
                <w:sz w:val="19"/>
              </w:rPr>
            </w:pPr>
            <w:r>
              <w:rPr>
                <w:sz w:val="19"/>
              </w:rPr>
              <w:t>22 Aug 1975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20 Feb 1976 p. 484-7</w:t>
            </w:r>
          </w:p>
        </w:tc>
        <w:tc>
          <w:tcPr>
            <w:tcW w:w="2693" w:type="dxa"/>
          </w:tcPr>
          <w:p>
            <w:pPr>
              <w:pStyle w:val="nTable"/>
              <w:spacing w:after="40"/>
              <w:rPr>
                <w:sz w:val="19"/>
              </w:rPr>
            </w:pPr>
            <w:r>
              <w:rPr>
                <w:sz w:val="19"/>
              </w:rPr>
              <w:t>20 Feb 1976</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17 Sep 1976 p. 3463</w:t>
            </w:r>
          </w:p>
        </w:tc>
        <w:tc>
          <w:tcPr>
            <w:tcW w:w="2693" w:type="dxa"/>
          </w:tcPr>
          <w:p>
            <w:pPr>
              <w:pStyle w:val="nTable"/>
              <w:spacing w:after="40"/>
              <w:rPr>
                <w:sz w:val="19"/>
              </w:rPr>
            </w:pPr>
            <w:r>
              <w:rPr>
                <w:sz w:val="19"/>
              </w:rPr>
              <w:t>17 Sep 1976</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13 Jan 1978 p. 149-52</w:t>
            </w:r>
          </w:p>
        </w:tc>
        <w:tc>
          <w:tcPr>
            <w:tcW w:w="2693" w:type="dxa"/>
          </w:tcPr>
          <w:p>
            <w:pPr>
              <w:pStyle w:val="nTable"/>
              <w:spacing w:after="40"/>
              <w:rPr>
                <w:sz w:val="19"/>
              </w:rPr>
            </w:pPr>
            <w:r>
              <w:rPr>
                <w:sz w:val="19"/>
              </w:rPr>
              <w:t>13 Feb 1978</w:t>
            </w:r>
          </w:p>
        </w:tc>
      </w:tr>
      <w:tr>
        <w:trPr>
          <w:cantSplit/>
        </w:trPr>
        <w:tc>
          <w:tcPr>
            <w:tcW w:w="3118" w:type="dxa"/>
          </w:tcPr>
          <w:p>
            <w:pPr>
              <w:pStyle w:val="nTable"/>
              <w:spacing w:after="40"/>
              <w:ind w:right="170"/>
              <w:rPr>
                <w:sz w:val="19"/>
              </w:rPr>
            </w:pPr>
            <w:r>
              <w:rPr>
                <w:sz w:val="19"/>
              </w:rPr>
              <w:t>Untitled regulations r. 6 and 7</w:t>
            </w:r>
          </w:p>
        </w:tc>
        <w:tc>
          <w:tcPr>
            <w:tcW w:w="1276" w:type="dxa"/>
          </w:tcPr>
          <w:p>
            <w:pPr>
              <w:pStyle w:val="nTable"/>
              <w:spacing w:after="40"/>
              <w:rPr>
                <w:sz w:val="19"/>
              </w:rPr>
            </w:pPr>
            <w:r>
              <w:rPr>
                <w:sz w:val="19"/>
              </w:rPr>
              <w:t>31 Mar 1978 p. 989</w:t>
            </w:r>
            <w:r>
              <w:rPr>
                <w:sz w:val="19"/>
              </w:rPr>
              <w:noBreakHyphen/>
              <w:t>90</w:t>
            </w:r>
          </w:p>
        </w:tc>
        <w:tc>
          <w:tcPr>
            <w:tcW w:w="2693" w:type="dxa"/>
          </w:tcPr>
          <w:p>
            <w:pPr>
              <w:pStyle w:val="nTable"/>
              <w:spacing w:after="40"/>
              <w:rPr>
                <w:sz w:val="19"/>
              </w:rPr>
            </w:pPr>
            <w:r>
              <w:rPr>
                <w:sz w:val="19"/>
              </w:rPr>
              <w:t>31 Mar 1978</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 Dec 1978 p. 4537-41</w:t>
            </w:r>
          </w:p>
        </w:tc>
        <w:tc>
          <w:tcPr>
            <w:tcW w:w="2693" w:type="dxa"/>
          </w:tcPr>
          <w:p>
            <w:pPr>
              <w:pStyle w:val="nTable"/>
              <w:spacing w:after="40"/>
              <w:rPr>
                <w:sz w:val="19"/>
              </w:rPr>
            </w:pPr>
            <w:r>
              <w:rPr>
                <w:sz w:val="19"/>
              </w:rPr>
              <w:t>1 Jan 1979</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 xml:space="preserve">13 Jul 1979 p. 1915-16 </w:t>
            </w:r>
          </w:p>
        </w:tc>
        <w:tc>
          <w:tcPr>
            <w:tcW w:w="2693" w:type="dxa"/>
          </w:tcPr>
          <w:p>
            <w:pPr>
              <w:pStyle w:val="nTable"/>
              <w:spacing w:after="40"/>
              <w:rPr>
                <w:sz w:val="19"/>
              </w:rPr>
            </w:pPr>
            <w:r>
              <w:rPr>
                <w:sz w:val="19"/>
              </w:rPr>
              <w:t>13 Aug 1979</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 Nov 1979 p. 3467</w:t>
            </w:r>
          </w:p>
        </w:tc>
        <w:tc>
          <w:tcPr>
            <w:tcW w:w="2693" w:type="dxa"/>
          </w:tcPr>
          <w:p>
            <w:pPr>
              <w:pStyle w:val="nTable"/>
              <w:spacing w:after="40"/>
              <w:rPr>
                <w:sz w:val="19"/>
              </w:rPr>
            </w:pPr>
            <w:r>
              <w:rPr>
                <w:sz w:val="19"/>
              </w:rPr>
              <w:t>2 Nov 1979</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20 Jun 1980 p. 1834-8</w:t>
            </w:r>
          </w:p>
        </w:tc>
        <w:tc>
          <w:tcPr>
            <w:tcW w:w="2693" w:type="dxa"/>
          </w:tcPr>
          <w:p>
            <w:pPr>
              <w:pStyle w:val="nTable"/>
              <w:spacing w:after="40"/>
              <w:rPr>
                <w:sz w:val="19"/>
              </w:rPr>
            </w:pPr>
            <w:r>
              <w:rPr>
                <w:sz w:val="19"/>
              </w:rPr>
              <w:t>1 Jul 1980 (see r. 2)</w:t>
            </w:r>
          </w:p>
        </w:tc>
      </w:tr>
      <w:tr>
        <w:trPr>
          <w:cantSplit/>
        </w:trPr>
        <w:tc>
          <w:tcPr>
            <w:tcW w:w="3118" w:type="dxa"/>
          </w:tcPr>
          <w:p>
            <w:pPr>
              <w:pStyle w:val="nTable"/>
              <w:spacing w:after="40"/>
              <w:ind w:right="170"/>
              <w:rPr>
                <w:i/>
                <w:sz w:val="19"/>
              </w:rPr>
            </w:pPr>
            <w:r>
              <w:rPr>
                <w:i/>
                <w:sz w:val="19"/>
              </w:rPr>
              <w:t>Jetties Act Amendment Regulations 1980</w:t>
            </w:r>
          </w:p>
        </w:tc>
        <w:tc>
          <w:tcPr>
            <w:tcW w:w="1276" w:type="dxa"/>
          </w:tcPr>
          <w:p>
            <w:pPr>
              <w:pStyle w:val="nTable"/>
              <w:spacing w:after="40"/>
              <w:rPr>
                <w:sz w:val="19"/>
              </w:rPr>
            </w:pPr>
            <w:r>
              <w:rPr>
                <w:sz w:val="19"/>
              </w:rPr>
              <w:t>28 Nov 1980 p. 4050</w:t>
            </w:r>
          </w:p>
        </w:tc>
        <w:tc>
          <w:tcPr>
            <w:tcW w:w="2693" w:type="dxa"/>
          </w:tcPr>
          <w:p>
            <w:pPr>
              <w:pStyle w:val="nTable"/>
              <w:spacing w:after="40"/>
              <w:rPr>
                <w:sz w:val="19"/>
              </w:rPr>
            </w:pPr>
            <w:r>
              <w:rPr>
                <w:sz w:val="19"/>
              </w:rPr>
              <w:t>28 Nov 1980</w:t>
            </w:r>
          </w:p>
        </w:tc>
      </w:tr>
      <w:tr>
        <w:trPr>
          <w:cantSplit/>
        </w:trPr>
        <w:tc>
          <w:tcPr>
            <w:tcW w:w="3118" w:type="dxa"/>
          </w:tcPr>
          <w:p>
            <w:pPr>
              <w:pStyle w:val="nTable"/>
              <w:spacing w:after="40"/>
              <w:ind w:right="170"/>
              <w:rPr>
                <w:sz w:val="19"/>
              </w:rPr>
            </w:pPr>
            <w:r>
              <w:rPr>
                <w:i/>
                <w:sz w:val="19"/>
              </w:rPr>
              <w:t>Jetties Act Amendment Regulations 1981</w:t>
            </w:r>
          </w:p>
        </w:tc>
        <w:tc>
          <w:tcPr>
            <w:tcW w:w="1276" w:type="dxa"/>
          </w:tcPr>
          <w:p>
            <w:pPr>
              <w:pStyle w:val="nTable"/>
              <w:spacing w:after="40"/>
              <w:rPr>
                <w:sz w:val="19"/>
              </w:rPr>
            </w:pPr>
            <w:r>
              <w:rPr>
                <w:sz w:val="19"/>
              </w:rPr>
              <w:t>6 Feb 1981 p. 555</w:t>
            </w:r>
          </w:p>
        </w:tc>
        <w:tc>
          <w:tcPr>
            <w:tcW w:w="2693" w:type="dxa"/>
          </w:tcPr>
          <w:p>
            <w:pPr>
              <w:pStyle w:val="nTable"/>
              <w:spacing w:after="40"/>
              <w:rPr>
                <w:sz w:val="19"/>
              </w:rPr>
            </w:pPr>
            <w:r>
              <w:rPr>
                <w:sz w:val="19"/>
              </w:rPr>
              <w:t>6 Feb 1981</w:t>
            </w:r>
          </w:p>
        </w:tc>
      </w:tr>
      <w:tr>
        <w:trPr>
          <w:cantSplit/>
        </w:trPr>
        <w:tc>
          <w:tcPr>
            <w:tcW w:w="3118" w:type="dxa"/>
          </w:tcPr>
          <w:p>
            <w:pPr>
              <w:pStyle w:val="nTable"/>
              <w:spacing w:after="40"/>
              <w:ind w:right="170"/>
              <w:rPr>
                <w:sz w:val="19"/>
              </w:rPr>
            </w:pPr>
            <w:r>
              <w:rPr>
                <w:i/>
                <w:sz w:val="19"/>
              </w:rPr>
              <w:t>Jetties Act Amendment Regulations (No. 2) 1981</w:t>
            </w:r>
          </w:p>
        </w:tc>
        <w:tc>
          <w:tcPr>
            <w:tcW w:w="1276" w:type="dxa"/>
          </w:tcPr>
          <w:p>
            <w:pPr>
              <w:pStyle w:val="nTable"/>
              <w:spacing w:after="40"/>
              <w:rPr>
                <w:sz w:val="19"/>
              </w:rPr>
            </w:pPr>
            <w:r>
              <w:rPr>
                <w:sz w:val="19"/>
              </w:rPr>
              <w:t>26 Jun 1981 p. 2410-11</w:t>
            </w:r>
          </w:p>
        </w:tc>
        <w:tc>
          <w:tcPr>
            <w:tcW w:w="2693" w:type="dxa"/>
          </w:tcPr>
          <w:p>
            <w:pPr>
              <w:pStyle w:val="nTable"/>
              <w:spacing w:after="40"/>
              <w:rPr>
                <w:sz w:val="19"/>
              </w:rPr>
            </w:pPr>
            <w:r>
              <w:rPr>
                <w:sz w:val="19"/>
              </w:rPr>
              <w:t>1 Jul 1981 (see r. 2)</w:t>
            </w:r>
          </w:p>
        </w:tc>
      </w:tr>
      <w:tr>
        <w:trPr>
          <w:cantSplit/>
        </w:trPr>
        <w:tc>
          <w:tcPr>
            <w:tcW w:w="3118" w:type="dxa"/>
          </w:tcPr>
          <w:p>
            <w:pPr>
              <w:pStyle w:val="nTable"/>
              <w:spacing w:after="40"/>
              <w:ind w:right="170"/>
              <w:rPr>
                <w:sz w:val="19"/>
              </w:rPr>
            </w:pPr>
            <w:r>
              <w:rPr>
                <w:i/>
                <w:sz w:val="19"/>
              </w:rPr>
              <w:t>Jetties Act Amendment Regulations (No. 3) 1981</w:t>
            </w:r>
          </w:p>
        </w:tc>
        <w:tc>
          <w:tcPr>
            <w:tcW w:w="1276" w:type="dxa"/>
          </w:tcPr>
          <w:p>
            <w:pPr>
              <w:pStyle w:val="nTable"/>
              <w:spacing w:after="40"/>
              <w:rPr>
                <w:sz w:val="19"/>
              </w:rPr>
            </w:pPr>
            <w:r>
              <w:rPr>
                <w:sz w:val="19"/>
              </w:rPr>
              <w:t>26 Jun 1981 p. 2413 (erratum 16 Oct 1981 p. 4337)</w:t>
            </w:r>
          </w:p>
        </w:tc>
        <w:tc>
          <w:tcPr>
            <w:tcW w:w="2693" w:type="dxa"/>
          </w:tcPr>
          <w:p>
            <w:pPr>
              <w:pStyle w:val="nTable"/>
              <w:spacing w:after="40"/>
              <w:rPr>
                <w:sz w:val="19"/>
              </w:rPr>
            </w:pPr>
            <w:r>
              <w:rPr>
                <w:sz w:val="19"/>
              </w:rPr>
              <w:t>1 Jul 1981 (see r. 2)</w:t>
            </w:r>
          </w:p>
        </w:tc>
      </w:tr>
      <w:tr>
        <w:trPr>
          <w:cantSplit/>
        </w:trPr>
        <w:tc>
          <w:tcPr>
            <w:tcW w:w="3118" w:type="dxa"/>
          </w:tcPr>
          <w:p>
            <w:pPr>
              <w:pStyle w:val="nTable"/>
              <w:spacing w:after="40"/>
              <w:ind w:right="170"/>
              <w:rPr>
                <w:sz w:val="19"/>
              </w:rPr>
            </w:pPr>
            <w:r>
              <w:rPr>
                <w:i/>
                <w:sz w:val="19"/>
              </w:rPr>
              <w:t>Jetties Act Amendment Regulations (No. 4) 1981</w:t>
            </w:r>
          </w:p>
        </w:tc>
        <w:tc>
          <w:tcPr>
            <w:tcW w:w="1276" w:type="dxa"/>
          </w:tcPr>
          <w:p>
            <w:pPr>
              <w:pStyle w:val="nTable"/>
              <w:spacing w:after="40"/>
              <w:rPr>
                <w:sz w:val="19"/>
              </w:rPr>
            </w:pPr>
            <w:r>
              <w:rPr>
                <w:sz w:val="19"/>
              </w:rPr>
              <w:t xml:space="preserve">14 Aug 1981 p. 3340 </w:t>
            </w:r>
          </w:p>
        </w:tc>
        <w:tc>
          <w:tcPr>
            <w:tcW w:w="2693" w:type="dxa"/>
          </w:tcPr>
          <w:p>
            <w:pPr>
              <w:pStyle w:val="nTable"/>
              <w:spacing w:after="40"/>
              <w:rPr>
                <w:sz w:val="19"/>
              </w:rPr>
            </w:pPr>
            <w:r>
              <w:rPr>
                <w:sz w:val="19"/>
              </w:rPr>
              <w:t>14 Aug 1981</w:t>
            </w:r>
          </w:p>
        </w:tc>
      </w:tr>
      <w:tr>
        <w:trPr>
          <w:cantSplit/>
        </w:trPr>
        <w:tc>
          <w:tcPr>
            <w:tcW w:w="3118" w:type="dxa"/>
          </w:tcPr>
          <w:p>
            <w:pPr>
              <w:pStyle w:val="nTable"/>
              <w:spacing w:after="40"/>
              <w:ind w:right="170"/>
              <w:rPr>
                <w:sz w:val="19"/>
              </w:rPr>
            </w:pPr>
            <w:r>
              <w:rPr>
                <w:i/>
                <w:sz w:val="19"/>
              </w:rPr>
              <w:t>Jetties Act Amendment Regulations 1982</w:t>
            </w:r>
          </w:p>
        </w:tc>
        <w:tc>
          <w:tcPr>
            <w:tcW w:w="1276" w:type="dxa"/>
          </w:tcPr>
          <w:p>
            <w:pPr>
              <w:pStyle w:val="nTable"/>
              <w:spacing w:after="40"/>
              <w:rPr>
                <w:sz w:val="19"/>
              </w:rPr>
            </w:pPr>
            <w:r>
              <w:rPr>
                <w:sz w:val="19"/>
              </w:rPr>
              <w:t>9 Jul 1982 p. 2509-11</w:t>
            </w:r>
          </w:p>
        </w:tc>
        <w:tc>
          <w:tcPr>
            <w:tcW w:w="2693" w:type="dxa"/>
          </w:tcPr>
          <w:p>
            <w:pPr>
              <w:pStyle w:val="nTable"/>
              <w:spacing w:after="40"/>
              <w:rPr>
                <w:sz w:val="19"/>
              </w:rPr>
            </w:pPr>
            <w:r>
              <w:rPr>
                <w:sz w:val="19"/>
              </w:rPr>
              <w:t>9 Jul 1982</w:t>
            </w:r>
          </w:p>
        </w:tc>
      </w:tr>
      <w:tr>
        <w:trPr>
          <w:cantSplit/>
        </w:trPr>
        <w:tc>
          <w:tcPr>
            <w:tcW w:w="3118" w:type="dxa"/>
          </w:tcPr>
          <w:p>
            <w:pPr>
              <w:pStyle w:val="nTable"/>
              <w:spacing w:after="40"/>
              <w:ind w:right="170"/>
              <w:rPr>
                <w:sz w:val="19"/>
              </w:rPr>
            </w:pPr>
            <w:r>
              <w:rPr>
                <w:i/>
                <w:sz w:val="19"/>
              </w:rPr>
              <w:t>Jetties Act Amendment Regulations 1983</w:t>
            </w:r>
          </w:p>
        </w:tc>
        <w:tc>
          <w:tcPr>
            <w:tcW w:w="1276" w:type="dxa"/>
          </w:tcPr>
          <w:p>
            <w:pPr>
              <w:pStyle w:val="nTable"/>
              <w:spacing w:after="40"/>
              <w:rPr>
                <w:sz w:val="19"/>
              </w:rPr>
            </w:pPr>
            <w:r>
              <w:rPr>
                <w:sz w:val="19"/>
              </w:rPr>
              <w:t>5 Aug 1983 p. 2834-6</w:t>
            </w:r>
          </w:p>
        </w:tc>
        <w:tc>
          <w:tcPr>
            <w:tcW w:w="2693" w:type="dxa"/>
          </w:tcPr>
          <w:p>
            <w:pPr>
              <w:pStyle w:val="nTable"/>
              <w:spacing w:after="40"/>
              <w:rPr>
                <w:sz w:val="19"/>
              </w:rPr>
            </w:pPr>
            <w:r>
              <w:rPr>
                <w:sz w:val="19"/>
              </w:rPr>
              <w:t>5 Aug 1983</w:t>
            </w:r>
          </w:p>
        </w:tc>
      </w:tr>
      <w:tr>
        <w:trPr>
          <w:cantSplit/>
        </w:trPr>
        <w:tc>
          <w:tcPr>
            <w:tcW w:w="3118" w:type="dxa"/>
          </w:tcPr>
          <w:p>
            <w:pPr>
              <w:pStyle w:val="nTable"/>
              <w:spacing w:after="40"/>
              <w:ind w:right="170"/>
              <w:rPr>
                <w:sz w:val="19"/>
              </w:rPr>
            </w:pPr>
            <w:r>
              <w:rPr>
                <w:i/>
                <w:sz w:val="19"/>
              </w:rPr>
              <w:t>Jetties Act Amendment Regulations (No. 2) 1983</w:t>
            </w:r>
          </w:p>
        </w:tc>
        <w:tc>
          <w:tcPr>
            <w:tcW w:w="1276" w:type="dxa"/>
          </w:tcPr>
          <w:p>
            <w:pPr>
              <w:pStyle w:val="nTable"/>
              <w:spacing w:after="40"/>
              <w:rPr>
                <w:sz w:val="19"/>
              </w:rPr>
            </w:pPr>
            <w:r>
              <w:rPr>
                <w:sz w:val="19"/>
              </w:rPr>
              <w:t>23 Sep 1983 p. 3817</w:t>
            </w:r>
          </w:p>
        </w:tc>
        <w:tc>
          <w:tcPr>
            <w:tcW w:w="2693" w:type="dxa"/>
          </w:tcPr>
          <w:p>
            <w:pPr>
              <w:pStyle w:val="nTable"/>
              <w:spacing w:after="40"/>
              <w:rPr>
                <w:sz w:val="19"/>
              </w:rPr>
            </w:pPr>
            <w:r>
              <w:rPr>
                <w:sz w:val="19"/>
              </w:rPr>
              <w:t>1 Oct 1983 (see r. 2)</w:t>
            </w:r>
          </w:p>
        </w:tc>
      </w:tr>
      <w:tr>
        <w:trPr>
          <w:cantSplit/>
        </w:trPr>
        <w:tc>
          <w:tcPr>
            <w:tcW w:w="3118" w:type="dxa"/>
          </w:tcPr>
          <w:p>
            <w:pPr>
              <w:pStyle w:val="nTable"/>
              <w:spacing w:after="40"/>
              <w:ind w:right="170"/>
              <w:rPr>
                <w:sz w:val="19"/>
              </w:rPr>
            </w:pPr>
            <w:r>
              <w:rPr>
                <w:i/>
                <w:sz w:val="19"/>
              </w:rPr>
              <w:t>Jetties Act Amendment Regulations (No. 3) 1983</w:t>
            </w:r>
          </w:p>
        </w:tc>
        <w:tc>
          <w:tcPr>
            <w:tcW w:w="1276" w:type="dxa"/>
          </w:tcPr>
          <w:p>
            <w:pPr>
              <w:pStyle w:val="nTable"/>
              <w:spacing w:after="40"/>
              <w:rPr>
                <w:sz w:val="19"/>
              </w:rPr>
            </w:pPr>
            <w:r>
              <w:rPr>
                <w:sz w:val="19"/>
              </w:rPr>
              <w:t>25 Nov 1983 p. 4669-70</w:t>
            </w:r>
          </w:p>
        </w:tc>
        <w:tc>
          <w:tcPr>
            <w:tcW w:w="2693" w:type="dxa"/>
          </w:tcPr>
          <w:p>
            <w:pPr>
              <w:pStyle w:val="nTable"/>
              <w:spacing w:after="40"/>
              <w:rPr>
                <w:sz w:val="19"/>
              </w:rPr>
            </w:pPr>
            <w:r>
              <w:rPr>
                <w:sz w:val="19"/>
              </w:rPr>
              <w:t>25 Nov 1983</w:t>
            </w:r>
          </w:p>
        </w:tc>
      </w:tr>
      <w:tr>
        <w:trPr>
          <w:cantSplit/>
        </w:trPr>
        <w:tc>
          <w:tcPr>
            <w:tcW w:w="3118" w:type="dxa"/>
          </w:tcPr>
          <w:p>
            <w:pPr>
              <w:pStyle w:val="nTable"/>
              <w:spacing w:after="40"/>
              <w:ind w:right="170"/>
              <w:rPr>
                <w:sz w:val="19"/>
              </w:rPr>
            </w:pPr>
            <w:r>
              <w:rPr>
                <w:i/>
                <w:sz w:val="19"/>
              </w:rPr>
              <w:t>Jetties Act Amendment Regulations 1984</w:t>
            </w:r>
          </w:p>
        </w:tc>
        <w:tc>
          <w:tcPr>
            <w:tcW w:w="1276" w:type="dxa"/>
          </w:tcPr>
          <w:p>
            <w:pPr>
              <w:pStyle w:val="nTable"/>
              <w:spacing w:after="40"/>
              <w:rPr>
                <w:sz w:val="19"/>
              </w:rPr>
            </w:pPr>
            <w:r>
              <w:rPr>
                <w:sz w:val="19"/>
              </w:rPr>
              <w:t>6 Jul 1984 p. 2028-9</w:t>
            </w:r>
          </w:p>
        </w:tc>
        <w:tc>
          <w:tcPr>
            <w:tcW w:w="2693" w:type="dxa"/>
          </w:tcPr>
          <w:p>
            <w:pPr>
              <w:pStyle w:val="nTable"/>
              <w:spacing w:after="40"/>
              <w:rPr>
                <w:sz w:val="19"/>
              </w:rPr>
            </w:pPr>
            <w:r>
              <w:rPr>
                <w:sz w:val="19"/>
              </w:rPr>
              <w:t>6 Jul 1984</w:t>
            </w:r>
          </w:p>
        </w:tc>
      </w:tr>
      <w:tr>
        <w:trPr>
          <w:cantSplit/>
        </w:trPr>
        <w:tc>
          <w:tcPr>
            <w:tcW w:w="3118" w:type="dxa"/>
          </w:tcPr>
          <w:p>
            <w:pPr>
              <w:pStyle w:val="nTable"/>
              <w:spacing w:after="40"/>
              <w:ind w:right="170"/>
              <w:rPr>
                <w:sz w:val="19"/>
              </w:rPr>
            </w:pPr>
            <w:r>
              <w:rPr>
                <w:i/>
                <w:sz w:val="19"/>
              </w:rPr>
              <w:t>Jetties Act Amendment Regulations (No. 2) 1984</w:t>
            </w:r>
          </w:p>
        </w:tc>
        <w:tc>
          <w:tcPr>
            <w:tcW w:w="1276" w:type="dxa"/>
          </w:tcPr>
          <w:p>
            <w:pPr>
              <w:pStyle w:val="nTable"/>
              <w:spacing w:after="40"/>
              <w:rPr>
                <w:sz w:val="19"/>
              </w:rPr>
            </w:pPr>
            <w:r>
              <w:rPr>
                <w:sz w:val="19"/>
              </w:rPr>
              <w:t>7 Sep 1984 p. 2859</w:t>
            </w:r>
          </w:p>
        </w:tc>
        <w:tc>
          <w:tcPr>
            <w:tcW w:w="2693" w:type="dxa"/>
          </w:tcPr>
          <w:p>
            <w:pPr>
              <w:pStyle w:val="nTable"/>
              <w:spacing w:after="40"/>
              <w:rPr>
                <w:sz w:val="19"/>
              </w:rPr>
            </w:pPr>
            <w:r>
              <w:rPr>
                <w:sz w:val="19"/>
              </w:rPr>
              <w:t>7 Sep 1984</w:t>
            </w:r>
          </w:p>
        </w:tc>
      </w:tr>
      <w:tr>
        <w:trPr>
          <w:cantSplit/>
        </w:trPr>
        <w:tc>
          <w:tcPr>
            <w:tcW w:w="3118" w:type="dxa"/>
          </w:tcPr>
          <w:p>
            <w:pPr>
              <w:pStyle w:val="nTable"/>
              <w:spacing w:after="40"/>
              <w:ind w:right="170"/>
              <w:rPr>
                <w:sz w:val="19"/>
              </w:rPr>
            </w:pPr>
            <w:r>
              <w:rPr>
                <w:i/>
                <w:sz w:val="19"/>
              </w:rPr>
              <w:t>Jetties Act Amendment Regulations 1985</w:t>
            </w:r>
          </w:p>
        </w:tc>
        <w:tc>
          <w:tcPr>
            <w:tcW w:w="1276" w:type="dxa"/>
          </w:tcPr>
          <w:p>
            <w:pPr>
              <w:pStyle w:val="nTable"/>
              <w:spacing w:after="40"/>
              <w:rPr>
                <w:sz w:val="19"/>
              </w:rPr>
            </w:pPr>
            <w:r>
              <w:rPr>
                <w:sz w:val="19"/>
              </w:rPr>
              <w:t>30 Aug 1985 p. 3077-9</w:t>
            </w:r>
          </w:p>
        </w:tc>
        <w:tc>
          <w:tcPr>
            <w:tcW w:w="2693" w:type="dxa"/>
          </w:tcPr>
          <w:p>
            <w:pPr>
              <w:pStyle w:val="nTable"/>
              <w:spacing w:after="40"/>
              <w:rPr>
                <w:sz w:val="19"/>
              </w:rPr>
            </w:pPr>
            <w:r>
              <w:rPr>
                <w:sz w:val="19"/>
              </w:rPr>
              <w:t>2 Sep 1985 (see r. 3)</w:t>
            </w:r>
          </w:p>
        </w:tc>
      </w:tr>
      <w:tr>
        <w:trPr>
          <w:cantSplit/>
        </w:trPr>
        <w:tc>
          <w:tcPr>
            <w:tcW w:w="3118" w:type="dxa"/>
          </w:tcPr>
          <w:p>
            <w:pPr>
              <w:pStyle w:val="nTable"/>
              <w:spacing w:after="40"/>
              <w:ind w:right="170"/>
              <w:rPr>
                <w:sz w:val="19"/>
              </w:rPr>
            </w:pPr>
            <w:r>
              <w:rPr>
                <w:i/>
                <w:sz w:val="19"/>
              </w:rPr>
              <w:t>Jetties Amendment Regulations 1986</w:t>
            </w:r>
          </w:p>
        </w:tc>
        <w:tc>
          <w:tcPr>
            <w:tcW w:w="1276" w:type="dxa"/>
          </w:tcPr>
          <w:p>
            <w:pPr>
              <w:pStyle w:val="nTable"/>
              <w:spacing w:after="40"/>
              <w:rPr>
                <w:sz w:val="19"/>
              </w:rPr>
            </w:pPr>
            <w:r>
              <w:rPr>
                <w:sz w:val="19"/>
              </w:rPr>
              <w:t>8 Aug 1986 p. 2828-30</w:t>
            </w:r>
          </w:p>
        </w:tc>
        <w:tc>
          <w:tcPr>
            <w:tcW w:w="2693" w:type="dxa"/>
          </w:tcPr>
          <w:p>
            <w:pPr>
              <w:pStyle w:val="nTable"/>
              <w:spacing w:after="40"/>
              <w:rPr>
                <w:sz w:val="19"/>
              </w:rPr>
            </w:pPr>
            <w:r>
              <w:rPr>
                <w:sz w:val="19"/>
              </w:rPr>
              <w:t>8 Aug 1986</w:t>
            </w:r>
          </w:p>
        </w:tc>
      </w:tr>
      <w:tr>
        <w:trPr>
          <w:cantSplit/>
        </w:trPr>
        <w:tc>
          <w:tcPr>
            <w:tcW w:w="3118" w:type="dxa"/>
          </w:tcPr>
          <w:p>
            <w:pPr>
              <w:pStyle w:val="nTable"/>
              <w:spacing w:after="40"/>
              <w:ind w:right="170"/>
              <w:rPr>
                <w:sz w:val="19"/>
              </w:rPr>
            </w:pPr>
            <w:r>
              <w:rPr>
                <w:i/>
                <w:sz w:val="19"/>
              </w:rPr>
              <w:t>Jetties Amendment Regulations 1987</w:t>
            </w:r>
          </w:p>
        </w:tc>
        <w:tc>
          <w:tcPr>
            <w:tcW w:w="1276" w:type="dxa"/>
          </w:tcPr>
          <w:p>
            <w:pPr>
              <w:pStyle w:val="nTable"/>
              <w:spacing w:after="40"/>
              <w:rPr>
                <w:sz w:val="19"/>
              </w:rPr>
            </w:pPr>
            <w:r>
              <w:rPr>
                <w:sz w:val="19"/>
              </w:rPr>
              <w:t>16 Oct 1987 p. 3893-5</w:t>
            </w:r>
          </w:p>
        </w:tc>
        <w:tc>
          <w:tcPr>
            <w:tcW w:w="2693" w:type="dxa"/>
          </w:tcPr>
          <w:p>
            <w:pPr>
              <w:pStyle w:val="nTable"/>
              <w:spacing w:after="40"/>
              <w:rPr>
                <w:sz w:val="19"/>
              </w:rPr>
            </w:pPr>
            <w:r>
              <w:rPr>
                <w:sz w:val="19"/>
              </w:rPr>
              <w:t>16 Oct 1987</w:t>
            </w:r>
          </w:p>
        </w:tc>
      </w:tr>
      <w:tr>
        <w:trPr>
          <w:cantSplit/>
        </w:trPr>
        <w:tc>
          <w:tcPr>
            <w:tcW w:w="3118" w:type="dxa"/>
          </w:tcPr>
          <w:p>
            <w:pPr>
              <w:pStyle w:val="nTable"/>
              <w:spacing w:after="40"/>
              <w:ind w:right="170"/>
              <w:rPr>
                <w:sz w:val="19"/>
              </w:rPr>
            </w:pPr>
            <w:r>
              <w:rPr>
                <w:i/>
                <w:sz w:val="19"/>
              </w:rPr>
              <w:t>Jetties Amendment Regulations 1988</w:t>
            </w:r>
          </w:p>
        </w:tc>
        <w:tc>
          <w:tcPr>
            <w:tcW w:w="1276" w:type="dxa"/>
          </w:tcPr>
          <w:p>
            <w:pPr>
              <w:pStyle w:val="nTable"/>
              <w:spacing w:after="40"/>
              <w:rPr>
                <w:sz w:val="19"/>
              </w:rPr>
            </w:pPr>
            <w:r>
              <w:rPr>
                <w:sz w:val="19"/>
              </w:rPr>
              <w:t>14 Oct 1988 p. 4164-6</w:t>
            </w:r>
          </w:p>
        </w:tc>
        <w:tc>
          <w:tcPr>
            <w:tcW w:w="2693" w:type="dxa"/>
          </w:tcPr>
          <w:p>
            <w:pPr>
              <w:pStyle w:val="nTable"/>
              <w:spacing w:after="40"/>
              <w:rPr>
                <w:sz w:val="19"/>
              </w:rPr>
            </w:pPr>
            <w:r>
              <w:rPr>
                <w:sz w:val="19"/>
              </w:rPr>
              <w:t>14 Oct 1988</w:t>
            </w:r>
          </w:p>
        </w:tc>
      </w:tr>
      <w:tr>
        <w:trPr>
          <w:cantSplit/>
        </w:trPr>
        <w:tc>
          <w:tcPr>
            <w:tcW w:w="3118" w:type="dxa"/>
          </w:tcPr>
          <w:p>
            <w:pPr>
              <w:pStyle w:val="nTable"/>
              <w:spacing w:after="40"/>
              <w:ind w:right="170"/>
              <w:rPr>
                <w:sz w:val="19"/>
              </w:rPr>
            </w:pPr>
            <w:r>
              <w:rPr>
                <w:i/>
                <w:sz w:val="19"/>
              </w:rPr>
              <w:t>Jetties Amendment Regulations 1989</w:t>
            </w:r>
          </w:p>
        </w:tc>
        <w:tc>
          <w:tcPr>
            <w:tcW w:w="1276" w:type="dxa"/>
          </w:tcPr>
          <w:p>
            <w:pPr>
              <w:pStyle w:val="nTable"/>
              <w:spacing w:after="40"/>
              <w:rPr>
                <w:sz w:val="19"/>
              </w:rPr>
            </w:pPr>
            <w:r>
              <w:rPr>
                <w:sz w:val="19"/>
              </w:rPr>
              <w:t>19 May 1989 p. 1493-6</w:t>
            </w:r>
          </w:p>
        </w:tc>
        <w:tc>
          <w:tcPr>
            <w:tcW w:w="2693" w:type="dxa"/>
          </w:tcPr>
          <w:p>
            <w:pPr>
              <w:pStyle w:val="nTable"/>
              <w:spacing w:after="40"/>
              <w:rPr>
                <w:sz w:val="19"/>
              </w:rPr>
            </w:pPr>
            <w:r>
              <w:rPr>
                <w:sz w:val="19"/>
              </w:rPr>
              <w:t>19 May 1989</w:t>
            </w:r>
          </w:p>
        </w:tc>
      </w:tr>
      <w:tr>
        <w:trPr>
          <w:cantSplit/>
        </w:trPr>
        <w:tc>
          <w:tcPr>
            <w:tcW w:w="3118" w:type="dxa"/>
          </w:tcPr>
          <w:p>
            <w:pPr>
              <w:pStyle w:val="nTable"/>
              <w:spacing w:after="40"/>
              <w:ind w:right="170"/>
              <w:rPr>
                <w:sz w:val="19"/>
              </w:rPr>
            </w:pPr>
            <w:r>
              <w:rPr>
                <w:i/>
                <w:sz w:val="19"/>
              </w:rPr>
              <w:t>Jetties Amendment Regulations (No. 2) 1989</w:t>
            </w:r>
          </w:p>
        </w:tc>
        <w:tc>
          <w:tcPr>
            <w:tcW w:w="1276" w:type="dxa"/>
          </w:tcPr>
          <w:p>
            <w:pPr>
              <w:pStyle w:val="nTable"/>
              <w:spacing w:after="40"/>
              <w:rPr>
                <w:sz w:val="19"/>
              </w:rPr>
            </w:pPr>
            <w:r>
              <w:rPr>
                <w:sz w:val="19"/>
              </w:rPr>
              <w:t>30 Jun 1989 p. 1917-20</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ind w:right="170"/>
              <w:rPr>
                <w:sz w:val="19"/>
              </w:rPr>
            </w:pPr>
            <w:r>
              <w:rPr>
                <w:i/>
                <w:sz w:val="19"/>
              </w:rPr>
              <w:t>Jetties Amendment Regulations 1990</w:t>
            </w:r>
          </w:p>
        </w:tc>
        <w:tc>
          <w:tcPr>
            <w:tcW w:w="1276" w:type="dxa"/>
          </w:tcPr>
          <w:p>
            <w:pPr>
              <w:pStyle w:val="nTable"/>
              <w:spacing w:after="40"/>
              <w:rPr>
                <w:sz w:val="19"/>
              </w:rPr>
            </w:pPr>
            <w:r>
              <w:rPr>
                <w:sz w:val="19"/>
              </w:rPr>
              <w:t>1 Aug 1990 p. 3633-40</w:t>
            </w:r>
          </w:p>
        </w:tc>
        <w:tc>
          <w:tcPr>
            <w:tcW w:w="2693" w:type="dxa"/>
          </w:tcPr>
          <w:p>
            <w:pPr>
              <w:pStyle w:val="nTable"/>
              <w:spacing w:after="40"/>
              <w:rPr>
                <w:sz w:val="19"/>
              </w:rPr>
            </w:pPr>
            <w:r>
              <w:rPr>
                <w:sz w:val="19"/>
              </w:rPr>
              <w:t>1 Aug 1990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Jetties Act Regulations 1940 </w:t>
            </w:r>
            <w:r>
              <w:rPr>
                <w:b/>
                <w:sz w:val="19"/>
              </w:rPr>
              <w:t xml:space="preserve">as at 29 Nov 1990 in </w:t>
            </w:r>
            <w:r>
              <w:rPr>
                <w:b/>
                <w:i/>
                <w:sz w:val="19"/>
              </w:rPr>
              <w:t xml:space="preserve">Gazette </w:t>
            </w:r>
            <w:r>
              <w:rPr>
                <w:b/>
                <w:sz w:val="19"/>
              </w:rPr>
              <w:t>13 Dec 1990 p. 6069-116</w:t>
            </w:r>
            <w:r>
              <w:rPr>
                <w:sz w:val="19"/>
              </w:rPr>
              <w:t xml:space="preserve"> (includes amendments listed above)</w:t>
            </w:r>
          </w:p>
        </w:tc>
      </w:tr>
      <w:tr>
        <w:trPr>
          <w:cantSplit/>
        </w:trPr>
        <w:tc>
          <w:tcPr>
            <w:tcW w:w="3118" w:type="dxa"/>
          </w:tcPr>
          <w:p>
            <w:pPr>
              <w:pStyle w:val="nTable"/>
              <w:spacing w:after="40"/>
              <w:ind w:right="170"/>
              <w:rPr>
                <w:sz w:val="19"/>
              </w:rPr>
            </w:pPr>
            <w:r>
              <w:rPr>
                <w:i/>
                <w:sz w:val="19"/>
              </w:rPr>
              <w:t>Jetties Amendment Regulations 1991</w:t>
            </w:r>
          </w:p>
        </w:tc>
        <w:tc>
          <w:tcPr>
            <w:tcW w:w="1276" w:type="dxa"/>
          </w:tcPr>
          <w:p>
            <w:pPr>
              <w:pStyle w:val="nTable"/>
              <w:spacing w:after="40"/>
              <w:rPr>
                <w:sz w:val="19"/>
              </w:rPr>
            </w:pPr>
            <w:r>
              <w:rPr>
                <w:sz w:val="19"/>
              </w:rPr>
              <w:t>26 Jul 1991 p. 3920</w:t>
            </w:r>
            <w:r>
              <w:rPr>
                <w:sz w:val="19"/>
              </w:rPr>
              <w:noBreakHyphen/>
              <w:t xml:space="preserve">4 </w:t>
            </w:r>
          </w:p>
        </w:tc>
        <w:tc>
          <w:tcPr>
            <w:tcW w:w="2693" w:type="dxa"/>
          </w:tcPr>
          <w:p>
            <w:pPr>
              <w:pStyle w:val="nTable"/>
              <w:spacing w:after="40"/>
              <w:rPr>
                <w:sz w:val="19"/>
              </w:rPr>
            </w:pPr>
            <w:r>
              <w:rPr>
                <w:sz w:val="19"/>
              </w:rPr>
              <w:t>1 Aug 1991 (see r. 2)</w:t>
            </w:r>
          </w:p>
        </w:tc>
      </w:tr>
      <w:tr>
        <w:trPr>
          <w:cantSplit/>
        </w:trPr>
        <w:tc>
          <w:tcPr>
            <w:tcW w:w="3118" w:type="dxa"/>
          </w:tcPr>
          <w:p>
            <w:pPr>
              <w:pStyle w:val="nTable"/>
              <w:spacing w:after="40"/>
              <w:ind w:right="170"/>
              <w:rPr>
                <w:sz w:val="19"/>
              </w:rPr>
            </w:pPr>
            <w:r>
              <w:rPr>
                <w:i/>
                <w:sz w:val="19"/>
              </w:rPr>
              <w:t>Jetties Amendment Regulations 1992</w:t>
            </w:r>
          </w:p>
        </w:tc>
        <w:tc>
          <w:tcPr>
            <w:tcW w:w="1276" w:type="dxa"/>
          </w:tcPr>
          <w:p>
            <w:pPr>
              <w:pStyle w:val="nTable"/>
              <w:spacing w:after="40"/>
              <w:rPr>
                <w:sz w:val="19"/>
              </w:rPr>
            </w:pPr>
            <w:r>
              <w:rPr>
                <w:sz w:val="19"/>
              </w:rPr>
              <w:t>30 Jun 1992 p. 2892</w:t>
            </w:r>
            <w:r>
              <w:rPr>
                <w:sz w:val="19"/>
              </w:rPr>
              <w:noBreakHyphen/>
              <w:t xml:space="preserve">9 </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70"/>
              <w:rPr>
                <w:sz w:val="19"/>
              </w:rPr>
            </w:pPr>
            <w:r>
              <w:rPr>
                <w:i/>
                <w:sz w:val="19"/>
              </w:rPr>
              <w:t>Jetties Amendment Regulations 1993</w:t>
            </w:r>
          </w:p>
        </w:tc>
        <w:tc>
          <w:tcPr>
            <w:tcW w:w="1276" w:type="dxa"/>
          </w:tcPr>
          <w:p>
            <w:pPr>
              <w:pStyle w:val="nTable"/>
              <w:spacing w:after="40"/>
              <w:rPr>
                <w:sz w:val="19"/>
              </w:rPr>
            </w:pPr>
            <w:r>
              <w:rPr>
                <w:sz w:val="19"/>
              </w:rPr>
              <w:t xml:space="preserve">7 May 1993 p. 2361 </w:t>
            </w:r>
          </w:p>
        </w:tc>
        <w:tc>
          <w:tcPr>
            <w:tcW w:w="2693" w:type="dxa"/>
          </w:tcPr>
          <w:p>
            <w:pPr>
              <w:pStyle w:val="nTable"/>
              <w:spacing w:after="40"/>
              <w:rPr>
                <w:sz w:val="19"/>
              </w:rPr>
            </w:pPr>
            <w:r>
              <w:rPr>
                <w:sz w:val="19"/>
              </w:rPr>
              <w:t>7 May 1993</w:t>
            </w:r>
          </w:p>
        </w:tc>
      </w:tr>
      <w:tr>
        <w:trPr>
          <w:cantSplit/>
        </w:trPr>
        <w:tc>
          <w:tcPr>
            <w:tcW w:w="3118" w:type="dxa"/>
          </w:tcPr>
          <w:p>
            <w:pPr>
              <w:pStyle w:val="nTable"/>
              <w:spacing w:after="40"/>
              <w:ind w:right="170"/>
              <w:rPr>
                <w:sz w:val="19"/>
              </w:rPr>
            </w:pPr>
            <w:r>
              <w:rPr>
                <w:i/>
                <w:sz w:val="19"/>
              </w:rPr>
              <w:t>Jetties Amendment Regulations</w:t>
            </w:r>
            <w:r>
              <w:rPr>
                <w:i/>
                <w:sz w:val="19"/>
              </w:rPr>
              <w:br/>
              <w:t>(No. 2) 1993</w:t>
            </w:r>
          </w:p>
        </w:tc>
        <w:tc>
          <w:tcPr>
            <w:tcW w:w="1276" w:type="dxa"/>
          </w:tcPr>
          <w:p>
            <w:pPr>
              <w:pStyle w:val="nTable"/>
              <w:spacing w:after="40"/>
              <w:rPr>
                <w:sz w:val="19"/>
              </w:rPr>
            </w:pPr>
            <w:r>
              <w:rPr>
                <w:sz w:val="19"/>
              </w:rPr>
              <w:t>29 Jun 1993 p. 3191</w:t>
            </w:r>
            <w:r>
              <w:rPr>
                <w:sz w:val="19"/>
              </w:rPr>
              <w:noBreakHyphen/>
              <w:t xml:space="preserve">7 </w:t>
            </w:r>
          </w:p>
        </w:tc>
        <w:tc>
          <w:tcPr>
            <w:tcW w:w="2693" w:type="dxa"/>
          </w:tcPr>
          <w:p>
            <w:pPr>
              <w:pStyle w:val="nTable"/>
              <w:spacing w:after="40"/>
              <w:rPr>
                <w:sz w:val="19"/>
              </w:rPr>
            </w:pPr>
            <w:r>
              <w:rPr>
                <w:sz w:val="19"/>
              </w:rPr>
              <w:t>1 Jul 1993 (see r. 2)</w:t>
            </w:r>
          </w:p>
        </w:tc>
      </w:tr>
      <w:tr>
        <w:trPr>
          <w:cantSplit/>
        </w:trPr>
        <w:tc>
          <w:tcPr>
            <w:tcW w:w="3118" w:type="dxa"/>
          </w:tcPr>
          <w:p>
            <w:pPr>
              <w:pStyle w:val="nTable"/>
              <w:spacing w:after="40"/>
              <w:ind w:right="170"/>
              <w:rPr>
                <w:sz w:val="19"/>
              </w:rPr>
            </w:pPr>
            <w:r>
              <w:rPr>
                <w:i/>
                <w:sz w:val="19"/>
              </w:rPr>
              <w:t>Jetties Amendment Regulations 1994</w:t>
            </w:r>
          </w:p>
        </w:tc>
        <w:tc>
          <w:tcPr>
            <w:tcW w:w="1276" w:type="dxa"/>
          </w:tcPr>
          <w:p>
            <w:pPr>
              <w:pStyle w:val="nTable"/>
              <w:spacing w:after="40"/>
              <w:rPr>
                <w:sz w:val="19"/>
              </w:rPr>
            </w:pPr>
            <w:r>
              <w:rPr>
                <w:sz w:val="19"/>
              </w:rPr>
              <w:t>14 Jun 1994 p. 2475</w:t>
            </w:r>
            <w:r>
              <w:rPr>
                <w:sz w:val="19"/>
              </w:rPr>
              <w:noBreakHyphen/>
              <w:t xml:space="preserve">82 </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ind w:right="170"/>
              <w:rPr>
                <w:sz w:val="19"/>
              </w:rPr>
            </w:pPr>
            <w:r>
              <w:rPr>
                <w:i/>
                <w:sz w:val="19"/>
              </w:rPr>
              <w:t>Jetties Amendment Regulations 1995</w:t>
            </w:r>
          </w:p>
        </w:tc>
        <w:tc>
          <w:tcPr>
            <w:tcW w:w="1276" w:type="dxa"/>
          </w:tcPr>
          <w:p>
            <w:pPr>
              <w:pStyle w:val="nTable"/>
              <w:spacing w:after="40"/>
              <w:rPr>
                <w:sz w:val="19"/>
              </w:rPr>
            </w:pPr>
            <w:r>
              <w:rPr>
                <w:sz w:val="19"/>
              </w:rPr>
              <w:t>30 Jun 1995 p. 2698</w:t>
            </w:r>
            <w:r>
              <w:rPr>
                <w:sz w:val="19"/>
              </w:rPr>
              <w:noBreakHyphen/>
              <w:t xml:space="preserve">705 </w:t>
            </w:r>
          </w:p>
        </w:tc>
        <w:tc>
          <w:tcPr>
            <w:tcW w:w="2693" w:type="dxa"/>
          </w:tcPr>
          <w:p>
            <w:pPr>
              <w:pStyle w:val="nTable"/>
              <w:spacing w:after="40"/>
              <w:rPr>
                <w:sz w:val="19"/>
              </w:rPr>
            </w:pPr>
            <w:r>
              <w:rPr>
                <w:sz w:val="19"/>
              </w:rPr>
              <w:t>1 Jul 1995 (see r. 2)</w:t>
            </w:r>
          </w:p>
        </w:tc>
      </w:tr>
      <w:tr>
        <w:trPr>
          <w:cantSplit/>
        </w:trPr>
        <w:tc>
          <w:tcPr>
            <w:tcW w:w="3118" w:type="dxa"/>
          </w:tcPr>
          <w:p>
            <w:pPr>
              <w:pStyle w:val="nTable"/>
              <w:spacing w:after="40"/>
              <w:ind w:right="170"/>
              <w:rPr>
                <w:sz w:val="19"/>
              </w:rPr>
            </w:pPr>
            <w:r>
              <w:rPr>
                <w:i/>
                <w:sz w:val="19"/>
              </w:rPr>
              <w:t>Jetties Amendment Regulations 1996</w:t>
            </w:r>
          </w:p>
        </w:tc>
        <w:tc>
          <w:tcPr>
            <w:tcW w:w="1276" w:type="dxa"/>
          </w:tcPr>
          <w:p>
            <w:pPr>
              <w:pStyle w:val="nTable"/>
              <w:spacing w:after="40"/>
              <w:rPr>
                <w:sz w:val="19"/>
              </w:rPr>
            </w:pPr>
            <w:r>
              <w:rPr>
                <w:sz w:val="19"/>
              </w:rPr>
              <w:t>25 Jun 1996 p. 2981</w:t>
            </w:r>
            <w:r>
              <w:rPr>
                <w:sz w:val="19"/>
              </w:rPr>
              <w:noBreakHyphen/>
              <w:t xml:space="preserve">91 </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70"/>
              <w:rPr>
                <w:sz w:val="19"/>
              </w:rPr>
            </w:pPr>
            <w:r>
              <w:rPr>
                <w:i/>
                <w:sz w:val="19"/>
              </w:rPr>
              <w:t>Jetties Amendment Regulations 1997</w:t>
            </w:r>
          </w:p>
        </w:tc>
        <w:tc>
          <w:tcPr>
            <w:tcW w:w="1276" w:type="dxa"/>
          </w:tcPr>
          <w:p>
            <w:pPr>
              <w:pStyle w:val="nTable"/>
              <w:spacing w:after="40"/>
              <w:rPr>
                <w:sz w:val="19"/>
              </w:rPr>
            </w:pPr>
            <w:r>
              <w:rPr>
                <w:sz w:val="19"/>
              </w:rPr>
              <w:t xml:space="preserve">13 May 1997 p. 2349 </w:t>
            </w:r>
          </w:p>
        </w:tc>
        <w:tc>
          <w:tcPr>
            <w:tcW w:w="2693" w:type="dxa"/>
          </w:tcPr>
          <w:p>
            <w:pPr>
              <w:pStyle w:val="nTable"/>
              <w:spacing w:after="40"/>
              <w:rPr>
                <w:sz w:val="19"/>
              </w:rPr>
            </w:pPr>
            <w:r>
              <w:rPr>
                <w:sz w:val="19"/>
              </w:rPr>
              <w:t>13 May 1997</w:t>
            </w:r>
          </w:p>
        </w:tc>
      </w:tr>
      <w:tr>
        <w:trPr>
          <w:cantSplit/>
        </w:trPr>
        <w:tc>
          <w:tcPr>
            <w:tcW w:w="3118" w:type="dxa"/>
          </w:tcPr>
          <w:p>
            <w:pPr>
              <w:pStyle w:val="nTable"/>
              <w:spacing w:after="40"/>
              <w:ind w:right="170"/>
              <w:rPr>
                <w:sz w:val="19"/>
              </w:rPr>
            </w:pPr>
            <w:r>
              <w:rPr>
                <w:i/>
                <w:sz w:val="19"/>
              </w:rPr>
              <w:t xml:space="preserve">Jetties Amendment Regulations </w:t>
            </w:r>
            <w:r>
              <w:rPr>
                <w:i/>
                <w:sz w:val="19"/>
              </w:rPr>
              <w:br/>
              <w:t>(No. 2) 1997</w:t>
            </w:r>
          </w:p>
        </w:tc>
        <w:tc>
          <w:tcPr>
            <w:tcW w:w="1276" w:type="dxa"/>
          </w:tcPr>
          <w:p>
            <w:pPr>
              <w:pStyle w:val="nTable"/>
              <w:spacing w:after="40"/>
              <w:rPr>
                <w:sz w:val="19"/>
              </w:rPr>
            </w:pPr>
            <w:r>
              <w:rPr>
                <w:sz w:val="19"/>
              </w:rPr>
              <w:t>27 Jun 1997 p. 3151</w:t>
            </w:r>
            <w:r>
              <w:rPr>
                <w:sz w:val="19"/>
              </w:rPr>
              <w:noBreakHyphen/>
              <w:t xml:space="preserve">64 </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70"/>
              <w:rPr>
                <w:sz w:val="19"/>
              </w:rPr>
            </w:pPr>
            <w:r>
              <w:rPr>
                <w:sz w:val="19"/>
              </w:rPr>
              <w:br w:type="page"/>
            </w:r>
            <w:r>
              <w:rPr>
                <w:i/>
                <w:sz w:val="19"/>
              </w:rPr>
              <w:t xml:space="preserve">Miscellaneous Amendments Regulations 1997 </w:t>
            </w:r>
            <w:r>
              <w:rPr>
                <w:sz w:val="19"/>
              </w:rPr>
              <w:t>r. 2</w:t>
            </w:r>
          </w:p>
        </w:tc>
        <w:tc>
          <w:tcPr>
            <w:tcW w:w="1276" w:type="dxa"/>
          </w:tcPr>
          <w:p>
            <w:pPr>
              <w:pStyle w:val="nTable"/>
              <w:spacing w:after="40"/>
              <w:rPr>
                <w:sz w:val="19"/>
              </w:rPr>
            </w:pPr>
            <w:r>
              <w:rPr>
                <w:sz w:val="19"/>
              </w:rPr>
              <w:t xml:space="preserve">6 Jan 1998 p. 33 </w:t>
            </w:r>
          </w:p>
        </w:tc>
        <w:tc>
          <w:tcPr>
            <w:tcW w:w="2693" w:type="dxa"/>
          </w:tcPr>
          <w:p>
            <w:pPr>
              <w:pStyle w:val="nTable"/>
              <w:spacing w:after="40"/>
              <w:rPr>
                <w:sz w:val="19"/>
              </w:rPr>
            </w:pPr>
            <w:r>
              <w:rPr>
                <w:sz w:val="19"/>
              </w:rPr>
              <w:t>6 Jan 1998</w:t>
            </w:r>
          </w:p>
        </w:tc>
      </w:tr>
      <w:tr>
        <w:trPr>
          <w:cantSplit/>
        </w:trPr>
        <w:tc>
          <w:tcPr>
            <w:tcW w:w="3118" w:type="dxa"/>
          </w:tcPr>
          <w:p>
            <w:pPr>
              <w:pStyle w:val="nTable"/>
              <w:spacing w:after="40"/>
              <w:ind w:right="170"/>
              <w:rPr>
                <w:i/>
                <w:sz w:val="19"/>
              </w:rPr>
            </w:pPr>
            <w:r>
              <w:rPr>
                <w:sz w:val="19"/>
              </w:rPr>
              <w:br w:type="page"/>
            </w:r>
            <w:r>
              <w:rPr>
                <w:i/>
                <w:sz w:val="19"/>
              </w:rPr>
              <w:t>Jetties Amendment Regulations 1998</w:t>
            </w:r>
          </w:p>
        </w:tc>
        <w:tc>
          <w:tcPr>
            <w:tcW w:w="1276" w:type="dxa"/>
          </w:tcPr>
          <w:p>
            <w:pPr>
              <w:pStyle w:val="nTable"/>
              <w:spacing w:after="40"/>
              <w:rPr>
                <w:sz w:val="19"/>
              </w:rPr>
            </w:pPr>
            <w:r>
              <w:rPr>
                <w:sz w:val="19"/>
              </w:rPr>
              <w:t>12 May 1998 p. 2775</w:t>
            </w:r>
            <w:r>
              <w:rPr>
                <w:sz w:val="19"/>
              </w:rPr>
              <w:noBreakHyphen/>
              <w:t>90</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70"/>
              <w:rPr>
                <w:i/>
                <w:sz w:val="19"/>
              </w:rPr>
            </w:pPr>
            <w:r>
              <w:rPr>
                <w:i/>
                <w:sz w:val="19"/>
              </w:rPr>
              <w:t>Jetties Amendment Regulations 1999</w:t>
            </w:r>
          </w:p>
        </w:tc>
        <w:tc>
          <w:tcPr>
            <w:tcW w:w="1276" w:type="dxa"/>
          </w:tcPr>
          <w:p>
            <w:pPr>
              <w:pStyle w:val="nTable"/>
              <w:spacing w:after="40"/>
              <w:rPr>
                <w:sz w:val="19"/>
              </w:rPr>
            </w:pPr>
            <w:r>
              <w:rPr>
                <w:sz w:val="19"/>
              </w:rPr>
              <w:t>22 Jun 1999 p. 2678</w:t>
            </w:r>
            <w:r>
              <w:rPr>
                <w:sz w:val="19"/>
              </w:rPr>
              <w:noBreakHyphen/>
              <w:t>89</w:t>
            </w:r>
          </w:p>
        </w:tc>
        <w:tc>
          <w:tcPr>
            <w:tcW w:w="2693" w:type="dxa"/>
          </w:tcPr>
          <w:p>
            <w:pPr>
              <w:pStyle w:val="nTable"/>
              <w:spacing w:after="40"/>
              <w:rPr>
                <w:sz w:val="19"/>
              </w:rPr>
            </w:pPr>
            <w:r>
              <w:rPr>
                <w:sz w:val="19"/>
              </w:rPr>
              <w:t>1 Jul 1999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Jetties Act Regulations 1940 </w:t>
            </w:r>
            <w:r>
              <w:rPr>
                <w:b/>
                <w:sz w:val="19"/>
              </w:rPr>
              <w:t>as at 10 Dec 1999</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Jetties Amendment Regulations 2000</w:t>
            </w:r>
          </w:p>
        </w:tc>
        <w:tc>
          <w:tcPr>
            <w:tcW w:w="1276" w:type="dxa"/>
          </w:tcPr>
          <w:p>
            <w:pPr>
              <w:pStyle w:val="nTable"/>
              <w:spacing w:after="40"/>
              <w:rPr>
                <w:sz w:val="19"/>
              </w:rPr>
            </w:pPr>
            <w:r>
              <w:rPr>
                <w:sz w:val="19"/>
              </w:rPr>
              <w:t>20 Jun 2000 p. 3043</w:t>
            </w:r>
            <w:r>
              <w:rPr>
                <w:sz w:val="19"/>
              </w:rPr>
              <w:noBreakHyphen/>
              <w:t>60</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70"/>
              <w:rPr>
                <w:i/>
                <w:sz w:val="19"/>
              </w:rPr>
            </w:pPr>
            <w:r>
              <w:rPr>
                <w:i/>
                <w:sz w:val="19"/>
              </w:rPr>
              <w:t>Jetties Amendment Regulations (No. 2) 2000</w:t>
            </w:r>
          </w:p>
        </w:tc>
        <w:tc>
          <w:tcPr>
            <w:tcW w:w="1276" w:type="dxa"/>
          </w:tcPr>
          <w:p>
            <w:pPr>
              <w:pStyle w:val="nTable"/>
              <w:spacing w:after="40"/>
              <w:rPr>
                <w:sz w:val="19"/>
              </w:rPr>
            </w:pPr>
            <w:r>
              <w:rPr>
                <w:sz w:val="19"/>
              </w:rPr>
              <w:t>18 Aug 2000 p. 4790</w:t>
            </w:r>
          </w:p>
        </w:tc>
        <w:tc>
          <w:tcPr>
            <w:tcW w:w="2693" w:type="dxa"/>
          </w:tcPr>
          <w:p>
            <w:pPr>
              <w:pStyle w:val="nTable"/>
              <w:spacing w:after="40"/>
              <w:rPr>
                <w:sz w:val="19"/>
              </w:rPr>
            </w:pPr>
            <w:r>
              <w:rPr>
                <w:sz w:val="19"/>
              </w:rPr>
              <w:t xml:space="preserve">18 Aug 2000 </w:t>
            </w:r>
          </w:p>
        </w:tc>
      </w:tr>
      <w:tr>
        <w:trPr>
          <w:cantSplit/>
        </w:trPr>
        <w:tc>
          <w:tcPr>
            <w:tcW w:w="3118" w:type="dxa"/>
          </w:tcPr>
          <w:p>
            <w:pPr>
              <w:pStyle w:val="nTable"/>
              <w:spacing w:after="40"/>
              <w:ind w:right="170"/>
              <w:rPr>
                <w:i/>
                <w:sz w:val="19"/>
              </w:rPr>
            </w:pPr>
            <w:r>
              <w:rPr>
                <w:i/>
                <w:sz w:val="19"/>
              </w:rPr>
              <w:t>Jetties Amendment Regulations 2001</w:t>
            </w:r>
          </w:p>
        </w:tc>
        <w:tc>
          <w:tcPr>
            <w:tcW w:w="1276" w:type="dxa"/>
          </w:tcPr>
          <w:p>
            <w:pPr>
              <w:pStyle w:val="nTable"/>
              <w:spacing w:after="40"/>
              <w:rPr>
                <w:sz w:val="19"/>
              </w:rPr>
            </w:pPr>
            <w:r>
              <w:rPr>
                <w:sz w:val="19"/>
              </w:rPr>
              <w:t>27 Jul 2001 p. 3813</w:t>
            </w:r>
            <w:r>
              <w:rPr>
                <w:sz w:val="19"/>
              </w:rPr>
              <w:noBreakHyphen/>
              <w:t>28</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ind w:right="170"/>
              <w:rPr>
                <w:i/>
                <w:sz w:val="19"/>
              </w:rPr>
            </w:pPr>
            <w:r>
              <w:rPr>
                <w:i/>
                <w:sz w:val="19"/>
              </w:rPr>
              <w:t>Jetties Amendment Regulations 2002</w:t>
            </w:r>
          </w:p>
        </w:tc>
        <w:tc>
          <w:tcPr>
            <w:tcW w:w="1276" w:type="dxa"/>
          </w:tcPr>
          <w:p>
            <w:pPr>
              <w:pStyle w:val="nTable"/>
              <w:spacing w:after="40"/>
              <w:rPr>
                <w:rFonts w:ascii="Arial" w:hAnsi="Arial"/>
                <w:b/>
                <w:sz w:val="19"/>
              </w:rPr>
            </w:pPr>
            <w:r>
              <w:rPr>
                <w:sz w:val="19"/>
              </w:rPr>
              <w:t>14 Jun 2002 p. 2299-300</w:t>
            </w:r>
          </w:p>
        </w:tc>
        <w:tc>
          <w:tcPr>
            <w:tcW w:w="2693" w:type="dxa"/>
          </w:tcPr>
          <w:p>
            <w:pPr>
              <w:pStyle w:val="nTable"/>
              <w:spacing w:after="40"/>
              <w:rPr>
                <w:sz w:val="19"/>
              </w:rPr>
            </w:pPr>
            <w:r>
              <w:rPr>
                <w:sz w:val="19"/>
              </w:rPr>
              <w:t xml:space="preserve">14 Jun 2002 </w:t>
            </w:r>
          </w:p>
        </w:tc>
      </w:tr>
      <w:tr>
        <w:trPr>
          <w:cantSplit/>
        </w:trPr>
        <w:tc>
          <w:tcPr>
            <w:tcW w:w="3118" w:type="dxa"/>
          </w:tcPr>
          <w:p>
            <w:pPr>
              <w:pStyle w:val="nTable"/>
              <w:spacing w:after="40"/>
              <w:ind w:right="170"/>
              <w:rPr>
                <w:i/>
                <w:sz w:val="19"/>
              </w:rPr>
            </w:pPr>
            <w:r>
              <w:rPr>
                <w:i/>
                <w:sz w:val="19"/>
              </w:rPr>
              <w:t>Jetties Amendment Regulations (No. 2) 2002</w:t>
            </w:r>
          </w:p>
        </w:tc>
        <w:tc>
          <w:tcPr>
            <w:tcW w:w="1276" w:type="dxa"/>
          </w:tcPr>
          <w:p>
            <w:pPr>
              <w:pStyle w:val="nTable"/>
              <w:spacing w:after="40"/>
              <w:rPr>
                <w:rFonts w:ascii="Arial" w:hAnsi="Arial"/>
                <w:b/>
                <w:sz w:val="19"/>
              </w:rPr>
            </w:pPr>
            <w:r>
              <w:rPr>
                <w:sz w:val="19"/>
              </w:rPr>
              <w:t>14 Jun 2002 p. 2301</w:t>
            </w:r>
            <w:r>
              <w:rPr>
                <w:sz w:val="19"/>
              </w:rPr>
              <w:noBreakHyphen/>
              <w:t>18</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ind w:right="170"/>
              <w:rPr>
                <w:i/>
                <w:sz w:val="19"/>
              </w:rPr>
            </w:pPr>
            <w:r>
              <w:rPr>
                <w:i/>
                <w:sz w:val="19"/>
              </w:rPr>
              <w:t>Jetties Amendment Regulations 2003</w:t>
            </w:r>
          </w:p>
        </w:tc>
        <w:tc>
          <w:tcPr>
            <w:tcW w:w="1276" w:type="dxa"/>
          </w:tcPr>
          <w:p>
            <w:pPr>
              <w:pStyle w:val="nTable"/>
              <w:spacing w:after="40"/>
              <w:rPr>
                <w:sz w:val="19"/>
              </w:rPr>
            </w:pPr>
            <w:r>
              <w:rPr>
                <w:color w:val="000000"/>
                <w:sz w:val="19"/>
              </w:rPr>
              <w:t>27 Jun 2003 p. </w:t>
            </w:r>
            <w:r>
              <w:rPr>
                <w:sz w:val="19"/>
              </w:rPr>
              <w:t>2502</w:t>
            </w:r>
            <w:r>
              <w:rPr>
                <w:sz w:val="19"/>
              </w:rPr>
              <w:noBreakHyphen/>
              <w:t>19</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ind w:right="170"/>
              <w:rPr>
                <w:i/>
                <w:sz w:val="19"/>
              </w:rPr>
            </w:pPr>
            <w:r>
              <w:rPr>
                <w:i/>
                <w:sz w:val="19"/>
              </w:rPr>
              <w:t>Jetties Amendment Regulations (No. 2) 2004</w:t>
            </w:r>
          </w:p>
        </w:tc>
        <w:tc>
          <w:tcPr>
            <w:tcW w:w="1276" w:type="dxa"/>
          </w:tcPr>
          <w:p>
            <w:pPr>
              <w:pStyle w:val="nTable"/>
              <w:spacing w:after="40"/>
              <w:rPr>
                <w:sz w:val="19"/>
              </w:rPr>
            </w:pPr>
            <w:r>
              <w:rPr>
                <w:color w:val="000000"/>
                <w:sz w:val="19"/>
              </w:rPr>
              <w:t>25 Jun 2004 p. </w:t>
            </w:r>
            <w:r>
              <w:rPr>
                <w:sz w:val="19"/>
              </w:rPr>
              <w:t>2270</w:t>
            </w:r>
            <w:r>
              <w:rPr>
                <w:sz w:val="19"/>
              </w:rPr>
              <w:noBreakHyphen/>
              <w:t>87</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ind w:right="170"/>
              <w:rPr>
                <w:rFonts w:ascii="Times" w:hAnsi="Times"/>
                <w:i/>
                <w:sz w:val="19"/>
              </w:rPr>
            </w:pPr>
            <w:r>
              <w:rPr>
                <w:rFonts w:ascii="Times" w:hAnsi="Times"/>
                <w:i/>
                <w:sz w:val="19"/>
              </w:rPr>
              <w:t>Jetties Amendment Regulations (No. 3 ) 2004</w:t>
            </w:r>
          </w:p>
        </w:tc>
        <w:tc>
          <w:tcPr>
            <w:tcW w:w="1276" w:type="dxa"/>
          </w:tcPr>
          <w:p>
            <w:pPr>
              <w:pStyle w:val="nTable"/>
              <w:spacing w:after="40"/>
              <w:rPr>
                <w:rFonts w:ascii="Times" w:hAnsi="Times"/>
                <w:color w:val="000000"/>
                <w:sz w:val="19"/>
              </w:rPr>
            </w:pPr>
            <w:r>
              <w:rPr>
                <w:rFonts w:ascii="Times" w:hAnsi="Times"/>
                <w:color w:val="000000"/>
                <w:sz w:val="19"/>
              </w:rPr>
              <w:t>24 Aug 2004 p. 3658</w:t>
            </w:r>
            <w:r>
              <w:rPr>
                <w:rFonts w:ascii="Times" w:hAnsi="Times"/>
                <w:color w:val="000000"/>
                <w:sz w:val="19"/>
              </w:rPr>
              <w:noBreakHyphen/>
              <w:t>9</w:t>
            </w:r>
          </w:p>
        </w:tc>
        <w:tc>
          <w:tcPr>
            <w:tcW w:w="2693" w:type="dxa"/>
          </w:tcPr>
          <w:p>
            <w:pPr>
              <w:pStyle w:val="nTable"/>
              <w:spacing w:after="40"/>
              <w:rPr>
                <w:rFonts w:ascii="Times" w:hAnsi="Times"/>
                <w:sz w:val="19"/>
              </w:rPr>
            </w:pPr>
            <w:r>
              <w:rPr>
                <w:rFonts w:ascii="Times" w:hAnsi="Times"/>
                <w:sz w:val="19"/>
              </w:rPr>
              <w:t>24 Aug 2004</w:t>
            </w:r>
          </w:p>
        </w:tc>
      </w:tr>
      <w:tr>
        <w:trPr>
          <w:cantSplit/>
        </w:trPr>
        <w:tc>
          <w:tcPr>
            <w:tcW w:w="3118" w:type="dxa"/>
          </w:tcPr>
          <w:p>
            <w:pPr>
              <w:pStyle w:val="nTable"/>
              <w:spacing w:after="40"/>
              <w:ind w:right="170"/>
              <w:rPr>
                <w:rFonts w:ascii="Times" w:hAnsi="Times"/>
                <w:i/>
                <w:sz w:val="19"/>
              </w:rPr>
            </w:pPr>
            <w:r>
              <w:rPr>
                <w:rFonts w:ascii="Times" w:hAnsi="Times"/>
                <w:i/>
                <w:sz w:val="19"/>
              </w:rPr>
              <w:t>Jetties Amendment Regulations 2004</w:t>
            </w:r>
          </w:p>
        </w:tc>
        <w:tc>
          <w:tcPr>
            <w:tcW w:w="1276" w:type="dxa"/>
          </w:tcPr>
          <w:p>
            <w:pPr>
              <w:pStyle w:val="nTable"/>
              <w:spacing w:after="40"/>
              <w:rPr>
                <w:rFonts w:ascii="Times" w:hAnsi="Times"/>
                <w:sz w:val="19"/>
              </w:rPr>
            </w:pPr>
            <w:r>
              <w:rPr>
                <w:rFonts w:ascii="Times" w:hAnsi="Times"/>
                <w:sz w:val="19"/>
              </w:rPr>
              <w:t>30 Dec 2004 p. 6953</w:t>
            </w:r>
          </w:p>
        </w:tc>
        <w:tc>
          <w:tcPr>
            <w:tcW w:w="2693" w:type="dxa"/>
          </w:tcPr>
          <w:p>
            <w:pPr>
              <w:pStyle w:val="nTable"/>
              <w:spacing w:after="40"/>
              <w:rPr>
                <w:rFonts w:ascii="Times" w:hAnsi="Times"/>
                <w:sz w:val="19"/>
              </w:rPr>
            </w:pPr>
            <w:r>
              <w:rPr>
                <w:rFonts w:ascii="Times" w:hAnsi="Times"/>
                <w:sz w:val="19"/>
              </w:rPr>
              <w:t xml:space="preserve">1 Jan 2005 (see r. 2 and </w:t>
            </w:r>
            <w:r>
              <w:rPr>
                <w:rFonts w:ascii="Times" w:hAnsi="Times"/>
                <w:i/>
                <w:sz w:val="19"/>
              </w:rPr>
              <w:t>Gazette</w:t>
            </w:r>
            <w:r>
              <w:rPr>
                <w:rFonts w:ascii="Times" w:hAnsi="Times"/>
                <w:sz w:val="19"/>
              </w:rPr>
              <w:t xml:space="preserve"> 31 Dec 2004 p. 7130)</w:t>
            </w:r>
          </w:p>
        </w:tc>
      </w:tr>
      <w:tr>
        <w:trPr>
          <w:cantSplit/>
        </w:trPr>
        <w:tc>
          <w:tcPr>
            <w:tcW w:w="7087" w:type="dxa"/>
            <w:gridSpan w:val="3"/>
          </w:tcPr>
          <w:p>
            <w:pPr>
              <w:pStyle w:val="nTable"/>
              <w:spacing w:after="40"/>
              <w:rPr>
                <w:sz w:val="19"/>
              </w:rPr>
            </w:pPr>
            <w:r>
              <w:rPr>
                <w:b/>
                <w:sz w:val="19"/>
              </w:rPr>
              <w:t xml:space="preserve">Reprint 5: The </w:t>
            </w:r>
            <w:r>
              <w:rPr>
                <w:b/>
                <w:i/>
                <w:sz w:val="19"/>
              </w:rPr>
              <w:t xml:space="preserve">Jetties Regulations 1940 </w:t>
            </w:r>
            <w:r>
              <w:rPr>
                <w:b/>
                <w:sz w:val="19"/>
              </w:rPr>
              <w:t>as at 15 Apr 2005</w:t>
            </w:r>
            <w:r>
              <w:rPr>
                <w:sz w:val="19"/>
              </w:rPr>
              <w:t xml:space="preserve"> (includes amendments listed above)</w:t>
            </w:r>
          </w:p>
        </w:tc>
      </w:tr>
      <w:tr>
        <w:trPr>
          <w:cantSplit/>
        </w:trPr>
        <w:tc>
          <w:tcPr>
            <w:tcW w:w="3118" w:type="dxa"/>
          </w:tcPr>
          <w:p>
            <w:pPr>
              <w:pStyle w:val="nTable"/>
              <w:spacing w:after="40"/>
              <w:rPr>
                <w:bCs/>
                <w:i/>
                <w:iCs/>
                <w:sz w:val="19"/>
              </w:rPr>
            </w:pPr>
            <w:r>
              <w:rPr>
                <w:bCs/>
                <w:i/>
                <w:iCs/>
                <w:sz w:val="19"/>
              </w:rPr>
              <w:t>Jetties Amendment Regulations (No. 2) 2005</w:t>
            </w:r>
          </w:p>
        </w:tc>
        <w:tc>
          <w:tcPr>
            <w:tcW w:w="1276" w:type="dxa"/>
          </w:tcPr>
          <w:p>
            <w:pPr>
              <w:pStyle w:val="nTable"/>
              <w:spacing w:after="40"/>
              <w:rPr>
                <w:bCs/>
                <w:sz w:val="19"/>
              </w:rPr>
            </w:pPr>
            <w:r>
              <w:rPr>
                <w:bCs/>
                <w:sz w:val="19"/>
              </w:rPr>
              <w:t>24 Jun 2005 p. 2813-47</w:t>
            </w:r>
          </w:p>
        </w:tc>
        <w:tc>
          <w:tcPr>
            <w:tcW w:w="2693" w:type="dxa"/>
          </w:tcPr>
          <w:p>
            <w:pPr>
              <w:pStyle w:val="nTable"/>
              <w:spacing w:after="40"/>
              <w:rPr>
                <w:bCs/>
                <w:sz w:val="19"/>
              </w:rPr>
            </w:pPr>
            <w:r>
              <w:rPr>
                <w:bCs/>
                <w:sz w:val="19"/>
              </w:rPr>
              <w:t>1 Jul 2005 (see r. 2)</w:t>
            </w:r>
          </w:p>
        </w:tc>
      </w:tr>
      <w:tr>
        <w:trPr>
          <w:cantSplit/>
        </w:trPr>
        <w:tc>
          <w:tcPr>
            <w:tcW w:w="3118" w:type="dxa"/>
          </w:tcPr>
          <w:p>
            <w:pPr>
              <w:pStyle w:val="nTable"/>
              <w:spacing w:after="40"/>
              <w:rPr>
                <w:bCs/>
                <w:i/>
                <w:iCs/>
                <w:sz w:val="19"/>
              </w:rPr>
            </w:pPr>
            <w:r>
              <w:rPr>
                <w:bCs/>
                <w:i/>
                <w:iCs/>
                <w:sz w:val="19"/>
              </w:rPr>
              <w:t>Jetties Amendment Regulations 2006</w:t>
            </w:r>
          </w:p>
        </w:tc>
        <w:tc>
          <w:tcPr>
            <w:tcW w:w="1276" w:type="dxa"/>
          </w:tcPr>
          <w:p>
            <w:pPr>
              <w:pStyle w:val="nTable"/>
              <w:spacing w:after="40"/>
              <w:rPr>
                <w:bCs/>
                <w:sz w:val="19"/>
              </w:rPr>
            </w:pPr>
            <w:r>
              <w:rPr>
                <w:bCs/>
                <w:sz w:val="19"/>
              </w:rPr>
              <w:t>23 Jun 2006 p. 2193</w:t>
            </w:r>
            <w:r>
              <w:rPr>
                <w:bCs/>
                <w:sz w:val="19"/>
              </w:rPr>
              <w:noBreakHyphen/>
              <w:t>204</w:t>
            </w:r>
          </w:p>
        </w:tc>
        <w:tc>
          <w:tcPr>
            <w:tcW w:w="2693" w:type="dxa"/>
          </w:tcPr>
          <w:p>
            <w:pPr>
              <w:pStyle w:val="nTable"/>
              <w:spacing w:after="40"/>
              <w:rPr>
                <w:bCs/>
                <w:sz w:val="19"/>
              </w:rPr>
            </w:pPr>
            <w:r>
              <w:rPr>
                <w:bCs/>
                <w:sz w:val="19"/>
              </w:rPr>
              <w:t>1 Jul 2006 (see r. 2)</w:t>
            </w:r>
          </w:p>
        </w:tc>
      </w:tr>
      <w:tr>
        <w:trPr>
          <w:cantSplit/>
        </w:trPr>
        <w:tc>
          <w:tcPr>
            <w:tcW w:w="3118" w:type="dxa"/>
          </w:tcPr>
          <w:p>
            <w:pPr>
              <w:pStyle w:val="nTable"/>
              <w:spacing w:after="40"/>
              <w:rPr>
                <w:bCs/>
                <w:i/>
                <w:iCs/>
                <w:sz w:val="19"/>
              </w:rPr>
            </w:pPr>
            <w:r>
              <w:rPr>
                <w:bCs/>
                <w:i/>
                <w:iCs/>
                <w:sz w:val="19"/>
              </w:rPr>
              <w:t>Jetties Amendment Regulations 2007</w:t>
            </w:r>
          </w:p>
        </w:tc>
        <w:tc>
          <w:tcPr>
            <w:tcW w:w="1276" w:type="dxa"/>
          </w:tcPr>
          <w:p>
            <w:pPr>
              <w:pStyle w:val="nTable"/>
              <w:spacing w:after="40"/>
              <w:rPr>
                <w:bCs/>
                <w:sz w:val="19"/>
              </w:rPr>
            </w:pPr>
            <w:r>
              <w:rPr>
                <w:bCs/>
                <w:sz w:val="19"/>
              </w:rPr>
              <w:t>22 Jun 2007 p. 2903</w:t>
            </w:r>
            <w:r>
              <w:rPr>
                <w:bCs/>
                <w:sz w:val="19"/>
              </w:rPr>
              <w:noBreakHyphen/>
              <w:t>40</w:t>
            </w:r>
          </w:p>
        </w:tc>
        <w:tc>
          <w:tcPr>
            <w:tcW w:w="2693" w:type="dxa"/>
          </w:tcPr>
          <w:p>
            <w:pPr>
              <w:pStyle w:val="nTable"/>
              <w:spacing w:after="40"/>
              <w:rPr>
                <w:bCs/>
                <w:sz w:val="19"/>
              </w:rPr>
            </w:pPr>
            <w:r>
              <w:rPr>
                <w:bCs/>
                <w:snapToGrid w:val="0"/>
                <w:sz w:val="19"/>
              </w:rPr>
              <w:t>r. 1 and 2: 22 Jun 2007 (see r. 2(a));</w:t>
            </w:r>
            <w:r>
              <w:rPr>
                <w:bCs/>
                <w:snapToGrid w:val="0"/>
                <w:sz w:val="19"/>
              </w:rPr>
              <w:br/>
              <w:t>Regulations other than r. 1 and 2: 1 Jul 2007 (see r. 2(b)(ii))</w:t>
            </w:r>
          </w:p>
        </w:tc>
      </w:tr>
      <w:tr>
        <w:trPr>
          <w:cantSplit/>
        </w:trPr>
        <w:tc>
          <w:tcPr>
            <w:tcW w:w="7087" w:type="dxa"/>
            <w:gridSpan w:val="3"/>
          </w:tcPr>
          <w:p>
            <w:pPr>
              <w:pStyle w:val="nTable"/>
              <w:spacing w:after="40"/>
              <w:rPr>
                <w:bCs/>
                <w:snapToGrid w:val="0"/>
                <w:sz w:val="19"/>
              </w:rPr>
            </w:pPr>
            <w:r>
              <w:rPr>
                <w:b/>
                <w:sz w:val="19"/>
              </w:rPr>
              <w:t xml:space="preserve">Reprint 6: The </w:t>
            </w:r>
            <w:r>
              <w:rPr>
                <w:b/>
                <w:i/>
                <w:sz w:val="19"/>
              </w:rPr>
              <w:t xml:space="preserve">Jetties Regulations 1940 </w:t>
            </w:r>
            <w:r>
              <w:rPr>
                <w:b/>
                <w:sz w:val="19"/>
              </w:rPr>
              <w:t>as at 9 Nov 2007</w:t>
            </w:r>
            <w:r>
              <w:rPr>
                <w:sz w:val="19"/>
              </w:rPr>
              <w:t xml:space="preserve"> (includes amendments listed above)</w:t>
            </w:r>
          </w:p>
        </w:tc>
      </w:tr>
      <w:tr>
        <w:trPr>
          <w:cantSplit/>
        </w:trPr>
        <w:tc>
          <w:tcPr>
            <w:tcW w:w="3118" w:type="dxa"/>
          </w:tcPr>
          <w:p>
            <w:pPr>
              <w:pStyle w:val="nTable"/>
              <w:spacing w:after="40"/>
              <w:rPr>
                <w:bCs/>
                <w:i/>
                <w:iCs/>
                <w:sz w:val="19"/>
              </w:rPr>
            </w:pPr>
            <w:r>
              <w:rPr>
                <w:bCs/>
                <w:i/>
                <w:iCs/>
                <w:sz w:val="19"/>
              </w:rPr>
              <w:t>Jetties Amendment Regulations (No. 2) 2007</w:t>
            </w:r>
          </w:p>
        </w:tc>
        <w:tc>
          <w:tcPr>
            <w:tcW w:w="1276" w:type="dxa"/>
          </w:tcPr>
          <w:p>
            <w:pPr>
              <w:pStyle w:val="nTable"/>
              <w:spacing w:after="40"/>
              <w:rPr>
                <w:bCs/>
                <w:sz w:val="19"/>
              </w:rPr>
            </w:pPr>
            <w:r>
              <w:rPr>
                <w:bCs/>
                <w:sz w:val="19"/>
              </w:rPr>
              <w:t>7 Dec 2007 p. 5983-4</w:t>
            </w:r>
          </w:p>
        </w:tc>
        <w:tc>
          <w:tcPr>
            <w:tcW w:w="2693" w:type="dxa"/>
          </w:tcPr>
          <w:p>
            <w:pPr>
              <w:pStyle w:val="nTable"/>
              <w:spacing w:after="40"/>
              <w:rPr>
                <w:bCs/>
                <w:sz w:val="19"/>
              </w:rPr>
            </w:pPr>
            <w:r>
              <w:rPr>
                <w:bCs/>
                <w:sz w:val="19"/>
              </w:rPr>
              <w:t>r. 1 and 2: 7 Dec 2007 (see r. 2(a));</w:t>
            </w:r>
            <w:r>
              <w:rPr>
                <w:bCs/>
                <w:sz w:val="19"/>
              </w:rPr>
              <w:br/>
              <w:t>Regulations other than r. 1 and 2: 8 Dec 2007 (see r. 2(b))</w:t>
            </w:r>
          </w:p>
        </w:tc>
      </w:tr>
      <w:tr>
        <w:trPr>
          <w:cantSplit/>
        </w:trPr>
        <w:tc>
          <w:tcPr>
            <w:tcW w:w="3118" w:type="dxa"/>
          </w:tcPr>
          <w:p>
            <w:pPr>
              <w:pStyle w:val="nTable"/>
              <w:spacing w:after="40"/>
              <w:rPr>
                <w:bCs/>
                <w:i/>
                <w:iCs/>
                <w:sz w:val="19"/>
              </w:rPr>
            </w:pPr>
            <w:r>
              <w:rPr>
                <w:bCs/>
                <w:i/>
                <w:iCs/>
                <w:sz w:val="19"/>
              </w:rPr>
              <w:t>Jetties Amendment Regulations 2008</w:t>
            </w:r>
          </w:p>
        </w:tc>
        <w:tc>
          <w:tcPr>
            <w:tcW w:w="1276" w:type="dxa"/>
          </w:tcPr>
          <w:p>
            <w:pPr>
              <w:pStyle w:val="nTable"/>
              <w:spacing w:after="40"/>
              <w:rPr>
                <w:bCs/>
                <w:sz w:val="19"/>
              </w:rPr>
            </w:pPr>
            <w:r>
              <w:rPr>
                <w:bCs/>
                <w:sz w:val="19"/>
              </w:rPr>
              <w:t>8 Feb 2008 p. 314-15</w:t>
            </w:r>
          </w:p>
        </w:tc>
        <w:tc>
          <w:tcPr>
            <w:tcW w:w="2693" w:type="dxa"/>
          </w:tcPr>
          <w:p>
            <w:pPr>
              <w:pStyle w:val="nTable"/>
              <w:spacing w:after="40"/>
              <w:rPr>
                <w:bCs/>
                <w:sz w:val="19"/>
              </w:rPr>
            </w:pPr>
            <w:r>
              <w:rPr>
                <w:bCs/>
                <w:sz w:val="19"/>
              </w:rPr>
              <w:t>r. 1 and 2: 8 Feb 2008 (see r. 2(a));</w:t>
            </w:r>
            <w:r>
              <w:rPr>
                <w:bCs/>
                <w:sz w:val="19"/>
              </w:rPr>
              <w:br/>
              <w:t>Regulations other than r. 1 and 2: 9 Feb 2008 (see r. 2(b))</w:t>
            </w:r>
          </w:p>
        </w:tc>
      </w:tr>
      <w:tr>
        <w:trPr>
          <w:cantSplit/>
        </w:trPr>
        <w:tc>
          <w:tcPr>
            <w:tcW w:w="3118" w:type="dxa"/>
          </w:tcPr>
          <w:p>
            <w:pPr>
              <w:pStyle w:val="nTable"/>
              <w:spacing w:after="40"/>
              <w:rPr>
                <w:bCs/>
                <w:i/>
                <w:iCs/>
                <w:sz w:val="19"/>
              </w:rPr>
            </w:pPr>
            <w:r>
              <w:rPr>
                <w:bCs/>
                <w:i/>
                <w:iCs/>
                <w:sz w:val="19"/>
              </w:rPr>
              <w:t>Jetties Amendment Regulations (No. 2) 2008</w:t>
            </w:r>
          </w:p>
        </w:tc>
        <w:tc>
          <w:tcPr>
            <w:tcW w:w="1276" w:type="dxa"/>
          </w:tcPr>
          <w:p>
            <w:pPr>
              <w:pStyle w:val="nTable"/>
              <w:spacing w:after="40"/>
              <w:rPr>
                <w:bCs/>
                <w:sz w:val="19"/>
              </w:rPr>
            </w:pPr>
            <w:r>
              <w:rPr>
                <w:bCs/>
                <w:sz w:val="19"/>
              </w:rPr>
              <w:t>1 Jul 2008 p. 3140</w:t>
            </w:r>
            <w:r>
              <w:rPr>
                <w:bCs/>
                <w:sz w:val="19"/>
              </w:rPr>
              <w:noBreakHyphen/>
              <w:t>53</w:t>
            </w:r>
          </w:p>
        </w:tc>
        <w:tc>
          <w:tcPr>
            <w:tcW w:w="2693" w:type="dxa"/>
          </w:tcPr>
          <w:p>
            <w:pPr>
              <w:pStyle w:val="nTable"/>
              <w:spacing w:after="40"/>
              <w:rPr>
                <w:bCs/>
                <w:sz w:val="19"/>
              </w:rPr>
            </w:pPr>
            <w:r>
              <w:rPr>
                <w:bCs/>
                <w:sz w:val="19"/>
              </w:rPr>
              <w:t>r. 1 and 2: 1 Jul 2008 (see r. 2(a));</w:t>
            </w:r>
            <w:r>
              <w:rPr>
                <w:bCs/>
                <w:sz w:val="19"/>
              </w:rPr>
              <w:br/>
              <w:t>Regulations other than r. 1 and 2: 1 Jul 2008 (see r. 2(b))</w:t>
            </w:r>
          </w:p>
        </w:tc>
      </w:tr>
      <w:tr>
        <w:trPr>
          <w:cantSplit/>
        </w:trPr>
        <w:tc>
          <w:tcPr>
            <w:tcW w:w="7087" w:type="dxa"/>
            <w:gridSpan w:val="3"/>
          </w:tcPr>
          <w:p>
            <w:pPr>
              <w:pStyle w:val="nTable"/>
              <w:spacing w:after="40"/>
              <w:rPr>
                <w:bCs/>
                <w:sz w:val="19"/>
              </w:rPr>
            </w:pPr>
            <w:r>
              <w:rPr>
                <w:b/>
                <w:sz w:val="19"/>
              </w:rPr>
              <w:t xml:space="preserve">Reprint 7:  The </w:t>
            </w:r>
            <w:r>
              <w:rPr>
                <w:b/>
                <w:i/>
                <w:sz w:val="19"/>
              </w:rPr>
              <w:t xml:space="preserve">Jetties Regulations 1940 </w:t>
            </w:r>
            <w:r>
              <w:rPr>
                <w:b/>
                <w:sz w:val="19"/>
              </w:rPr>
              <w:t xml:space="preserve">as at 13 Feb 2009 </w:t>
            </w:r>
            <w:r>
              <w:rPr>
                <w:bCs/>
                <w:sz w:val="19"/>
              </w:rPr>
              <w:t xml:space="preserve">(includes amendments listed above) </w:t>
            </w:r>
          </w:p>
        </w:tc>
      </w:tr>
      <w:tr>
        <w:trPr>
          <w:cantSplit/>
        </w:trPr>
        <w:tc>
          <w:tcPr>
            <w:tcW w:w="3118" w:type="dxa"/>
          </w:tcPr>
          <w:p>
            <w:pPr>
              <w:pStyle w:val="nTable"/>
              <w:spacing w:after="40"/>
              <w:rPr>
                <w:bCs/>
                <w:i/>
                <w:iCs/>
                <w:sz w:val="19"/>
              </w:rPr>
            </w:pPr>
            <w:r>
              <w:rPr>
                <w:bCs/>
                <w:i/>
                <w:iCs/>
                <w:sz w:val="19"/>
              </w:rPr>
              <w:t>Jetties Amendment Regulations 2009</w:t>
            </w:r>
          </w:p>
        </w:tc>
        <w:tc>
          <w:tcPr>
            <w:tcW w:w="1276" w:type="dxa"/>
          </w:tcPr>
          <w:p>
            <w:pPr>
              <w:pStyle w:val="nTable"/>
              <w:spacing w:after="40"/>
              <w:rPr>
                <w:bCs/>
                <w:sz w:val="19"/>
              </w:rPr>
            </w:pPr>
            <w:r>
              <w:rPr>
                <w:bCs/>
                <w:sz w:val="19"/>
              </w:rPr>
              <w:t>23 Jun 2009 p. 2490-1</w:t>
            </w:r>
          </w:p>
        </w:tc>
        <w:tc>
          <w:tcPr>
            <w:tcW w:w="2693" w:type="dxa"/>
          </w:tcPr>
          <w:p>
            <w:pPr>
              <w:pStyle w:val="nTable"/>
              <w:spacing w:after="40"/>
              <w:rPr>
                <w:bCs/>
                <w:sz w:val="19"/>
              </w:rPr>
            </w:pPr>
            <w:r>
              <w:rPr>
                <w:bCs/>
                <w:sz w:val="19"/>
              </w:rPr>
              <w:t>r. 1 and 2: 23 Jun 2009 (see r. 2(a));</w:t>
            </w:r>
            <w:r>
              <w:rPr>
                <w:bCs/>
                <w:sz w:val="19"/>
              </w:rPr>
              <w:br/>
              <w:t>Regulations other than r. 1 and 2: 24 Jun 2009 (see r. 2(b))</w:t>
            </w:r>
          </w:p>
        </w:tc>
      </w:tr>
      <w:tr>
        <w:trPr>
          <w:cantSplit/>
        </w:trPr>
        <w:tc>
          <w:tcPr>
            <w:tcW w:w="3118" w:type="dxa"/>
          </w:tcPr>
          <w:p>
            <w:pPr>
              <w:pStyle w:val="nTable"/>
              <w:spacing w:after="40"/>
              <w:rPr>
                <w:bCs/>
                <w:i/>
                <w:iCs/>
                <w:sz w:val="19"/>
              </w:rPr>
            </w:pPr>
            <w:r>
              <w:rPr>
                <w:bCs/>
                <w:i/>
                <w:iCs/>
                <w:sz w:val="19"/>
              </w:rPr>
              <w:t>Jetties Amendment Regulations (No. 2) 2009</w:t>
            </w:r>
          </w:p>
        </w:tc>
        <w:tc>
          <w:tcPr>
            <w:tcW w:w="1276" w:type="dxa"/>
          </w:tcPr>
          <w:p>
            <w:pPr>
              <w:pStyle w:val="nTable"/>
              <w:spacing w:after="40"/>
              <w:rPr>
                <w:bCs/>
                <w:sz w:val="19"/>
              </w:rPr>
            </w:pPr>
            <w:r>
              <w:rPr>
                <w:bCs/>
                <w:sz w:val="19"/>
              </w:rPr>
              <w:t>31 Jul 2009 p. 3071-97</w:t>
            </w:r>
          </w:p>
        </w:tc>
        <w:tc>
          <w:tcPr>
            <w:tcW w:w="2693" w:type="dxa"/>
          </w:tcPr>
          <w:p>
            <w:pPr>
              <w:pStyle w:val="nTable"/>
              <w:spacing w:after="40"/>
              <w:rPr>
                <w:bCs/>
                <w:sz w:val="19"/>
              </w:rPr>
            </w:pPr>
            <w:r>
              <w:rPr>
                <w:bCs/>
                <w:sz w:val="19"/>
              </w:rPr>
              <w:t>r. 1 and 2: 31 Jul 2009 (see r. 2(a));</w:t>
            </w:r>
            <w:r>
              <w:rPr>
                <w:bCs/>
                <w:sz w:val="19"/>
              </w:rPr>
              <w:br/>
              <w:t>Regulations other than r. 1 and 2: 1 Aug 2009 (see r. 2(b))</w:t>
            </w:r>
          </w:p>
        </w:tc>
      </w:tr>
      <w:tr>
        <w:trPr>
          <w:cantSplit/>
        </w:trPr>
        <w:tc>
          <w:tcPr>
            <w:tcW w:w="3118" w:type="dxa"/>
          </w:tcPr>
          <w:p>
            <w:pPr>
              <w:pStyle w:val="nTable"/>
              <w:spacing w:after="40"/>
              <w:rPr>
                <w:bCs/>
                <w:i/>
                <w:iCs/>
                <w:sz w:val="19"/>
              </w:rPr>
            </w:pPr>
            <w:r>
              <w:rPr>
                <w:bCs/>
                <w:i/>
                <w:iCs/>
                <w:sz w:val="19"/>
              </w:rPr>
              <w:t>Jetties Amendment Regulations 2010</w:t>
            </w:r>
          </w:p>
        </w:tc>
        <w:tc>
          <w:tcPr>
            <w:tcW w:w="1276" w:type="dxa"/>
          </w:tcPr>
          <w:p>
            <w:pPr>
              <w:pStyle w:val="nTable"/>
              <w:spacing w:after="40"/>
              <w:rPr>
                <w:bCs/>
                <w:sz w:val="19"/>
              </w:rPr>
            </w:pPr>
            <w:r>
              <w:rPr>
                <w:bCs/>
                <w:sz w:val="19"/>
              </w:rPr>
              <w:t>16 Jul 2010 p. 3309-54</w:t>
            </w:r>
          </w:p>
        </w:tc>
        <w:tc>
          <w:tcPr>
            <w:tcW w:w="2693" w:type="dxa"/>
          </w:tcPr>
          <w:p>
            <w:pPr>
              <w:pStyle w:val="nTable"/>
              <w:spacing w:after="40"/>
              <w:rPr>
                <w:bCs/>
                <w:sz w:val="19"/>
              </w:rPr>
            </w:pPr>
            <w:r>
              <w:rPr>
                <w:bCs/>
                <w:sz w:val="19"/>
              </w:rPr>
              <w:t>r. 1 and 2: 16 Jul 2010 (see r. 2(a));</w:t>
            </w:r>
            <w:r>
              <w:rPr>
                <w:bCs/>
                <w:sz w:val="19"/>
              </w:rPr>
              <w:br/>
              <w:t>Regulations other than r. 1 and 2: 17 Jul 2010 (see r. 2(b))</w:t>
            </w:r>
          </w:p>
        </w:tc>
      </w:tr>
      <w:tr>
        <w:trPr>
          <w:cantSplit/>
        </w:trPr>
        <w:tc>
          <w:tcPr>
            <w:tcW w:w="3118" w:type="dxa"/>
          </w:tcPr>
          <w:p>
            <w:pPr>
              <w:pStyle w:val="nTable"/>
              <w:spacing w:after="40"/>
              <w:rPr>
                <w:bCs/>
                <w:i/>
                <w:iCs/>
                <w:sz w:val="19"/>
              </w:rPr>
            </w:pPr>
            <w:r>
              <w:rPr>
                <w:bCs/>
                <w:i/>
                <w:iCs/>
                <w:sz w:val="19"/>
              </w:rPr>
              <w:t>Jetties Amendment Regulations 2011</w:t>
            </w:r>
          </w:p>
        </w:tc>
        <w:tc>
          <w:tcPr>
            <w:tcW w:w="1276" w:type="dxa"/>
          </w:tcPr>
          <w:p>
            <w:pPr>
              <w:pStyle w:val="nTable"/>
              <w:spacing w:after="40"/>
              <w:rPr>
                <w:rFonts w:ascii="Arial" w:hAnsi="Arial"/>
                <w:b/>
                <w:bCs/>
                <w:sz w:val="19"/>
              </w:rPr>
            </w:pPr>
            <w:r>
              <w:rPr>
                <w:bCs/>
                <w:sz w:val="19"/>
              </w:rPr>
              <w:t>21 Jun 2011 p. 2265</w:t>
            </w:r>
            <w:r>
              <w:rPr>
                <w:bCs/>
                <w:sz w:val="19"/>
              </w:rPr>
              <w:noBreakHyphen/>
              <w:t>303</w:t>
            </w:r>
          </w:p>
        </w:tc>
        <w:tc>
          <w:tcPr>
            <w:tcW w:w="2693" w:type="dxa"/>
          </w:tcPr>
          <w:p>
            <w:pPr>
              <w:pStyle w:val="nTable"/>
              <w:spacing w:after="40"/>
              <w:rPr>
                <w:bCs/>
                <w:sz w:val="19"/>
              </w:rPr>
            </w:pPr>
            <w:r>
              <w:rPr>
                <w:bCs/>
                <w:sz w:val="19"/>
              </w:rPr>
              <w:t>r. 1 and 2: 21 Jun 2011 (see r. 2(a));</w:t>
            </w:r>
            <w:r>
              <w:rPr>
                <w:bCs/>
                <w:sz w:val="19"/>
              </w:rPr>
              <w:br/>
              <w:t>Regulations other than r. 1 and 2: 1 Jul 2011 (see r. 2(b))</w:t>
            </w:r>
          </w:p>
        </w:tc>
      </w:tr>
      <w:tr>
        <w:trPr>
          <w:cantSplit/>
        </w:trPr>
        <w:tc>
          <w:tcPr>
            <w:tcW w:w="3118" w:type="dxa"/>
          </w:tcPr>
          <w:p>
            <w:pPr>
              <w:pStyle w:val="nTable"/>
              <w:spacing w:after="40"/>
              <w:rPr>
                <w:bCs/>
                <w:i/>
                <w:iCs/>
                <w:sz w:val="19"/>
              </w:rPr>
            </w:pPr>
            <w:r>
              <w:rPr>
                <w:bCs/>
                <w:i/>
                <w:iCs/>
                <w:sz w:val="19"/>
              </w:rPr>
              <w:t>Jetties Amendment Regulations 2012</w:t>
            </w:r>
          </w:p>
        </w:tc>
        <w:tc>
          <w:tcPr>
            <w:tcW w:w="1276" w:type="dxa"/>
          </w:tcPr>
          <w:p>
            <w:pPr>
              <w:pStyle w:val="nTable"/>
              <w:spacing w:after="40"/>
              <w:rPr>
                <w:bCs/>
                <w:sz w:val="19"/>
              </w:rPr>
            </w:pPr>
            <w:r>
              <w:rPr>
                <w:bCs/>
                <w:sz w:val="19"/>
              </w:rPr>
              <w:t>13 Jul 2012 p. 3173</w:t>
            </w:r>
            <w:r>
              <w:rPr>
                <w:bCs/>
                <w:sz w:val="19"/>
              </w:rPr>
              <w:noBreakHyphen/>
              <w:t>214</w:t>
            </w:r>
          </w:p>
        </w:tc>
        <w:tc>
          <w:tcPr>
            <w:tcW w:w="2693" w:type="dxa"/>
          </w:tcPr>
          <w:p>
            <w:pPr>
              <w:pStyle w:val="nTable"/>
              <w:spacing w:after="40"/>
              <w:rPr>
                <w:bCs/>
                <w:sz w:val="19"/>
              </w:rPr>
            </w:pPr>
            <w:r>
              <w:rPr>
                <w:bCs/>
                <w:sz w:val="19"/>
              </w:rPr>
              <w:t>r. 1 and 2: 13 Jul 2012 (see r. 2(a));</w:t>
            </w:r>
            <w:r>
              <w:rPr>
                <w:bCs/>
                <w:sz w:val="19"/>
              </w:rPr>
              <w:br/>
              <w:t>Regulations other than r. 1 and 2: 14 Jul 2012 (see r. 2(b))</w:t>
            </w:r>
          </w:p>
        </w:tc>
      </w:tr>
      <w:tr>
        <w:trPr>
          <w:cantSplit/>
        </w:trPr>
        <w:tc>
          <w:tcPr>
            <w:tcW w:w="3118" w:type="dxa"/>
          </w:tcPr>
          <w:p>
            <w:pPr>
              <w:pStyle w:val="nTable"/>
              <w:spacing w:after="40"/>
              <w:rPr>
                <w:bCs/>
                <w:i/>
                <w:iCs/>
                <w:sz w:val="19"/>
              </w:rPr>
            </w:pPr>
            <w:r>
              <w:rPr>
                <w:bCs/>
                <w:i/>
                <w:iCs/>
                <w:sz w:val="19"/>
              </w:rPr>
              <w:t>Jetties Amendment Regulations (No. 2) 2012</w:t>
            </w:r>
          </w:p>
        </w:tc>
        <w:tc>
          <w:tcPr>
            <w:tcW w:w="1276" w:type="dxa"/>
          </w:tcPr>
          <w:p>
            <w:pPr>
              <w:pStyle w:val="nTable"/>
              <w:spacing w:after="40"/>
              <w:rPr>
                <w:bCs/>
                <w:sz w:val="19"/>
              </w:rPr>
            </w:pPr>
            <w:r>
              <w:rPr>
                <w:bCs/>
                <w:sz w:val="19"/>
              </w:rPr>
              <w:t>23 Oct 2012 p. 5057</w:t>
            </w:r>
          </w:p>
        </w:tc>
        <w:tc>
          <w:tcPr>
            <w:tcW w:w="2693" w:type="dxa"/>
          </w:tcPr>
          <w:p>
            <w:pPr>
              <w:pStyle w:val="nTable"/>
              <w:spacing w:after="40"/>
              <w:rPr>
                <w:bCs/>
                <w:sz w:val="19"/>
              </w:rPr>
            </w:pPr>
            <w:r>
              <w:rPr>
                <w:bCs/>
                <w:snapToGrid w:val="0"/>
                <w:sz w:val="19"/>
              </w:rPr>
              <w:t>r. 1 and 2: 23 Oct 2012 (see r. 2(a));</w:t>
            </w:r>
            <w:r>
              <w:rPr>
                <w:bCs/>
                <w:snapToGrid w:val="0"/>
                <w:sz w:val="19"/>
              </w:rPr>
              <w:br/>
              <w:t>Regulations other than r. 1 and 2: 24 Oct 2012 (see r. 2(b))</w:t>
            </w:r>
          </w:p>
        </w:tc>
      </w:tr>
      <w:tr>
        <w:trPr>
          <w:cantSplit/>
        </w:trPr>
        <w:tc>
          <w:tcPr>
            <w:tcW w:w="3118" w:type="dxa"/>
          </w:tcPr>
          <w:p>
            <w:pPr>
              <w:pStyle w:val="nTable"/>
              <w:spacing w:after="40"/>
              <w:rPr>
                <w:bCs/>
                <w:i/>
                <w:iCs/>
                <w:sz w:val="19"/>
              </w:rPr>
            </w:pPr>
            <w:r>
              <w:rPr>
                <w:bCs/>
                <w:i/>
                <w:iCs/>
                <w:sz w:val="19"/>
              </w:rPr>
              <w:t>Jetties Amendment Regulations 2013</w:t>
            </w:r>
          </w:p>
        </w:tc>
        <w:tc>
          <w:tcPr>
            <w:tcW w:w="1276" w:type="dxa"/>
          </w:tcPr>
          <w:p>
            <w:pPr>
              <w:pStyle w:val="nTable"/>
              <w:spacing w:after="40"/>
              <w:rPr>
                <w:bCs/>
                <w:sz w:val="19"/>
              </w:rPr>
            </w:pPr>
            <w:r>
              <w:rPr>
                <w:bCs/>
                <w:sz w:val="19"/>
              </w:rPr>
              <w:t>7 May 2013 p. 1918-23</w:t>
            </w:r>
          </w:p>
        </w:tc>
        <w:tc>
          <w:tcPr>
            <w:tcW w:w="2693" w:type="dxa"/>
          </w:tcPr>
          <w:p>
            <w:pPr>
              <w:pStyle w:val="nTable"/>
              <w:spacing w:after="40"/>
              <w:rPr>
                <w:rFonts w:ascii="Arial" w:hAnsi="Arial"/>
                <w:b/>
                <w:bCs/>
                <w:snapToGrid w:val="0"/>
                <w:sz w:val="19"/>
              </w:rPr>
            </w:pPr>
            <w:r>
              <w:rPr>
                <w:bCs/>
                <w:snapToGrid w:val="0"/>
                <w:sz w:val="19"/>
              </w:rPr>
              <w:t>r. 1 and 2: 7 May 2013 (see r. 2(a));</w:t>
            </w:r>
            <w:r>
              <w:rPr>
                <w:bCs/>
                <w:snapToGrid w:val="0"/>
                <w:sz w:val="19"/>
              </w:rPr>
              <w:br/>
              <w:t>Regulations other than r. 1 and 2: 8 May 2013 (see r. 2(b))</w:t>
            </w:r>
          </w:p>
        </w:tc>
      </w:tr>
      <w:tr>
        <w:trPr>
          <w:cantSplit/>
        </w:trPr>
        <w:tc>
          <w:tcPr>
            <w:tcW w:w="3118" w:type="dxa"/>
          </w:tcPr>
          <w:p>
            <w:pPr>
              <w:pStyle w:val="nTable"/>
              <w:spacing w:after="40"/>
              <w:rPr>
                <w:bCs/>
                <w:i/>
                <w:iCs/>
                <w:sz w:val="19"/>
              </w:rPr>
            </w:pPr>
            <w:r>
              <w:rPr>
                <w:bCs/>
                <w:i/>
                <w:iCs/>
                <w:sz w:val="19"/>
              </w:rPr>
              <w:t>Jetties Amendment Regulations (No. 2) 2013</w:t>
            </w:r>
          </w:p>
        </w:tc>
        <w:tc>
          <w:tcPr>
            <w:tcW w:w="1276" w:type="dxa"/>
          </w:tcPr>
          <w:p>
            <w:pPr>
              <w:pStyle w:val="nTable"/>
              <w:spacing w:after="40"/>
              <w:rPr>
                <w:rFonts w:ascii="Arial" w:hAnsi="Arial"/>
                <w:bCs/>
                <w:sz w:val="19"/>
              </w:rPr>
            </w:pPr>
            <w:r>
              <w:rPr>
                <w:bCs/>
                <w:sz w:val="19"/>
              </w:rPr>
              <w:t>28 Jun 2013 p. 2831</w:t>
            </w:r>
            <w:r>
              <w:rPr>
                <w:bCs/>
                <w:sz w:val="19"/>
              </w:rPr>
              <w:noBreakHyphen/>
              <w:t>85</w:t>
            </w:r>
          </w:p>
        </w:tc>
        <w:tc>
          <w:tcPr>
            <w:tcW w:w="2693" w:type="dxa"/>
          </w:tcPr>
          <w:p>
            <w:pPr>
              <w:pStyle w:val="nTable"/>
              <w:spacing w:after="40"/>
              <w:rPr>
                <w:rFonts w:ascii="Arial" w:hAnsi="Arial"/>
                <w:bCs/>
                <w:snapToGrid w:val="0"/>
                <w:sz w:val="19"/>
              </w:rPr>
            </w:pPr>
            <w:r>
              <w:rPr>
                <w:bCs/>
                <w:snapToGrid w:val="0"/>
                <w:sz w:val="19"/>
              </w:rPr>
              <w:t>r. 1 and 2: 28 Jun 2013 (see r. 2(a));</w:t>
            </w:r>
            <w:r>
              <w:rPr>
                <w:bCs/>
                <w:snapToGrid w:val="0"/>
                <w:sz w:val="19"/>
              </w:rPr>
              <w:br/>
              <w:t>Regulations other than r. 1 and 2: 1 Jul 2013 (see r. 2(b))</w:t>
            </w:r>
          </w:p>
        </w:tc>
      </w:tr>
      <w:tr>
        <w:trPr>
          <w:cantSplit/>
        </w:trPr>
        <w:tc>
          <w:tcPr>
            <w:tcW w:w="7087" w:type="dxa"/>
            <w:gridSpan w:val="3"/>
            <w:tcBorders>
              <w:bottom w:val="single" w:sz="8" w:space="0" w:color="auto"/>
            </w:tcBorders>
            <w:shd w:val="clear" w:color="auto" w:fill="auto"/>
          </w:tcPr>
          <w:p>
            <w:pPr>
              <w:pStyle w:val="nTable"/>
              <w:spacing w:after="40"/>
              <w:rPr>
                <w:rFonts w:ascii="Arial" w:hAnsi="Arial"/>
                <w:b/>
                <w:bCs/>
                <w:snapToGrid w:val="0"/>
                <w:sz w:val="19"/>
              </w:rPr>
            </w:pPr>
            <w:r>
              <w:rPr>
                <w:b/>
                <w:sz w:val="19"/>
              </w:rPr>
              <w:t xml:space="preserve">Reprint 8:  The </w:t>
            </w:r>
            <w:r>
              <w:rPr>
                <w:b/>
                <w:i/>
                <w:sz w:val="19"/>
              </w:rPr>
              <w:t xml:space="preserve">Jetties Regulations 1940 </w:t>
            </w:r>
            <w:r>
              <w:rPr>
                <w:b/>
                <w:sz w:val="19"/>
              </w:rPr>
              <w:t xml:space="preserve">as at 11 Oct 2013 </w:t>
            </w:r>
            <w:r>
              <w:rPr>
                <w:bCs/>
                <w:sz w:val="19"/>
              </w:rPr>
              <w:t>(includes amendments listed above)</w:t>
            </w:r>
          </w:p>
        </w:tc>
      </w:tr>
    </w:tbl>
    <w:p>
      <w:pPr>
        <w:pStyle w:val="nSubsection"/>
        <w:spacing w:before="160"/>
      </w:pPr>
      <w:r>
        <w:rPr>
          <w:vertAlign w:val="superscript"/>
        </w:rPr>
        <w:t>2</w:t>
      </w:r>
      <w:r>
        <w:rPr>
          <w:vertAlign w:val="superscript"/>
        </w:rPr>
        <w:tab/>
      </w:r>
      <w:r>
        <w:t xml:space="preserve">The </w:t>
      </w:r>
      <w:r>
        <w:rPr>
          <w:i/>
        </w:rPr>
        <w:t>Consumer Credit (Western Australia) Code</w:t>
      </w:r>
      <w:r>
        <w:t xml:space="preserve"> was repealed by the </w:t>
      </w:r>
      <w:r>
        <w:rPr>
          <w:i/>
        </w:rPr>
        <w:t>Credit (Commonwealth Powers) (Transitional and Consequential Provisions) Act 2010</w:t>
      </w:r>
      <w:r>
        <w:t xml:space="preserve"> Pt. 3 Div. 1.</w:t>
      </w:r>
    </w:p>
    <w:p>
      <w:pPr>
        <w:pStyle w:val="nSubsection"/>
      </w:pPr>
      <w:r>
        <w:rPr>
          <w:vertAlign w:val="superscript"/>
        </w:rPr>
        <w:t>3</w:t>
      </w:r>
      <w:r>
        <w:tab/>
        <w:t xml:space="preserve">The Standards Association of </w:t>
      </w:r>
      <w:smartTag w:uri="urn:schemas-microsoft-com:office:smarttags" w:element="place">
        <w:smartTag w:uri="urn:schemas-microsoft-com:office:smarttags" w:element="country-region">
          <w:r>
            <w:t>Australia</w:t>
          </w:r>
        </w:smartTag>
      </w:smartTag>
      <w:r>
        <w:t xml:space="preserve"> has changed its corporate status and its name.  It is now Standards Australia International Limited (ACN 087 326 690). It also trades as Standards Australia.</w:t>
      </w:r>
    </w:p>
    <w:p>
      <w:pPr>
        <w:pStyle w:val="nSubsection"/>
      </w:pPr>
      <w:r>
        <w:rPr>
          <w:vertAlign w:val="superscript"/>
        </w:rPr>
        <w:t>4</w:t>
      </w:r>
      <w:r>
        <w:tab/>
        <w:t xml:space="preserve">Under the </w:t>
      </w:r>
      <w:r>
        <w:rPr>
          <w:i/>
          <w:iCs/>
        </w:rPr>
        <w:t>Alteration of Statutory Designations Order (No. 2) 1997</w:t>
      </w:r>
      <w:r>
        <w:t xml:space="preserve"> a reference in any law to the department in the Public Service designated as “Police Department” is to be read and construed as a reference to the department designated as  “Police Service”.</w:t>
      </w:r>
    </w:p>
    <w:p>
      <w:pPr>
        <w:pStyle w:val="nSubsection"/>
        <w:keepNext/>
        <w:keepLines/>
      </w:pPr>
      <w:r>
        <w:rPr>
          <w:vertAlign w:val="superscript"/>
        </w:rPr>
        <w:t>5</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rPr>
          <w:snapToGrid w:val="0"/>
        </w:rPr>
      </w:pPr>
      <w:r>
        <w:rPr>
          <w:snapToGrid w:val="0"/>
          <w:vertAlign w:val="superscript"/>
        </w:rPr>
        <w:t>6</w:t>
      </w:r>
      <w:r>
        <w:rPr>
          <w:snapToGrid w:val="0"/>
        </w:rPr>
        <w:tab/>
        <w:t xml:space="preserve">Repealed by the </w:t>
      </w:r>
      <w:r>
        <w:rPr>
          <w:i/>
          <w:snapToGrid w:val="0"/>
        </w:rPr>
        <w:t>Explosives and Dangerous Goods Act 1961</w:t>
      </w:r>
      <w:r>
        <w:rPr>
          <w:snapToGrid w:val="0"/>
        </w:rPr>
        <w:t xml:space="preserve">, which was repealed by the </w:t>
      </w:r>
      <w:r>
        <w:rPr>
          <w:i/>
        </w:rPr>
        <w:t>Dangerous Goods Safety Act 2004.</w:t>
      </w:r>
    </w:p>
    <w:p>
      <w:pPr>
        <w:pStyle w:val="nSubsection"/>
        <w:rPr>
          <w:i/>
        </w:rPr>
      </w:pPr>
      <w:r>
        <w:rPr>
          <w:iCs/>
          <w:vertAlign w:val="superscript"/>
        </w:rPr>
        <w:t>7</w:t>
      </w:r>
      <w:r>
        <w:rPr>
          <w:iCs/>
        </w:rPr>
        <w:tab/>
        <w:t xml:space="preserve">Under the </w:t>
      </w:r>
      <w:r>
        <w:rPr>
          <w:i/>
        </w:rPr>
        <w:t>Marine and Harbours Act 1981</w:t>
      </w:r>
      <w:r>
        <w:rPr>
          <w:iCs/>
        </w:rPr>
        <w:t xml:space="preserve"> s. 20 a reference in a written law to the former Department of Marine and Harbours is, unless the contrary intention appears, to be read and construed as a reference to the department principally assisting the Minister in the administration of that Act.  As at the date this reprint was prepared the department principally assisting the Minister in the administration of the </w:t>
      </w:r>
      <w:r>
        <w:rPr>
          <w:i/>
        </w:rPr>
        <w:t>Marine and Harbours Act 1981</w:t>
      </w:r>
      <w:r>
        <w:rPr>
          <w:iCs/>
        </w:rPr>
        <w:t xml:space="preserve"> is the Department of Transport.</w:t>
      </w:r>
    </w:p>
    <w:p>
      <w:pPr>
        <w:pStyle w:val="nSubsection"/>
        <w:rPr>
          <w:snapToGrid w:val="0"/>
        </w:rPr>
      </w:pPr>
      <w:r>
        <w:rPr>
          <w:snapToGrid w:val="0"/>
          <w:vertAlign w:val="superscript"/>
        </w:rPr>
        <w:t>8</w:t>
      </w:r>
      <w:r>
        <w:rPr>
          <w:snapToGrid w:val="0"/>
        </w:rPr>
        <w:tab/>
        <w:t xml:space="preserve">Formerly referred to the </w:t>
      </w:r>
      <w:r>
        <w:rPr>
          <w:i/>
          <w:snapToGrid w:val="0"/>
        </w:rPr>
        <w:t>Jetties Act Regulations 1940</w:t>
      </w:r>
      <w:r>
        <w:rPr>
          <w:snapToGrid w:val="0"/>
        </w:rPr>
        <w:t xml:space="preserve"> the citation of which was changed to the </w:t>
      </w:r>
      <w:r>
        <w:rPr>
          <w:i/>
        </w:rPr>
        <w:t>Jetties Regulations 1940</w:t>
      </w:r>
      <w:r>
        <w:t xml:space="preserve"> </w:t>
      </w:r>
      <w:r>
        <w:rPr>
          <w:snapToGrid w:val="0"/>
        </w:rPr>
        <w:t xml:space="preserve">by the </w:t>
      </w:r>
      <w:r>
        <w:rPr>
          <w:i/>
          <w:snapToGrid w:val="0"/>
        </w:rPr>
        <w:t>Jetties Amendment Regulations (No. 3) 2004</w:t>
      </w:r>
      <w:r>
        <w:rPr>
          <w:snapToGrid w:val="0"/>
        </w:rPr>
        <w:t xml:space="preserve"> r. 3.  Reference changed under the </w:t>
      </w:r>
      <w:r>
        <w:rPr>
          <w:i/>
          <w:snapToGrid w:val="0"/>
        </w:rPr>
        <w:t>Reprints Act 1984</w:t>
      </w:r>
      <w:r>
        <w:rPr>
          <w:snapToGrid w:val="0"/>
        </w:rPr>
        <w:t xml:space="preserve"> s. 7(3)(gb).</w:t>
      </w:r>
    </w:p>
    <w:p>
      <w:pPr>
        <w:pStyle w:val="nSubsection"/>
      </w:pPr>
      <w:r>
        <w:rPr>
          <w:vertAlign w:val="superscript"/>
        </w:rPr>
        <w:t>9</w:t>
      </w:r>
      <w:r>
        <w:tab/>
        <w:t xml:space="preserve">Now known as the </w:t>
      </w:r>
      <w:r>
        <w:rPr>
          <w:i/>
        </w:rPr>
        <w:t>Jetties Regulations 1940</w:t>
      </w:r>
      <w:r>
        <w:t>; citation changed (see note under r. 1).</w:t>
      </w:r>
    </w:p>
    <w:p>
      <w:pPr>
        <w:pStyle w:val="nSubsection"/>
        <w:tabs>
          <w:tab w:val="left" w:pos="720"/>
          <w:tab w:val="left" w:pos="1440"/>
          <w:tab w:val="left" w:pos="2160"/>
          <w:tab w:val="left" w:pos="2880"/>
          <w:tab w:val="left" w:pos="3600"/>
          <w:tab w:val="left" w:pos="4211"/>
        </w:tabs>
      </w:pPr>
      <w:r>
        <w:rPr>
          <w:vertAlign w:val="superscript"/>
        </w:rPr>
        <w:t>10</w:t>
      </w:r>
      <w:r>
        <w:tab/>
      </w:r>
      <w:r>
        <w:rPr>
          <w:snapToGrid w:val="0"/>
        </w:rPr>
        <w:t>Regulation</w:t>
      </w:r>
      <w:r>
        <w:t> 10 disallowed on 19 Oct 1940.</w:t>
      </w:r>
    </w:p>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pPr>
        <w:pStyle w:val="nHeading2"/>
        <w:rPr>
          <w:sz w:val="28"/>
        </w:rPr>
      </w:pPr>
      <w:bookmarkStart w:id="183" w:name="_Toc375231198"/>
      <w:r>
        <w:rPr>
          <w:sz w:val="28"/>
        </w:rPr>
        <w:t>Defined terms</w:t>
      </w:r>
      <w:bookmarkEnd w:id="18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84" w:name="DefinedTerms"/>
      <w:bookmarkEnd w:id="184"/>
      <w:r>
        <w:t>commercial vessel</w:t>
      </w:r>
      <w:r>
        <w:tab/>
        <w:t>3(1)</w:t>
      </w:r>
    </w:p>
    <w:p>
      <w:pPr>
        <w:pStyle w:val="DefinedTerms"/>
      </w:pPr>
      <w:r>
        <w:t>day</w:t>
      </w:r>
      <w:r>
        <w:tab/>
        <w:t>3(2)</w:t>
      </w:r>
    </w:p>
    <w:p>
      <w:pPr>
        <w:pStyle w:val="DefinedTerms"/>
      </w:pPr>
      <w:r>
        <w:t>Department</w:t>
      </w:r>
      <w:r>
        <w:tab/>
        <w:t>3(1)</w:t>
      </w:r>
    </w:p>
    <w:p>
      <w:pPr>
        <w:pStyle w:val="DefinedTerms"/>
      </w:pPr>
      <w:r>
        <w:t>E Class operator</w:t>
      </w:r>
      <w:r>
        <w:tab/>
        <w:t>Sch. 1 cl. 8(2)</w:t>
      </w:r>
    </w:p>
    <w:p>
      <w:pPr>
        <w:pStyle w:val="DefinedTerms"/>
      </w:pPr>
      <w:r>
        <w:t>fishing vessel</w:t>
      </w:r>
      <w:r>
        <w:tab/>
        <w:t>3(1)</w:t>
      </w:r>
    </w:p>
    <w:p>
      <w:pPr>
        <w:pStyle w:val="DefinedTerms"/>
      </w:pPr>
      <w:r>
        <w:t>jetty</w:t>
      </w:r>
      <w:r>
        <w:tab/>
        <w:t>3(1)</w:t>
      </w:r>
    </w:p>
    <w:p>
      <w:pPr>
        <w:pStyle w:val="DefinedTerms"/>
      </w:pPr>
      <w:r>
        <w:t>master</w:t>
      </w:r>
      <w:r>
        <w:tab/>
        <w:t>3(1)</w:t>
      </w:r>
    </w:p>
    <w:p>
      <w:pPr>
        <w:pStyle w:val="DefinedTerms"/>
      </w:pPr>
      <w:r>
        <w:t>officer</w:t>
      </w:r>
      <w:r>
        <w:tab/>
        <w:t>3(1)</w:t>
      </w:r>
    </w:p>
    <w:p>
      <w:pPr>
        <w:pStyle w:val="DefinedTerms"/>
      </w:pPr>
      <w:r>
        <w:t>owner</w:t>
      </w:r>
      <w:r>
        <w:tab/>
        <w:t>3(1)</w:t>
      </w:r>
    </w:p>
    <w:p>
      <w:pPr>
        <w:pStyle w:val="DefinedTerms"/>
      </w:pPr>
      <w:r>
        <w:t>premises</w:t>
      </w:r>
      <w:r>
        <w:tab/>
        <w:t>3(1)</w:t>
      </w:r>
    </w:p>
    <w:p>
      <w:pPr>
        <w:pStyle w:val="DefinedTerms"/>
      </w:pPr>
      <w:r>
        <w:t>public jetty</w:t>
      </w:r>
      <w:r>
        <w:tab/>
        <w:t>3(1)</w:t>
      </w:r>
    </w:p>
    <w:p>
      <w:pPr>
        <w:pStyle w:val="DefinedTerms"/>
      </w:pPr>
      <w:r>
        <w:t>recreational vessel</w:t>
      </w:r>
      <w:r>
        <w:tab/>
        <w:t>3(1)</w:t>
      </w:r>
    </w:p>
    <w:p>
      <w:pPr>
        <w:pStyle w:val="DefinedTerms"/>
      </w:pPr>
      <w:r>
        <w:t>service vessel</w:t>
      </w:r>
      <w:r>
        <w:tab/>
        <w:t>Sch. 1 cl. 10(2), 19(2) and 20(2)</w:t>
      </w:r>
    </w:p>
    <w:p>
      <w:pPr>
        <w:pStyle w:val="DefinedTerms"/>
      </w:pPr>
      <w:r>
        <w:t>T Class operator</w:t>
      </w:r>
      <w:r>
        <w:tab/>
        <w:t>Sch. 1 cl. 8(2)</w:t>
      </w:r>
    </w:p>
    <w:p>
      <w:pPr>
        <w:pStyle w:val="DefinedTerms"/>
      </w:pPr>
      <w:r>
        <w:t>tourism vessel</w:t>
      </w:r>
      <w:r>
        <w:tab/>
        <w:t>3(1)</w:t>
      </w:r>
    </w:p>
    <w:p>
      <w:pPr>
        <w:pStyle w:val="DefinedTerms"/>
      </w:pPr>
      <w:r>
        <w:t>vessel</w:t>
      </w:r>
      <w:r>
        <w:tab/>
        <w:t>3(1)</w:t>
      </w:r>
    </w:p>
    <w:p>
      <w:pPr>
        <w:pStyle w:val="DefinedTerms"/>
      </w:pPr>
      <w:r>
        <w:t>week</w:t>
      </w:r>
      <w:r>
        <w:tab/>
        <w:t>3(2)</w:t>
      </w:r>
    </w:p>
    <w:p/>
    <w:p/>
    <w:p/>
    <w:p/>
    <w:p/>
    <w:p/>
    <w:p/>
    <w:p/>
    <w:p/>
    <w:p/>
    <w:p/>
    <w:p/>
    <w:p/>
    <w:p/>
    <w:p/>
    <w:p/>
    <w:p/>
    <w:p/>
    <w:p>
      <w:pPr>
        <w:sectPr>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p>
    <w:p/>
    <w:sectPr>
      <w:headerReference w:type="even" r:id="rId39"/>
      <w:headerReference w:type="default" r:id="rId40"/>
      <w:headerReference w:type="first" r:id="rId4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08-a0-01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Oct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Oct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08-a0-01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Oct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08-a0-01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08-a0-01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Oct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Oct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08-a0-01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Oct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08-a0-01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08-a0-01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Oct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Oct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08-a0-01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115</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Oct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08-a0-01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Jetties Regulations 1940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Jetties Regulations 1940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Jetties Regulations 1940</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Jetties Regulations 1940</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Jetties Regulations 1940</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rPr>
              <w:noProof/>
            </w:rPr>
            <w:instrText>Schedule 1</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Specified places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Jetties Regulations 1940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rPr>
              <w:noProof/>
            </w:rPr>
            <w:instrText>Schedule 1</w:instrText>
          </w:r>
          <w:r>
            <w:fldChar w:fldCharType="end"/>
          </w:r>
        </w:p>
      </w:tc>
    </w:tr>
    <w:tr>
      <w:tc>
        <w:tcPr>
          <w:tcW w:w="5715" w:type="dxa"/>
        </w:tcPr>
        <w:p>
          <w:pPr>
            <w:pStyle w:val="HeaderTextRight"/>
          </w:pPr>
          <w:fldSimple w:instr=" styleref CharSDivText ">
            <w:r>
              <w:rPr>
                <w:noProof/>
              </w:rPr>
              <w:t>Specified places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rPr>
              <w:bCs/>
            </w:rPr>
          </w:pPr>
          <w:r>
            <w:rPr>
              <w:bCs/>
            </w:rPr>
            <w:t xml:space="preserve">cl. </w:t>
          </w:r>
          <w:r>
            <w:rPr>
              <w:bCs/>
            </w:rPr>
            <w:fldChar w:fldCharType="begin"/>
          </w:r>
          <w:r>
            <w:rPr>
              <w:bCs/>
            </w:rPr>
            <w:instrText xml:space="preserve"> IF </w:instrText>
          </w:r>
          <w:r>
            <w:rPr>
              <w:bCs/>
            </w:rPr>
            <w:fldChar w:fldCharType="begin"/>
          </w:r>
          <w:r>
            <w:rPr>
              <w:bCs/>
            </w:rPr>
            <w:instrText xml:space="preserve"> STYLEREF CharSClsNo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CharSClsNo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CharSClsNo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Jetties Regulations 1940</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c>
        <w:tcPr>
          <w:tcW w:w="5715" w:type="dxa"/>
        </w:tcPr>
        <w:p>
          <w:pPr>
            <w:pStyle w:val="HeaderTextLeft"/>
          </w:pPr>
          <w:fldSimple w:instr=" styleref CharSchText ">
            <w:r>
              <w:rPr>
                <w:noProof/>
              </w:rPr>
              <w:t>Port of Perth fees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Fees for boat pens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Jetties Regulations 1940</w:t>
            </w:r>
          </w:fldSimple>
        </w:p>
      </w:tc>
    </w:tr>
    <w:tr>
      <w:tc>
        <w:tcPr>
          <w:tcW w:w="5715" w:type="dxa"/>
          <w:vAlign w:val="bottom"/>
        </w:tcPr>
        <w:p>
          <w:pPr>
            <w:pStyle w:val="HeaderTextRight"/>
          </w:pPr>
          <w:fldSimple w:instr=" styleref CharSchText ">
            <w:r>
              <w:rPr>
                <w:noProof/>
              </w:rPr>
              <w:t>Port of Perth fees</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tcPr>
        <w:p>
          <w:pPr>
            <w:pStyle w:val="HeaderTextRight"/>
          </w:pPr>
          <w:fldSimple w:instr=" styleref CharSDivText ">
            <w:r>
              <w:rPr>
                <w:noProof/>
              </w:rPr>
              <w:t>Fees for boat pens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Jetties Regulations 1940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Jetties Regulations 1940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Jetties Regulations 1940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Jetties Regulations 1940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Jetties Regulations 1940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Jetties Regulations 1940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C381F5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9BC53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D3A4256"/>
    <w:lvl w:ilvl="0">
      <w:start w:val="1"/>
      <w:numFmt w:val="decimal"/>
      <w:pStyle w:val="ListNumber3"/>
      <w:lvlText w:val="%1."/>
      <w:lvlJc w:val="left"/>
      <w:pPr>
        <w:tabs>
          <w:tab w:val="num" w:pos="926"/>
        </w:tabs>
        <w:ind w:left="926" w:hanging="360"/>
      </w:pPr>
    </w:lvl>
  </w:abstractNum>
  <w:abstractNum w:abstractNumId="3">
    <w:nsid w:val="FFFFFF7F"/>
    <w:multiLevelType w:val="singleLevel"/>
    <w:tmpl w:val="C8E23BB6"/>
    <w:lvl w:ilvl="0">
      <w:start w:val="1"/>
      <w:numFmt w:val="decimal"/>
      <w:pStyle w:val="ListNumber2"/>
      <w:lvlText w:val="%1."/>
      <w:lvlJc w:val="left"/>
      <w:pPr>
        <w:tabs>
          <w:tab w:val="num" w:pos="643"/>
        </w:tabs>
        <w:ind w:left="643" w:hanging="360"/>
      </w:pPr>
    </w:lvl>
  </w:abstractNum>
  <w:abstractNum w:abstractNumId="4">
    <w:nsid w:val="FFFFFF80"/>
    <w:multiLevelType w:val="singleLevel"/>
    <w:tmpl w:val="C5F85DC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940689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E1AF11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B88585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DE831FA"/>
    <w:lvl w:ilvl="0">
      <w:start w:val="1"/>
      <w:numFmt w:val="decimal"/>
      <w:pStyle w:val="ListNumber"/>
      <w:lvlText w:val="%1."/>
      <w:lvlJc w:val="left"/>
      <w:pPr>
        <w:tabs>
          <w:tab w:val="num" w:pos="360"/>
        </w:tabs>
        <w:ind w:left="360" w:hanging="360"/>
      </w:pPr>
    </w:lvl>
  </w:abstractNum>
  <w:abstractNum w:abstractNumId="9">
    <w:nsid w:val="FFFFFF89"/>
    <w:multiLevelType w:val="singleLevel"/>
    <w:tmpl w:val="C6E23E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74B609F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nsid w:val="3C2808C0"/>
    <w:multiLevelType w:val="singleLevel"/>
    <w:tmpl w:val="44AE226E"/>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lvl>
    <w:lvl w:ilvl="1">
      <w:start w:val="1"/>
      <w:numFmt w:val="decimal"/>
      <w:suff w:val="space"/>
      <w:lvlText w:val="Part %2 — "/>
      <w:lvlJc w:val="left"/>
    </w:lvl>
    <w:lvl w:ilvl="2">
      <w:start w:val="1"/>
      <w:numFmt w:val="decimal"/>
      <w:suff w:val="space"/>
      <w:lvlText w:val="Division %3 — "/>
      <w:lvlJc w:val="left"/>
    </w:lvl>
    <w:lvl w:ilvl="3">
      <w:start w:val="1"/>
      <w:numFmt w:val="decimal"/>
      <w:suff w:val="space"/>
      <w:lvlText w:val="Subdivision %4 — "/>
      <w:lvlJc w:val="left"/>
    </w:lvl>
    <w:lvl w:ilvl="4">
      <w:start w:val="1"/>
      <w:numFmt w:val="decimal"/>
      <w:lvlRestart w:val="0"/>
      <w:suff w:val="space"/>
      <w:lvlText w:val="%5. "/>
      <w:lvlJc w:val="left"/>
      <w:pPr>
        <w:ind w:left="893" w:hanging="893"/>
      </w:pPr>
    </w:lvl>
    <w:lvl w:ilvl="5">
      <w:start w:val="1"/>
      <w:numFmt w:val="decimal"/>
      <w:suff w:val="nothing"/>
      <w:lvlText w:val="(%6)"/>
      <w:lvlJc w:val="right"/>
      <w:pPr>
        <w:ind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CC03303"/>
    <w:multiLevelType w:val="singleLevel"/>
    <w:tmpl w:val="0809000F"/>
    <w:lvl w:ilvl="0">
      <w:start w:val="1"/>
      <w:numFmt w:val="decimal"/>
      <w:lvlText w:val="%1."/>
      <w:lvlJc w:val="left"/>
      <w:pPr>
        <w:tabs>
          <w:tab w:val="num" w:pos="360"/>
        </w:tabs>
        <w:ind w:left="36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27"/>
  </w:num>
  <w:num w:numId="14">
    <w:abstractNumId w:val="17"/>
  </w:num>
  <w:num w:numId="15">
    <w:abstractNumId w:val="14"/>
  </w:num>
  <w:num w:numId="16">
    <w:abstractNumId w:val="1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31219084413"/>
    <w:docVar w:name="WAFER_20131219084413" w:val="RemoveTocBookmarks,RemoveUnusedBookmarks,RemoveLanguageTags,UsedStyles,ResetPageSize,UpdateArrangement"/>
    <w:docVar w:name="WAFER_20131219084413_GUID" w:val="c7df7bb7-cd50-4c3d-bc86-4ccd0ba8bcc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place"/>
  <w:smartTagType w:namespaceuri="urn:schemas-microsoft-com:office:smarttags" w:name="State"/>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PAGE-">
    <w:name w:val="- PAGE -"/>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PAGE-">
    <w:name w:val="- PAGE -"/>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8.xml"/><Relationship Id="rId39" Type="http://schemas.openxmlformats.org/officeDocument/2006/relationships/header" Target="header19.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header" Target="header14.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header" Target="header2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header" Target="header2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header" Target="header16.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image" Target="media/image3.png"/><Relationship Id="rId35" Type="http://schemas.openxmlformats.org/officeDocument/2006/relationships/header" Target="header15.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5FBD92-BC69-42C9-9976-7FB323F005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126</Pages>
  <Words>28067</Words>
  <Characters>128271</Characters>
  <Application>Microsoft Office Word</Application>
  <DocSecurity>0</DocSecurity>
  <Lines>5344</Lines>
  <Paragraphs>3474</Paragraphs>
  <ScaleCrop>false</ScaleCrop>
  <HeadingPairs>
    <vt:vector size="2" baseType="variant">
      <vt:variant>
        <vt:lpstr>Title</vt:lpstr>
      </vt:variant>
      <vt:variant>
        <vt:i4>1</vt:i4>
      </vt:variant>
    </vt:vector>
  </HeadingPairs>
  <TitlesOfParts>
    <vt:vector size="1" baseType="lpstr">
      <vt:lpstr>Jetties Regulations 1940</vt:lpstr>
    </vt:vector>
  </TitlesOfParts>
  <Manager/>
  <Company/>
  <LinksUpToDate>false</LinksUpToDate>
  <CharactersWithSpaces>152864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Jetties Regulations 1940 - 08-a0-01</dc:title>
  <dc:subject/>
  <dc:creator/>
  <cp:keywords/>
  <dc:description/>
  <cp:lastModifiedBy>svcMRProcess</cp:lastModifiedBy>
  <cp:revision>4</cp:revision>
  <cp:lastPrinted>2013-11-05T00:55:00Z</cp:lastPrinted>
  <dcterms:created xsi:type="dcterms:W3CDTF">2019-05-31T08:42:00Z</dcterms:created>
  <dcterms:modified xsi:type="dcterms:W3CDTF">2019-05-31T08:42:00Z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06/09/40</vt:lpwstr>
  </property>
  <property fmtid="{D5CDD505-2E9C-101B-9397-08002B2CF9AE}" pid="3" name="CommencementDate">
    <vt:lpwstr>20131011</vt:lpwstr>
  </property>
  <property fmtid="{D5CDD505-2E9C-101B-9397-08002B2CF9AE}" pid="4" name="DocumentType">
    <vt:lpwstr>Reg</vt:lpwstr>
  </property>
  <property fmtid="{D5CDD505-2E9C-101B-9397-08002B2CF9AE}" pid="5" name="OwlsUID">
    <vt:i4>8924</vt:i4>
  </property>
  <property fmtid="{D5CDD505-2E9C-101B-9397-08002B2CF9AE}" pid="6" name="AsAtDate">
    <vt:lpwstr>11 Oct 2013</vt:lpwstr>
  </property>
  <property fmtid="{D5CDD505-2E9C-101B-9397-08002B2CF9AE}" pid="7" name="Suffix">
    <vt:lpwstr>08-a0-01</vt:lpwstr>
  </property>
  <property fmtid="{D5CDD505-2E9C-101B-9397-08002B2CF9AE}" pid="8" name="ReprintNo">
    <vt:lpwstr>8</vt:lpwstr>
  </property>
  <property fmtid="{D5CDD505-2E9C-101B-9397-08002B2CF9AE}" pid="9" name="ReprintedAsAt">
    <vt:filetime>2013-10-10T16:00:00Z</vt:filetime>
  </property>
</Properties>
</file>