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Community Protection (Offender Reporting) Act 2004</w:t>
      </w:r>
      <w:r>
        <w:rPr>
          <w:sz w:val="48"/>
        </w:rPr>
        <w:fldChar w:fldCharType="end"/>
      </w:r>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_Toc375053432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_Toc375053433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_Toc375053434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_Toc375053435 \h </w:instrText>
      </w:r>
      <w:r>
        <w:fldChar w:fldCharType="separate"/>
      </w:r>
      <w:r>
        <w:t>7</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_Toc375053436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Offenders to whom Act applies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_Toc375053439 \h </w:instrText>
      </w:r>
      <w:r>
        <w:fldChar w:fldCharType="separate"/>
      </w:r>
      <w:r>
        <w:t>9</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_Toc375053440 \h </w:instrText>
      </w:r>
      <w:r>
        <w:fldChar w:fldCharType="separate"/>
      </w:r>
      <w:r>
        <w:t>10</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_Toc375053441 \h </w:instrText>
      </w:r>
      <w:r>
        <w:fldChar w:fldCharType="separate"/>
      </w:r>
      <w:r>
        <w:t>11</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_Toc375053442 \h </w:instrText>
      </w:r>
      <w:r>
        <w:fldChar w:fldCharType="separate"/>
      </w:r>
      <w:r>
        <w:t>11</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_Toc375053443 \h </w:instrText>
      </w:r>
      <w:r>
        <w:fldChar w:fldCharType="separate"/>
      </w:r>
      <w:r>
        <w:t>11</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_Toc375053444 \h </w:instrText>
      </w:r>
      <w:r>
        <w:fldChar w:fldCharType="separate"/>
      </w:r>
      <w:r>
        <w:t>12</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_Toc375053445 \h </w:instrText>
      </w:r>
      <w:r>
        <w:fldChar w:fldCharType="separate"/>
      </w:r>
      <w:r>
        <w:t>13</w:t>
      </w:r>
      <w:r>
        <w:fldChar w:fldCharType="end"/>
      </w:r>
    </w:p>
    <w:p>
      <w:pPr>
        <w:pStyle w:val="TOC8"/>
        <w:rPr>
          <w:rFonts w:asciiTheme="minorHAnsi" w:eastAsiaTheme="minorEastAsia" w:hAnsiTheme="minorHAnsi" w:cstheme="minorBidi"/>
          <w:szCs w:val="22"/>
        </w:rPr>
      </w:pPr>
      <w:r>
        <w:t>14A</w:t>
      </w:r>
      <w:r>
        <w:rPr>
          <w:color w:val="000000"/>
        </w:rPr>
        <w:t>.</w:t>
      </w:r>
      <w:r>
        <w:rPr>
          <w:color w:val="000000"/>
        </w:rPr>
        <w:tab/>
        <w:t>Consent orders</w:t>
      </w:r>
      <w:r>
        <w:tab/>
      </w:r>
      <w:r>
        <w:fldChar w:fldCharType="begin"/>
      </w:r>
      <w:r>
        <w:instrText xml:space="preserve"> PAGEREF _Toc375053446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_Toc375053448 \h </w:instrText>
      </w:r>
      <w:r>
        <w:fldChar w:fldCharType="separate"/>
      </w:r>
      <w:r>
        <w:t>15</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_Toc375053449 \h </w:instrText>
      </w:r>
      <w:r>
        <w:fldChar w:fldCharType="separate"/>
      </w:r>
      <w:r>
        <w:t>15</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_Toc375053450 \h </w:instrText>
      </w:r>
      <w:r>
        <w:fldChar w:fldCharType="separate"/>
      </w:r>
      <w:r>
        <w:t>16</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_Toc375053451 \h </w:instrText>
      </w:r>
      <w:r>
        <w:fldChar w:fldCharType="separate"/>
      </w:r>
      <w:r>
        <w:t>16</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_Toc375053452 \h </w:instrText>
      </w:r>
      <w:r>
        <w:fldChar w:fldCharType="separate"/>
      </w:r>
      <w:r>
        <w:t>16</w:t>
      </w:r>
      <w:r>
        <w:fldChar w:fldCharType="end"/>
      </w:r>
    </w:p>
    <w:p>
      <w:pPr>
        <w:pStyle w:val="TOC8"/>
        <w:rPr>
          <w:rFonts w:asciiTheme="minorHAnsi" w:eastAsiaTheme="minorEastAsia" w:hAnsiTheme="minorHAnsi" w:cstheme="minorBidi"/>
          <w:szCs w:val="22"/>
        </w:rPr>
      </w:pPr>
      <w:r>
        <w:t>19.</w:t>
      </w:r>
      <w:r>
        <w:tab/>
        <w:t>Court may make reporting orders</w:t>
      </w:r>
      <w:r>
        <w:tab/>
      </w:r>
      <w:r>
        <w:fldChar w:fldCharType="begin"/>
      </w:r>
      <w:r>
        <w:instrText xml:space="preserve"> PAGEREF _Toc375053453 \h </w:instrText>
      </w:r>
      <w:r>
        <w:fldChar w:fldCharType="separate"/>
      </w:r>
      <w:r>
        <w:t>17</w:t>
      </w:r>
      <w:r>
        <w:fldChar w:fldCharType="end"/>
      </w:r>
    </w:p>
    <w:p>
      <w:pPr>
        <w:pStyle w:val="TOC8"/>
        <w:rPr>
          <w:rFonts w:asciiTheme="minorHAnsi" w:eastAsiaTheme="minorEastAsia" w:hAnsiTheme="minorHAnsi" w:cstheme="minorBidi"/>
          <w:szCs w:val="22"/>
        </w:rPr>
      </w:pPr>
      <w:r>
        <w:t>20A</w:t>
      </w:r>
      <w:r>
        <w:rPr>
          <w:color w:val="000000"/>
        </w:rPr>
        <w:t>.</w:t>
      </w:r>
      <w:r>
        <w:rPr>
          <w:color w:val="000000"/>
        </w:rPr>
        <w:tab/>
        <w:t>Consent orders</w:t>
      </w:r>
      <w:r>
        <w:tab/>
      </w:r>
      <w:r>
        <w:fldChar w:fldCharType="begin"/>
      </w:r>
      <w:r>
        <w:instrText xml:space="preserve"> PAGEREF _Toc375053454 \h </w:instrText>
      </w:r>
      <w:r>
        <w:fldChar w:fldCharType="separate"/>
      </w:r>
      <w:r>
        <w:t>18</w:t>
      </w:r>
      <w:r>
        <w:fldChar w:fldCharType="end"/>
      </w:r>
    </w:p>
    <w:p>
      <w:pPr>
        <w:pStyle w:val="TOC8"/>
        <w:rPr>
          <w:rFonts w:asciiTheme="minorHAnsi" w:eastAsiaTheme="minorEastAsia" w:hAnsiTheme="minorHAnsi" w:cstheme="minorBidi"/>
          <w:szCs w:val="22"/>
        </w:rPr>
      </w:pPr>
      <w:r>
        <w:t>20.</w:t>
      </w:r>
      <w:r>
        <w:tab/>
        <w:t>Attendance at hearings</w:t>
      </w:r>
      <w:r>
        <w:tab/>
      </w:r>
      <w:r>
        <w:fldChar w:fldCharType="begin"/>
      </w:r>
      <w:r>
        <w:instrText xml:space="preserve"> PAGEREF _Toc375053455 \h </w:instrText>
      </w:r>
      <w:r>
        <w:fldChar w:fldCharType="separate"/>
      </w:r>
      <w:r>
        <w:t>18</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_Toc375053456 \h </w:instrText>
      </w:r>
      <w:r>
        <w:fldChar w:fldCharType="separate"/>
      </w:r>
      <w:r>
        <w:t>19</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_Toc375053457 \h </w:instrText>
      </w:r>
      <w:r>
        <w:fldChar w:fldCharType="separate"/>
      </w:r>
      <w:r>
        <w:t>19</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_Toc375053458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3 — Reporting obligations</w:t>
      </w:r>
    </w:p>
    <w:p>
      <w:pPr>
        <w:pStyle w:val="TOC4"/>
        <w:tabs>
          <w:tab w:val="right" w:leader="dot" w:pos="7086"/>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the report must be made</w:t>
      </w:r>
      <w:r>
        <w:tab/>
      </w:r>
      <w:r>
        <w:fldChar w:fldCharType="begin"/>
      </w:r>
      <w:r>
        <w:instrText xml:space="preserve"> PAGEREF _Toc375053461 \h </w:instrText>
      </w:r>
      <w:r>
        <w:fldChar w:fldCharType="separate"/>
      </w:r>
      <w:r>
        <w:t>21</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_Toc375053462 \h </w:instrText>
      </w:r>
      <w:r>
        <w:fldChar w:fldCharType="separate"/>
      </w:r>
      <w:r>
        <w:t>23</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_Toc375053463 \h </w:instrText>
      </w:r>
      <w:r>
        <w:fldChar w:fldCharType="separate"/>
      </w:r>
      <w:r>
        <w:t>25</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_Toc375053464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2 — Ongoing reporting obligations</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_Toc375053466 \h </w:instrText>
      </w:r>
      <w:r>
        <w:fldChar w:fldCharType="separate"/>
      </w:r>
      <w:r>
        <w:t>30</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_Toc375053467 \h </w:instrText>
      </w:r>
      <w:r>
        <w:fldChar w:fldCharType="separate"/>
      </w:r>
      <w:r>
        <w:t>31</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_Toc375053468 \h </w:instrText>
      </w:r>
      <w:r>
        <w:fldChar w:fldCharType="separate"/>
      </w:r>
      <w:r>
        <w:t>32</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_Toc375053469 \h </w:instrText>
      </w:r>
      <w:r>
        <w:fldChar w:fldCharType="separate"/>
      </w:r>
      <w:r>
        <w:t>33</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_Toc375053470 \h </w:instrText>
      </w:r>
      <w:r>
        <w:fldChar w:fldCharType="separate"/>
      </w:r>
      <w:r>
        <w:t>34</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_Toc375053471 \h </w:instrText>
      </w:r>
      <w:r>
        <w:fldChar w:fldCharType="separate"/>
      </w:r>
      <w:r>
        <w:t>35</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_Toc375053472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_Toc375053474 \h </w:instrText>
      </w:r>
      <w:r>
        <w:fldChar w:fldCharType="separate"/>
      </w:r>
      <w:r>
        <w:t>36</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_Toc375053475 \h </w:instrText>
      </w:r>
      <w:r>
        <w:fldChar w:fldCharType="separate"/>
      </w:r>
      <w:r>
        <w:t>37</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_Toc375053476 \h </w:instrText>
      </w:r>
      <w:r>
        <w:fldChar w:fldCharType="separate"/>
      </w:r>
      <w:r>
        <w:t>38</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_Toc375053477 \h </w:instrText>
      </w:r>
      <w:r>
        <w:fldChar w:fldCharType="separate"/>
      </w:r>
      <w:r>
        <w:t>38</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_Toc375053478 \h </w:instrText>
      </w:r>
      <w:r>
        <w:fldChar w:fldCharType="separate"/>
      </w:r>
      <w:r>
        <w:t>39</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_Toc375053479 \h </w:instrText>
      </w:r>
      <w:r>
        <w:fldChar w:fldCharType="separate"/>
      </w:r>
      <w:r>
        <w:t>42</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_Toc375053480 \h </w:instrText>
      </w:r>
      <w:r>
        <w:fldChar w:fldCharType="separate"/>
      </w:r>
      <w:r>
        <w:t>43</w:t>
      </w:r>
      <w:r>
        <w:fldChar w:fldCharType="end"/>
      </w:r>
    </w:p>
    <w:p>
      <w:pPr>
        <w:pStyle w:val="TOC8"/>
        <w:rPr>
          <w:rFonts w:asciiTheme="minorHAnsi" w:eastAsiaTheme="minorEastAsia" w:hAnsiTheme="minorHAnsi" w:cstheme="minorBidi"/>
          <w:szCs w:val="22"/>
        </w:rPr>
      </w:pPr>
      <w:r>
        <w:t>41.</w:t>
      </w:r>
      <w:r>
        <w:tab/>
        <w:t>Reasonable force may be used to obtain fingerprints and photographs</w:t>
      </w:r>
      <w:r>
        <w:tab/>
      </w:r>
      <w:r>
        <w:fldChar w:fldCharType="begin"/>
      </w:r>
      <w:r>
        <w:instrText xml:space="preserve"> PAGEREF _Toc375053481 \h </w:instrText>
      </w:r>
      <w:r>
        <w:fldChar w:fldCharType="separate"/>
      </w:r>
      <w:r>
        <w:t>43</w:t>
      </w:r>
      <w:r>
        <w:fldChar w:fldCharType="end"/>
      </w:r>
    </w:p>
    <w:p>
      <w:pPr>
        <w:pStyle w:val="TOC8"/>
        <w:rPr>
          <w:rFonts w:asciiTheme="minorHAnsi" w:eastAsiaTheme="minorEastAsia" w:hAnsiTheme="minorHAnsi" w:cstheme="minorBidi"/>
          <w:szCs w:val="22"/>
        </w:rPr>
      </w:pPr>
      <w:r>
        <w:t>42.</w:t>
      </w:r>
      <w:r>
        <w:tab/>
        <w:t>Retention of material for certain purposes</w:t>
      </w:r>
      <w:r>
        <w:tab/>
      </w:r>
      <w:r>
        <w:fldChar w:fldCharType="begin"/>
      </w:r>
      <w:r>
        <w:instrText xml:space="preserve"> PAGEREF _Toc375053482 \h </w:instrText>
      </w:r>
      <w:r>
        <w:fldChar w:fldCharType="separate"/>
      </w:r>
      <w:r>
        <w:t>44</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_Toc375053483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_Toc375053485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_Toc375053487 \h </w:instrText>
      </w:r>
      <w:r>
        <w:fldChar w:fldCharType="separate"/>
      </w:r>
      <w:r>
        <w:t>47</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_Toc375053488 \h </w:instrText>
      </w:r>
      <w:r>
        <w:fldChar w:fldCharType="separate"/>
      </w:r>
      <w:r>
        <w:t>47</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_Toc375053489 \h </w:instrText>
      </w:r>
      <w:r>
        <w:fldChar w:fldCharType="separate"/>
      </w:r>
      <w:r>
        <w:t>49</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_Toc375053490 \h </w:instrText>
      </w:r>
      <w:r>
        <w:fldChar w:fldCharType="separate"/>
      </w:r>
      <w:r>
        <w:t>49</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_Toc375053491 \h </w:instrText>
      </w:r>
      <w:r>
        <w:fldChar w:fldCharType="separate"/>
      </w:r>
      <w:r>
        <w:t>49</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_Toc375053492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_Toc375053494 \h </w:instrText>
      </w:r>
      <w:r>
        <w:fldChar w:fldCharType="separate"/>
      </w:r>
      <w:r>
        <w:t>50</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_Toc375053495 \h </w:instrText>
      </w:r>
      <w:r>
        <w:fldChar w:fldCharType="separate"/>
      </w:r>
      <w:r>
        <w:t>51</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_Toc375053496 \h </w:instrText>
      </w:r>
      <w:r>
        <w:fldChar w:fldCharType="separate"/>
      </w:r>
      <w:r>
        <w:t>51</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_Toc375053497 \h </w:instrText>
      </w:r>
      <w:r>
        <w:fldChar w:fldCharType="separate"/>
      </w:r>
      <w:r>
        <w:t>52</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_Toc375053498 \h </w:instrText>
      </w:r>
      <w:r>
        <w:fldChar w:fldCharType="separate"/>
      </w:r>
      <w:r>
        <w:t>53</w:t>
      </w:r>
      <w:r>
        <w:fldChar w:fldCharType="end"/>
      </w:r>
    </w:p>
    <w:p>
      <w:pPr>
        <w:pStyle w:val="TOC8"/>
        <w:rPr>
          <w:rFonts w:asciiTheme="minorHAnsi" w:eastAsiaTheme="minorEastAsia" w:hAnsiTheme="minorHAnsi" w:cstheme="minorBidi"/>
          <w:szCs w:val="22"/>
        </w:rPr>
      </w:pPr>
      <w:r>
        <w:t>56.</w:t>
      </w:r>
      <w:r>
        <w:tab/>
        <w:t>No costs to be awarded</w:t>
      </w:r>
      <w:r>
        <w:tab/>
      </w:r>
      <w:r>
        <w:fldChar w:fldCharType="begin"/>
      </w:r>
      <w:r>
        <w:instrText xml:space="preserve"> PAGEREF _Toc375053499 \h </w:instrText>
      </w:r>
      <w:r>
        <w:fldChar w:fldCharType="separate"/>
      </w:r>
      <w:r>
        <w:t>53</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_Toc375053500 \h </w:instrText>
      </w:r>
      <w:r>
        <w:fldChar w:fldCharType="separate"/>
      </w:r>
      <w:r>
        <w:t>53</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_Toc375053501 \h </w:instrText>
      </w:r>
      <w:r>
        <w:fldChar w:fldCharType="separate"/>
      </w:r>
      <w:r>
        <w:t>53</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_Toc375053502 \h </w:instrText>
      </w:r>
      <w:r>
        <w:fldChar w:fldCharType="separate"/>
      </w:r>
      <w:r>
        <w:t>54</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_Toc375053503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_Toc375053505 \h </w:instrText>
      </w:r>
      <w:r>
        <w:fldChar w:fldCharType="separate"/>
      </w:r>
      <w:r>
        <w:t>55</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_Toc375053506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_Toc375053508 \h </w:instrText>
      </w:r>
      <w:r>
        <w:fldChar w:fldCharType="separate"/>
      </w:r>
      <w:r>
        <w:t>57</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_Toc375053509 \h </w:instrText>
      </w:r>
      <w:r>
        <w:fldChar w:fldCharType="separate"/>
      </w:r>
      <w:r>
        <w:t>58</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_Toc375053510 \h </w:instrText>
      </w:r>
      <w:r>
        <w:fldChar w:fldCharType="separate"/>
      </w:r>
      <w:r>
        <w:t>59</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_Toc375053511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_Toc375053513 \h </w:instrText>
      </w:r>
      <w:r>
        <w:fldChar w:fldCharType="separate"/>
      </w:r>
      <w:r>
        <w:t>59</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_Toc375053514 \h </w:instrText>
      </w:r>
      <w:r>
        <w:fldChar w:fldCharType="separate"/>
      </w:r>
      <w:r>
        <w:t>60</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_Toc375053515 \h </w:instrText>
      </w:r>
      <w:r>
        <w:fldChar w:fldCharType="separate"/>
      </w:r>
      <w:r>
        <w:t>61</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_Toc375053516 \h </w:instrText>
      </w:r>
      <w:r>
        <w:fldChar w:fldCharType="separate"/>
      </w:r>
      <w:r>
        <w:t>61</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_Toc375053517 \h </w:instrText>
      </w:r>
      <w:r>
        <w:fldChar w:fldCharType="separate"/>
      </w:r>
      <w:r>
        <w:t>62</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_Toc375053518 \h </w:instrText>
      </w:r>
      <w:r>
        <w:fldChar w:fldCharType="separate"/>
      </w:r>
      <w:r>
        <w:t>62</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_Toc375053519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_Toc375053521 \h </w:instrText>
      </w:r>
      <w:r>
        <w:fldChar w:fldCharType="separate"/>
      </w:r>
      <w:r>
        <w:t>63</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_Toc375053522 \h </w:instrText>
      </w:r>
      <w:r>
        <w:fldChar w:fldCharType="separate"/>
      </w:r>
      <w:r>
        <w:t>63</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_Toc375053523 \h </w:instrText>
      </w:r>
      <w:r>
        <w:fldChar w:fldCharType="separate"/>
      </w:r>
      <w:r>
        <w:t>64</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_Toc375053524 \h </w:instrText>
      </w:r>
      <w:r>
        <w:fldChar w:fldCharType="separate"/>
      </w:r>
      <w:r>
        <w:t>64</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_Toc375053525 \h </w:instrText>
      </w:r>
      <w:r>
        <w:fldChar w:fldCharType="separate"/>
      </w:r>
      <w:r>
        <w:t>65</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_Toc375053526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Part 4A </w:t>
      </w:r>
      <w:r>
        <w:rPr>
          <w:color w:val="000000"/>
        </w:rPr>
        <w:t>—</w:t>
      </w:r>
      <w:r>
        <w:t> Change of name</w:t>
      </w:r>
    </w:p>
    <w:p>
      <w:pPr>
        <w:pStyle w:val="TOC8"/>
        <w:rPr>
          <w:rFonts w:asciiTheme="minorHAnsi" w:eastAsiaTheme="minorEastAsia" w:hAnsiTheme="minorHAnsi" w:cstheme="minorBidi"/>
          <w:szCs w:val="22"/>
        </w:rPr>
      </w:pPr>
      <w:r>
        <w:t>80A</w:t>
      </w:r>
      <w:r>
        <w:rPr>
          <w:color w:val="000000"/>
        </w:rPr>
        <w:t>.</w:t>
      </w:r>
      <w:r>
        <w:rPr>
          <w:color w:val="000000"/>
        </w:rPr>
        <w:tab/>
        <w:t>Terms used</w:t>
      </w:r>
      <w:r>
        <w:tab/>
      </w:r>
      <w:r>
        <w:fldChar w:fldCharType="begin"/>
      </w:r>
      <w:r>
        <w:instrText xml:space="preserve"> PAGEREF _Toc375053528 \h </w:instrText>
      </w:r>
      <w:r>
        <w:fldChar w:fldCharType="separate"/>
      </w:r>
      <w:r>
        <w:t>67</w:t>
      </w:r>
      <w:r>
        <w:fldChar w:fldCharType="end"/>
      </w:r>
    </w:p>
    <w:p>
      <w:pPr>
        <w:pStyle w:val="TOC8"/>
        <w:rPr>
          <w:rFonts w:asciiTheme="minorHAnsi" w:eastAsiaTheme="minorEastAsia" w:hAnsiTheme="minorHAnsi" w:cstheme="minorBidi"/>
          <w:szCs w:val="22"/>
        </w:rPr>
      </w:pPr>
      <w:r>
        <w:t>80B</w:t>
      </w:r>
      <w:r>
        <w:rPr>
          <w:color w:val="000000"/>
        </w:rPr>
        <w:t>.</w:t>
      </w:r>
      <w:r>
        <w:rPr>
          <w:color w:val="000000"/>
        </w:rPr>
        <w:tab/>
        <w:t>Application</w:t>
      </w:r>
      <w:r>
        <w:tab/>
      </w:r>
      <w:r>
        <w:fldChar w:fldCharType="begin"/>
      </w:r>
      <w:r>
        <w:instrText xml:space="preserve"> PAGEREF _Toc375053529 \h </w:instrText>
      </w:r>
      <w:r>
        <w:fldChar w:fldCharType="separate"/>
      </w:r>
      <w:r>
        <w:t>67</w:t>
      </w:r>
      <w:r>
        <w:fldChar w:fldCharType="end"/>
      </w:r>
    </w:p>
    <w:p>
      <w:pPr>
        <w:pStyle w:val="TOC8"/>
        <w:rPr>
          <w:rFonts w:asciiTheme="minorHAnsi" w:eastAsiaTheme="minorEastAsia" w:hAnsiTheme="minorHAnsi" w:cstheme="minorBidi"/>
          <w:szCs w:val="22"/>
        </w:rPr>
      </w:pPr>
      <w:r>
        <w:t>80C</w:t>
      </w:r>
      <w:r>
        <w:rPr>
          <w:color w:val="000000"/>
        </w:rPr>
        <w:t>.</w:t>
      </w:r>
      <w:r>
        <w:rPr>
          <w:color w:val="000000"/>
        </w:rPr>
        <w:tab/>
        <w:t>Application for change of name by or in respect of reportable offender</w:t>
      </w:r>
      <w:r>
        <w:tab/>
      </w:r>
      <w:r>
        <w:fldChar w:fldCharType="begin"/>
      </w:r>
      <w:r>
        <w:instrText xml:space="preserve"> PAGEREF _Toc375053530 \h </w:instrText>
      </w:r>
      <w:r>
        <w:fldChar w:fldCharType="separate"/>
      </w:r>
      <w:r>
        <w:t>67</w:t>
      </w:r>
      <w:r>
        <w:fldChar w:fldCharType="end"/>
      </w:r>
    </w:p>
    <w:p>
      <w:pPr>
        <w:pStyle w:val="TOC8"/>
        <w:rPr>
          <w:rFonts w:asciiTheme="minorHAnsi" w:eastAsiaTheme="minorEastAsia" w:hAnsiTheme="minorHAnsi" w:cstheme="minorBidi"/>
          <w:szCs w:val="22"/>
        </w:rPr>
      </w:pPr>
      <w:r>
        <w:t>80D</w:t>
      </w:r>
      <w:r>
        <w:rPr>
          <w:color w:val="000000"/>
        </w:rPr>
        <w:t>.</w:t>
      </w:r>
      <w:r>
        <w:rPr>
          <w:color w:val="000000"/>
        </w:rPr>
        <w:tab/>
        <w:t>Approval by Commissioner</w:t>
      </w:r>
      <w:r>
        <w:tab/>
      </w:r>
      <w:r>
        <w:fldChar w:fldCharType="begin"/>
      </w:r>
      <w:r>
        <w:instrText xml:space="preserve"> PAGEREF _Toc375053531 \h </w:instrText>
      </w:r>
      <w:r>
        <w:fldChar w:fldCharType="separate"/>
      </w:r>
      <w:r>
        <w:t>68</w:t>
      </w:r>
      <w:r>
        <w:fldChar w:fldCharType="end"/>
      </w:r>
    </w:p>
    <w:p>
      <w:pPr>
        <w:pStyle w:val="TOC8"/>
        <w:rPr>
          <w:rFonts w:asciiTheme="minorHAnsi" w:eastAsiaTheme="minorEastAsia" w:hAnsiTheme="minorHAnsi" w:cstheme="minorBidi"/>
          <w:szCs w:val="22"/>
        </w:rPr>
      </w:pPr>
      <w:r>
        <w:t>80E</w:t>
      </w:r>
      <w:r>
        <w:rPr>
          <w:color w:val="000000"/>
        </w:rPr>
        <w:t>.</w:t>
      </w:r>
      <w:r>
        <w:rPr>
          <w:color w:val="000000"/>
        </w:rPr>
        <w:tab/>
        <w:t>Registration of change of name</w:t>
      </w:r>
      <w:r>
        <w:tab/>
      </w:r>
      <w:r>
        <w:fldChar w:fldCharType="begin"/>
      </w:r>
      <w:r>
        <w:instrText xml:space="preserve"> PAGEREF _Toc375053532 \h </w:instrText>
      </w:r>
      <w:r>
        <w:fldChar w:fldCharType="separate"/>
      </w:r>
      <w:r>
        <w:t>69</w:t>
      </w:r>
      <w:r>
        <w:fldChar w:fldCharType="end"/>
      </w:r>
    </w:p>
    <w:p>
      <w:pPr>
        <w:pStyle w:val="TOC8"/>
        <w:rPr>
          <w:rFonts w:asciiTheme="minorHAnsi" w:eastAsiaTheme="minorEastAsia" w:hAnsiTheme="minorHAnsi" w:cstheme="minorBidi"/>
          <w:szCs w:val="22"/>
        </w:rPr>
      </w:pPr>
      <w:r>
        <w:t>80F</w:t>
      </w:r>
      <w:r>
        <w:rPr>
          <w:color w:val="000000"/>
        </w:rPr>
        <w:t>.</w:t>
      </w:r>
      <w:r>
        <w:rPr>
          <w:color w:val="000000"/>
        </w:rPr>
        <w:tab/>
        <w:t>WA Registrar to correct Registration Act Register</w:t>
      </w:r>
      <w:r>
        <w:tab/>
      </w:r>
      <w:r>
        <w:fldChar w:fldCharType="begin"/>
      </w:r>
      <w:r>
        <w:instrText xml:space="preserve"> PAGEREF _Toc375053533 \h </w:instrText>
      </w:r>
      <w:r>
        <w:fldChar w:fldCharType="separate"/>
      </w:r>
      <w:r>
        <w:t>69</w:t>
      </w:r>
      <w:r>
        <w:fldChar w:fldCharType="end"/>
      </w:r>
    </w:p>
    <w:p>
      <w:pPr>
        <w:pStyle w:val="TOC8"/>
        <w:rPr>
          <w:rFonts w:asciiTheme="minorHAnsi" w:eastAsiaTheme="minorEastAsia" w:hAnsiTheme="minorHAnsi" w:cstheme="minorBidi"/>
          <w:szCs w:val="22"/>
        </w:rPr>
      </w:pPr>
      <w:r>
        <w:t>80G</w:t>
      </w:r>
      <w:r>
        <w:rPr>
          <w:color w:val="000000"/>
        </w:rPr>
        <w:t>.</w:t>
      </w:r>
      <w:r>
        <w:rPr>
          <w:color w:val="000000"/>
        </w:rPr>
        <w:tab/>
        <w:t>Exchange of information between Commissioner and WA Registrar</w:t>
      </w:r>
      <w:r>
        <w:tab/>
      </w:r>
      <w:r>
        <w:fldChar w:fldCharType="begin"/>
      </w:r>
      <w:r>
        <w:instrText xml:space="preserve"> PAGEREF _Toc375053534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_Toc375053536 \h </w:instrText>
      </w:r>
      <w:r>
        <w:fldChar w:fldCharType="separate"/>
      </w:r>
      <w:r>
        <w:t>71</w:t>
      </w:r>
      <w:r>
        <w:fldChar w:fldCharType="end"/>
      </w:r>
    </w:p>
    <w:p>
      <w:pPr>
        <w:pStyle w:val="TOC8"/>
        <w:rPr>
          <w:rFonts w:asciiTheme="minorHAnsi" w:eastAsiaTheme="minorEastAsia" w:hAnsiTheme="minorHAnsi" w:cstheme="minorBidi"/>
          <w:szCs w:val="22"/>
        </w:rPr>
      </w:pPr>
      <w:r>
        <w:t>81.</w:t>
      </w:r>
      <w:r>
        <w:tab/>
        <w:t>Access to the Register to be restricted</w:t>
      </w:r>
      <w:r>
        <w:tab/>
      </w:r>
      <w:r>
        <w:fldChar w:fldCharType="begin"/>
      </w:r>
      <w:r>
        <w:instrText xml:space="preserve"> PAGEREF _Toc375053537 \h </w:instrText>
      </w:r>
      <w:r>
        <w:fldChar w:fldCharType="separate"/>
      </w:r>
      <w:r>
        <w:t>72</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_Toc375053538 \h </w:instrText>
      </w:r>
      <w:r>
        <w:fldChar w:fldCharType="separate"/>
      </w:r>
      <w:r>
        <w:t>73</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_Toc375053539 \h </w:instrText>
      </w:r>
      <w:r>
        <w:fldChar w:fldCharType="separate"/>
      </w:r>
      <w:r>
        <w:t>74</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_Toc375053540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5A</w:t>
      </w:r>
      <w:r>
        <w:rPr>
          <w:b w:val="0"/>
          <w:color w:val="000000"/>
        </w:rPr>
        <w:t> </w:t>
      </w:r>
      <w:r>
        <w:rPr>
          <w:color w:val="000000"/>
        </w:rPr>
        <w:t>—</w:t>
      </w:r>
      <w:r>
        <w:rPr>
          <w:b w:val="0"/>
          <w:color w:val="000000"/>
        </w:rPr>
        <w:t> </w:t>
      </w:r>
      <w:r>
        <w:t>Publication of information about offenders</w:t>
      </w:r>
    </w:p>
    <w:p>
      <w:pPr>
        <w:pStyle w:val="TOC4"/>
        <w:tabs>
          <w:tab w:val="right" w:leader="dot" w:pos="7086"/>
        </w:tabs>
        <w:rPr>
          <w:rFonts w:asciiTheme="minorHAnsi" w:eastAsiaTheme="minorEastAsia" w:hAnsiTheme="minorHAnsi" w:cstheme="minorBidi"/>
          <w:b w:val="0"/>
          <w:szCs w:val="22"/>
        </w:rPr>
      </w:pPr>
      <w:r>
        <w:t>Division 1</w:t>
      </w:r>
      <w:r>
        <w:rPr>
          <w:color w:val="000000"/>
        </w:rPr>
        <w:t> — </w:t>
      </w:r>
      <w:r>
        <w:t>Preliminary</w:t>
      </w:r>
    </w:p>
    <w:p>
      <w:pPr>
        <w:pStyle w:val="TOC8"/>
        <w:rPr>
          <w:rFonts w:asciiTheme="minorHAnsi" w:eastAsiaTheme="minorEastAsia" w:hAnsiTheme="minorHAnsi" w:cstheme="minorBidi"/>
          <w:szCs w:val="22"/>
        </w:rPr>
      </w:pPr>
      <w:r>
        <w:t>85A</w:t>
      </w:r>
      <w:r>
        <w:rPr>
          <w:color w:val="000000"/>
        </w:rPr>
        <w:t>.</w:t>
      </w:r>
      <w:r>
        <w:rPr>
          <w:color w:val="000000"/>
        </w:rPr>
        <w:tab/>
        <w:t>Terms used</w:t>
      </w:r>
      <w:r>
        <w:tab/>
      </w:r>
      <w:r>
        <w:fldChar w:fldCharType="begin"/>
      </w:r>
      <w:r>
        <w:instrText xml:space="preserve"> PAGEREF _Toc375053543 \h </w:instrText>
      </w:r>
      <w:r>
        <w:fldChar w:fldCharType="separate"/>
      </w:r>
      <w:r>
        <w:t>75</w:t>
      </w:r>
      <w:r>
        <w:fldChar w:fldCharType="end"/>
      </w:r>
    </w:p>
    <w:p>
      <w:pPr>
        <w:pStyle w:val="TOC8"/>
        <w:rPr>
          <w:rFonts w:asciiTheme="minorHAnsi" w:eastAsiaTheme="minorEastAsia" w:hAnsiTheme="minorHAnsi" w:cstheme="minorBidi"/>
          <w:szCs w:val="22"/>
        </w:rPr>
      </w:pPr>
      <w:r>
        <w:t>85B</w:t>
      </w:r>
      <w:r>
        <w:rPr>
          <w:color w:val="000000"/>
        </w:rPr>
        <w:t>.</w:t>
      </w:r>
      <w:r>
        <w:rPr>
          <w:color w:val="000000"/>
        </w:rPr>
        <w:tab/>
        <w:t>Delegation by Commissioner</w:t>
      </w:r>
      <w:r>
        <w:tab/>
      </w:r>
      <w:r>
        <w:fldChar w:fldCharType="begin"/>
      </w:r>
      <w:r>
        <w:instrText xml:space="preserve"> PAGEREF _Toc375053544 \h </w:instrText>
      </w:r>
      <w:r>
        <w:fldChar w:fldCharType="separate"/>
      </w:r>
      <w:r>
        <w:t>75</w:t>
      </w:r>
      <w:r>
        <w:fldChar w:fldCharType="end"/>
      </w:r>
    </w:p>
    <w:p>
      <w:pPr>
        <w:pStyle w:val="TOC8"/>
        <w:rPr>
          <w:rFonts w:asciiTheme="minorHAnsi" w:eastAsiaTheme="minorEastAsia" w:hAnsiTheme="minorHAnsi" w:cstheme="minorBidi"/>
          <w:szCs w:val="22"/>
        </w:rPr>
      </w:pPr>
      <w:r>
        <w:t>85C</w:t>
      </w:r>
      <w:r>
        <w:rPr>
          <w:color w:val="000000"/>
        </w:rPr>
        <w:t>.</w:t>
      </w:r>
      <w:r>
        <w:rPr>
          <w:color w:val="000000"/>
        </w:rPr>
        <w:tab/>
        <w:t>Commissioner not required to publish or provide information</w:t>
      </w:r>
      <w:r>
        <w:tab/>
      </w:r>
      <w:r>
        <w:fldChar w:fldCharType="begin"/>
      </w:r>
      <w:r>
        <w:instrText xml:space="preserve"> PAGEREF _Toc375053545 \h </w:instrText>
      </w:r>
      <w:r>
        <w:fldChar w:fldCharType="separate"/>
      </w:r>
      <w:r>
        <w:t>75</w:t>
      </w:r>
      <w:r>
        <w:fldChar w:fldCharType="end"/>
      </w:r>
    </w:p>
    <w:p>
      <w:pPr>
        <w:pStyle w:val="TOC8"/>
        <w:rPr>
          <w:rFonts w:asciiTheme="minorHAnsi" w:eastAsiaTheme="minorEastAsia" w:hAnsiTheme="minorHAnsi" w:cstheme="minorBidi"/>
          <w:szCs w:val="22"/>
        </w:rPr>
      </w:pPr>
      <w:r>
        <w:t>85D</w:t>
      </w:r>
      <w:r>
        <w:rPr>
          <w:color w:val="000000"/>
        </w:rPr>
        <w:t>.</w:t>
      </w:r>
      <w:r>
        <w:rPr>
          <w:color w:val="000000"/>
        </w:rPr>
        <w:tab/>
        <w:t>Restriction on information about protected witnesses</w:t>
      </w:r>
      <w:r>
        <w:tab/>
      </w:r>
      <w:r>
        <w:fldChar w:fldCharType="begin"/>
      </w:r>
      <w:r>
        <w:instrText xml:space="preserve"> PAGEREF _Toc375053546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2</w:t>
      </w:r>
      <w:r>
        <w:rPr>
          <w:color w:val="000000"/>
        </w:rPr>
        <w:t> — </w:t>
      </w:r>
      <w:r>
        <w:t>Commissioner may publish information</w:t>
      </w:r>
    </w:p>
    <w:p>
      <w:pPr>
        <w:pStyle w:val="TOC8"/>
        <w:rPr>
          <w:rFonts w:asciiTheme="minorHAnsi" w:eastAsiaTheme="minorEastAsia" w:hAnsiTheme="minorHAnsi" w:cstheme="minorBidi"/>
          <w:szCs w:val="22"/>
        </w:rPr>
      </w:pPr>
      <w:r>
        <w:t>85E</w:t>
      </w:r>
      <w:r>
        <w:rPr>
          <w:color w:val="000000"/>
        </w:rPr>
        <w:t>.</w:t>
      </w:r>
      <w:r>
        <w:rPr>
          <w:color w:val="000000"/>
        </w:rPr>
        <w:tab/>
        <w:t>Application</w:t>
      </w:r>
      <w:r>
        <w:tab/>
      </w:r>
      <w:r>
        <w:fldChar w:fldCharType="begin"/>
      </w:r>
      <w:r>
        <w:instrText xml:space="preserve"> PAGEREF _Toc375053548 \h </w:instrText>
      </w:r>
      <w:r>
        <w:fldChar w:fldCharType="separate"/>
      </w:r>
      <w:r>
        <w:t>76</w:t>
      </w:r>
      <w:r>
        <w:fldChar w:fldCharType="end"/>
      </w:r>
    </w:p>
    <w:p>
      <w:pPr>
        <w:pStyle w:val="TOC8"/>
        <w:rPr>
          <w:rFonts w:asciiTheme="minorHAnsi" w:eastAsiaTheme="minorEastAsia" w:hAnsiTheme="minorHAnsi" w:cstheme="minorBidi"/>
          <w:szCs w:val="22"/>
        </w:rPr>
      </w:pPr>
      <w:r>
        <w:t>85F</w:t>
      </w:r>
      <w:r>
        <w:rPr>
          <w:color w:val="000000"/>
        </w:rPr>
        <w:t>.</w:t>
      </w:r>
      <w:r>
        <w:rPr>
          <w:color w:val="000000"/>
        </w:rPr>
        <w:tab/>
        <w:t>Commissioner may publish personal details of certain reportable offenders</w:t>
      </w:r>
      <w:r>
        <w:tab/>
      </w:r>
      <w:r>
        <w:fldChar w:fldCharType="begin"/>
      </w:r>
      <w:r>
        <w:instrText xml:space="preserve"> PAGEREF _Toc375053549 \h </w:instrText>
      </w:r>
      <w:r>
        <w:fldChar w:fldCharType="separate"/>
      </w:r>
      <w:r>
        <w:t>76</w:t>
      </w:r>
      <w:r>
        <w:fldChar w:fldCharType="end"/>
      </w:r>
    </w:p>
    <w:p>
      <w:pPr>
        <w:pStyle w:val="TOC8"/>
        <w:rPr>
          <w:rFonts w:asciiTheme="minorHAnsi" w:eastAsiaTheme="minorEastAsia" w:hAnsiTheme="minorHAnsi" w:cstheme="minorBidi"/>
          <w:szCs w:val="22"/>
        </w:rPr>
      </w:pPr>
      <w:r>
        <w:t>85G</w:t>
      </w:r>
      <w:r>
        <w:rPr>
          <w:color w:val="000000"/>
        </w:rPr>
        <w:t>.</w:t>
      </w:r>
      <w:r>
        <w:rPr>
          <w:color w:val="000000"/>
        </w:rPr>
        <w:tab/>
        <w:t>Commissioner may publish photograph and locality of certain persons</w:t>
      </w:r>
      <w:r>
        <w:tab/>
      </w:r>
      <w:r>
        <w:fldChar w:fldCharType="begin"/>
      </w:r>
      <w:r>
        <w:instrText xml:space="preserve"> PAGEREF _Toc375053550 \h </w:instrText>
      </w:r>
      <w:r>
        <w:fldChar w:fldCharType="separate"/>
      </w:r>
      <w:r>
        <w:t>77</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_Toc375053551 \h </w:instrText>
      </w:r>
      <w:r>
        <w:fldChar w:fldCharType="separate"/>
      </w:r>
      <w:r>
        <w:t>80</w:t>
      </w:r>
      <w:r>
        <w:fldChar w:fldCharType="end"/>
      </w:r>
    </w:p>
    <w:p>
      <w:pPr>
        <w:pStyle w:val="TOC8"/>
        <w:rPr>
          <w:rFonts w:asciiTheme="minorHAnsi" w:eastAsiaTheme="minorEastAsia" w:hAnsiTheme="minorHAnsi" w:cstheme="minorBidi"/>
          <w:szCs w:val="22"/>
        </w:rPr>
      </w:pPr>
      <w:r>
        <w:t>85I</w:t>
      </w:r>
      <w:r>
        <w:rPr>
          <w:color w:val="000000"/>
        </w:rPr>
        <w:t>.</w:t>
      </w:r>
      <w:r>
        <w:rPr>
          <w:color w:val="000000"/>
        </w:rPr>
        <w:tab/>
        <w:t>Commissioner may take into account certain matters</w:t>
      </w:r>
      <w:r>
        <w:tab/>
      </w:r>
      <w:r>
        <w:fldChar w:fldCharType="begin"/>
      </w:r>
      <w:r>
        <w:instrText xml:space="preserve"> PAGEREF _Toc375053552 \h </w:instrText>
      </w:r>
      <w:r>
        <w:fldChar w:fldCharType="separate"/>
      </w:r>
      <w:r>
        <w:t>81</w:t>
      </w:r>
      <w:r>
        <w:fldChar w:fldCharType="end"/>
      </w:r>
    </w:p>
    <w:p>
      <w:pPr>
        <w:pStyle w:val="TOC8"/>
        <w:rPr>
          <w:rFonts w:asciiTheme="minorHAnsi" w:eastAsiaTheme="minorEastAsia" w:hAnsiTheme="minorHAnsi" w:cstheme="minorBidi"/>
          <w:szCs w:val="22"/>
        </w:rPr>
      </w:pPr>
      <w:r>
        <w:t>85J</w:t>
      </w:r>
      <w:r>
        <w:rPr>
          <w:color w:val="000000"/>
        </w:rPr>
        <w:t>.</w:t>
      </w:r>
      <w:r>
        <w:rPr>
          <w:color w:val="000000"/>
        </w:rPr>
        <w:tab/>
        <w:t>Commissioner may inform child’s parent or guardian whether specified person is a reportable offender</w:t>
      </w:r>
      <w:r>
        <w:tab/>
      </w:r>
      <w:r>
        <w:fldChar w:fldCharType="begin"/>
      </w:r>
      <w:r>
        <w:instrText xml:space="preserve"> PAGEREF _Toc375053553 \h </w:instrText>
      </w:r>
      <w:r>
        <w:fldChar w:fldCharType="separate"/>
      </w:r>
      <w:r>
        <w:t>82</w:t>
      </w:r>
      <w:r>
        <w:fldChar w:fldCharType="end"/>
      </w:r>
    </w:p>
    <w:p>
      <w:pPr>
        <w:pStyle w:val="TOC8"/>
        <w:rPr>
          <w:rFonts w:asciiTheme="minorHAnsi" w:eastAsiaTheme="minorEastAsia" w:hAnsiTheme="minorHAnsi" w:cstheme="minorBidi"/>
          <w:szCs w:val="22"/>
        </w:rPr>
      </w:pPr>
      <w:r>
        <w:t>85K</w:t>
      </w:r>
      <w:r>
        <w:rPr>
          <w:color w:val="000000"/>
        </w:rPr>
        <w:t>.</w:t>
      </w:r>
      <w:r>
        <w:rPr>
          <w:color w:val="000000"/>
        </w:rPr>
        <w:tab/>
        <w:t>Protection as to publication and other provision of information</w:t>
      </w:r>
      <w:r>
        <w:tab/>
      </w:r>
      <w:r>
        <w:fldChar w:fldCharType="begin"/>
      </w:r>
      <w:r>
        <w:instrText xml:space="preserve"> PAGEREF _Toc375053554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3</w:t>
      </w:r>
      <w:r>
        <w:rPr>
          <w:color w:val="000000"/>
        </w:rPr>
        <w:t> — </w:t>
      </w:r>
      <w:r>
        <w:t>Offences</w:t>
      </w:r>
    </w:p>
    <w:p>
      <w:pPr>
        <w:pStyle w:val="TOC8"/>
        <w:rPr>
          <w:rFonts w:asciiTheme="minorHAnsi" w:eastAsiaTheme="minorEastAsia" w:hAnsiTheme="minorHAnsi" w:cstheme="minorBidi"/>
          <w:szCs w:val="22"/>
        </w:rPr>
      </w:pPr>
      <w:r>
        <w:t>85L</w:t>
      </w:r>
      <w:r>
        <w:rPr>
          <w:color w:val="000000"/>
        </w:rPr>
        <w:t>.</w:t>
      </w:r>
      <w:r>
        <w:rPr>
          <w:color w:val="000000"/>
        </w:rPr>
        <w:tab/>
        <w:t>Conduct intended to incite animosity towards or harassment of identified offenders</w:t>
      </w:r>
      <w:r>
        <w:tab/>
      </w:r>
      <w:r>
        <w:fldChar w:fldCharType="begin"/>
      </w:r>
      <w:r>
        <w:instrText xml:space="preserve"> PAGEREF _Toc375053556 \h </w:instrText>
      </w:r>
      <w:r>
        <w:fldChar w:fldCharType="separate"/>
      </w:r>
      <w:r>
        <w:t>84</w:t>
      </w:r>
      <w:r>
        <w:fldChar w:fldCharType="end"/>
      </w:r>
    </w:p>
    <w:p>
      <w:pPr>
        <w:pStyle w:val="TOC8"/>
        <w:rPr>
          <w:rFonts w:asciiTheme="minorHAnsi" w:eastAsiaTheme="minorEastAsia" w:hAnsiTheme="minorHAnsi" w:cstheme="minorBidi"/>
          <w:szCs w:val="22"/>
        </w:rPr>
      </w:pPr>
      <w:r>
        <w:t>85M</w:t>
      </w:r>
      <w:r>
        <w:rPr>
          <w:color w:val="000000"/>
        </w:rPr>
        <w:t>.</w:t>
      </w:r>
      <w:r>
        <w:rPr>
          <w:color w:val="000000"/>
        </w:rPr>
        <w:tab/>
        <w:t>Publication, display and distribution of identifying information</w:t>
      </w:r>
      <w:r>
        <w:tab/>
      </w:r>
      <w:r>
        <w:fldChar w:fldCharType="begin"/>
      </w:r>
      <w:r>
        <w:instrText xml:space="preserve"> PAGEREF _Toc375053557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Part 5 — Protection orders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 in this Part</w:t>
      </w:r>
      <w:r>
        <w:tab/>
      </w:r>
      <w:r>
        <w:fldChar w:fldCharType="begin"/>
      </w:r>
      <w:r>
        <w:instrText xml:space="preserve"> PAGEREF _Toc375053560 \h </w:instrText>
      </w:r>
      <w:r>
        <w:fldChar w:fldCharType="separate"/>
      </w:r>
      <w:r>
        <w:t>87</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_Toc375053561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_Toc375053563 \h </w:instrText>
      </w:r>
      <w:r>
        <w:fldChar w:fldCharType="separate"/>
      </w:r>
      <w:r>
        <w:t>89</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_Toc375053564 \h </w:instrText>
      </w:r>
      <w:r>
        <w:fldChar w:fldCharType="separate"/>
      </w:r>
      <w:r>
        <w:t>89</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_Toc375053565 \h </w:instrText>
      </w:r>
      <w:r>
        <w:fldChar w:fldCharType="separate"/>
      </w:r>
      <w:r>
        <w:t>89</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_Toc375053566 \h </w:instrText>
      </w:r>
      <w:r>
        <w:fldChar w:fldCharType="separate"/>
      </w:r>
      <w:r>
        <w:t>90</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_Toc375053567 \h </w:instrText>
      </w:r>
      <w:r>
        <w:fldChar w:fldCharType="separate"/>
      </w:r>
      <w:r>
        <w:t>91</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_Toc375053568 \h </w:instrText>
      </w:r>
      <w:r>
        <w:fldChar w:fldCharType="separate"/>
      </w:r>
      <w:r>
        <w:t>92</w:t>
      </w:r>
      <w:r>
        <w:fldChar w:fldCharType="end"/>
      </w:r>
    </w:p>
    <w:p>
      <w:pPr>
        <w:pStyle w:val="TOC8"/>
        <w:rPr>
          <w:rFonts w:asciiTheme="minorHAnsi" w:eastAsiaTheme="minorEastAsia" w:hAnsiTheme="minorHAnsi" w:cstheme="minorBidi"/>
          <w:szCs w:val="22"/>
        </w:rPr>
      </w:pPr>
      <w:r>
        <w:t>93.</w:t>
      </w:r>
      <w:r>
        <w:tab/>
        <w:t>Conduct that may be the subject of orders</w:t>
      </w:r>
      <w:r>
        <w:tab/>
      </w:r>
      <w:r>
        <w:fldChar w:fldCharType="begin"/>
      </w:r>
      <w:r>
        <w:instrText xml:space="preserve"> PAGEREF _Toc375053569 \h </w:instrText>
      </w:r>
      <w:r>
        <w:fldChar w:fldCharType="separate"/>
      </w:r>
      <w:r>
        <w:t>93</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_Toc375053570 \h </w:instrText>
      </w:r>
      <w:r>
        <w:fldChar w:fldCharType="separate"/>
      </w:r>
      <w:r>
        <w:t>95</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_Toc375053571 \h </w:instrText>
      </w:r>
      <w:r>
        <w:fldChar w:fldCharType="separate"/>
      </w:r>
      <w:r>
        <w:t>96</w:t>
      </w:r>
      <w:r>
        <w:fldChar w:fldCharType="end"/>
      </w:r>
    </w:p>
    <w:p>
      <w:pPr>
        <w:pStyle w:val="TOC8"/>
        <w:rPr>
          <w:rFonts w:asciiTheme="minorHAnsi" w:eastAsiaTheme="minorEastAsia" w:hAnsiTheme="minorHAnsi" w:cstheme="minorBidi"/>
          <w:szCs w:val="22"/>
        </w:rPr>
      </w:pPr>
      <w:r>
        <w:t>94C.</w:t>
      </w:r>
      <w:r>
        <w:tab/>
        <w:t>Authorised police officers may enter premises to inspect computers</w:t>
      </w:r>
      <w:r>
        <w:tab/>
      </w:r>
      <w:r>
        <w:fldChar w:fldCharType="begin"/>
      </w:r>
      <w:r>
        <w:instrText xml:space="preserve"> PAGEREF _Toc375053572 \h </w:instrText>
      </w:r>
      <w:r>
        <w:fldChar w:fldCharType="separate"/>
      </w:r>
      <w:r>
        <w:t>98</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_Toc375053573 \h </w:instrText>
      </w:r>
      <w:r>
        <w:fldChar w:fldCharType="separate"/>
      </w:r>
      <w:r>
        <w:t>100</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_Toc375053574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rPr>
      </w:pPr>
      <w:r>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_Toc375053576 \h </w:instrText>
      </w:r>
      <w:r>
        <w:fldChar w:fldCharType="separate"/>
      </w:r>
      <w:r>
        <w:t>101</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_Toc375053577 \h </w:instrText>
      </w:r>
      <w:r>
        <w:fldChar w:fldCharType="separate"/>
      </w:r>
      <w:r>
        <w:t>101</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_Toc375053578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_Toc375053580 \h </w:instrText>
      </w:r>
      <w:r>
        <w:fldChar w:fldCharType="separate"/>
      </w:r>
      <w:r>
        <w:t>102</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_Toc375053581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_Toc375053583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_Toc375053585 \h </w:instrText>
      </w:r>
      <w:r>
        <w:fldChar w:fldCharType="separate"/>
      </w:r>
      <w:r>
        <w:t>104</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_Toc375053586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_Toc375053588 \h </w:instrText>
      </w:r>
      <w:r>
        <w:fldChar w:fldCharType="separate"/>
      </w:r>
      <w:r>
        <w:t>105</w:t>
      </w:r>
      <w:r>
        <w:fldChar w:fldCharType="end"/>
      </w:r>
    </w:p>
    <w:p>
      <w:pPr>
        <w:pStyle w:val="TOC8"/>
        <w:rPr>
          <w:rFonts w:asciiTheme="minorHAnsi" w:eastAsiaTheme="minorEastAsia" w:hAnsiTheme="minorHAnsi" w:cstheme="minorBidi"/>
          <w:szCs w:val="22"/>
        </w:rPr>
      </w:pPr>
      <w:r>
        <w:t>106.</w:t>
      </w:r>
      <w:r>
        <w:tab/>
        <w:t>Restriction on publication of identity of reportable offenders and victims</w:t>
      </w:r>
      <w:r>
        <w:tab/>
      </w:r>
      <w:r>
        <w:fldChar w:fldCharType="begin"/>
      </w:r>
      <w:r>
        <w:instrText xml:space="preserve"> PAGEREF _Toc375053589 \h </w:instrText>
      </w:r>
      <w:r>
        <w:fldChar w:fldCharType="separate"/>
      </w:r>
      <w:r>
        <w:t>105</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_Toc375053590 \h </w:instrText>
      </w:r>
      <w:r>
        <w:fldChar w:fldCharType="separate"/>
      </w:r>
      <w:r>
        <w:t>106</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_Toc375053591 \h </w:instrText>
      </w:r>
      <w:r>
        <w:fldChar w:fldCharType="separate"/>
      </w:r>
      <w:r>
        <w:t>107</w:t>
      </w:r>
      <w:r>
        <w:fldChar w:fldCharType="end"/>
      </w:r>
    </w:p>
    <w:p>
      <w:pPr>
        <w:pStyle w:val="TOC2"/>
        <w:tabs>
          <w:tab w:val="right" w:leader="dot" w:pos="7086"/>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_Toc375053593 \h </w:instrText>
      </w:r>
      <w:r>
        <w:fldChar w:fldCharType="separate"/>
      </w:r>
      <w:r>
        <w:t>108</w:t>
      </w:r>
      <w:r>
        <w:fldChar w:fldCharType="end"/>
      </w:r>
    </w:p>
    <w:p>
      <w:pPr>
        <w:pStyle w:val="TOC8"/>
        <w:rPr>
          <w:rFonts w:asciiTheme="minorHAnsi" w:eastAsiaTheme="minorEastAsia" w:hAnsiTheme="minorHAnsi" w:cstheme="minorBidi"/>
          <w:szCs w:val="22"/>
        </w:rPr>
      </w:pPr>
      <w:r>
        <w:t>110A</w:t>
      </w:r>
      <w:r>
        <w:rPr>
          <w:color w:val="000000"/>
        </w:rPr>
        <w:t>.</w:t>
      </w:r>
      <w:r>
        <w:rPr>
          <w:color w:val="000000"/>
        </w:rPr>
        <w:tab/>
        <w:t>Public authorities to provide Commissioner with certain information</w:t>
      </w:r>
      <w:r>
        <w:tab/>
      </w:r>
      <w:r>
        <w:fldChar w:fldCharType="begin"/>
      </w:r>
      <w:r>
        <w:instrText xml:space="preserve"> PAGEREF _Toc375053594 \h </w:instrText>
      </w:r>
      <w:r>
        <w:fldChar w:fldCharType="separate"/>
      </w:r>
      <w:r>
        <w:t>108</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_Toc375053595 \h </w:instrText>
      </w:r>
      <w:r>
        <w:fldChar w:fldCharType="separate"/>
      </w:r>
      <w:r>
        <w:t>109</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_Toc375053596 \h </w:instrText>
      </w:r>
      <w:r>
        <w:fldChar w:fldCharType="separate"/>
      </w:r>
      <w:r>
        <w:t>110</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_Toc375053597 \h </w:instrText>
      </w:r>
      <w:r>
        <w:fldChar w:fldCharType="separate"/>
      </w:r>
      <w:r>
        <w:t>110</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_Toc375053598 \h </w:instrText>
      </w:r>
      <w:r>
        <w:fldChar w:fldCharType="separate"/>
      </w:r>
      <w:r>
        <w:t>110</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_Toc375053599 \h </w:instrText>
      </w:r>
      <w:r>
        <w:fldChar w:fldCharType="separate"/>
      </w:r>
      <w:r>
        <w:t>111</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_Toc375053600 \h </w:instrText>
      </w:r>
      <w:r>
        <w:fldChar w:fldCharType="separate"/>
      </w:r>
      <w:r>
        <w:t>114</w:t>
      </w:r>
      <w:r>
        <w:fldChar w:fldCharType="end"/>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_Toc375053601 \h </w:instrText>
      </w:r>
      <w:r>
        <w:fldChar w:fldCharType="separate"/>
      </w:r>
      <w:r>
        <w:t>114</w:t>
      </w:r>
      <w:r>
        <w:fldChar w:fldCharType="end"/>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_Toc375053602 \h </w:instrText>
      </w:r>
      <w:r>
        <w:fldChar w:fldCharType="separate"/>
      </w:r>
      <w:r>
        <w:t>115</w:t>
      </w:r>
      <w:r>
        <w:fldChar w:fldCharType="end"/>
      </w:r>
    </w:p>
    <w:p>
      <w:pPr>
        <w:pStyle w:val="TOC2"/>
        <w:tabs>
          <w:tab w:val="right" w:leader="dot" w:pos="7086"/>
        </w:tabs>
        <w:rPr>
          <w:rFonts w:asciiTheme="minorHAnsi" w:eastAsiaTheme="minorEastAsia" w:hAnsiTheme="minorHAnsi" w:cstheme="minorBidi"/>
          <w:b w:val="0"/>
          <w:sz w:val="22"/>
          <w:szCs w:val="22"/>
        </w:rPr>
      </w:pPr>
      <w:r>
        <w:t>Schedule 1 — Class 1 offences</w:t>
      </w:r>
    </w:p>
    <w:p>
      <w:pPr>
        <w:pStyle w:val="TOC2"/>
        <w:tabs>
          <w:tab w:val="right" w:leader="dot" w:pos="7086"/>
        </w:tabs>
        <w:rPr>
          <w:rFonts w:asciiTheme="minorHAnsi" w:eastAsiaTheme="minorEastAsia" w:hAnsiTheme="minorHAnsi" w:cstheme="minorBidi"/>
          <w:b w:val="0"/>
          <w:sz w:val="22"/>
          <w:szCs w:val="22"/>
        </w:rPr>
      </w:pPr>
      <w:r>
        <w:t>Schedule 2 — Class 2 offences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_Toc375053606 \h </w:instrText>
      </w:r>
      <w:r>
        <w:fldChar w:fldCharType="separate"/>
      </w:r>
      <w:r>
        <w:t>122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_Toc375053607 \h </w:instrText>
      </w:r>
      <w:r>
        <w:fldChar w:fldCharType="separate"/>
      </w:r>
      <w:r>
        <w:t>123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by No. 1 of 2012 s. 4.]</w:t>
      </w:r>
    </w:p>
    <w:p>
      <w:pPr>
        <w:pStyle w:val="Heading2"/>
      </w:pPr>
      <w:bookmarkStart w:id="1" w:name="_Toc375053431"/>
      <w:r>
        <w:rPr>
          <w:rStyle w:val="CharPartNo"/>
        </w:rPr>
        <w:t>Part 1</w:t>
      </w:r>
      <w:r>
        <w:rPr>
          <w:rStyle w:val="CharDivNo"/>
        </w:rPr>
        <w:t> </w:t>
      </w:r>
      <w:r>
        <w:t>—</w:t>
      </w:r>
      <w:r>
        <w:rPr>
          <w:rStyle w:val="CharDivText"/>
        </w:rPr>
        <w:t> </w:t>
      </w:r>
      <w:r>
        <w:rPr>
          <w:rStyle w:val="CharPartText"/>
        </w:rPr>
        <w:t>Preliminary matters</w:t>
      </w:r>
      <w:bookmarkEnd w:id="1"/>
    </w:p>
    <w:p>
      <w:pPr>
        <w:pStyle w:val="Heading5"/>
      </w:pPr>
      <w:bookmarkStart w:id="2" w:name="_Toc375053432"/>
      <w:r>
        <w:rPr>
          <w:rStyle w:val="CharSectno"/>
        </w:rPr>
        <w:t>1</w:t>
      </w:r>
      <w:r>
        <w:t>.</w:t>
      </w:r>
      <w:r>
        <w:tab/>
        <w:t>Short title</w:t>
      </w:r>
      <w:bookmarkEnd w:id="2"/>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3" w:name="_Toc375053433"/>
      <w:r>
        <w:rPr>
          <w:rStyle w:val="CharSectno"/>
        </w:rPr>
        <w:t>2</w:t>
      </w:r>
      <w:r>
        <w:t>.</w:t>
      </w:r>
      <w:r>
        <w:tab/>
        <w:t>Commencement</w:t>
      </w:r>
      <w:bookmarkEnd w:id="3"/>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4" w:name="_Toc375053434"/>
      <w:r>
        <w:rPr>
          <w:rStyle w:val="CharSectno"/>
        </w:rPr>
        <w:t>3</w:t>
      </w:r>
      <w:r>
        <w:t>.</w:t>
      </w:r>
      <w:r>
        <w:tab/>
        <w:t>Terms used</w:t>
      </w:r>
      <w:bookmarkEnd w:id="4"/>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w:t>
      </w:r>
      <w:smartTag w:uri="urn:schemas-microsoft-com:office:smarttags" w:element="place">
        <w:smartTag w:uri="urn:schemas-microsoft-com:office:smarttags" w:element="State">
          <w:r>
            <w:t>New South Wales</w:t>
          </w:r>
        </w:smartTag>
      </w:smartTag>
      <w:r>
        <w:t>;</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 No. 54 of 2012 s. 4 and 39.]</w:t>
      </w:r>
    </w:p>
    <w:p>
      <w:pPr>
        <w:pStyle w:val="Heading5"/>
      </w:pPr>
      <w:bookmarkStart w:id="5" w:name="_Toc375053435"/>
      <w:r>
        <w:rPr>
          <w:rStyle w:val="CharSectno"/>
        </w:rPr>
        <w:t>4</w:t>
      </w:r>
      <w:r>
        <w:t>.</w:t>
      </w:r>
      <w:r>
        <w:tab/>
        <w:t>Meaning of finding of guilt</w:t>
      </w:r>
      <w:bookmarkEnd w:id="5"/>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6" w:name="_Toc375053436"/>
      <w:r>
        <w:rPr>
          <w:rStyle w:val="CharSectno"/>
        </w:rPr>
        <w:t>5</w:t>
      </w:r>
      <w:r>
        <w:t>.</w:t>
      </w:r>
      <w:r>
        <w:tab/>
        <w:t>Other reference provisions</w:t>
      </w:r>
      <w:bookmarkEnd w:id="6"/>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7" w:name="_Toc375053437"/>
      <w:r>
        <w:rPr>
          <w:rStyle w:val="CharPartNo"/>
        </w:rPr>
        <w:t>Part 2</w:t>
      </w:r>
      <w:r>
        <w:t> — </w:t>
      </w:r>
      <w:r>
        <w:rPr>
          <w:rStyle w:val="CharPartText"/>
        </w:rPr>
        <w:t>Offenders to whom Act applies</w:t>
      </w:r>
      <w:bookmarkEnd w:id="7"/>
    </w:p>
    <w:p>
      <w:pPr>
        <w:pStyle w:val="Heading3"/>
      </w:pPr>
      <w:bookmarkStart w:id="8" w:name="_Toc375053438"/>
      <w:r>
        <w:rPr>
          <w:rStyle w:val="CharDivNo"/>
        </w:rPr>
        <w:t>Division 1</w:t>
      </w:r>
      <w:r>
        <w:t> — </w:t>
      </w:r>
      <w:r>
        <w:rPr>
          <w:rStyle w:val="CharDivText"/>
        </w:rPr>
        <w:t>General</w:t>
      </w:r>
      <w:bookmarkEnd w:id="8"/>
    </w:p>
    <w:p>
      <w:pPr>
        <w:pStyle w:val="Heading5"/>
      </w:pPr>
      <w:bookmarkStart w:id="9" w:name="_Toc375053439"/>
      <w:r>
        <w:rPr>
          <w:rStyle w:val="CharSectno"/>
        </w:rPr>
        <w:t>6</w:t>
      </w:r>
      <w:r>
        <w:t>.</w:t>
      </w:r>
      <w:r>
        <w:tab/>
        <w:t>Reportable offenders</w:t>
      </w:r>
      <w:bookmarkEnd w:id="9"/>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0" w:name="_Toc375053440"/>
      <w:r>
        <w:rPr>
          <w:rStyle w:val="CharSectno"/>
        </w:rPr>
        <w:t>7</w:t>
      </w:r>
      <w:r>
        <w:t>.</w:t>
      </w:r>
      <w:r>
        <w:tab/>
        <w:t>Corresponding reportable offenders</w:t>
      </w:r>
      <w:bookmarkEnd w:id="10"/>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 xml:space="preserve">would, if he or she were currently in that foreign jurisdiction, be required to report to the corresponding registrar in that jurisdiction for a </w:t>
      </w:r>
      <w:r>
        <w:rPr>
          <w:color w:val="000000"/>
        </w:rPr>
        <w:t>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by No. 54 of 2012 s. 5.]</w:t>
      </w:r>
    </w:p>
    <w:p>
      <w:pPr>
        <w:pStyle w:val="Heading5"/>
      </w:pPr>
      <w:bookmarkStart w:id="11" w:name="_Toc375053441"/>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11"/>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12" w:name="_Toc375053442"/>
      <w:r>
        <w:rPr>
          <w:rStyle w:val="CharSectno"/>
        </w:rPr>
        <w:t>9</w:t>
      </w:r>
      <w:r>
        <w:t>.</w:t>
      </w:r>
      <w:r>
        <w:tab/>
        <w:t>Reportable offences</w:t>
      </w:r>
      <w:bookmarkEnd w:id="12"/>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13" w:name="_Toc375053443"/>
      <w:r>
        <w:rPr>
          <w:rStyle w:val="CharSectno"/>
        </w:rPr>
        <w:t>10</w:t>
      </w:r>
      <w:r>
        <w:t>.</w:t>
      </w:r>
      <w:r>
        <w:tab/>
        <w:t>Class 1 offences</w:t>
      </w:r>
      <w:bookmarkEnd w:id="13"/>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14" w:name="_Toc375053444"/>
      <w:r>
        <w:rPr>
          <w:rStyle w:val="CharSectno"/>
        </w:rPr>
        <w:t>11</w:t>
      </w:r>
      <w:r>
        <w:t>.</w:t>
      </w:r>
      <w:r>
        <w:tab/>
        <w:t>Class 2 offences</w:t>
      </w:r>
      <w:bookmarkEnd w:id="14"/>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15" w:name="_Toc375053445"/>
      <w:r>
        <w:rPr>
          <w:rStyle w:val="CharSectno"/>
        </w:rPr>
        <w:t>13</w:t>
      </w:r>
      <w:r>
        <w:t>.</w:t>
      </w:r>
      <w:r>
        <w:tab/>
        <w:t>Offender reporting orders</w:t>
      </w:r>
      <w:bookmarkEnd w:id="15"/>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 xml:space="preserve">The court </w:t>
      </w:r>
      <w:r>
        <w:rPr>
          <w:color w:val="000000"/>
        </w:rPr>
        <w:t>may</w:t>
      </w:r>
      <w:r>
        <w:t xml:space="preserve">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rPr>
          <w:color w:val="000000"/>
        </w:rPr>
        <w:tab/>
        <w:t>(a)</w:t>
      </w:r>
      <w:r>
        <w:rPr>
          <w:color w:val="000000"/>
        </w:rP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rPr>
          <w:color w:val="000000"/>
        </w:rPr>
        <w:tab/>
        <w:t>(a)</w:t>
      </w:r>
      <w:r>
        <w:rPr>
          <w:color w:val="000000"/>
        </w:rP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rPr>
          <w:color w:val="000000"/>
        </w:rPr>
      </w:pPr>
      <w:r>
        <w:tab/>
        <w:t>(d)</w:t>
      </w:r>
      <w:r>
        <w:tab/>
        <w:t>with any other necessary modifications.</w:t>
      </w:r>
    </w:p>
    <w:p>
      <w:pPr>
        <w:pStyle w:val="Subsection"/>
        <w:spacing w:before="120"/>
      </w:pPr>
      <w:r>
        <w:tab/>
        <w:t>(7)</w:t>
      </w:r>
      <w:r>
        <w:tab/>
        <w:t>For the purposes of Part 3 Division 5, a person subject to an order made under this section is taken to have been found guilty of a Class 2 offence.</w:t>
      </w:r>
    </w:p>
    <w:p>
      <w:pPr>
        <w:pStyle w:val="Footnotesection"/>
      </w:pPr>
      <w:r>
        <w:tab/>
        <w:t>[Section 13 amended by No. 54 of 2012 s. 6.]</w:t>
      </w:r>
    </w:p>
    <w:p>
      <w:pPr>
        <w:pStyle w:val="Heading5"/>
      </w:pPr>
      <w:bookmarkStart w:id="16" w:name="_Toc375053446"/>
      <w:r>
        <w:rPr>
          <w:rStyle w:val="CharSectno"/>
        </w:rPr>
        <w:t>14A</w:t>
      </w:r>
      <w:r>
        <w:rPr>
          <w:color w:val="000000"/>
        </w:rPr>
        <w:t>.</w:t>
      </w:r>
      <w:r>
        <w:rPr>
          <w:color w:val="000000"/>
        </w:rPr>
        <w:tab/>
        <w:t>Consent orders</w:t>
      </w:r>
      <w:bookmarkEnd w:id="16"/>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by No. 54 of 2012 s. 7.]</w:t>
      </w:r>
    </w:p>
    <w:p>
      <w:pPr>
        <w:pStyle w:val="Heading3"/>
      </w:pPr>
      <w:bookmarkStart w:id="17" w:name="_Toc375053447"/>
      <w:r>
        <w:rPr>
          <w:rStyle w:val="CharDivNo"/>
        </w:rPr>
        <w:t>Division 2</w:t>
      </w:r>
      <w:r>
        <w:t> — </w:t>
      </w:r>
      <w:r>
        <w:rPr>
          <w:rStyle w:val="CharDivText"/>
        </w:rPr>
        <w:t>Past offender reporting orders</w:t>
      </w:r>
      <w:bookmarkEnd w:id="17"/>
    </w:p>
    <w:p>
      <w:pPr>
        <w:pStyle w:val="Heading5"/>
      </w:pPr>
      <w:bookmarkStart w:id="18" w:name="_Toc375053448"/>
      <w:r>
        <w:rPr>
          <w:rStyle w:val="CharSectno"/>
        </w:rPr>
        <w:t>14</w:t>
      </w:r>
      <w:r>
        <w:t>.</w:t>
      </w:r>
      <w:r>
        <w:tab/>
        <w:t>Terms used</w:t>
      </w:r>
      <w:bookmarkEnd w:id="18"/>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19" w:name="_Toc375053449"/>
      <w:r>
        <w:rPr>
          <w:rStyle w:val="CharSectno"/>
        </w:rPr>
        <w:t>15</w:t>
      </w:r>
      <w:r>
        <w:t>.</w:t>
      </w:r>
      <w:r>
        <w:tab/>
        <w:t>Commissioner may apply for reporting orders</w:t>
      </w:r>
      <w:bookmarkEnd w:id="19"/>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0" w:name="_Toc375053450"/>
      <w:r>
        <w:rPr>
          <w:rStyle w:val="CharSectno"/>
        </w:rPr>
        <w:t>16</w:t>
      </w:r>
      <w:r>
        <w:t>.</w:t>
      </w:r>
      <w:r>
        <w:tab/>
        <w:t>Fixing a hearing</w:t>
      </w:r>
      <w:bookmarkEnd w:id="20"/>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21" w:name="_Toc375053451"/>
      <w:r>
        <w:rPr>
          <w:rStyle w:val="CharSectno"/>
        </w:rPr>
        <w:t>17</w:t>
      </w:r>
      <w:r>
        <w:t>.</w:t>
      </w:r>
      <w:r>
        <w:tab/>
        <w:t>Evidence</w:t>
      </w:r>
      <w:bookmarkEnd w:id="21"/>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by No. 54 of 2012 s. 8.]</w:t>
      </w:r>
    </w:p>
    <w:p>
      <w:pPr>
        <w:pStyle w:val="Heading5"/>
      </w:pPr>
      <w:bookmarkStart w:id="22" w:name="_Toc375053452"/>
      <w:r>
        <w:rPr>
          <w:rStyle w:val="CharSectno"/>
        </w:rPr>
        <w:t>18</w:t>
      </w:r>
      <w:r>
        <w:t>.</w:t>
      </w:r>
      <w:r>
        <w:tab/>
        <w:t>How application to be disposed of</w:t>
      </w:r>
      <w:bookmarkEnd w:id="22"/>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23" w:name="_Toc375053453"/>
      <w:r>
        <w:rPr>
          <w:rStyle w:val="CharSectno"/>
        </w:rPr>
        <w:t>19</w:t>
      </w:r>
      <w:r>
        <w:t>.</w:t>
      </w:r>
      <w:r>
        <w:tab/>
        <w:t>Court may make reporting orders</w:t>
      </w:r>
      <w:bookmarkEnd w:id="23"/>
    </w:p>
    <w:p>
      <w:pPr>
        <w:pStyle w:val="Subsection"/>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rPr>
          <w:color w:val="000000"/>
        </w:rPr>
        <w:tab/>
        <w:t>(3A)</w:t>
      </w:r>
      <w:r>
        <w:rPr>
          <w:color w:val="000000"/>
        </w:rPr>
        <w:tab/>
        <w:t xml:space="preserve">In deciding whether to make an order under this section in respect of an offence, the court may take into account the following — </w:t>
      </w:r>
    </w:p>
    <w:p>
      <w:pPr>
        <w:pStyle w:val="Indenta"/>
      </w:pPr>
      <w:r>
        <w:rPr>
          <w:color w:val="000000"/>
        </w:rPr>
        <w:tab/>
        <w:t>(a)</w:t>
      </w:r>
      <w:r>
        <w:rPr>
          <w:color w:val="000000"/>
        </w:rPr>
        <w:tab/>
        <w:t>any evidence given during proceedings for the offence;</w:t>
      </w:r>
    </w:p>
    <w:p>
      <w:pPr>
        <w:pStyle w:val="Indenta"/>
      </w:pPr>
      <w:r>
        <w:tab/>
        <w:t>(b)</w:t>
      </w:r>
      <w:r>
        <w:tab/>
        <w:t>any document or record (including an electronic document or record) served on the past offender by the prosecution or the Commissioner;</w:t>
      </w:r>
    </w:p>
    <w:p>
      <w:pPr>
        <w:pStyle w:val="Indenta"/>
      </w:pPr>
      <w:r>
        <w:tab/>
        <w:t>(c)</w:t>
      </w:r>
      <w:r>
        <w:tab/>
        <w:t>any statement tendered, or deposition made, or exhibit tendered, at any proceedings in relation to the offence;</w:t>
      </w:r>
    </w:p>
    <w:p>
      <w:pPr>
        <w:pStyle w:val="Indenta"/>
      </w:pPr>
      <w:r>
        <w:tab/>
        <w:t>(d)</w:t>
      </w:r>
      <w:r>
        <w:tab/>
        <w:t>the period of time since the offence was committed;</w:t>
      </w:r>
    </w:p>
    <w:p>
      <w:pPr>
        <w:pStyle w:val="Indenta"/>
      </w:pPr>
      <w:r>
        <w:tab/>
        <w:t>(e)</w:t>
      </w:r>
      <w:r>
        <w:tab/>
        <w:t>the age of the past offender and the age of any victim of the offence at the time the offence was committed;</w:t>
      </w:r>
    </w:p>
    <w:p>
      <w:pPr>
        <w:pStyle w:val="Indenta"/>
      </w:pPr>
      <w:r>
        <w:tab/>
        <w:t>(f)</w:t>
      </w:r>
      <w:r>
        <w:tab/>
        <w:t>the difference in age between the past offender and any victim of the offence;</w:t>
      </w:r>
    </w:p>
    <w:p>
      <w:pPr>
        <w:pStyle w:val="Indenta"/>
      </w:pPr>
      <w:r>
        <w:tab/>
        <w:t>(g)</w:t>
      </w:r>
      <w:r>
        <w:tab/>
        <w:t>the seriousness of the past offender’s total criminal record;</w:t>
      </w:r>
    </w:p>
    <w:p>
      <w:pPr>
        <w:pStyle w:val="Indenta"/>
      </w:pPr>
      <w:r>
        <w:tab/>
        <w:t>(h)</w:t>
      </w:r>
      <w:r>
        <w:tab/>
        <w:t>any other matter the court considers relevant.</w:t>
      </w:r>
    </w:p>
    <w:p>
      <w:pPr>
        <w:pStyle w:val="Subsection"/>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by No. 54 of 2012 s. 9.]</w:t>
      </w:r>
    </w:p>
    <w:p>
      <w:pPr>
        <w:pStyle w:val="Heading5"/>
      </w:pPr>
      <w:bookmarkStart w:id="24" w:name="_Toc375053454"/>
      <w:r>
        <w:rPr>
          <w:rStyle w:val="CharSectno"/>
        </w:rPr>
        <w:t>20A</w:t>
      </w:r>
      <w:r>
        <w:rPr>
          <w:color w:val="000000"/>
        </w:rPr>
        <w:t>.</w:t>
      </w:r>
      <w:r>
        <w:rPr>
          <w:color w:val="000000"/>
        </w:rPr>
        <w:tab/>
        <w:t>Consent orders</w:t>
      </w:r>
      <w:bookmarkEnd w:id="24"/>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past offender</w:t>
      </w:r>
      <w:r>
        <w:rPr>
          <w:color w:val="000000"/>
        </w:rP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by No. 54 of 2012 s. 10.]</w:t>
      </w:r>
    </w:p>
    <w:p>
      <w:pPr>
        <w:pStyle w:val="Heading5"/>
        <w:spacing w:before="180"/>
      </w:pPr>
      <w:bookmarkStart w:id="25" w:name="_Toc375053455"/>
      <w:r>
        <w:rPr>
          <w:rStyle w:val="CharSectno"/>
        </w:rPr>
        <w:t>20</w:t>
      </w:r>
      <w:r>
        <w:t>.</w:t>
      </w:r>
      <w:r>
        <w:tab/>
        <w:t>Attendance at hearings</w:t>
      </w:r>
      <w:bookmarkEnd w:id="25"/>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6" w:name="_Toc375053456"/>
      <w:r>
        <w:rPr>
          <w:rStyle w:val="CharSectno"/>
        </w:rPr>
        <w:t>21</w:t>
      </w:r>
      <w:r>
        <w:t>.</w:t>
      </w:r>
      <w:r>
        <w:tab/>
        <w:t>Notification of orders made in absence of respondent</w:t>
      </w:r>
      <w:bookmarkEnd w:id="26"/>
    </w:p>
    <w:p>
      <w:pPr>
        <w:pStyle w:val="Subsection"/>
      </w:pPr>
      <w:r>
        <w:tab/>
      </w:r>
      <w:r>
        <w:tab/>
        <w:t>The registrar of a court that makes a reporting order in the absence of the respondent must cause a copy of the order to be served on the respondent.</w:t>
      </w:r>
    </w:p>
    <w:p>
      <w:pPr>
        <w:pStyle w:val="Heading5"/>
      </w:pPr>
      <w:bookmarkStart w:id="27" w:name="_Toc375053457"/>
      <w:r>
        <w:rPr>
          <w:rStyle w:val="CharSectno"/>
        </w:rPr>
        <w:t>22</w:t>
      </w:r>
      <w:r>
        <w:t>.</w:t>
      </w:r>
      <w:r>
        <w:tab/>
        <w:t>Appeals</w:t>
      </w:r>
      <w:bookmarkEnd w:id="27"/>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 xml:space="preserve">to make a reporting </w:t>
      </w:r>
      <w:r>
        <w:rPr>
          <w:color w:val="000000"/>
        </w:rPr>
        <w:t>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 No. 54 of 2012 s. 11.]</w:t>
      </w:r>
    </w:p>
    <w:p>
      <w:pPr>
        <w:pStyle w:val="Heading5"/>
      </w:pPr>
      <w:bookmarkStart w:id="28" w:name="_Toc375053458"/>
      <w:r>
        <w:rPr>
          <w:rStyle w:val="CharSectno"/>
        </w:rPr>
        <w:t>23</w:t>
      </w:r>
      <w:r>
        <w:t>.</w:t>
      </w:r>
      <w:r>
        <w:tab/>
        <w:t>Appeal does not stay order</w:t>
      </w:r>
      <w:bookmarkEnd w:id="28"/>
    </w:p>
    <w:p>
      <w:pPr>
        <w:pStyle w:val="Subsection"/>
      </w:pPr>
      <w:r>
        <w:tab/>
      </w:r>
      <w:r>
        <w:tab/>
        <w:t>An appeal against an order made under this Part does not operate to stay the operation of the order unless the court to which the appeal is made so orders.</w:t>
      </w:r>
    </w:p>
    <w:p>
      <w:pPr>
        <w:pStyle w:val="Heading2"/>
      </w:pPr>
      <w:bookmarkStart w:id="29" w:name="_Toc375053459"/>
      <w:r>
        <w:rPr>
          <w:rStyle w:val="CharPartNo"/>
        </w:rPr>
        <w:t>Part 3</w:t>
      </w:r>
      <w:r>
        <w:t> — </w:t>
      </w:r>
      <w:r>
        <w:rPr>
          <w:rStyle w:val="CharPartText"/>
        </w:rPr>
        <w:t>Reporting obligations</w:t>
      </w:r>
      <w:bookmarkEnd w:id="29"/>
    </w:p>
    <w:p>
      <w:pPr>
        <w:pStyle w:val="Heading3"/>
      </w:pPr>
      <w:bookmarkStart w:id="30" w:name="_Toc375053460"/>
      <w:r>
        <w:rPr>
          <w:rStyle w:val="CharDivNo"/>
        </w:rPr>
        <w:t>Division 1</w:t>
      </w:r>
      <w:r>
        <w:t> — </w:t>
      </w:r>
      <w:r>
        <w:rPr>
          <w:rStyle w:val="CharDivText"/>
        </w:rPr>
        <w:t>Initial report</w:t>
      </w:r>
      <w:bookmarkEnd w:id="30"/>
    </w:p>
    <w:p>
      <w:pPr>
        <w:pStyle w:val="Heading5"/>
      </w:pPr>
      <w:bookmarkStart w:id="31" w:name="_Toc375053461"/>
      <w:r>
        <w:rPr>
          <w:rStyle w:val="CharSectno"/>
        </w:rPr>
        <w:t>24</w:t>
      </w:r>
      <w:r>
        <w:t>.</w:t>
      </w:r>
      <w:r>
        <w:tab/>
        <w:t>When the report must be made</w:t>
      </w:r>
      <w:bookmarkEnd w:id="31"/>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rPr>
          <w:color w:val="000000"/>
        </w:rPr>
        <w:tab/>
        <w:t>(a)</w:t>
      </w:r>
      <w:r>
        <w:rPr>
          <w:color w:val="000000"/>
        </w:rP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 xml:space="preserve">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Footnotesection"/>
      </w:pPr>
      <w:r>
        <w:tab/>
        <w:t>[Section 24 amended by No. 54 of 2012 s. 12.]</w:t>
      </w:r>
    </w:p>
    <w:p>
      <w:pPr>
        <w:pStyle w:val="Heading5"/>
      </w:pPr>
      <w:bookmarkStart w:id="32" w:name="_Toc375053462"/>
      <w:r>
        <w:rPr>
          <w:rStyle w:val="CharSectno"/>
        </w:rPr>
        <w:t>25</w:t>
      </w:r>
      <w:r>
        <w:t>.</w:t>
      </w:r>
      <w:r>
        <w:tab/>
        <w:t>When new initial report must be made by offender whose previous reporting obligations have ceased</w:t>
      </w:r>
      <w:bookmarkEnd w:id="32"/>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33" w:name="_Toc375053463"/>
      <w:r>
        <w:rPr>
          <w:rStyle w:val="CharSectno"/>
        </w:rPr>
        <w:t>26</w:t>
      </w:r>
      <w:r>
        <w:t>.</w:t>
      </w:r>
      <w:r>
        <w:tab/>
        <w:t>Initial report by reportable offender of personal details</w:t>
      </w:r>
      <w:bookmarkEnd w:id="33"/>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rPr>
          <w:color w:val="000000"/>
        </w:rPr>
        <w:tab/>
        <w:t>(daa)</w:t>
      </w:r>
      <w:r>
        <w:rPr>
          <w:color w:val="000000"/>
        </w:rPr>
        <w:tab/>
        <w:t>details of any passport that he or she holds, including its number and expiry date and the name of the country that issued it;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rPr>
          <w:color w:val="000000"/>
        </w:rPr>
        <w:tab/>
        <w:t>(df)</w:t>
      </w:r>
      <w:r>
        <w:rPr>
          <w:color w:val="000000"/>
        </w:rPr>
        <w:tab/>
        <w:t xml:space="preserve">any user name, code, password or other information that he or she uses to gain access to — </w:t>
      </w:r>
    </w:p>
    <w:p>
      <w:pPr>
        <w:pStyle w:val="Indenti"/>
      </w:pPr>
      <w:r>
        <w:rPr>
          <w:color w:val="000000"/>
        </w:rPr>
        <w:tab/>
        <w:t>(i)</w:t>
      </w:r>
      <w:r>
        <w:rPr>
          <w:color w:val="000000"/>
        </w:rPr>
        <w:tab/>
        <w:t>the internet generally or a particular website, other than a website operated by an authorised deposit</w:t>
      </w:r>
      <w:r>
        <w:rPr>
          <w:color w:val="000000"/>
        </w:rPr>
        <w:noBreakHyphen/>
        <w:t xml:space="preserve">taking institution, as defined in the </w:t>
      </w:r>
      <w:r>
        <w:rPr>
          <w:i/>
          <w:color w:val="000000"/>
        </w:rPr>
        <w:t xml:space="preserve">Banking Act 1959 </w:t>
      </w:r>
      <w:r>
        <w:rPr>
          <w:color w:val="000000"/>
        </w:rPr>
        <w:t>(Commonwealth), or a website</w:t>
      </w:r>
      <w:r>
        <w:rPr>
          <w:i/>
          <w:color w:val="000000"/>
        </w:rPr>
        <w:t xml:space="preserve"> </w:t>
      </w:r>
      <w:r>
        <w:rPr>
          <w:color w:val="000000"/>
        </w:rPr>
        <w:t>approved by the Commissioner under subsection (1b); or</w:t>
      </w:r>
    </w:p>
    <w:p>
      <w:pPr>
        <w:pStyle w:val="Indenti"/>
      </w:pPr>
      <w:r>
        <w:tab/>
        <w:t>(ii)</w:t>
      </w:r>
      <w:r>
        <w:tab/>
        <w:t>an email address referred to in paragraph (db) or a communication service referred to in paragraph (de);</w:t>
      </w:r>
    </w:p>
    <w:p>
      <w:pPr>
        <w:pStyle w:val="Indenta"/>
      </w:pPr>
      <w:r>
        <w:rPr>
          <w:color w:val="000000"/>
        </w:rPr>
        <w:tab/>
      </w:r>
      <w:r>
        <w:rPr>
          <w:color w:val="000000"/>
        </w:rPr>
        <w:tab/>
        <w:t>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rPr>
          <w:color w:val="000000"/>
        </w:rPr>
        <w:tab/>
        <w:t>(fa)</w:t>
      </w:r>
      <w:r>
        <w:rPr>
          <w:color w:val="000000"/>
        </w:rPr>
        <w:tab/>
        <w:t xml:space="preserve">the address of each of the premises at which — </w:t>
      </w:r>
    </w:p>
    <w:p>
      <w:pPr>
        <w:pStyle w:val="Indenti"/>
      </w:pPr>
      <w:r>
        <w:rPr>
          <w:color w:val="000000"/>
        </w:rPr>
        <w:tab/>
        <w:t>(i)</w:t>
      </w:r>
      <w:r>
        <w:rPr>
          <w:color w:val="000000"/>
        </w:rPr>
        <w:tab/>
        <w:t>he or she is regularly present; and</w:t>
      </w:r>
    </w:p>
    <w:p>
      <w:pPr>
        <w:pStyle w:val="Indenti"/>
      </w:pPr>
      <w:r>
        <w:tab/>
        <w:t>(ii)</w:t>
      </w:r>
      <w:r>
        <w:tab/>
        <w:t>any children generally reside;</w:t>
      </w:r>
    </w:p>
    <w:p>
      <w:pPr>
        <w:pStyle w:val="Indenta"/>
      </w:pPr>
      <w:r>
        <w:rPr>
          <w:color w:val="000000"/>
        </w:rPr>
        <w:tab/>
      </w:r>
      <w:r>
        <w:rPr>
          <w:color w:val="000000"/>
        </w:rPr>
        <w:tab/>
        <w:t>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 xml:space="preserve">whether he or she has ever been found guilty in any foreign jurisdiction of a reportable offence or of an offence that required him or her to report to a corresponding registrar or been subject to a corresponding offender reporting order or a corresponding </w:t>
      </w:r>
      <w:r>
        <w:rPr>
          <w:color w:val="000000"/>
        </w:rPr>
        <w:t>protection order</w:t>
      </w:r>
      <w:r>
        <w:t xml:space="preserve">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pPr>
      <w:r>
        <w:tab/>
        <w:t>(a)</w:t>
      </w:r>
      <w:r>
        <w:tab/>
        <w:t xml:space="preserve">a reportable offender does not generally reside at any particular premises unless he or she resides at those premises for at least </w:t>
      </w:r>
      <w:r>
        <w:rPr>
          <w:color w:val="000000"/>
        </w:rPr>
        <w:t>7 days</w:t>
      </w:r>
      <w:r>
        <w:t xml:space="preserve"> (whether consecutive or not) in any period of 12 months; and</w:t>
      </w:r>
    </w:p>
    <w:p>
      <w:pPr>
        <w:pStyle w:val="Indenta"/>
      </w:pPr>
      <w:r>
        <w:tab/>
        <w:t>(b)</w:t>
      </w:r>
      <w:r>
        <w:tab/>
        <w:t xml:space="preserve">a child does not generally reside in the same household as a reportable offender unless they reside together in that household for at least </w:t>
      </w:r>
      <w:r>
        <w:rPr>
          <w:color w:val="000000"/>
        </w:rPr>
        <w:t>3 days</w:t>
      </w:r>
      <w:r>
        <w:t xml:space="preserve"> (whether consecutive or not) in any period of 12 months; and</w:t>
      </w:r>
    </w:p>
    <w:p>
      <w:pPr>
        <w:pStyle w:val="Indenta"/>
      </w:pPr>
      <w:r>
        <w:tab/>
        <w:t>(c)</w:t>
      </w:r>
      <w:r>
        <w:tab/>
        <w:t xml:space="preserve">a reportable offender does not have regular unsupervised contact with a child unless he or she has unsupervised contact with the child for at least </w:t>
      </w:r>
      <w:r>
        <w:rPr>
          <w:color w:val="000000"/>
        </w:rPr>
        <w:t>3 days</w:t>
      </w:r>
      <w:r>
        <w:t xml:space="preserve"> (whether consecutive or not) in any period of 12 months; and</w:t>
      </w:r>
    </w:p>
    <w:p>
      <w:pPr>
        <w:pStyle w:val="Indenta"/>
      </w:pPr>
      <w:r>
        <w:rPr>
          <w:color w:val="000000"/>
        </w:rPr>
        <w:tab/>
        <w:t>(da)</w:t>
      </w:r>
      <w:r>
        <w:rPr>
          <w:color w:val="000000"/>
        </w:rPr>
        <w:tab/>
        <w:t>a reportable offender is not regularly present at any premises unless he or she is present at those premises for at least 7 days (whether consecutive or not) in any period of 12 months; and</w:t>
      </w:r>
    </w:p>
    <w:p>
      <w:pPr>
        <w:pStyle w:val="Indenta"/>
      </w:pPr>
      <w:r>
        <w:tab/>
        <w:t>(db)</w:t>
      </w:r>
      <w:r>
        <w:tab/>
        <w:t>a child does not generally reside at any premises unless he or she resides at those premises for at least 3 days (whether consecutive or not) in any period of 12 months; and</w:t>
      </w:r>
    </w:p>
    <w:p>
      <w:pPr>
        <w:pStyle w:val="Indenta"/>
      </w:pPr>
      <w:r>
        <w:tab/>
        <w:t>(d)</w:t>
      </w:r>
      <w:r>
        <w:tab/>
        <w:t xml:space="preserve">a reportable offender is not generally employed at any particular premises unless he or she is employed at those premises for at least </w:t>
      </w:r>
      <w:r>
        <w:rPr>
          <w:color w:val="000000"/>
        </w:rPr>
        <w:t>7 days</w:t>
      </w:r>
      <w:r>
        <w:t xml:space="preserve"> (whether consecutive or not) in any period of 12 months; and</w:t>
      </w:r>
    </w:p>
    <w:p>
      <w:pPr>
        <w:pStyle w:val="Indenta"/>
      </w:pPr>
      <w:r>
        <w:tab/>
        <w:t>(e)</w:t>
      </w:r>
      <w:r>
        <w:tab/>
        <w:t xml:space="preserve">a reportable offender does not generally drive a particular motor vehicle unless the person drives that vehicle for at least </w:t>
      </w:r>
      <w:r>
        <w:rPr>
          <w:color w:val="000000"/>
        </w:rPr>
        <w:t>7 days</w:t>
      </w:r>
      <w:r>
        <w:t xml:space="preserve">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 No. 54 of 2012 s. 13 and 42(2).]</w:t>
      </w:r>
    </w:p>
    <w:p>
      <w:pPr>
        <w:pStyle w:val="Heading5"/>
        <w:spacing w:before="180"/>
      </w:pPr>
      <w:bookmarkStart w:id="34" w:name="_Toc375053464"/>
      <w:r>
        <w:rPr>
          <w:rStyle w:val="CharSectno"/>
        </w:rPr>
        <w:t>27</w:t>
      </w:r>
      <w:r>
        <w:t>.</w:t>
      </w:r>
      <w:r>
        <w:tab/>
        <w:t>Persons required to report under corresponding Act</w:t>
      </w:r>
      <w:bookmarkEnd w:id="34"/>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35" w:name="_Toc375053465"/>
      <w:r>
        <w:rPr>
          <w:rStyle w:val="CharDivNo"/>
        </w:rPr>
        <w:t>Division 2</w:t>
      </w:r>
      <w:r>
        <w:t> — </w:t>
      </w:r>
      <w:r>
        <w:rPr>
          <w:rStyle w:val="CharDivText"/>
        </w:rPr>
        <w:t>Ongoing reporting obligations</w:t>
      </w:r>
      <w:bookmarkEnd w:id="35"/>
    </w:p>
    <w:p>
      <w:pPr>
        <w:pStyle w:val="Heading5"/>
      </w:pPr>
      <w:bookmarkStart w:id="36" w:name="_Toc375053466"/>
      <w:r>
        <w:rPr>
          <w:rStyle w:val="CharSectno"/>
        </w:rPr>
        <w:t>28</w:t>
      </w:r>
      <w:r>
        <w:t>.</w:t>
      </w:r>
      <w:r>
        <w:tab/>
        <w:t>Reportable offender to report annually and as required by Commissioner</w:t>
      </w:r>
      <w:bookmarkEnd w:id="36"/>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37" w:name="_Toc375053467"/>
      <w:r>
        <w:rPr>
          <w:rStyle w:val="CharSectno"/>
        </w:rPr>
        <w:t>29</w:t>
      </w:r>
      <w:r>
        <w:t>.</w:t>
      </w:r>
      <w:r>
        <w:tab/>
        <w:t>Reportable offender to report changes to relevant personal details</w:t>
      </w:r>
      <w:bookmarkEnd w:id="37"/>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rPr>
          <w:color w:val="000000"/>
        </w:rPr>
        <w:tab/>
        <w:t>(a)</w:t>
      </w:r>
      <w:r>
        <w:rPr>
          <w:color w:val="000000"/>
        </w:rP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rPr>
          <w:color w:val="000000"/>
        </w:rPr>
        <w:tab/>
        <w:t>(ca)</w:t>
      </w:r>
      <w:r>
        <w:rPr>
          <w:color w:val="000000"/>
        </w:rP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 xml:space="preserve">only on the expiry of the relevant </w:t>
      </w:r>
      <w:r>
        <w:rPr>
          <w:color w:val="000000"/>
        </w:rPr>
        <w:t>7 day period referred to in section 26(2)(a), (da), (d) or (e) or the relevant 3 day period referred to in section 26(2)(b), (c) or (db).</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Footnotesection"/>
      </w:pPr>
      <w:r>
        <w:tab/>
        <w:t>[Section 29 amended by No. 54 of 2012 s. 14.]</w:t>
      </w:r>
    </w:p>
    <w:p>
      <w:pPr>
        <w:pStyle w:val="Heading5"/>
        <w:spacing w:before="240"/>
      </w:pPr>
      <w:bookmarkStart w:id="38" w:name="_Toc375053468"/>
      <w:r>
        <w:rPr>
          <w:rStyle w:val="CharSectno"/>
        </w:rPr>
        <w:t>29A</w:t>
      </w:r>
      <w:r>
        <w:t>.</w:t>
      </w:r>
      <w:r>
        <w:tab/>
        <w:t>Intended absence from place of residence to be reported</w:t>
      </w:r>
      <w:bookmarkEnd w:id="38"/>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39" w:name="_Toc375053469"/>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39"/>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40" w:name="_Toc375053470"/>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40"/>
      <w:r>
        <w:t xml:space="preserve"> </w:t>
      </w:r>
    </w:p>
    <w:p>
      <w:pPr>
        <w:pStyle w:val="Subsection"/>
        <w:spacing w:before="120"/>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41" w:name="_Toc375053471"/>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41"/>
    </w:p>
    <w:p>
      <w:pPr>
        <w:pStyle w:val="Subsection"/>
        <w:spacing w:before="120"/>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42" w:name="_Toc375053472"/>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42"/>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43" w:name="_Toc375053473"/>
      <w:r>
        <w:rPr>
          <w:rStyle w:val="CharDivNo"/>
        </w:rPr>
        <w:t>Division 3</w:t>
      </w:r>
      <w:r>
        <w:t> — </w:t>
      </w:r>
      <w:r>
        <w:rPr>
          <w:rStyle w:val="CharDivText"/>
        </w:rPr>
        <w:t>Provisions applying to all reporting obligations</w:t>
      </w:r>
      <w:bookmarkEnd w:id="43"/>
    </w:p>
    <w:p>
      <w:pPr>
        <w:pStyle w:val="Heading5"/>
      </w:pPr>
      <w:bookmarkStart w:id="44" w:name="_Toc375053474"/>
      <w:r>
        <w:rPr>
          <w:rStyle w:val="CharSectno"/>
        </w:rPr>
        <w:t>34</w:t>
      </w:r>
      <w:r>
        <w:t>.</w:t>
      </w:r>
      <w:r>
        <w:tab/>
        <w:t>Where reports must be made</w:t>
      </w:r>
      <w:bookmarkEnd w:id="44"/>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Footnotesection"/>
      </w:pPr>
      <w:r>
        <w:tab/>
        <w:t>[Section 34. Modifications to be applied in order to give effect to Cross-border Justice Act 2008: section altered 1 Nov 2009. See endnote 1M.]</w:t>
      </w:r>
    </w:p>
    <w:p>
      <w:pPr>
        <w:pStyle w:val="Heading5"/>
      </w:pPr>
      <w:bookmarkStart w:id="45" w:name="_Toc375053475"/>
      <w:r>
        <w:rPr>
          <w:rStyle w:val="CharSectno"/>
        </w:rPr>
        <w:t>35</w:t>
      </w:r>
      <w:r>
        <w:t>.</w:t>
      </w:r>
      <w:r>
        <w:tab/>
        <w:t>How reports must be made</w:t>
      </w:r>
      <w:bookmarkEnd w:id="45"/>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46" w:name="_Toc375053476"/>
      <w:r>
        <w:rPr>
          <w:rStyle w:val="CharSectno"/>
        </w:rPr>
        <w:t>36</w:t>
      </w:r>
      <w:r>
        <w:t>.</w:t>
      </w:r>
      <w:r>
        <w:tab/>
        <w:t>Right to privacy and support when reporting</w:t>
      </w:r>
      <w:bookmarkEnd w:id="46"/>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47" w:name="_Toc375053477"/>
      <w:r>
        <w:rPr>
          <w:rStyle w:val="CharSectno"/>
        </w:rPr>
        <w:t>37</w:t>
      </w:r>
      <w:r>
        <w:t>.</w:t>
      </w:r>
      <w:r>
        <w:tab/>
        <w:t>Receipt of information to be acknowledged</w:t>
      </w:r>
      <w:bookmarkEnd w:id="47"/>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 xml:space="preserve">record that number on the relevant reportable offender’s file </w:t>
      </w:r>
      <w:r>
        <w:rPr>
          <w:color w:val="000000"/>
        </w:rPr>
        <w:t>and, if applicable,</w:t>
      </w:r>
      <w:r>
        <w:t xml:space="preserv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by No. 54 of 2012 s. 15.]</w:t>
      </w:r>
    </w:p>
    <w:p>
      <w:pPr>
        <w:pStyle w:val="Heading5"/>
      </w:pPr>
      <w:bookmarkStart w:id="48" w:name="_Toc375053478"/>
      <w:r>
        <w:rPr>
          <w:rStyle w:val="CharSectno"/>
        </w:rPr>
        <w:t>38</w:t>
      </w:r>
      <w:r>
        <w:t>.</w:t>
      </w:r>
      <w:r>
        <w:tab/>
        <w:t>Additional matters to be provided</w:t>
      </w:r>
      <w:bookmarkEnd w:id="48"/>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by No. 54 of 2012 s. 16.]</w:t>
      </w:r>
    </w:p>
    <w:p>
      <w:pPr>
        <w:pStyle w:val="Heading5"/>
      </w:pPr>
      <w:bookmarkStart w:id="49" w:name="_Toc375053479"/>
      <w:r>
        <w:rPr>
          <w:rStyle w:val="CharSectno"/>
        </w:rPr>
        <w:t>39</w:t>
      </w:r>
      <w:r>
        <w:t>.</w:t>
      </w:r>
      <w:r>
        <w:tab/>
        <w:t>Power to take fingerprints</w:t>
      </w:r>
      <w:bookmarkEnd w:id="49"/>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50" w:name="_Toc375053480"/>
      <w:r>
        <w:rPr>
          <w:rStyle w:val="CharSectno"/>
        </w:rPr>
        <w:t>40</w:t>
      </w:r>
      <w:r>
        <w:t>.</w:t>
      </w:r>
      <w:r>
        <w:tab/>
        <w:t>Power to take photographs</w:t>
      </w:r>
      <w:bookmarkEnd w:id="50"/>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by No. 54 of 2012 s. 17.]</w:t>
      </w:r>
    </w:p>
    <w:p>
      <w:pPr>
        <w:pStyle w:val="Heading5"/>
      </w:pPr>
      <w:bookmarkStart w:id="51" w:name="_Toc375053481"/>
      <w:r>
        <w:rPr>
          <w:rStyle w:val="CharSectno"/>
        </w:rPr>
        <w:t>41</w:t>
      </w:r>
      <w:r>
        <w:t>.</w:t>
      </w:r>
      <w:r>
        <w:tab/>
        <w:t>Reasonable force may be used to obtain fingerprints and photographs</w:t>
      </w:r>
      <w:bookmarkEnd w:id="51"/>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 xml:space="preserve">to expose a part of the body of the reportable offender that an authorised person is authorised under </w:t>
      </w:r>
      <w:r>
        <w:rPr>
          <w:color w:val="000000"/>
        </w:rPr>
        <w:t xml:space="preserve">section 40(1) </w:t>
      </w:r>
      <w:r>
        <w:t>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by No. 54 of 2012 s. 18.]</w:t>
      </w:r>
    </w:p>
    <w:p>
      <w:pPr>
        <w:pStyle w:val="Heading5"/>
      </w:pPr>
      <w:bookmarkStart w:id="52" w:name="_Toc375053482"/>
      <w:r>
        <w:rPr>
          <w:rStyle w:val="CharSectno"/>
        </w:rPr>
        <w:t>42</w:t>
      </w:r>
      <w:r>
        <w:t>.</w:t>
      </w:r>
      <w:r>
        <w:tab/>
        <w:t>Retention of material for certain purposes</w:t>
      </w:r>
      <w:bookmarkEnd w:id="52"/>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53" w:name="_Toc375053483"/>
      <w:r>
        <w:rPr>
          <w:rStyle w:val="CharSectno"/>
        </w:rPr>
        <w:t>43</w:t>
      </w:r>
      <w:r>
        <w:t>.</w:t>
      </w:r>
      <w:r>
        <w:tab/>
        <w:t>Reporting by remote offenders</w:t>
      </w:r>
      <w:bookmarkEnd w:id="53"/>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54" w:name="_Toc375053484"/>
      <w:r>
        <w:rPr>
          <w:rStyle w:val="CharDivNo"/>
        </w:rPr>
        <w:t>Division 4</w:t>
      </w:r>
      <w:r>
        <w:t> — </w:t>
      </w:r>
      <w:r>
        <w:rPr>
          <w:rStyle w:val="CharDivText"/>
        </w:rPr>
        <w:t>Suspension and extension of reporting obligations</w:t>
      </w:r>
      <w:bookmarkEnd w:id="54"/>
    </w:p>
    <w:p>
      <w:pPr>
        <w:pStyle w:val="Heading5"/>
      </w:pPr>
      <w:bookmarkStart w:id="55" w:name="_Toc375053485"/>
      <w:r>
        <w:rPr>
          <w:rStyle w:val="CharSectno"/>
        </w:rPr>
        <w:t>44</w:t>
      </w:r>
      <w:r>
        <w:t>.</w:t>
      </w:r>
      <w:r>
        <w:tab/>
        <w:t>Suspension and extension of reporting obligations</w:t>
      </w:r>
      <w:bookmarkEnd w:id="55"/>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by No. 54 of 2012 s. 42(3).]</w:t>
      </w:r>
    </w:p>
    <w:p>
      <w:pPr>
        <w:pStyle w:val="Heading3"/>
      </w:pPr>
      <w:bookmarkStart w:id="56" w:name="_Toc375053486"/>
      <w:r>
        <w:rPr>
          <w:rStyle w:val="CharDivNo"/>
        </w:rPr>
        <w:t>Division 5</w:t>
      </w:r>
      <w:r>
        <w:t> — </w:t>
      </w:r>
      <w:r>
        <w:rPr>
          <w:rStyle w:val="CharDivText"/>
        </w:rPr>
        <w:t>Reporting period</w:t>
      </w:r>
      <w:bookmarkEnd w:id="56"/>
    </w:p>
    <w:p>
      <w:pPr>
        <w:pStyle w:val="Heading5"/>
      </w:pPr>
      <w:bookmarkStart w:id="57" w:name="_Toc375053487"/>
      <w:r>
        <w:rPr>
          <w:rStyle w:val="CharSectno"/>
        </w:rPr>
        <w:t>45</w:t>
      </w:r>
      <w:r>
        <w:t>.</w:t>
      </w:r>
      <w:r>
        <w:tab/>
        <w:t>When reporting obligations begin</w:t>
      </w:r>
      <w:bookmarkEnd w:id="57"/>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58" w:name="_Toc375053488"/>
      <w:r>
        <w:rPr>
          <w:rStyle w:val="CharSectno"/>
        </w:rPr>
        <w:t>46</w:t>
      </w:r>
      <w:r>
        <w:t>.</w:t>
      </w:r>
      <w:r>
        <w:tab/>
        <w:t>Length of reporting period</w:t>
      </w:r>
      <w:bookmarkEnd w:id="58"/>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59" w:name="_Toc375053489"/>
      <w:r>
        <w:rPr>
          <w:rStyle w:val="CharSectno"/>
        </w:rPr>
        <w:t>47</w:t>
      </w:r>
      <w:r>
        <w:t>.</w:t>
      </w:r>
      <w:r>
        <w:tab/>
        <w:t>Reduced period applies for young reportable offenders</w:t>
      </w:r>
      <w:bookmarkEnd w:id="59"/>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60" w:name="_Toc375053490"/>
      <w:r>
        <w:rPr>
          <w:rStyle w:val="CharSectno"/>
        </w:rPr>
        <w:t>48</w:t>
      </w:r>
      <w:r>
        <w:t>.</w:t>
      </w:r>
      <w:r>
        <w:tab/>
        <w:t>Extended reporting period if reportable offender still on parole</w:t>
      </w:r>
      <w:bookmarkEnd w:id="60"/>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61" w:name="_Toc375053491"/>
      <w:r>
        <w:rPr>
          <w:rStyle w:val="CharSectno"/>
        </w:rPr>
        <w:t>49</w:t>
      </w:r>
      <w:r>
        <w:t>.</w:t>
      </w:r>
      <w:r>
        <w:tab/>
        <w:t>Reporting period for corresponding reportable offenders</w:t>
      </w:r>
      <w:bookmarkEnd w:id="61"/>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by No. 54 of 2012 s. 19.]</w:t>
      </w:r>
    </w:p>
    <w:p>
      <w:pPr>
        <w:pStyle w:val="Heading5"/>
      </w:pPr>
      <w:bookmarkStart w:id="62" w:name="_Toc375053492"/>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62"/>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63" w:name="_Toc375053493"/>
      <w:r>
        <w:rPr>
          <w:rStyle w:val="CharDivNo"/>
        </w:rPr>
        <w:t>Division 6</w:t>
      </w:r>
      <w:r>
        <w:t> — </w:t>
      </w:r>
      <w:r>
        <w:rPr>
          <w:rStyle w:val="CharDivText"/>
        </w:rPr>
        <w:t>Exemption from reporting obligations</w:t>
      </w:r>
      <w:bookmarkEnd w:id="63"/>
    </w:p>
    <w:p>
      <w:pPr>
        <w:pStyle w:val="Heading5"/>
      </w:pPr>
      <w:bookmarkStart w:id="64" w:name="_Toc375053494"/>
      <w:r>
        <w:rPr>
          <w:rStyle w:val="CharSectno"/>
        </w:rPr>
        <w:t>51</w:t>
      </w:r>
      <w:r>
        <w:t>.</w:t>
      </w:r>
      <w:r>
        <w:tab/>
        <w:t>Application of Division</w:t>
      </w:r>
      <w:bookmarkEnd w:id="64"/>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65" w:name="_Toc375053495"/>
      <w:r>
        <w:rPr>
          <w:rStyle w:val="CharSectno"/>
        </w:rPr>
        <w:t>52</w:t>
      </w:r>
      <w:r>
        <w:t>.</w:t>
      </w:r>
      <w:r>
        <w:tab/>
        <w:t>District Court may exempt certain reportable offenders</w:t>
      </w:r>
      <w:bookmarkEnd w:id="65"/>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66" w:name="_Toc375053496"/>
      <w:r>
        <w:rPr>
          <w:rStyle w:val="CharSectno"/>
        </w:rPr>
        <w:t>53</w:t>
      </w:r>
      <w:r>
        <w:t>.</w:t>
      </w:r>
      <w:r>
        <w:tab/>
        <w:t>Order for suspension</w:t>
      </w:r>
      <w:bookmarkEnd w:id="66"/>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67" w:name="_Toc375053497"/>
      <w:r>
        <w:rPr>
          <w:rStyle w:val="CharSectno"/>
        </w:rPr>
        <w:t>54</w:t>
      </w:r>
      <w:r>
        <w:t>.</w:t>
      </w:r>
      <w:r>
        <w:tab/>
        <w:t>Commissioner and certain chief executive officers entitled to be parties to proceedings</w:t>
      </w:r>
      <w:bookmarkEnd w:id="67"/>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68" w:name="_Toc375053498"/>
      <w:r>
        <w:rPr>
          <w:rStyle w:val="CharSectno"/>
        </w:rPr>
        <w:t>55</w:t>
      </w:r>
      <w:r>
        <w:t>.</w:t>
      </w:r>
      <w:r>
        <w:tab/>
        <w:t>Commissioner to be notified of order</w:t>
      </w:r>
      <w:bookmarkEnd w:id="68"/>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69" w:name="_Toc375053499"/>
      <w:r>
        <w:rPr>
          <w:rStyle w:val="CharSectno"/>
        </w:rPr>
        <w:t>56</w:t>
      </w:r>
      <w:r>
        <w:t>.</w:t>
      </w:r>
      <w:r>
        <w:tab/>
        <w:t>No costs to be awarded</w:t>
      </w:r>
      <w:bookmarkEnd w:id="69"/>
    </w:p>
    <w:p>
      <w:pPr>
        <w:pStyle w:val="Subsection"/>
      </w:pPr>
      <w:r>
        <w:tab/>
      </w:r>
      <w:r>
        <w:tab/>
        <w:t>The District Court must not award costs in respect of proceedings under this Division.</w:t>
      </w:r>
    </w:p>
    <w:p>
      <w:pPr>
        <w:pStyle w:val="Heading5"/>
      </w:pPr>
      <w:bookmarkStart w:id="70" w:name="_Toc375053500"/>
      <w:r>
        <w:rPr>
          <w:rStyle w:val="CharSectno"/>
        </w:rPr>
        <w:t>57</w:t>
      </w:r>
      <w:r>
        <w:t>.</w:t>
      </w:r>
      <w:r>
        <w:tab/>
        <w:t>Applications not to be heard in public on application of party to proceedings</w:t>
      </w:r>
      <w:bookmarkEnd w:id="70"/>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71" w:name="_Toc375053501"/>
      <w:r>
        <w:rPr>
          <w:rStyle w:val="CharSectno"/>
        </w:rPr>
        <w:t>58</w:t>
      </w:r>
      <w:r>
        <w:t>.</w:t>
      </w:r>
      <w:r>
        <w:tab/>
        <w:t>Restriction on right of unsuccessful applicant to re</w:t>
      </w:r>
      <w:r>
        <w:noBreakHyphen/>
        <w:t>apply for order</w:t>
      </w:r>
      <w:bookmarkEnd w:id="71"/>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72" w:name="_Toc375053502"/>
      <w:r>
        <w:rPr>
          <w:rStyle w:val="CharSectno"/>
        </w:rPr>
        <w:t>59</w:t>
      </w:r>
      <w:r>
        <w:t>.</w:t>
      </w:r>
      <w:r>
        <w:tab/>
        <w:t>Cessation of order</w:t>
      </w:r>
      <w:bookmarkEnd w:id="72"/>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 xml:space="preserve">is made subject to an offender reporting order, a past offender reporting order or a </w:t>
      </w:r>
      <w:r>
        <w:rPr>
          <w:color w:val="000000"/>
        </w:rPr>
        <w:t>protection order</w:t>
      </w:r>
      <w:r>
        <w:t>;</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 xml:space="preserve">the offender reporting order, past offender reporting order or </w:t>
      </w:r>
      <w:r>
        <w:rPr>
          <w:color w:val="000000"/>
        </w:rPr>
        <w:t>protection order</w:t>
      </w:r>
      <w:r>
        <w:t xml:space="preserve">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by No. 54 of 2012 s. 42(2).]</w:t>
      </w:r>
    </w:p>
    <w:p>
      <w:pPr>
        <w:pStyle w:val="Heading5"/>
      </w:pPr>
      <w:bookmarkStart w:id="73" w:name="_Toc375053503"/>
      <w:r>
        <w:rPr>
          <w:rStyle w:val="CharSectno"/>
        </w:rPr>
        <w:t>60</w:t>
      </w:r>
      <w:r>
        <w:t>.</w:t>
      </w:r>
      <w:r>
        <w:tab/>
        <w:t>Application for new order</w:t>
      </w:r>
      <w:bookmarkEnd w:id="73"/>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74" w:name="_Toc375053504"/>
      <w:r>
        <w:rPr>
          <w:rStyle w:val="CharDivNo"/>
        </w:rPr>
        <w:t>Division 7</w:t>
      </w:r>
      <w:r>
        <w:t> — </w:t>
      </w:r>
      <w:r>
        <w:rPr>
          <w:rStyle w:val="CharDivText"/>
        </w:rPr>
        <w:t>Suspension of reporting obligations of certain reportable offenders</w:t>
      </w:r>
      <w:bookmarkEnd w:id="74"/>
    </w:p>
    <w:p>
      <w:pPr>
        <w:pStyle w:val="Heading5"/>
      </w:pPr>
      <w:bookmarkStart w:id="75" w:name="_Toc375053505"/>
      <w:r>
        <w:rPr>
          <w:rStyle w:val="CharSectno"/>
        </w:rPr>
        <w:t>61</w:t>
      </w:r>
      <w:r>
        <w:t>.</w:t>
      </w:r>
      <w:r>
        <w:tab/>
        <w:t>Commissioner may approve suspension of reporting obligations</w:t>
      </w:r>
      <w:bookmarkEnd w:id="75"/>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76" w:name="_Toc375053506"/>
      <w:r>
        <w:rPr>
          <w:rStyle w:val="CharSectno"/>
        </w:rPr>
        <w:t>62</w:t>
      </w:r>
      <w:r>
        <w:t>.</w:t>
      </w:r>
      <w:r>
        <w:tab/>
        <w:t>Cessation of approval</w:t>
      </w:r>
      <w:bookmarkEnd w:id="76"/>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 xml:space="preserve">is made subject to an offender reporting order, a past offender reporting order or a </w:t>
      </w:r>
      <w:r>
        <w:rPr>
          <w:color w:val="000000"/>
        </w:rPr>
        <w:t>protection order</w:t>
      </w:r>
      <w:r>
        <w:t>;</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rPr>
          <w:color w:val="000000"/>
        </w:rPr>
        <w:tab/>
        <w:t>(a)</w:t>
      </w:r>
      <w:r>
        <w:rPr>
          <w:color w:val="000000"/>
        </w:rP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 xml:space="preserve">the offender reporting order, past offender reporting order or </w:t>
      </w:r>
      <w:r>
        <w:rPr>
          <w:color w:val="000000"/>
        </w:rPr>
        <w:t>protection order</w:t>
      </w:r>
      <w:r>
        <w:t xml:space="preserve">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by No. 54 of 2012 s. 20 and 42(2).]</w:t>
      </w:r>
    </w:p>
    <w:p>
      <w:pPr>
        <w:pStyle w:val="Heading3"/>
      </w:pPr>
      <w:bookmarkStart w:id="77" w:name="_Toc375053507"/>
      <w:r>
        <w:rPr>
          <w:rStyle w:val="CharDivNo"/>
        </w:rPr>
        <w:t>Division 8</w:t>
      </w:r>
      <w:r>
        <w:t> — </w:t>
      </w:r>
      <w:r>
        <w:rPr>
          <w:rStyle w:val="CharDivText"/>
        </w:rPr>
        <w:t>Offences</w:t>
      </w:r>
      <w:bookmarkEnd w:id="77"/>
    </w:p>
    <w:p>
      <w:pPr>
        <w:pStyle w:val="Heading5"/>
        <w:spacing w:before="180"/>
      </w:pPr>
      <w:bookmarkStart w:id="78" w:name="_Toc375053508"/>
      <w:r>
        <w:rPr>
          <w:rStyle w:val="CharSectno"/>
        </w:rPr>
        <w:t>63</w:t>
      </w:r>
      <w:r>
        <w:t>.</w:t>
      </w:r>
      <w:r>
        <w:tab/>
        <w:t>Failure to comply with reporting obligations</w:t>
      </w:r>
      <w:bookmarkEnd w:id="78"/>
    </w:p>
    <w:p>
      <w:pPr>
        <w:pStyle w:val="Subsection"/>
        <w:spacing w:before="120"/>
      </w:pPr>
      <w:r>
        <w:tab/>
        <w:t>(1)</w:t>
      </w:r>
      <w:r>
        <w:tab/>
        <w:t xml:space="preserve">A reportable offender who, without reasonable excuse, fails to comply with any of his or her reporting obligations commits </w:t>
      </w:r>
      <w:r>
        <w:rPr>
          <w:color w:val="000000"/>
        </w:rPr>
        <w:t>a crime.</w:t>
      </w:r>
    </w:p>
    <w:p>
      <w:pPr>
        <w:pStyle w:val="Penstart"/>
      </w:pPr>
      <w:r>
        <w:rPr>
          <w:color w:val="000000"/>
        </w:rPr>
        <w:tab/>
        <w:t>Penalty: imprisonment for 5 years.</w:t>
      </w:r>
    </w:p>
    <w:p>
      <w:pPr>
        <w:pStyle w:val="Penstart"/>
      </w:pPr>
      <w:r>
        <w:tab/>
        <w:t>Summary conviction 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by No. 54 of 2012 s. 21.]</w:t>
      </w:r>
    </w:p>
    <w:p>
      <w:pPr>
        <w:pStyle w:val="Heading5"/>
        <w:spacing w:before="180"/>
      </w:pPr>
      <w:bookmarkStart w:id="79" w:name="_Toc375053509"/>
      <w:r>
        <w:rPr>
          <w:rStyle w:val="CharSectno"/>
        </w:rPr>
        <w:t>64</w:t>
      </w:r>
      <w:r>
        <w:t>.</w:t>
      </w:r>
      <w:r>
        <w:tab/>
        <w:t>Providing false or misleading information</w:t>
      </w:r>
      <w:bookmarkEnd w:id="79"/>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rPr>
          <w:color w:val="000000"/>
        </w:rPr>
        <w:tab/>
        <w:t>Penalty: imprisonment for 5 years.</w:t>
      </w:r>
    </w:p>
    <w:p>
      <w:pPr>
        <w:pStyle w:val="Penstart"/>
      </w:pPr>
      <w:r>
        <w:tab/>
        <w:t>Summary conviction penalty: a fine of $12 000 and imprisonment for 2 years.</w:t>
      </w:r>
    </w:p>
    <w:p>
      <w:pPr>
        <w:pStyle w:val="Footnotesection"/>
      </w:pPr>
      <w:r>
        <w:tab/>
        <w:t>[Section 64 amended by No. 54 of 2012 s. 22.]</w:t>
      </w:r>
    </w:p>
    <w:p>
      <w:pPr>
        <w:pStyle w:val="Heading5"/>
        <w:spacing w:before="180"/>
      </w:pPr>
      <w:bookmarkStart w:id="80" w:name="_Toc375053510"/>
      <w:r>
        <w:rPr>
          <w:rStyle w:val="CharSectno"/>
        </w:rPr>
        <w:t>65</w:t>
      </w:r>
      <w:r>
        <w:t>.</w:t>
      </w:r>
      <w:r>
        <w:tab/>
        <w:t>No time limit for prosecutions</w:t>
      </w:r>
      <w:bookmarkEnd w:id="80"/>
    </w:p>
    <w:p>
      <w:pPr>
        <w:pStyle w:val="Subsection"/>
      </w:pPr>
      <w:r>
        <w:tab/>
      </w:r>
      <w:r>
        <w:tab/>
        <w:t>Proceedings for an offence against this Act may be commenced at any time.</w:t>
      </w:r>
    </w:p>
    <w:p>
      <w:pPr>
        <w:pStyle w:val="Heading5"/>
        <w:spacing w:before="180"/>
      </w:pPr>
      <w:bookmarkStart w:id="81" w:name="_Toc375053511"/>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81"/>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82" w:name="_Toc375053512"/>
      <w:r>
        <w:rPr>
          <w:rStyle w:val="CharDivNo"/>
        </w:rPr>
        <w:t>Division 9</w:t>
      </w:r>
      <w:r>
        <w:t> — </w:t>
      </w:r>
      <w:r>
        <w:rPr>
          <w:rStyle w:val="CharDivText"/>
        </w:rPr>
        <w:t>Notification of reporting obligations</w:t>
      </w:r>
      <w:bookmarkEnd w:id="82"/>
    </w:p>
    <w:p>
      <w:pPr>
        <w:pStyle w:val="Heading5"/>
      </w:pPr>
      <w:bookmarkStart w:id="83" w:name="_Toc375053513"/>
      <w:r>
        <w:rPr>
          <w:rStyle w:val="CharSectno"/>
        </w:rPr>
        <w:t>67</w:t>
      </w:r>
      <w:r>
        <w:t>.</w:t>
      </w:r>
      <w:r>
        <w:tab/>
        <w:t>Notice to be given to reportable offender</w:t>
      </w:r>
      <w:bookmarkEnd w:id="83"/>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84" w:name="_Toc375053514"/>
      <w:r>
        <w:rPr>
          <w:rStyle w:val="CharSectno"/>
        </w:rPr>
        <w:t>68</w:t>
      </w:r>
      <w:r>
        <w:t>.</w:t>
      </w:r>
      <w:r>
        <w:tab/>
        <w:t>Courts to provide sentencing information to Commissioner</w:t>
      </w:r>
      <w:bookmarkEnd w:id="84"/>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85" w:name="_Toc375053515"/>
      <w:r>
        <w:rPr>
          <w:rStyle w:val="CharSectno"/>
        </w:rPr>
        <w:t>69</w:t>
      </w:r>
      <w:r>
        <w:t>.</w:t>
      </w:r>
      <w:r>
        <w:tab/>
        <w:t>Notice to be given when reporting period changes</w:t>
      </w:r>
      <w:bookmarkEnd w:id="85"/>
    </w:p>
    <w:p>
      <w:pPr>
        <w:pStyle w:val="Subsection"/>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86" w:name="_Toc375053516"/>
      <w:r>
        <w:rPr>
          <w:rStyle w:val="CharSectno"/>
        </w:rPr>
        <w:t>70</w:t>
      </w:r>
      <w:r>
        <w:t>.</w:t>
      </w:r>
      <w:r>
        <w:tab/>
        <w:t>Supervising authority to notify Commissioner of certain events</w:t>
      </w:r>
      <w:bookmarkEnd w:id="86"/>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87" w:name="_Toc375053517"/>
      <w:r>
        <w:rPr>
          <w:rStyle w:val="CharSectno"/>
        </w:rPr>
        <w:t>71</w:t>
      </w:r>
      <w:r>
        <w:t>.</w:t>
      </w:r>
      <w:r>
        <w:tab/>
        <w:t>Notices may be given by Commissioner</w:t>
      </w:r>
      <w:bookmarkEnd w:id="87"/>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88" w:name="_Toc375053518"/>
      <w:r>
        <w:rPr>
          <w:rStyle w:val="CharSectno"/>
        </w:rPr>
        <w:t>72</w:t>
      </w:r>
      <w:r>
        <w:t>.</w:t>
      </w:r>
      <w:r>
        <w:tab/>
        <w:t>Power of detention to enable notice to be given</w:t>
      </w:r>
      <w:bookmarkEnd w:id="88"/>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89" w:name="_Toc375053519"/>
      <w:r>
        <w:rPr>
          <w:rStyle w:val="CharSectno"/>
        </w:rPr>
        <w:t>73</w:t>
      </w:r>
      <w:r>
        <w:t>.</w:t>
      </w:r>
      <w:r>
        <w:tab/>
        <w:t>Failure to comply with procedural requirements does not affect reportable offender’s obligations</w:t>
      </w:r>
      <w:bookmarkEnd w:id="89"/>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90" w:name="_Toc375053520"/>
      <w:r>
        <w:rPr>
          <w:rStyle w:val="CharDivNo"/>
        </w:rPr>
        <w:t>Division 10</w:t>
      </w:r>
      <w:r>
        <w:t> — </w:t>
      </w:r>
      <w:r>
        <w:rPr>
          <w:rStyle w:val="CharDivText"/>
        </w:rPr>
        <w:t>Modified reporting procedures for participants in witness protection programs</w:t>
      </w:r>
      <w:bookmarkEnd w:id="90"/>
    </w:p>
    <w:p>
      <w:pPr>
        <w:pStyle w:val="Heading5"/>
      </w:pPr>
      <w:bookmarkStart w:id="91" w:name="_Toc375053521"/>
      <w:r>
        <w:rPr>
          <w:rStyle w:val="CharSectno"/>
        </w:rPr>
        <w:t>74</w:t>
      </w:r>
      <w:r>
        <w:t>.</w:t>
      </w:r>
      <w:r>
        <w:tab/>
        <w:t>Term used: witness protection program</w:t>
      </w:r>
      <w:bookmarkEnd w:id="91"/>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92" w:name="_Toc375053522"/>
      <w:r>
        <w:rPr>
          <w:rStyle w:val="CharSectno"/>
        </w:rPr>
        <w:t>75</w:t>
      </w:r>
      <w:r>
        <w:t>.</w:t>
      </w:r>
      <w:r>
        <w:tab/>
        <w:t>Application of this Division</w:t>
      </w:r>
      <w:bookmarkEnd w:id="92"/>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93" w:name="_Toc375053523"/>
      <w:r>
        <w:rPr>
          <w:rStyle w:val="CharSectno"/>
        </w:rPr>
        <w:t>76</w:t>
      </w:r>
      <w:r>
        <w:t>.</w:t>
      </w:r>
      <w:r>
        <w:tab/>
        <w:t>Report need not be made in person</w:t>
      </w:r>
      <w:bookmarkEnd w:id="93"/>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94" w:name="_Toc375053524"/>
      <w:r>
        <w:rPr>
          <w:rStyle w:val="CharSectno"/>
        </w:rPr>
        <w:t>77</w:t>
      </w:r>
      <w:r>
        <w:t>.</w:t>
      </w:r>
      <w:r>
        <w:tab/>
        <w:t>Determination as to whether this Division applies</w:t>
      </w:r>
      <w:bookmarkEnd w:id="94"/>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95" w:name="_Toc375053525"/>
      <w:r>
        <w:rPr>
          <w:rStyle w:val="CharSectno"/>
        </w:rPr>
        <w:t>78</w:t>
      </w:r>
      <w:r>
        <w:t>.</w:t>
      </w:r>
      <w:r>
        <w:tab/>
        <w:t>When determination takes effect</w:t>
      </w:r>
      <w:bookmarkEnd w:id="95"/>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96" w:name="_Toc375053526"/>
      <w:r>
        <w:rPr>
          <w:rStyle w:val="CharSectno"/>
        </w:rPr>
        <w:t>79</w:t>
      </w:r>
      <w:r>
        <w:t>.</w:t>
      </w:r>
      <w:r>
        <w:tab/>
        <w:t>Modification of reporting obligations</w:t>
      </w:r>
      <w:bookmarkEnd w:id="96"/>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r>
        <w:tab/>
        <w:t>[Section 79 amended by No. 27 of 2008 s. 9.]</w:t>
      </w:r>
    </w:p>
    <w:p>
      <w:pPr>
        <w:pStyle w:val="Heading2"/>
      </w:pPr>
      <w:bookmarkStart w:id="97" w:name="_Toc375053527"/>
      <w:r>
        <w:rPr>
          <w:rStyle w:val="CharPartNo"/>
        </w:rPr>
        <w:t>Part 4A</w:t>
      </w:r>
      <w:r>
        <w:rPr>
          <w:rStyle w:val="CharDivNo"/>
        </w:rPr>
        <w:t> </w:t>
      </w:r>
      <w:r>
        <w:rPr>
          <w:color w:val="000000"/>
        </w:rPr>
        <w:t>—</w:t>
      </w:r>
      <w:r>
        <w:rPr>
          <w:rStyle w:val="CharDivText"/>
        </w:rPr>
        <w:t> </w:t>
      </w:r>
      <w:r>
        <w:rPr>
          <w:rStyle w:val="CharPartText"/>
        </w:rPr>
        <w:t>Change of name</w:t>
      </w:r>
      <w:bookmarkEnd w:id="97"/>
    </w:p>
    <w:p>
      <w:pPr>
        <w:pStyle w:val="Footnoteheading"/>
      </w:pPr>
      <w:r>
        <w:tab/>
        <w:t>[Heading inserted by No. 54 of 2012 s. 23.]</w:t>
      </w:r>
    </w:p>
    <w:p>
      <w:pPr>
        <w:pStyle w:val="Heading5"/>
      </w:pPr>
      <w:bookmarkStart w:id="98" w:name="_Toc375053528"/>
      <w:r>
        <w:rPr>
          <w:rStyle w:val="CharSectno"/>
        </w:rPr>
        <w:t>80A</w:t>
      </w:r>
      <w:r>
        <w:rPr>
          <w:color w:val="000000"/>
        </w:rPr>
        <w:t>.</w:t>
      </w:r>
      <w:r>
        <w:rPr>
          <w:color w:val="000000"/>
        </w:rPr>
        <w:tab/>
        <w:t>Terms used</w:t>
      </w:r>
      <w:bookmarkEnd w:id="98"/>
    </w:p>
    <w:p>
      <w:pPr>
        <w:pStyle w:val="Subsection"/>
      </w:pPr>
      <w:r>
        <w:rPr>
          <w:color w:val="000000"/>
        </w:rPr>
        <w:tab/>
      </w:r>
      <w:r>
        <w:rPr>
          <w:color w:val="000000"/>
        </w:rPr>
        <w:tab/>
        <w:t xml:space="preserve">In this Part — </w:t>
      </w:r>
    </w:p>
    <w:p>
      <w:pPr>
        <w:pStyle w:val="Defstart"/>
      </w:pPr>
      <w:r>
        <w:rPr>
          <w:color w:val="000000"/>
        </w:rPr>
        <w:tab/>
      </w:r>
      <w:r>
        <w:rPr>
          <w:rStyle w:val="CharDefText"/>
          <w:color w:val="000000"/>
        </w:rPr>
        <w:t>change of name application</w:t>
      </w:r>
      <w:r>
        <w:rPr>
          <w:color w:val="000000"/>
        </w:rPr>
        <w:t xml:space="preserve"> means an application proposed to be made by or in respect of a reportable offender for the registration of a change of the reportable offender’s name for which approval is required under section 80C;</w:t>
      </w:r>
    </w:p>
    <w:p>
      <w:pPr>
        <w:pStyle w:val="Defstart"/>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pPr>
      <w:r>
        <w:tab/>
      </w:r>
      <w:r>
        <w:rPr>
          <w:rStyle w:val="CharDefText"/>
          <w:color w:val="000000"/>
        </w:rPr>
        <w:t>Registration Act</w:t>
      </w:r>
      <w:r>
        <w:t xml:space="preserve"> means the </w:t>
      </w:r>
      <w:r>
        <w:rPr>
          <w:i/>
        </w:rPr>
        <w:t>Births, Deaths and Marriages Registration Act 1998</w:t>
      </w:r>
      <w:r>
        <w:t>;</w:t>
      </w:r>
    </w:p>
    <w:p>
      <w:pPr>
        <w:pStyle w:val="Defstart"/>
      </w:pPr>
      <w:r>
        <w:tab/>
      </w:r>
      <w:r>
        <w:rPr>
          <w:rStyle w:val="CharDefText"/>
          <w:color w:val="000000"/>
        </w:rPr>
        <w:t>WA Registrar</w:t>
      </w:r>
      <w:r>
        <w:t xml:space="preserve"> means the Registrar as defined in the Registration Act section 4.</w:t>
      </w:r>
    </w:p>
    <w:p>
      <w:pPr>
        <w:pStyle w:val="Footnotesection"/>
      </w:pPr>
      <w:r>
        <w:tab/>
        <w:t>[Section 80A inserted by No. 54 of 2012 s. 23.]</w:t>
      </w:r>
    </w:p>
    <w:p>
      <w:pPr>
        <w:pStyle w:val="Heading5"/>
      </w:pPr>
      <w:bookmarkStart w:id="99" w:name="_Toc375053529"/>
      <w:r>
        <w:rPr>
          <w:rStyle w:val="CharSectno"/>
        </w:rPr>
        <w:t>80B</w:t>
      </w:r>
      <w:r>
        <w:rPr>
          <w:color w:val="000000"/>
        </w:rPr>
        <w:t>.</w:t>
      </w:r>
      <w:r>
        <w:rPr>
          <w:color w:val="000000"/>
        </w:rPr>
        <w:tab/>
        <w:t>Application</w:t>
      </w:r>
      <w:bookmarkEnd w:id="99"/>
    </w:p>
    <w:p>
      <w:pPr>
        <w:pStyle w:val="Subsection"/>
      </w:pPr>
      <w:r>
        <w:rPr>
          <w:color w:val="000000"/>
        </w:rPr>
        <w:tab/>
      </w:r>
      <w:r>
        <w:rPr>
          <w:color w:val="000000"/>
        </w:rPr>
        <w:tab/>
        <w:t>This Part applies despite anything to the contrary in the Registration Act.</w:t>
      </w:r>
    </w:p>
    <w:p>
      <w:pPr>
        <w:pStyle w:val="Footnotesection"/>
      </w:pPr>
      <w:r>
        <w:tab/>
        <w:t>[Section 80B inserted by No. 54 of 2012 s. 23.]</w:t>
      </w:r>
    </w:p>
    <w:p>
      <w:pPr>
        <w:pStyle w:val="Heading5"/>
      </w:pPr>
      <w:bookmarkStart w:id="100" w:name="_Toc375053530"/>
      <w:r>
        <w:rPr>
          <w:rStyle w:val="CharSectno"/>
        </w:rPr>
        <w:t>80C</w:t>
      </w:r>
      <w:r>
        <w:rPr>
          <w:color w:val="000000"/>
        </w:rPr>
        <w:t>.</w:t>
      </w:r>
      <w:r>
        <w:rPr>
          <w:color w:val="000000"/>
        </w:rPr>
        <w:tab/>
        <w:t>Application for change of name by or in respect of reportable offender</w:t>
      </w:r>
      <w:bookmarkEnd w:id="100"/>
    </w:p>
    <w:p>
      <w:pPr>
        <w:pStyle w:val="Subsection"/>
      </w:pPr>
      <w:r>
        <w:rPr>
          <w:color w:val="000000"/>
        </w:rPr>
        <w:tab/>
        <w:t>(1)</w:t>
      </w:r>
      <w:r>
        <w:rPr>
          <w:color w:val="000000"/>
        </w:rPr>
        <w:tab/>
        <w:t xml:space="preserve">A reportable offender must not — </w:t>
      </w:r>
    </w:p>
    <w:p>
      <w:pPr>
        <w:pStyle w:val="Indenta"/>
      </w:pPr>
      <w:r>
        <w:rPr>
          <w:color w:val="000000"/>
        </w:rPr>
        <w:tab/>
        <w:t>(a)</w:t>
      </w:r>
      <w:r>
        <w:rPr>
          <w:color w:val="000000"/>
        </w:rPr>
        <w:tab/>
        <w:t>apply to the WA Registrar to register a change of his or her name under the Registration Act; or</w:t>
      </w:r>
    </w:p>
    <w:p>
      <w:pPr>
        <w:pStyle w:val="Indenta"/>
      </w:pPr>
      <w:r>
        <w:tab/>
        <w:t>(b)</w:t>
      </w:r>
      <w:r>
        <w:tab/>
        <w:t>apply to an interstate Registrar to register a change of his or her name under a law of another State or a Territory that is the equivalent of the Registration Act,</w:t>
      </w:r>
    </w:p>
    <w:p>
      <w:pPr>
        <w:pStyle w:val="Subsection"/>
      </w:pPr>
      <w:r>
        <w:rPr>
          <w:color w:val="000000"/>
        </w:rPr>
        <w:tab/>
      </w:r>
      <w:r>
        <w:rPr>
          <w:color w:val="000000"/>
        </w:rPr>
        <w:tab/>
        <w:t>without having first obtained the written approval of the Commissioner.</w:t>
      </w:r>
    </w:p>
    <w:p>
      <w:pPr>
        <w:pStyle w:val="Penstart"/>
      </w:pPr>
      <w:r>
        <w:rPr>
          <w:color w:val="000000"/>
        </w:rP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rPr>
          <w:color w:val="000000"/>
        </w:rPr>
        <w:tab/>
        <w:t>(a)</w:t>
      </w:r>
      <w:r>
        <w:rPr>
          <w:color w:val="000000"/>
        </w:rP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pPr>
      <w:r>
        <w:rPr>
          <w:color w:val="000000"/>
        </w:rPr>
        <w:tab/>
      </w:r>
      <w:r>
        <w:rPr>
          <w:color w:val="000000"/>
        </w:rPr>
        <w:tab/>
        <w:t>without having first obtained the written approval of the Commissioner.</w:t>
      </w:r>
    </w:p>
    <w:p>
      <w:pPr>
        <w:pStyle w:val="Penstart"/>
      </w:pPr>
      <w:r>
        <w:rPr>
          <w:color w:val="000000"/>
        </w:rPr>
        <w:tab/>
        <w:t>Penalty: a fine of $12 000 and imprisonment for 2 years.</w:t>
      </w:r>
    </w:p>
    <w:p>
      <w:pPr>
        <w:pStyle w:val="Footnotesection"/>
      </w:pPr>
      <w:r>
        <w:tab/>
        <w:t>[Section 80C inserted by No. 54 of 2012 s. 23.]</w:t>
      </w:r>
    </w:p>
    <w:p>
      <w:pPr>
        <w:pStyle w:val="Heading5"/>
      </w:pPr>
      <w:bookmarkStart w:id="101" w:name="_Toc375053531"/>
      <w:r>
        <w:rPr>
          <w:rStyle w:val="CharSectno"/>
        </w:rPr>
        <w:t>80D</w:t>
      </w:r>
      <w:r>
        <w:rPr>
          <w:color w:val="000000"/>
        </w:rPr>
        <w:t>.</w:t>
      </w:r>
      <w:r>
        <w:rPr>
          <w:color w:val="000000"/>
        </w:rPr>
        <w:tab/>
        <w:t>Approval by Commissioner</w:t>
      </w:r>
      <w:bookmarkEnd w:id="101"/>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rPr>
          <w:color w:val="000000"/>
        </w:rPr>
        <w:tab/>
        <w:t>(a)</w:t>
      </w:r>
      <w:r>
        <w:rPr>
          <w:color w:val="000000"/>
        </w:rP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pPr>
      <w:r>
        <w:rPr>
          <w:color w:val="000000"/>
        </w:rPr>
        <w:tab/>
        <w:t>(a)</w:t>
      </w:r>
      <w:r>
        <w:rPr>
          <w:color w:val="000000"/>
        </w:rPr>
        <w:tab/>
        <w:t>as soon as is practicable, give written notice of the approval to the person who made the application under subsection (1); and</w:t>
      </w:r>
    </w:p>
    <w:p>
      <w:pPr>
        <w:pStyle w:val="Indenta"/>
      </w:pPr>
      <w:r>
        <w:tab/>
        <w:t>(b)</w:t>
      </w:r>
      <w:r>
        <w:tab/>
        <w:t>give a copy of the written notice of approval to the WA Registrar or the interstate Registrar, as the case requires.</w:t>
      </w:r>
    </w:p>
    <w:p>
      <w:pPr>
        <w:pStyle w:val="Footnotesection"/>
      </w:pPr>
      <w:r>
        <w:tab/>
        <w:t>[Section 80D inserted by No. 54 of 2012 s. 23.]</w:t>
      </w:r>
    </w:p>
    <w:p>
      <w:pPr>
        <w:pStyle w:val="Heading5"/>
      </w:pPr>
      <w:bookmarkStart w:id="102" w:name="_Toc375053532"/>
      <w:r>
        <w:rPr>
          <w:rStyle w:val="CharSectno"/>
        </w:rPr>
        <w:t>80E</w:t>
      </w:r>
      <w:r>
        <w:rPr>
          <w:color w:val="000000"/>
        </w:rPr>
        <w:t>.</w:t>
      </w:r>
      <w:r>
        <w:rPr>
          <w:color w:val="000000"/>
        </w:rPr>
        <w:tab/>
        <w:t>Registration of change of name</w:t>
      </w:r>
      <w:bookmarkEnd w:id="102"/>
    </w:p>
    <w:p>
      <w:pPr>
        <w:pStyle w:val="Subsection"/>
      </w:pPr>
      <w:r>
        <w:rPr>
          <w:color w:val="000000"/>
        </w:rPr>
        <w:tab/>
        <w:t>(1)</w:t>
      </w:r>
      <w:r>
        <w:rPr>
          <w:color w:val="000000"/>
        </w:rPr>
        <w:tab/>
        <w:t xml:space="preserve">The WA Registrar must not register a change of name under the Registration Act if — </w:t>
      </w:r>
    </w:p>
    <w:p>
      <w:pPr>
        <w:pStyle w:val="Indenta"/>
      </w:pPr>
      <w:r>
        <w:rPr>
          <w:color w:val="000000"/>
        </w:rPr>
        <w:tab/>
        <w:t>(a)</w:t>
      </w:r>
      <w:r>
        <w:rPr>
          <w:color w:val="000000"/>
        </w:rPr>
        <w:tab/>
        <w:t>the WA Registrar knows that the change of name relates to the name of a reportable offender; and</w:t>
      </w:r>
    </w:p>
    <w:p>
      <w:pPr>
        <w:pStyle w:val="Indenta"/>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by No. 54 of 2012 s. 23.]</w:t>
      </w:r>
    </w:p>
    <w:p>
      <w:pPr>
        <w:pStyle w:val="Heading5"/>
      </w:pPr>
      <w:bookmarkStart w:id="103" w:name="_Toc375053533"/>
      <w:r>
        <w:rPr>
          <w:rStyle w:val="CharSectno"/>
        </w:rPr>
        <w:t>80F</w:t>
      </w:r>
      <w:r>
        <w:rPr>
          <w:color w:val="000000"/>
        </w:rPr>
        <w:t>.</w:t>
      </w:r>
      <w:r>
        <w:rPr>
          <w:color w:val="000000"/>
        </w:rPr>
        <w:tab/>
        <w:t>WA Registrar to correct Registration Act Register</w:t>
      </w:r>
      <w:bookmarkEnd w:id="103"/>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Registration Act Register</w:t>
      </w:r>
      <w:r>
        <w:rPr>
          <w:color w:val="000000"/>
        </w:rP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rPr>
          <w:color w:val="000000"/>
        </w:rPr>
        <w:tab/>
        <w:t>(a)</w:t>
      </w:r>
      <w:r>
        <w:rPr>
          <w:color w:val="000000"/>
        </w:rP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by No. 54 of 2012 s. 23.]</w:t>
      </w:r>
    </w:p>
    <w:p>
      <w:pPr>
        <w:pStyle w:val="Heading5"/>
      </w:pPr>
      <w:bookmarkStart w:id="104" w:name="_Toc375053534"/>
      <w:r>
        <w:rPr>
          <w:rStyle w:val="CharSectno"/>
        </w:rPr>
        <w:t>80G</w:t>
      </w:r>
      <w:r>
        <w:rPr>
          <w:color w:val="000000"/>
        </w:rPr>
        <w:t>.</w:t>
      </w:r>
      <w:r>
        <w:rPr>
          <w:color w:val="000000"/>
        </w:rPr>
        <w:tab/>
        <w:t>Exchange of information between Commissioner and WA Registrar</w:t>
      </w:r>
      <w:bookmarkEnd w:id="104"/>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by No. 54 of 2012 s. 23.]</w:t>
      </w:r>
    </w:p>
    <w:p>
      <w:pPr>
        <w:pStyle w:val="Heading2"/>
      </w:pPr>
      <w:bookmarkStart w:id="105" w:name="_Toc375053535"/>
      <w:r>
        <w:rPr>
          <w:rStyle w:val="CharPartNo"/>
        </w:rPr>
        <w:t>Part 4</w:t>
      </w:r>
      <w:r>
        <w:rPr>
          <w:rStyle w:val="CharDivNo"/>
        </w:rPr>
        <w:t> </w:t>
      </w:r>
      <w:r>
        <w:t>—</w:t>
      </w:r>
      <w:r>
        <w:rPr>
          <w:rStyle w:val="CharDivText"/>
        </w:rPr>
        <w:t> </w:t>
      </w:r>
      <w:r>
        <w:rPr>
          <w:rStyle w:val="CharPartText"/>
        </w:rPr>
        <w:t>Community Protection Offender Register</w:t>
      </w:r>
      <w:bookmarkEnd w:id="105"/>
    </w:p>
    <w:p>
      <w:pPr>
        <w:pStyle w:val="Heading5"/>
      </w:pPr>
      <w:bookmarkStart w:id="106" w:name="_Toc375053536"/>
      <w:r>
        <w:rPr>
          <w:rStyle w:val="CharSectno"/>
        </w:rPr>
        <w:t>80</w:t>
      </w:r>
      <w:r>
        <w:t>.</w:t>
      </w:r>
      <w:r>
        <w:tab/>
        <w:t>Requirement to establish and maintain Community Protection Offender Register</w:t>
      </w:r>
      <w:bookmarkEnd w:id="106"/>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 xml:space="preserve">details of any protection order, or supervision order under the </w:t>
      </w:r>
      <w:r>
        <w:rPr>
          <w:i/>
        </w:rPr>
        <w:t>Dangerous Sexual Offenders Act 2006</w:t>
      </w:r>
      <w:r>
        <w:t>,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by No. 54 of 2012 s. 24.]</w:t>
      </w:r>
    </w:p>
    <w:p>
      <w:pPr>
        <w:pStyle w:val="Heading5"/>
      </w:pPr>
      <w:bookmarkStart w:id="107" w:name="_Toc375053537"/>
      <w:r>
        <w:rPr>
          <w:rStyle w:val="CharSectno"/>
        </w:rPr>
        <w:t>81</w:t>
      </w:r>
      <w:r>
        <w:t>.</w:t>
      </w:r>
      <w:r>
        <w:tab/>
        <w:t>Access to the Register to be restricted</w:t>
      </w:r>
      <w:bookmarkEnd w:id="107"/>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108" w:name="_Toc375053538"/>
      <w:r>
        <w:rPr>
          <w:rStyle w:val="CharSectno"/>
        </w:rPr>
        <w:t>82</w:t>
      </w:r>
      <w:r>
        <w:t>.</w:t>
      </w:r>
      <w:r>
        <w:tab/>
        <w:t>Confidentiality</w:t>
      </w:r>
      <w:bookmarkEnd w:id="108"/>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rPr>
          <w:color w:val="000000"/>
        </w:rPr>
        <w:tab/>
        <w:t>(da)</w:t>
      </w:r>
      <w:r>
        <w:rPr>
          <w:color w:val="000000"/>
        </w:rP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by No. 54 of 2012 s. 25.]</w:t>
      </w:r>
    </w:p>
    <w:p>
      <w:pPr>
        <w:pStyle w:val="Heading5"/>
        <w:keepLines w:val="0"/>
      </w:pPr>
      <w:bookmarkStart w:id="109" w:name="_Toc375053539"/>
      <w:r>
        <w:rPr>
          <w:rStyle w:val="CharSectno"/>
        </w:rPr>
        <w:t>83</w:t>
      </w:r>
      <w:r>
        <w:t>.</w:t>
      </w:r>
      <w:r>
        <w:tab/>
        <w:t>Restriction on who may access personal information on protected witnesses</w:t>
      </w:r>
      <w:bookmarkEnd w:id="109"/>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10" w:name="_Toc375053540"/>
      <w:r>
        <w:rPr>
          <w:rStyle w:val="CharSectno"/>
        </w:rPr>
        <w:t>84</w:t>
      </w:r>
      <w:r>
        <w:t>.</w:t>
      </w:r>
      <w:r>
        <w:tab/>
        <w:t>Reportable offender’s rights in relation to Register</w:t>
      </w:r>
      <w:bookmarkEnd w:id="110"/>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11" w:name="_Toc375053541"/>
      <w:r>
        <w:rPr>
          <w:rStyle w:val="CharPartNo"/>
        </w:rPr>
        <w:t>Part 5A</w:t>
      </w:r>
      <w:r>
        <w:rPr>
          <w:b w:val="0"/>
          <w:color w:val="000000"/>
        </w:rPr>
        <w:t> </w:t>
      </w:r>
      <w:r>
        <w:rPr>
          <w:color w:val="000000"/>
        </w:rPr>
        <w:t>—</w:t>
      </w:r>
      <w:r>
        <w:rPr>
          <w:b w:val="0"/>
          <w:color w:val="000000"/>
        </w:rPr>
        <w:t> </w:t>
      </w:r>
      <w:r>
        <w:rPr>
          <w:rStyle w:val="CharPartText"/>
        </w:rPr>
        <w:t>Publication of information about offenders</w:t>
      </w:r>
      <w:bookmarkEnd w:id="111"/>
    </w:p>
    <w:p>
      <w:pPr>
        <w:pStyle w:val="Footnoteheading"/>
      </w:pPr>
      <w:r>
        <w:tab/>
        <w:t>[Heading inserted by No. 1 of 2012 s. 5.]</w:t>
      </w:r>
    </w:p>
    <w:p>
      <w:pPr>
        <w:pStyle w:val="Heading3"/>
        <w:rPr>
          <w:color w:val="000000"/>
        </w:rPr>
      </w:pPr>
      <w:bookmarkStart w:id="112" w:name="_Toc375053542"/>
      <w:r>
        <w:rPr>
          <w:rStyle w:val="CharDivNo"/>
        </w:rPr>
        <w:t>Division 1</w:t>
      </w:r>
      <w:r>
        <w:rPr>
          <w:color w:val="000000"/>
        </w:rPr>
        <w:t> — </w:t>
      </w:r>
      <w:r>
        <w:rPr>
          <w:rStyle w:val="CharDivText"/>
        </w:rPr>
        <w:t>Preliminary</w:t>
      </w:r>
      <w:bookmarkEnd w:id="112"/>
    </w:p>
    <w:p>
      <w:pPr>
        <w:pStyle w:val="Footnoteheading"/>
      </w:pPr>
      <w:r>
        <w:tab/>
        <w:t>[Heading inserted by No. 1 of 2012 s. 5.]</w:t>
      </w:r>
    </w:p>
    <w:p>
      <w:pPr>
        <w:pStyle w:val="Heading5"/>
      </w:pPr>
      <w:bookmarkStart w:id="113" w:name="_Toc375053543"/>
      <w:r>
        <w:rPr>
          <w:rStyle w:val="CharSectno"/>
        </w:rPr>
        <w:t>85A</w:t>
      </w:r>
      <w:r>
        <w:rPr>
          <w:color w:val="000000"/>
        </w:rPr>
        <w:t>.</w:t>
      </w:r>
      <w:r>
        <w:rPr>
          <w:color w:val="000000"/>
        </w:rPr>
        <w:tab/>
        <w:t>Terms used</w:t>
      </w:r>
      <w:bookmarkEnd w:id="113"/>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rPr>
          <w:color w:val="000000"/>
        </w:rPr>
      </w:pPr>
      <w:r>
        <w:rPr>
          <w:color w:val="000000"/>
        </w:rPr>
        <w:tab/>
      </w:r>
      <w:r>
        <w:rPr>
          <w:rStyle w:val="CharDefText"/>
          <w:color w:val="000000"/>
        </w:rPr>
        <w:t>locality</w:t>
      </w:r>
      <w:r>
        <w:rPr>
          <w:color w:val="000000"/>
        </w:rPr>
        <w:t>, of a person, means a description of the general locality, such as the town or suburb, in which the person resides;</w:t>
      </w:r>
    </w:p>
    <w:p>
      <w:pPr>
        <w:pStyle w:val="Defstart"/>
        <w:rPr>
          <w:color w:val="000000"/>
        </w:rPr>
      </w:pPr>
      <w:r>
        <w:rPr>
          <w:color w:val="000000"/>
        </w:rPr>
        <w:tab/>
      </w:r>
      <w:r>
        <w:rPr>
          <w:rStyle w:val="CharDefText"/>
          <w:color w:val="000000"/>
        </w:rPr>
        <w:t>publish</w:t>
      </w:r>
      <w:r>
        <w:rPr>
          <w:color w:val="000000"/>
        </w:rPr>
        <w:t>, except in section 85M, means make available for inspection by members of the public on a website maintained by the Commissioner.</w:t>
      </w:r>
    </w:p>
    <w:p>
      <w:pPr>
        <w:pStyle w:val="Footnotesection"/>
        <w:rPr>
          <w:color w:val="000000"/>
        </w:rPr>
      </w:pPr>
      <w:r>
        <w:tab/>
        <w:t>[Section 85A inserted by No. 1 of 2012 s. 5.]</w:t>
      </w:r>
    </w:p>
    <w:p>
      <w:pPr>
        <w:pStyle w:val="Heading5"/>
      </w:pPr>
      <w:bookmarkStart w:id="114" w:name="_Toc375053544"/>
      <w:r>
        <w:rPr>
          <w:rStyle w:val="CharSectno"/>
        </w:rPr>
        <w:t>85B</w:t>
      </w:r>
      <w:r>
        <w:rPr>
          <w:color w:val="000000"/>
        </w:rPr>
        <w:t>.</w:t>
      </w:r>
      <w:r>
        <w:rPr>
          <w:color w:val="000000"/>
        </w:rPr>
        <w:tab/>
        <w:t>Delegation by Commissioner</w:t>
      </w:r>
      <w:bookmarkEnd w:id="114"/>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rPr>
          <w:color w:val="000000"/>
        </w:rPr>
      </w:pPr>
      <w:r>
        <w:tab/>
        <w:t>[Section 85B inserted by No. 1 of 2012 s. 5.]</w:t>
      </w:r>
    </w:p>
    <w:p>
      <w:pPr>
        <w:pStyle w:val="Heading5"/>
      </w:pPr>
      <w:bookmarkStart w:id="115" w:name="_Toc375053545"/>
      <w:r>
        <w:rPr>
          <w:rStyle w:val="CharSectno"/>
        </w:rPr>
        <w:t>85C</w:t>
      </w:r>
      <w:r>
        <w:rPr>
          <w:color w:val="000000"/>
        </w:rPr>
        <w:t>.</w:t>
      </w:r>
      <w:r>
        <w:rPr>
          <w:color w:val="000000"/>
        </w:rPr>
        <w:tab/>
        <w:t>Commissioner not required to publish or provide information</w:t>
      </w:r>
      <w:bookmarkEnd w:id="115"/>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rPr>
          <w:color w:val="000000"/>
        </w:rPr>
      </w:pPr>
      <w:r>
        <w:tab/>
        <w:t>[Section 85C inserted by No. 1 of 2012 s. 5.]</w:t>
      </w:r>
    </w:p>
    <w:p>
      <w:pPr>
        <w:pStyle w:val="Heading5"/>
      </w:pPr>
      <w:bookmarkStart w:id="116" w:name="_Toc375053546"/>
      <w:r>
        <w:rPr>
          <w:rStyle w:val="CharSectno"/>
        </w:rPr>
        <w:t>85D</w:t>
      </w:r>
      <w:r>
        <w:rPr>
          <w:color w:val="000000"/>
        </w:rPr>
        <w:t>.</w:t>
      </w:r>
      <w:r>
        <w:rPr>
          <w:color w:val="000000"/>
        </w:rPr>
        <w:tab/>
        <w:t>Restriction on information about protected witnesses</w:t>
      </w:r>
      <w:bookmarkEnd w:id="116"/>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rPr>
          <w:color w:val="000000"/>
        </w:rPr>
      </w:pPr>
      <w:r>
        <w:tab/>
        <w:t>[Section 85D inserted by No. 1 of 2012 s. 5.]</w:t>
      </w:r>
    </w:p>
    <w:p>
      <w:pPr>
        <w:pStyle w:val="Heading3"/>
        <w:rPr>
          <w:color w:val="000000"/>
        </w:rPr>
      </w:pPr>
      <w:bookmarkStart w:id="117" w:name="_Toc375053547"/>
      <w:r>
        <w:rPr>
          <w:rStyle w:val="CharDivNo"/>
        </w:rPr>
        <w:t>Division 2</w:t>
      </w:r>
      <w:r>
        <w:rPr>
          <w:color w:val="000000"/>
        </w:rPr>
        <w:t> — </w:t>
      </w:r>
      <w:r>
        <w:rPr>
          <w:rStyle w:val="CharDivText"/>
        </w:rPr>
        <w:t>Commissioner may publish information</w:t>
      </w:r>
      <w:bookmarkEnd w:id="117"/>
    </w:p>
    <w:p>
      <w:pPr>
        <w:pStyle w:val="Footnoteheading"/>
      </w:pPr>
      <w:r>
        <w:tab/>
        <w:t>[Heading inserted by No. 1 of 2012 s. 5.]</w:t>
      </w:r>
    </w:p>
    <w:p>
      <w:pPr>
        <w:pStyle w:val="Heading5"/>
      </w:pPr>
      <w:bookmarkStart w:id="118" w:name="_Toc375053548"/>
      <w:r>
        <w:rPr>
          <w:rStyle w:val="CharSectno"/>
        </w:rPr>
        <w:t>85E</w:t>
      </w:r>
      <w:r>
        <w:rPr>
          <w:color w:val="000000"/>
        </w:rPr>
        <w:t>.</w:t>
      </w:r>
      <w:r>
        <w:rPr>
          <w:color w:val="000000"/>
        </w:rPr>
        <w:tab/>
        <w:t>Application</w:t>
      </w:r>
      <w:bookmarkEnd w:id="118"/>
    </w:p>
    <w:p>
      <w:pPr>
        <w:pStyle w:val="Subsection"/>
        <w:rPr>
          <w:color w:val="000000"/>
        </w:rPr>
      </w:pPr>
      <w:r>
        <w:rPr>
          <w:color w:val="000000"/>
        </w:rPr>
        <w:tab/>
      </w:r>
      <w:r>
        <w:rPr>
          <w:color w:val="000000"/>
        </w:rPr>
        <w:tab/>
        <w:t>This Division has effect despite any written or other law to the contrary.</w:t>
      </w:r>
    </w:p>
    <w:p>
      <w:pPr>
        <w:pStyle w:val="Footnotesection"/>
        <w:rPr>
          <w:color w:val="000000"/>
        </w:rPr>
      </w:pPr>
      <w:r>
        <w:tab/>
        <w:t>[Section 85E inserted by No. 1 of 2012 s. 5.]</w:t>
      </w:r>
    </w:p>
    <w:p>
      <w:pPr>
        <w:pStyle w:val="Heading5"/>
      </w:pPr>
      <w:bookmarkStart w:id="119" w:name="_Toc375053549"/>
      <w:r>
        <w:rPr>
          <w:rStyle w:val="CharSectno"/>
        </w:rPr>
        <w:t>85F</w:t>
      </w:r>
      <w:r>
        <w:rPr>
          <w:color w:val="000000"/>
        </w:rPr>
        <w:t>.</w:t>
      </w:r>
      <w:r>
        <w:rPr>
          <w:color w:val="000000"/>
        </w:rPr>
        <w:tab/>
        <w:t>Commissioner may publish personal details of certain reportable offenders</w:t>
      </w:r>
      <w:bookmarkEnd w:id="119"/>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rPr>
          <w:color w:val="000000"/>
        </w:rPr>
        <w:tab/>
        <w:t>(a)</w:t>
      </w:r>
      <w:r>
        <w:rPr>
          <w:color w:val="000000"/>
        </w:rPr>
        <w:tab/>
        <w:t xml:space="preserve">the Commissioner is satisfied that the reportable offender — </w:t>
      </w:r>
    </w:p>
    <w:p>
      <w:pPr>
        <w:pStyle w:val="Indenti"/>
      </w:pPr>
      <w:r>
        <w:rPr>
          <w:color w:val="000000"/>
        </w:rPr>
        <w:tab/>
        <w:t>(i)</w:t>
      </w:r>
      <w:r>
        <w:rPr>
          <w:color w:val="000000"/>
        </w:rPr>
        <w:tab/>
        <w:t>has failed to comply with any of his or her reporting obligations; or</w:t>
      </w:r>
    </w:p>
    <w:p>
      <w:pPr>
        <w:pStyle w:val="Indenti"/>
      </w:pPr>
      <w:r>
        <w:tab/>
        <w:t>(ii)</w:t>
      </w:r>
      <w:r>
        <w:tab/>
        <w:t>in purported compliance with Part 3, has provided information that is false or misleading in a material particular;</w:t>
      </w:r>
    </w:p>
    <w:p>
      <w:pPr>
        <w:pStyle w:val="Indenta"/>
      </w:pPr>
      <w:r>
        <w:rPr>
          <w:color w:val="000000"/>
        </w:rPr>
        <w:tab/>
      </w:r>
      <w:r>
        <w:rPr>
          <w:color w:val="000000"/>
        </w:rPr>
        <w:tab/>
        <w:t>and</w:t>
      </w:r>
    </w:p>
    <w:p>
      <w:pPr>
        <w:pStyle w:val="Indenta"/>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pPr>
      <w:r>
        <w:rPr>
          <w:color w:val="000000"/>
        </w:rPr>
        <w:tab/>
        <w:t>(a)</w:t>
      </w:r>
      <w:r>
        <w:rPr>
          <w:color w:val="000000"/>
        </w:rPr>
        <w:tab/>
        <w:t>remove any or all of the personal details of a reportable offender from the website on which they are published under subsection (2); or</w:t>
      </w:r>
    </w:p>
    <w:p>
      <w:pPr>
        <w:pStyle w:val="Indenta"/>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pPr>
      <w:r>
        <w:rPr>
          <w:color w:val="000000"/>
        </w:rPr>
        <w:tab/>
        <w:t>(a)</w:t>
      </w:r>
      <w:r>
        <w:rPr>
          <w:color w:val="000000"/>
        </w:rPr>
        <w:tab/>
        <w:t>the Commissioner has published any personal details of a reportable offender under subsection (2); and</w:t>
      </w:r>
    </w:p>
    <w:p>
      <w:pPr>
        <w:pStyle w:val="Indenta"/>
      </w:pPr>
      <w:r>
        <w:tab/>
        <w:t>(b)</w:t>
      </w:r>
      <w:r>
        <w:tab/>
        <w:t>the reportable offender subsequently reports his or her whereabouts to the Commissioner under Part 3,</w:t>
      </w:r>
    </w:p>
    <w:p>
      <w:pPr>
        <w:pStyle w:val="Subsection"/>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rPr>
          <w:color w:val="000000"/>
        </w:rPr>
      </w:pPr>
      <w:r>
        <w:tab/>
        <w:t>[Section 85F inserted by No. 1 of 2012 s. 5.]</w:t>
      </w:r>
    </w:p>
    <w:p>
      <w:pPr>
        <w:pStyle w:val="Heading5"/>
      </w:pPr>
      <w:bookmarkStart w:id="120" w:name="_Toc375053550"/>
      <w:r>
        <w:rPr>
          <w:rStyle w:val="CharSectno"/>
        </w:rPr>
        <w:t>85G</w:t>
      </w:r>
      <w:r>
        <w:rPr>
          <w:color w:val="000000"/>
        </w:rPr>
        <w:t>.</w:t>
      </w:r>
      <w:r>
        <w:rPr>
          <w:color w:val="000000"/>
        </w:rPr>
        <w:tab/>
        <w:t>Commissioner may publish photograph and locality of certain persons</w:t>
      </w:r>
      <w:bookmarkEnd w:id="120"/>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rPr>
          <w:color w:val="000000"/>
        </w:rPr>
      </w:pPr>
      <w:r>
        <w:rPr>
          <w:color w:val="000000"/>
        </w:rPr>
        <w:tab/>
      </w:r>
      <w:r>
        <w:rPr>
          <w:rStyle w:val="CharDefText"/>
          <w:color w:val="000000"/>
        </w:rPr>
        <w:t>photograph</w:t>
      </w:r>
      <w:r>
        <w:rPr>
          <w:color w:val="000000"/>
        </w:rPr>
        <w:t xml:space="preserve"> includes a digital image;</w:t>
      </w:r>
    </w:p>
    <w:p>
      <w:pPr>
        <w:pStyle w:val="Defstart"/>
        <w:rPr>
          <w:color w:val="000000"/>
        </w:rPr>
      </w:pPr>
      <w:r>
        <w:rPr>
          <w:color w:val="000000"/>
        </w:rPr>
        <w:tab/>
      </w:r>
      <w:r>
        <w:rPr>
          <w:rStyle w:val="CharDefText"/>
          <w:color w:val="000000"/>
        </w:rPr>
        <w:t>prescribed offence</w:t>
      </w:r>
      <w:r>
        <w:rPr>
          <w:color w:val="000000"/>
        </w:rPr>
        <w:t xml:space="preserve"> means a Class 1 offence, a Class 2 offence or a sexual offence, as defined in the </w:t>
      </w:r>
      <w:r>
        <w:rPr>
          <w:i/>
          <w:color w:val="000000"/>
        </w:rPr>
        <w:t>Evidence Act 1906</w:t>
      </w:r>
      <w:r>
        <w:rPr>
          <w:color w:val="000000"/>
        </w:rP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rPr>
          <w:color w:val="000000"/>
        </w:rPr>
        <w:tab/>
        <w:t>(a)</w:t>
      </w:r>
      <w:r>
        <w:rPr>
          <w:color w:val="000000"/>
        </w:rP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rPr>
          <w:color w:val="000000"/>
        </w:rPr>
        <w:tab/>
        <w:t>(i)</w:t>
      </w:r>
      <w:r>
        <w:rPr>
          <w:color w:val="000000"/>
        </w:rP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rPr>
          <w:color w:val="000000"/>
        </w:rPr>
        <w:tab/>
      </w:r>
      <w:r>
        <w:rPr>
          <w:color w:val="000000"/>
        </w:rP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rPr>
          <w:color w:val="000000"/>
        </w:rPr>
        <w:tab/>
        <w:t>(a)</w:t>
      </w:r>
      <w:r>
        <w:rPr>
          <w:color w:val="000000"/>
        </w:rP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rPr>
          <w:color w:val="000000"/>
        </w:rPr>
      </w:pPr>
      <w:r>
        <w:tab/>
        <w:t>[Section 85G inserted by No. 1 of 2012 s. 5.]</w:t>
      </w:r>
    </w:p>
    <w:p>
      <w:pPr>
        <w:pStyle w:val="Heading5"/>
      </w:pPr>
      <w:bookmarkStart w:id="121" w:name="_Toc375053551"/>
      <w:r>
        <w:rPr>
          <w:rStyle w:val="CharSectno"/>
        </w:rPr>
        <w:t>85H</w:t>
      </w:r>
      <w:r>
        <w:t>.</w:t>
      </w:r>
      <w:r>
        <w:tab/>
        <w:t>Removal of photograph and locality from website</w:t>
      </w:r>
      <w:bookmarkEnd w:id="121"/>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rPr>
          <w:color w:val="000000"/>
        </w:rPr>
        <w:tab/>
        <w:t>(a)</w:t>
      </w:r>
      <w:r>
        <w:rPr>
          <w:color w:val="000000"/>
        </w:rPr>
        <w:tab/>
        <w:t xml:space="preserve">the Commissioner </w:t>
      </w:r>
      <w:r>
        <w:t>has published a photograph and the locality of a person under section 85G(2)(a); and</w:t>
      </w:r>
    </w:p>
    <w:p>
      <w:pPr>
        <w:pStyle w:val="Indenta"/>
        <w:rPr>
          <w:color w:val="000000"/>
        </w:rPr>
      </w:pPr>
      <w:r>
        <w:tab/>
        <w:t>(b)</w:t>
      </w:r>
      <w:r>
        <w:tab/>
        <w:t>the person ceases to be subject to the DSO supervision order</w:t>
      </w:r>
      <w:r>
        <w:rPr>
          <w:color w:val="000000"/>
        </w:rPr>
        <w:t>; and</w:t>
      </w:r>
    </w:p>
    <w:p>
      <w:pPr>
        <w:pStyle w:val="Indenta"/>
      </w:pPr>
      <w:r>
        <w:tab/>
        <w:t>(c)</w:t>
      </w:r>
      <w:r>
        <w:tab/>
      </w:r>
      <w:r>
        <w:rPr>
          <w:color w:val="000000"/>
        </w:rPr>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 xml:space="preserve">neither section 85G(2)(a) nor (c) applies </w:t>
      </w:r>
      <w:r>
        <w:rPr>
          <w:color w:val="000000"/>
        </w:rPr>
        <w:t xml:space="preserve">in relation </w:t>
      </w:r>
      <w:r>
        <w:t>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rPr>
          <w:color w:val="000000"/>
        </w:rPr>
      </w:pPr>
      <w:r>
        <w:tab/>
        <w:t>[Section 85H inserted by No. 1 of 2012 s. 5.]</w:t>
      </w:r>
    </w:p>
    <w:p>
      <w:pPr>
        <w:pStyle w:val="Heading5"/>
      </w:pPr>
      <w:bookmarkStart w:id="122" w:name="_Toc375053552"/>
      <w:r>
        <w:rPr>
          <w:rStyle w:val="CharSectno"/>
        </w:rPr>
        <w:t>85I</w:t>
      </w:r>
      <w:r>
        <w:rPr>
          <w:color w:val="000000"/>
        </w:rPr>
        <w:t>.</w:t>
      </w:r>
      <w:r>
        <w:rPr>
          <w:color w:val="000000"/>
        </w:rPr>
        <w:tab/>
        <w:t>Commissioner may take into account certain matters</w:t>
      </w:r>
      <w:bookmarkEnd w:id="122"/>
    </w:p>
    <w:p>
      <w:pPr>
        <w:pStyle w:val="Subsection"/>
      </w:pPr>
      <w:r>
        <w:rPr>
          <w:color w:val="000000"/>
        </w:rPr>
        <w:tab/>
        <w:t>(1)</w:t>
      </w:r>
      <w:r>
        <w:rPr>
          <w:color w:val="000000"/>
        </w:rPr>
        <w:tab/>
        <w:t xml:space="preserve">In determining whether or not — </w:t>
      </w:r>
    </w:p>
    <w:p>
      <w:pPr>
        <w:pStyle w:val="Indenta"/>
      </w:pPr>
      <w:r>
        <w:rPr>
          <w:color w:val="000000"/>
        </w:rPr>
        <w:tab/>
        <w:t>(a)</w:t>
      </w:r>
      <w:r>
        <w:rPr>
          <w:color w:val="000000"/>
        </w:rP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rPr>
          <w:color w:val="000000"/>
        </w:rP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rPr>
          <w:color w:val="000000"/>
        </w:rPr>
        <w:tab/>
        <w:t>(a)</w:t>
      </w:r>
      <w:r>
        <w:rPr>
          <w:color w:val="000000"/>
        </w:rPr>
        <w:tab/>
        <w:t xml:space="preserve">whether the publication of the identifying information about a person would interfere with — </w:t>
      </w:r>
    </w:p>
    <w:p>
      <w:pPr>
        <w:pStyle w:val="Indenti"/>
      </w:pPr>
      <w:r>
        <w:rPr>
          <w:color w:val="000000"/>
        </w:rPr>
        <w:tab/>
        <w:t>(i)</w:t>
      </w:r>
      <w:r>
        <w:rPr>
          <w:color w:val="000000"/>
        </w:rP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rPr>
          <w:color w:val="000000"/>
        </w:rPr>
        <w:tab/>
        <w:t>(b)</w:t>
      </w:r>
      <w:r>
        <w:rPr>
          <w:color w:val="000000"/>
        </w:rP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rPr>
          <w:color w:val="000000"/>
        </w:rPr>
      </w:pPr>
      <w:r>
        <w:tab/>
        <w:t>[Section 85I inserted by No. 1 of 2012 s. 5.]</w:t>
      </w:r>
    </w:p>
    <w:p>
      <w:pPr>
        <w:pStyle w:val="Heading5"/>
      </w:pPr>
      <w:bookmarkStart w:id="123" w:name="_Toc375053553"/>
      <w:r>
        <w:rPr>
          <w:rStyle w:val="CharSectno"/>
        </w:rPr>
        <w:t>85J</w:t>
      </w:r>
      <w:r>
        <w:rPr>
          <w:color w:val="000000"/>
        </w:rPr>
        <w:t>.</w:t>
      </w:r>
      <w:r>
        <w:rPr>
          <w:color w:val="000000"/>
        </w:rPr>
        <w:tab/>
        <w:t>Commissioner may inform child’s parent or guardian whether specified person is a reportable offender</w:t>
      </w:r>
      <w:bookmarkEnd w:id="123"/>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rPr>
          <w:color w:val="000000"/>
        </w:rPr>
      </w:pPr>
      <w:r>
        <w:tab/>
        <w:t>[Section 85J inserted by No. 1 of 2012 s. 5.]</w:t>
      </w:r>
    </w:p>
    <w:p>
      <w:pPr>
        <w:pStyle w:val="Heading5"/>
      </w:pPr>
      <w:bookmarkStart w:id="124" w:name="_Toc375053554"/>
      <w:r>
        <w:rPr>
          <w:rStyle w:val="CharSectno"/>
        </w:rPr>
        <w:t>85K</w:t>
      </w:r>
      <w:r>
        <w:rPr>
          <w:color w:val="000000"/>
        </w:rPr>
        <w:t>.</w:t>
      </w:r>
      <w:r>
        <w:rPr>
          <w:color w:val="000000"/>
        </w:rPr>
        <w:tab/>
        <w:t>Protection as to publication and other provision of information</w:t>
      </w:r>
      <w:bookmarkEnd w:id="124"/>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information</w:t>
      </w:r>
      <w:r>
        <w:rPr>
          <w:color w:val="000000"/>
        </w:rP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rPr>
          <w:color w:val="000000"/>
        </w:rPr>
        <w:tab/>
        <w:t>(a)</w:t>
      </w:r>
      <w:r>
        <w:rPr>
          <w:color w:val="000000"/>
        </w:rP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rPr>
          <w:color w:val="000000"/>
        </w:rPr>
        <w:tab/>
        <w:t>(a)</w:t>
      </w:r>
      <w:r>
        <w:rPr>
          <w:color w:val="000000"/>
        </w:rPr>
        <w:tab/>
        <w:t>as a breach of any duty of confidentiality or secrecy imposed by law; or</w:t>
      </w:r>
    </w:p>
    <w:p>
      <w:pPr>
        <w:pStyle w:val="Indenta"/>
      </w:pPr>
      <w:r>
        <w:tab/>
        <w:t>(b)</w:t>
      </w:r>
      <w:r>
        <w:tab/>
        <w:t>as a breach of professional ethics or standards or as unprofessional conduct.</w:t>
      </w:r>
    </w:p>
    <w:p>
      <w:pPr>
        <w:pStyle w:val="Footnotesection"/>
        <w:rPr>
          <w:color w:val="000000"/>
        </w:rPr>
      </w:pPr>
      <w:r>
        <w:tab/>
        <w:t>[Section 85K inserted by No. 1 of 2012 s. 5.]</w:t>
      </w:r>
    </w:p>
    <w:p>
      <w:pPr>
        <w:pStyle w:val="Heading3"/>
        <w:rPr>
          <w:color w:val="000000"/>
        </w:rPr>
      </w:pPr>
      <w:bookmarkStart w:id="125" w:name="_Toc375053555"/>
      <w:r>
        <w:rPr>
          <w:rStyle w:val="CharDivNo"/>
        </w:rPr>
        <w:t>Division 3</w:t>
      </w:r>
      <w:r>
        <w:rPr>
          <w:color w:val="000000"/>
        </w:rPr>
        <w:t> — </w:t>
      </w:r>
      <w:r>
        <w:rPr>
          <w:rStyle w:val="CharDivText"/>
        </w:rPr>
        <w:t>Offences</w:t>
      </w:r>
      <w:bookmarkEnd w:id="125"/>
    </w:p>
    <w:p>
      <w:pPr>
        <w:pStyle w:val="Footnoteheading"/>
      </w:pPr>
      <w:r>
        <w:tab/>
        <w:t>[Heading inserted by No. 1 of 2012 s. 5.]</w:t>
      </w:r>
    </w:p>
    <w:p>
      <w:pPr>
        <w:pStyle w:val="Heading5"/>
      </w:pPr>
      <w:bookmarkStart w:id="126" w:name="_Toc375053556"/>
      <w:r>
        <w:rPr>
          <w:rStyle w:val="CharSectno"/>
        </w:rPr>
        <w:t>85L</w:t>
      </w:r>
      <w:r>
        <w:rPr>
          <w:color w:val="000000"/>
        </w:rPr>
        <w:t>.</w:t>
      </w:r>
      <w:r>
        <w:rPr>
          <w:color w:val="000000"/>
        </w:rPr>
        <w:tab/>
        <w:t>Conduct intended to incite animosity towards or harassment of identified offenders</w:t>
      </w:r>
      <w:bookmarkEnd w:id="126"/>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animosity towards</w:t>
      </w:r>
      <w:r>
        <w:rPr>
          <w:color w:val="000000"/>
        </w:rP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rPr>
          <w:color w:val="000000"/>
        </w:rPr>
        <w:tab/>
      </w:r>
      <w:r>
        <w:rPr>
          <w:rStyle w:val="CharDefText"/>
          <w:color w:val="000000"/>
        </w:rPr>
        <w:t>public place</w:t>
      </w:r>
      <w:r>
        <w:rPr>
          <w:color w:val="000000"/>
        </w:rP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rPr>
          <w:color w:val="000000"/>
        </w:rPr>
        <w:tab/>
        <w:t>(a)</w:t>
      </w:r>
      <w:r>
        <w:rPr>
          <w:color w:val="000000"/>
        </w:rP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rPr>
          <w:color w:val="000000"/>
        </w:rP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rPr>
          <w:color w:val="000000"/>
        </w:rPr>
      </w:pPr>
      <w:r>
        <w:rPr>
          <w:color w:val="000000"/>
        </w:rPr>
        <w:tab/>
        <w:t>Penalty: imprisonment for 2 years.</w:t>
      </w:r>
    </w:p>
    <w:p>
      <w:pPr>
        <w:pStyle w:val="Footnotesection"/>
        <w:rPr>
          <w:color w:val="000000"/>
        </w:rPr>
      </w:pPr>
      <w:r>
        <w:tab/>
        <w:t>[Section 85L inserted by No. 1 of 2012 s. 5.]</w:t>
      </w:r>
    </w:p>
    <w:p>
      <w:pPr>
        <w:pStyle w:val="Heading5"/>
      </w:pPr>
      <w:bookmarkStart w:id="127" w:name="_Toc375053557"/>
      <w:r>
        <w:rPr>
          <w:rStyle w:val="CharSectno"/>
        </w:rPr>
        <w:t>85M</w:t>
      </w:r>
      <w:r>
        <w:rPr>
          <w:color w:val="000000"/>
        </w:rPr>
        <w:t>.</w:t>
      </w:r>
      <w:r>
        <w:rPr>
          <w:color w:val="000000"/>
        </w:rPr>
        <w:tab/>
        <w:t>Publication, display and distribution of identifying information</w:t>
      </w:r>
      <w:bookmarkEnd w:id="127"/>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display</w:t>
      </w:r>
      <w:r>
        <w:rPr>
          <w:color w:val="000000"/>
        </w:rP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rPr>
          <w:color w:val="000000"/>
        </w:rPr>
        <w:tab/>
      </w:r>
      <w:r>
        <w:rPr>
          <w:rStyle w:val="CharDefText"/>
          <w:color w:val="000000"/>
        </w:rPr>
        <w:t>publish</w:t>
      </w:r>
      <w:r>
        <w:rPr>
          <w:color w:val="000000"/>
        </w:rP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rPr>
          <w:color w:val="000000"/>
        </w:rPr>
        <w:tab/>
        <w:t>Penalty: imprisonment for 2 years.</w:t>
      </w:r>
    </w:p>
    <w:p>
      <w:pPr>
        <w:pStyle w:val="Footnotesection"/>
        <w:rPr>
          <w:color w:val="000000"/>
        </w:rPr>
      </w:pPr>
      <w:r>
        <w:tab/>
        <w:t>[Section 85M inserted by No. 1 of 2012 s. 5.]</w:t>
      </w:r>
    </w:p>
    <w:p>
      <w:pPr>
        <w:pStyle w:val="Heading2"/>
      </w:pPr>
      <w:bookmarkStart w:id="128" w:name="_Toc375053558"/>
      <w:r>
        <w:rPr>
          <w:rStyle w:val="CharPartNo"/>
        </w:rPr>
        <w:t>Part 5</w:t>
      </w:r>
      <w:r>
        <w:t> — </w:t>
      </w:r>
      <w:r>
        <w:rPr>
          <w:rStyle w:val="CharPartText"/>
        </w:rPr>
        <w:t>Protection orders</w:t>
      </w:r>
      <w:bookmarkEnd w:id="128"/>
    </w:p>
    <w:p>
      <w:pPr>
        <w:pStyle w:val="Footnoteheading"/>
      </w:pPr>
      <w:r>
        <w:tab/>
        <w:t>[Heading amended by No. 54 of 2012 s. 40.]</w:t>
      </w:r>
    </w:p>
    <w:p>
      <w:pPr>
        <w:pStyle w:val="Heading3"/>
      </w:pPr>
      <w:bookmarkStart w:id="129" w:name="_Toc375053559"/>
      <w:r>
        <w:rPr>
          <w:rStyle w:val="CharDivNo"/>
        </w:rPr>
        <w:t>Division 1</w:t>
      </w:r>
      <w:r>
        <w:t> — </w:t>
      </w:r>
      <w:r>
        <w:rPr>
          <w:rStyle w:val="CharDivText"/>
        </w:rPr>
        <w:t>Preliminary</w:t>
      </w:r>
      <w:bookmarkEnd w:id="129"/>
    </w:p>
    <w:p>
      <w:pPr>
        <w:pStyle w:val="Heading5"/>
      </w:pPr>
      <w:bookmarkStart w:id="130" w:name="_Toc375053560"/>
      <w:r>
        <w:rPr>
          <w:rStyle w:val="CharSectno"/>
        </w:rPr>
        <w:t>85</w:t>
      </w:r>
      <w:r>
        <w:t>.</w:t>
      </w:r>
      <w:r>
        <w:tab/>
        <w:t>Terms used in this Part</w:t>
      </w:r>
      <w:bookmarkEnd w:id="130"/>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w:t>
      </w:r>
      <w:r>
        <w:rPr>
          <w:color w:val="000000"/>
        </w:rPr>
        <w:t>protection</w:t>
      </w:r>
      <w:r>
        <w:t xml:space="preserve">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rPr>
          <w:color w:val="000000"/>
        </w:rPr>
      </w:pPr>
      <w:r>
        <w:tab/>
        <w:t>[Section 85 amended by No. 54 of 2012 s. 26 and 41.]</w:t>
      </w:r>
    </w:p>
    <w:p>
      <w:pPr>
        <w:pStyle w:val="Heading5"/>
        <w:spacing w:before="180"/>
      </w:pPr>
      <w:bookmarkStart w:id="131" w:name="_Toc375053561"/>
      <w:r>
        <w:rPr>
          <w:rStyle w:val="CharSectno"/>
        </w:rPr>
        <w:t>86</w:t>
      </w:r>
      <w:r>
        <w:t>.</w:t>
      </w:r>
      <w:r>
        <w:tab/>
        <w:t>Evidence</w:t>
      </w:r>
      <w:bookmarkEnd w:id="131"/>
    </w:p>
    <w:p>
      <w:pPr>
        <w:pStyle w:val="Subsection"/>
        <w:spacing w:before="120"/>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pPr>
      <w:r>
        <w:tab/>
        <w:t>(5)</w:t>
      </w:r>
      <w:r>
        <w:tab/>
        <w:t xml:space="preserve">Subsection (3) does not limit the </w:t>
      </w:r>
      <w:r>
        <w:rPr>
          <w:i/>
        </w:rPr>
        <w:t>Children’s Court of Western Australia Act 1988</w:t>
      </w:r>
      <w:r>
        <w:rPr>
          <w:iCs/>
        </w:rPr>
        <w:t xml:space="preserve"> section 51A(3).</w:t>
      </w:r>
    </w:p>
    <w:p>
      <w:pPr>
        <w:pStyle w:val="Footnotesection"/>
      </w:pPr>
      <w:r>
        <w:tab/>
        <w:t>[Section 86 amended by No. 54 of 2012 s. 27.]</w:t>
      </w:r>
    </w:p>
    <w:p>
      <w:pPr>
        <w:pStyle w:val="Heading3"/>
        <w:spacing w:before="200"/>
      </w:pPr>
      <w:bookmarkStart w:id="132" w:name="_Toc375053562"/>
      <w:r>
        <w:rPr>
          <w:rStyle w:val="CharDivNo"/>
        </w:rPr>
        <w:t>Division 2</w:t>
      </w:r>
      <w:r>
        <w:t> — </w:t>
      </w:r>
      <w:r>
        <w:rPr>
          <w:rStyle w:val="CharDivText"/>
        </w:rPr>
        <w:t>Orders</w:t>
      </w:r>
      <w:bookmarkEnd w:id="132"/>
    </w:p>
    <w:p>
      <w:pPr>
        <w:pStyle w:val="Heading5"/>
      </w:pPr>
      <w:bookmarkStart w:id="133" w:name="_Toc375053563"/>
      <w:r>
        <w:rPr>
          <w:rStyle w:val="CharSectno"/>
        </w:rPr>
        <w:t>87</w:t>
      </w:r>
      <w:r>
        <w:t>.</w:t>
      </w:r>
      <w:r>
        <w:tab/>
        <w:t>Commissioner may apply for orders</w:t>
      </w:r>
      <w:bookmarkEnd w:id="133"/>
    </w:p>
    <w:p>
      <w:pPr>
        <w:pStyle w:val="Subsection"/>
        <w:keepNext/>
      </w:pPr>
      <w:r>
        <w:tab/>
        <w:t>(1)</w:t>
      </w:r>
      <w:r>
        <w:tab/>
        <w:t xml:space="preserve">The Commissioner may apply to a court for a protection order — </w:t>
      </w:r>
    </w:p>
    <w:p>
      <w:pPr>
        <w:pStyle w:val="Indenta"/>
      </w:pPr>
      <w:r>
        <w:tab/>
        <w:t>(a)</w:t>
      </w:r>
      <w:r>
        <w:tab/>
        <w:t>prohibiting a reportable offender from engaging in specified conduct; or</w:t>
      </w:r>
    </w:p>
    <w:p>
      <w:pPr>
        <w:pStyle w:val="Indenta"/>
      </w:pPr>
      <w:r>
        <w:tab/>
        <w:t>(b)</w:t>
      </w:r>
      <w:r>
        <w:tab/>
        <w:t>requiring a reportable offender to comply with the orders of the Commissioner, as referred to in section 94A; or</w:t>
      </w:r>
    </w:p>
    <w:p>
      <w:pPr>
        <w:pStyle w:val="Indenta"/>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by No. 54 of 2012 s. 28.]</w:t>
      </w:r>
    </w:p>
    <w:p>
      <w:pPr>
        <w:pStyle w:val="Heading5"/>
        <w:spacing w:before="160"/>
      </w:pPr>
      <w:bookmarkStart w:id="134" w:name="_Toc375053564"/>
      <w:r>
        <w:rPr>
          <w:rStyle w:val="CharSectno"/>
        </w:rPr>
        <w:t>88</w:t>
      </w:r>
      <w:r>
        <w:t>.</w:t>
      </w:r>
      <w:r>
        <w:tab/>
        <w:t>Fixing a hearing</w:t>
      </w:r>
      <w:bookmarkEnd w:id="134"/>
    </w:p>
    <w:p>
      <w:pPr>
        <w:pStyle w:val="Subsection"/>
        <w:spacing w:before="120"/>
      </w:pPr>
      <w:r>
        <w:tab/>
      </w:r>
      <w:r>
        <w:tab/>
        <w:t xml:space="preserve">When an application for a </w:t>
      </w:r>
      <w:r>
        <w:rPr>
          <w:color w:val="000000"/>
        </w:rPr>
        <w:t>protection order</w:t>
      </w:r>
      <w:r>
        <w:t xml:space="preserve">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Footnotesection"/>
      </w:pPr>
      <w:r>
        <w:tab/>
        <w:t>[Section 88 amended by No. 54 of 2012 s. 42(2).]</w:t>
      </w:r>
    </w:p>
    <w:p>
      <w:pPr>
        <w:pStyle w:val="Heading5"/>
        <w:spacing w:before="160"/>
      </w:pPr>
      <w:bookmarkStart w:id="135" w:name="_Toc375053565"/>
      <w:r>
        <w:rPr>
          <w:rStyle w:val="CharSectno"/>
        </w:rPr>
        <w:t>89</w:t>
      </w:r>
      <w:r>
        <w:t>.</w:t>
      </w:r>
      <w:r>
        <w:tab/>
        <w:t>How application to be disposed of</w:t>
      </w:r>
      <w:bookmarkEnd w:id="135"/>
    </w:p>
    <w:p>
      <w:pPr>
        <w:pStyle w:val="Subsection"/>
        <w:spacing w:before="120"/>
      </w:pPr>
      <w:r>
        <w:tab/>
      </w:r>
      <w:r>
        <w:tab/>
        <w:t xml:space="preserve">The court may dispose of the application — </w:t>
      </w:r>
    </w:p>
    <w:p>
      <w:pPr>
        <w:pStyle w:val="Indenta"/>
      </w:pPr>
      <w:r>
        <w:tab/>
        <w:t>(a)</w:t>
      </w:r>
      <w:r>
        <w:tab/>
        <w:t xml:space="preserve">by making a </w:t>
      </w:r>
      <w:r>
        <w:rPr>
          <w:color w:val="000000"/>
        </w:rPr>
        <w:t>protection order</w:t>
      </w:r>
      <w:r>
        <w:t>;</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89 amended by No. 54 of 2012 s. 42(2).]</w:t>
      </w:r>
    </w:p>
    <w:p>
      <w:pPr>
        <w:pStyle w:val="Heading5"/>
        <w:spacing w:before="160"/>
      </w:pPr>
      <w:bookmarkStart w:id="136" w:name="_Toc375053566"/>
      <w:r>
        <w:rPr>
          <w:rStyle w:val="CharSectno"/>
        </w:rPr>
        <w:t>90</w:t>
      </w:r>
      <w:r>
        <w:t>.</w:t>
      </w:r>
      <w:r>
        <w:tab/>
        <w:t>Court may make child protection orders</w:t>
      </w:r>
      <w:bookmarkEnd w:id="136"/>
    </w:p>
    <w:p>
      <w:pPr>
        <w:pStyle w:val="Subsection"/>
        <w:spacing w:before="120"/>
      </w:pPr>
      <w:r>
        <w:tab/>
        <w:t>(1)</w:t>
      </w:r>
      <w:r>
        <w:tab/>
        <w:t xml:space="preserve">A court may make a child protection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rPr>
          <w:color w:val="000000"/>
        </w:rPr>
        <w:tab/>
        <w:t>(ga)</w:t>
      </w:r>
      <w:r>
        <w:rPr>
          <w:color w:val="000000"/>
        </w:rPr>
        <w:tab/>
        <w:t>any document or record (including an electronic document or record) served on the reportable offender by the Commissioner;</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by No. 54 of 2012 s. 29 and 42(2).]</w:t>
      </w:r>
    </w:p>
    <w:p>
      <w:pPr>
        <w:pStyle w:val="Heading5"/>
      </w:pPr>
      <w:bookmarkStart w:id="137" w:name="_Toc375053567"/>
      <w:r>
        <w:rPr>
          <w:rStyle w:val="CharSectno"/>
        </w:rPr>
        <w:t>91</w:t>
      </w:r>
      <w:r>
        <w:t>.</w:t>
      </w:r>
      <w:r>
        <w:tab/>
        <w:t>Term of child protection orders</w:t>
      </w:r>
      <w:bookmarkEnd w:id="137"/>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by No. 54 of 2012 s. 30 and 42(3).]</w:t>
      </w:r>
    </w:p>
    <w:p>
      <w:pPr>
        <w:pStyle w:val="Heading5"/>
      </w:pPr>
      <w:bookmarkStart w:id="138" w:name="_Toc375053568"/>
      <w:r>
        <w:rPr>
          <w:rStyle w:val="CharSectno"/>
        </w:rPr>
        <w:t>92</w:t>
      </w:r>
      <w:r>
        <w:t>.</w:t>
      </w:r>
      <w:r>
        <w:tab/>
        <w:t>Interim child protection orders</w:t>
      </w:r>
      <w:bookmarkEnd w:id="138"/>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rPr>
          <w:color w:val="000000"/>
        </w:rPr>
        <w:tab/>
        <w:t>(a)</w:t>
      </w:r>
      <w:r>
        <w:rPr>
          <w:color w:val="000000"/>
        </w:rP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 xml:space="preserve">subject to subsection (6A), fix a day, time and place for a further hearing of the application as soon as is practicable after the interim </w:t>
      </w:r>
      <w:r>
        <w:rPr>
          <w:color w:val="000000"/>
        </w:rPr>
        <w:t>protection order</w:t>
      </w:r>
      <w:r>
        <w:t xml:space="preserve">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by No. 54 of 2012 s. 31 and 42(2).]</w:t>
      </w:r>
    </w:p>
    <w:p>
      <w:pPr>
        <w:pStyle w:val="Heading5"/>
      </w:pPr>
      <w:bookmarkStart w:id="139" w:name="_Toc375053569"/>
      <w:r>
        <w:rPr>
          <w:rStyle w:val="CharSectno"/>
        </w:rPr>
        <w:t>93</w:t>
      </w:r>
      <w:r>
        <w:t>.</w:t>
      </w:r>
      <w:r>
        <w:tab/>
        <w:t>Conduct that may be the subject of orders</w:t>
      </w:r>
      <w:bookmarkEnd w:id="139"/>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 xml:space="preserve">travelling out of </w:t>
      </w:r>
      <w:smartTag w:uri="urn:schemas-microsoft-com:office:smarttags" w:element="place">
        <w:smartTag w:uri="urn:schemas-microsoft-com:office:smarttags" w:element="country-region">
          <w:r>
            <w:t>Australia</w:t>
          </w:r>
        </w:smartTag>
      </w:smartTag>
      <w:r>
        <w:t xml:space="preserve">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by No. 54 of 2012 s. 32 and 42(2).]</w:t>
      </w:r>
    </w:p>
    <w:p>
      <w:pPr>
        <w:pStyle w:val="Heading5"/>
      </w:pPr>
      <w:bookmarkStart w:id="140" w:name="_Toc375053570"/>
      <w:r>
        <w:rPr>
          <w:rStyle w:val="CharSectno"/>
        </w:rPr>
        <w:t>94A</w:t>
      </w:r>
      <w:r>
        <w:t>.</w:t>
      </w:r>
      <w:r>
        <w:tab/>
        <w:t>Reportable offenders may be required to undergo assessment and treatment</w:t>
      </w:r>
      <w:bookmarkEnd w:id="140"/>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by No. 54 of 2012 s. 33.]</w:t>
      </w:r>
    </w:p>
    <w:p>
      <w:pPr>
        <w:pStyle w:val="Heading5"/>
      </w:pPr>
      <w:bookmarkStart w:id="141" w:name="_Toc375053571"/>
      <w:r>
        <w:rPr>
          <w:rStyle w:val="CharSectno"/>
        </w:rPr>
        <w:t>94B</w:t>
      </w:r>
      <w:r>
        <w:t>.</w:t>
      </w:r>
      <w:r>
        <w:tab/>
        <w:t>Reportable offenders may be required to submit to tests or give samples for analysis</w:t>
      </w:r>
      <w:bookmarkEnd w:id="141"/>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by No. 54 of 2012 s. 33.]</w:t>
      </w:r>
    </w:p>
    <w:p>
      <w:pPr>
        <w:pStyle w:val="Heading5"/>
      </w:pPr>
      <w:bookmarkStart w:id="142" w:name="_Toc375053572"/>
      <w:r>
        <w:rPr>
          <w:rStyle w:val="CharSectno"/>
        </w:rPr>
        <w:t>94C</w:t>
      </w:r>
      <w:r>
        <w:t>.</w:t>
      </w:r>
      <w:r>
        <w:tab/>
        <w:t>Authorised police officers may enter premises to inspect computers</w:t>
      </w:r>
      <w:bookmarkEnd w:id="142"/>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pPr>
      <w:r>
        <w:tab/>
        <w:t>(a)</w:t>
      </w:r>
      <w:r>
        <w:tab/>
        <w:t>provide the officer with any user name, code, password or other information the offender knows is needed to gain access to the electronic data stored in a computer; or</w:t>
      </w:r>
    </w:p>
    <w:p>
      <w:pPr>
        <w:pStyle w:val="Indenta"/>
      </w:pPr>
      <w:r>
        <w:tab/>
        <w:t>(b)</w:t>
      </w:r>
      <w:r>
        <w:tab/>
        <w:t>otherwise assist the officer to gain access to the electronic data stored in a computer.</w:t>
      </w:r>
    </w:p>
    <w:p>
      <w:pPr>
        <w:pStyle w:val="Penstart"/>
      </w:pPr>
      <w:r>
        <w:tab/>
        <w:t>Penalty: a fine of $12 000 and imprisonment for 2 years.</w:t>
      </w:r>
    </w:p>
    <w:p>
      <w:pPr>
        <w:pStyle w:val="Subsection"/>
      </w:pPr>
      <w:r>
        <w:tab/>
        <w:t>(5)</w:t>
      </w:r>
      <w:r>
        <w:tab/>
        <w:t xml:space="preserve">If a person is found guilty of an offence — </w:t>
      </w:r>
    </w:p>
    <w:p>
      <w:pPr>
        <w:pStyle w:val="Indenta"/>
      </w:pPr>
      <w:r>
        <w:tab/>
        <w:t>(a)</w:t>
      </w:r>
      <w:r>
        <w:tab/>
        <w:t>under section 101 in relation to conduct of the kind referred to in subsection (2); or</w:t>
      </w:r>
    </w:p>
    <w:p>
      <w:pPr>
        <w:pStyle w:val="Indenta"/>
      </w:pPr>
      <w:r>
        <w:tab/>
        <w:t>(b)</w:t>
      </w:r>
      <w:r>
        <w:tab/>
        <w:t>under subsection (4),</w:t>
      </w:r>
    </w:p>
    <w:p>
      <w:pPr>
        <w:pStyle w:val="Subsection"/>
      </w:pPr>
      <w:r>
        <w:tab/>
      </w:r>
      <w:r>
        <w:tab/>
        <w:t>in relation to a computer, the computer is forfeited to the State.</w:t>
      </w:r>
    </w:p>
    <w:p>
      <w:pPr>
        <w:pStyle w:val="Subsection"/>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pPr>
      <w:r>
        <w:tab/>
        <w:t>(7)</w:t>
      </w:r>
      <w:r>
        <w:tab/>
        <w:t>An authorised police officer may use reasonable force in the exercise of a power under subsection (2) or (3).</w:t>
      </w:r>
    </w:p>
    <w:p>
      <w:pPr>
        <w:pStyle w:val="Subsection"/>
      </w:pPr>
      <w:r>
        <w:tab/>
        <w:t>(8)</w:t>
      </w:r>
      <w:r>
        <w:tab/>
        <w:t>Unless the exercise of the power is authorised by a senior police officer, a power under subsection (2) or (3) must not be exercised in relation to particular premises more than once in any period of 12 months.</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94C inserted by No. 54 of 2012 s. 33.]</w:t>
      </w:r>
    </w:p>
    <w:p>
      <w:pPr>
        <w:pStyle w:val="Heading5"/>
      </w:pPr>
      <w:bookmarkStart w:id="143" w:name="_Toc375053573"/>
      <w:r>
        <w:rPr>
          <w:rStyle w:val="CharSectno"/>
        </w:rPr>
        <w:t>94</w:t>
      </w:r>
      <w:r>
        <w:t>.</w:t>
      </w:r>
      <w:r>
        <w:tab/>
        <w:t>Explanation of orders</w:t>
      </w:r>
      <w:bookmarkEnd w:id="143"/>
    </w:p>
    <w:p>
      <w:pPr>
        <w:pStyle w:val="Subsection"/>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pPr>
      <w:r>
        <w:tab/>
        <w:t>[Section 94 amended by No. 54 of 2012 s. 42(2).]</w:t>
      </w:r>
    </w:p>
    <w:p>
      <w:pPr>
        <w:pStyle w:val="Heading5"/>
      </w:pPr>
      <w:bookmarkStart w:id="144" w:name="_Toc375053574"/>
      <w:r>
        <w:rPr>
          <w:rStyle w:val="CharSectno"/>
        </w:rPr>
        <w:t>95</w:t>
      </w:r>
      <w:r>
        <w:t>.</w:t>
      </w:r>
      <w:r>
        <w:tab/>
        <w:t>Consent orders</w:t>
      </w:r>
      <w:bookmarkEnd w:id="144"/>
    </w:p>
    <w:p>
      <w:pPr>
        <w:pStyle w:val="Subsection"/>
      </w:pPr>
      <w:r>
        <w:tab/>
        <w:t>(1)</w:t>
      </w:r>
      <w:r>
        <w:tab/>
        <w:t>A court may make a child protection order without being subject to section 90 if the applicant and the reportable offender consent to the making of the order.</w:t>
      </w:r>
    </w:p>
    <w:p>
      <w:pPr>
        <w:pStyle w:val="Subsection"/>
        <w:spacing w:before="12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Footnotesection"/>
      </w:pPr>
      <w:r>
        <w:tab/>
        <w:t>[Section 95 amended by No. 54 of 2012 s. 42(2) and (3).]</w:t>
      </w:r>
    </w:p>
    <w:p>
      <w:pPr>
        <w:pStyle w:val="Heading3"/>
        <w:spacing w:before="200"/>
      </w:pPr>
      <w:bookmarkStart w:id="145" w:name="_Toc375053575"/>
      <w:r>
        <w:rPr>
          <w:rStyle w:val="CharDivNo"/>
        </w:rPr>
        <w:t>Division 3</w:t>
      </w:r>
      <w:r>
        <w:t> — </w:t>
      </w:r>
      <w:r>
        <w:rPr>
          <w:rStyle w:val="CharDivText"/>
        </w:rPr>
        <w:t>Variation or revocation</w:t>
      </w:r>
      <w:bookmarkEnd w:id="145"/>
    </w:p>
    <w:p>
      <w:pPr>
        <w:pStyle w:val="Heading5"/>
        <w:spacing w:before="180"/>
      </w:pPr>
      <w:bookmarkStart w:id="146" w:name="_Toc375053576"/>
      <w:r>
        <w:rPr>
          <w:rStyle w:val="CharSectno"/>
        </w:rPr>
        <w:t>96</w:t>
      </w:r>
      <w:r>
        <w:t>.</w:t>
      </w:r>
      <w:r>
        <w:tab/>
        <w:t>Variation or revocation of child protection orders</w:t>
      </w:r>
      <w:bookmarkEnd w:id="146"/>
    </w:p>
    <w:p>
      <w:pPr>
        <w:pStyle w:val="Subsection"/>
        <w:spacing w:before="120"/>
      </w:pPr>
      <w:r>
        <w:tab/>
        <w:t>(1)</w:t>
      </w:r>
      <w:r>
        <w:tab/>
        <w:t>The Commissioner may apply to a court for an order varying or revoking a child protection order.</w:t>
      </w:r>
    </w:p>
    <w:p>
      <w:pPr>
        <w:pStyle w:val="Subsection"/>
        <w:spacing w:before="120"/>
      </w:pPr>
      <w:r>
        <w:tab/>
        <w:t>(2)</w:t>
      </w:r>
      <w:r>
        <w:tab/>
        <w:t>A reportable offender subject to a child protection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by No. 54 of 2012 s. 42(3).]</w:t>
      </w:r>
    </w:p>
    <w:p>
      <w:pPr>
        <w:pStyle w:val="Heading5"/>
      </w:pPr>
      <w:bookmarkStart w:id="147" w:name="_Toc375053577"/>
      <w:r>
        <w:rPr>
          <w:rStyle w:val="CharSectno"/>
        </w:rPr>
        <w:t>97</w:t>
      </w:r>
      <w:r>
        <w:t>.</w:t>
      </w:r>
      <w:r>
        <w:tab/>
        <w:t>Fixing a hearing</w:t>
      </w:r>
      <w:bookmarkEnd w:id="147"/>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by No. 54 of 2012 s. 42(3).]</w:t>
      </w:r>
    </w:p>
    <w:p>
      <w:pPr>
        <w:pStyle w:val="Heading5"/>
        <w:rPr>
          <w:rFonts w:eastAsia="Arial Unicode MS"/>
        </w:rPr>
      </w:pPr>
      <w:bookmarkStart w:id="148" w:name="_Toc375053578"/>
      <w:r>
        <w:rPr>
          <w:rStyle w:val="CharSectno"/>
        </w:rPr>
        <w:t>98</w:t>
      </w:r>
      <w:r>
        <w:t>.</w:t>
      </w:r>
      <w:r>
        <w:tab/>
        <w:t>How application to be disposed of</w:t>
      </w:r>
      <w:bookmarkEnd w:id="148"/>
    </w:p>
    <w:p>
      <w:pPr>
        <w:pStyle w:val="Subsection"/>
      </w:pPr>
      <w:r>
        <w:tab/>
      </w:r>
      <w:r>
        <w:tab/>
        <w:t xml:space="preserve">The court may dispose of the application — </w:t>
      </w:r>
    </w:p>
    <w:p>
      <w:pPr>
        <w:pStyle w:val="Indenta"/>
      </w:pPr>
      <w:r>
        <w:tab/>
        <w:t>(a)</w:t>
      </w:r>
      <w:r>
        <w:tab/>
        <w:t>by varying or revoking the child protection order;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by No. 54 of 2012 s. 42(3).]</w:t>
      </w:r>
    </w:p>
    <w:p>
      <w:pPr>
        <w:pStyle w:val="Heading3"/>
      </w:pPr>
      <w:bookmarkStart w:id="149" w:name="_Toc375053579"/>
      <w:r>
        <w:rPr>
          <w:rStyle w:val="CharDivNo"/>
        </w:rPr>
        <w:t>Division 4</w:t>
      </w:r>
      <w:r>
        <w:t> — </w:t>
      </w:r>
      <w:r>
        <w:rPr>
          <w:rStyle w:val="CharDivText"/>
        </w:rPr>
        <w:t>Attendance at hearings</w:t>
      </w:r>
      <w:bookmarkEnd w:id="149"/>
    </w:p>
    <w:p>
      <w:pPr>
        <w:pStyle w:val="Heading5"/>
      </w:pPr>
      <w:bookmarkStart w:id="150" w:name="_Toc375053580"/>
      <w:r>
        <w:rPr>
          <w:rStyle w:val="CharSectno"/>
        </w:rPr>
        <w:t>99</w:t>
      </w:r>
      <w:r>
        <w:t>.</w:t>
      </w:r>
      <w:r>
        <w:tab/>
        <w:t>Attendance at hearings</w:t>
      </w:r>
      <w:bookmarkEnd w:id="150"/>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51" w:name="_Toc375053581"/>
      <w:r>
        <w:rPr>
          <w:rStyle w:val="CharSectno"/>
        </w:rPr>
        <w:t>100</w:t>
      </w:r>
      <w:r>
        <w:t>.</w:t>
      </w:r>
      <w:r>
        <w:tab/>
        <w:t>Notification of orders made in absence of respondent</w:t>
      </w:r>
      <w:bookmarkEnd w:id="151"/>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by No. 54 of 2012 s. 42(2).]</w:t>
      </w:r>
    </w:p>
    <w:p>
      <w:pPr>
        <w:pStyle w:val="Heading3"/>
        <w:keepLines/>
      </w:pPr>
      <w:bookmarkStart w:id="152" w:name="_Toc375053582"/>
      <w:r>
        <w:rPr>
          <w:rStyle w:val="CharDivNo"/>
        </w:rPr>
        <w:t>Division 5</w:t>
      </w:r>
      <w:r>
        <w:t> — </w:t>
      </w:r>
      <w:r>
        <w:rPr>
          <w:rStyle w:val="CharDivText"/>
        </w:rPr>
        <w:t>Offence</w:t>
      </w:r>
      <w:bookmarkEnd w:id="152"/>
    </w:p>
    <w:p>
      <w:pPr>
        <w:pStyle w:val="Heading5"/>
      </w:pPr>
      <w:bookmarkStart w:id="153" w:name="_Toc375053583"/>
      <w:r>
        <w:rPr>
          <w:rStyle w:val="CharSectno"/>
        </w:rPr>
        <w:t>101</w:t>
      </w:r>
      <w:r>
        <w:t>.</w:t>
      </w:r>
      <w:r>
        <w:tab/>
        <w:t>Failure to comply with orders</w:t>
      </w:r>
      <w:bookmarkEnd w:id="153"/>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rPr>
          <w:color w:val="000000"/>
        </w:rP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by No. 54 of 2012 s. 34 and 42(2).]</w:t>
      </w:r>
    </w:p>
    <w:p>
      <w:pPr>
        <w:pStyle w:val="Heading3"/>
      </w:pPr>
      <w:bookmarkStart w:id="154" w:name="_Toc375053584"/>
      <w:r>
        <w:rPr>
          <w:rStyle w:val="CharDivNo"/>
        </w:rPr>
        <w:t>Division 6</w:t>
      </w:r>
      <w:r>
        <w:t> — </w:t>
      </w:r>
      <w:r>
        <w:rPr>
          <w:rStyle w:val="CharDivText"/>
        </w:rPr>
        <w:t>Appeals</w:t>
      </w:r>
      <w:bookmarkEnd w:id="154"/>
    </w:p>
    <w:p>
      <w:pPr>
        <w:pStyle w:val="Heading5"/>
      </w:pPr>
      <w:bookmarkStart w:id="155" w:name="_Toc375053585"/>
      <w:r>
        <w:rPr>
          <w:rStyle w:val="CharSectno"/>
        </w:rPr>
        <w:t>102</w:t>
      </w:r>
      <w:r>
        <w:t>.</w:t>
      </w:r>
      <w:r>
        <w:tab/>
        <w:t>Appeals</w:t>
      </w:r>
      <w:bookmarkEnd w:id="155"/>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 xml:space="preserve">to make, vary or revoke a </w:t>
      </w:r>
      <w:r>
        <w:rPr>
          <w:color w:val="000000"/>
        </w:rPr>
        <w:t>protection order</w:t>
      </w:r>
      <w:r>
        <w:t>,</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 No. 54 of 2012 s. 42(2).]</w:t>
      </w:r>
    </w:p>
    <w:p>
      <w:pPr>
        <w:pStyle w:val="Heading5"/>
      </w:pPr>
      <w:bookmarkStart w:id="156" w:name="_Toc375053586"/>
      <w:r>
        <w:rPr>
          <w:rStyle w:val="CharSectno"/>
        </w:rPr>
        <w:t>103</w:t>
      </w:r>
      <w:r>
        <w:t>.</w:t>
      </w:r>
      <w:r>
        <w:tab/>
        <w:t>Appeal does not stay order</w:t>
      </w:r>
      <w:bookmarkEnd w:id="156"/>
    </w:p>
    <w:p>
      <w:pPr>
        <w:pStyle w:val="Subsection"/>
      </w:pPr>
      <w:r>
        <w:tab/>
      </w:r>
      <w:r>
        <w:tab/>
        <w:t>An appeal against an order made under this Part does not operate to stay the operation of the order unless the court to which the appeal is made so orders.</w:t>
      </w:r>
    </w:p>
    <w:p>
      <w:pPr>
        <w:pStyle w:val="Heading3"/>
      </w:pPr>
      <w:bookmarkStart w:id="157" w:name="_Toc375053587"/>
      <w:r>
        <w:rPr>
          <w:rStyle w:val="CharDivNo"/>
        </w:rPr>
        <w:t>Division 7</w:t>
      </w:r>
      <w:r>
        <w:t> — </w:t>
      </w:r>
      <w:r>
        <w:rPr>
          <w:rStyle w:val="CharDivText"/>
        </w:rPr>
        <w:t>Miscellaneous</w:t>
      </w:r>
      <w:bookmarkEnd w:id="157"/>
    </w:p>
    <w:p>
      <w:pPr>
        <w:pStyle w:val="Heading5"/>
      </w:pPr>
      <w:bookmarkStart w:id="158" w:name="_Toc375053588"/>
      <w:r>
        <w:rPr>
          <w:rStyle w:val="CharSectno"/>
        </w:rPr>
        <w:t>104</w:t>
      </w:r>
      <w:r>
        <w:t>.</w:t>
      </w:r>
      <w:r>
        <w:tab/>
        <w:t>Applications not to be heard in public</w:t>
      </w:r>
      <w:bookmarkEnd w:id="158"/>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pPr>
      <w:r>
        <w:t>[</w:t>
      </w:r>
      <w:r>
        <w:rPr>
          <w:b/>
        </w:rPr>
        <w:t>105.</w:t>
      </w:r>
      <w:r>
        <w:tab/>
        <w:t>Deleted by No. 54 of 2012 s. 35.]</w:t>
      </w:r>
    </w:p>
    <w:p>
      <w:pPr>
        <w:pStyle w:val="Heading5"/>
      </w:pPr>
      <w:bookmarkStart w:id="159" w:name="_Toc375053589"/>
      <w:r>
        <w:rPr>
          <w:rStyle w:val="CharSectno"/>
        </w:rPr>
        <w:t>106</w:t>
      </w:r>
      <w:r>
        <w:t>.</w:t>
      </w:r>
      <w:r>
        <w:tab/>
        <w:t>Restriction on publication of identity of reportable offenders and victims</w:t>
      </w:r>
      <w:bookmarkEnd w:id="159"/>
    </w:p>
    <w:p>
      <w:pPr>
        <w:pStyle w:val="Subsection"/>
      </w:pPr>
      <w:r>
        <w:tab/>
        <w:t>(1)</w:t>
      </w:r>
      <w:r>
        <w:tab/>
        <w:t xml:space="preserve">A person must not, in relation to any proceedings relating to a </w:t>
      </w:r>
      <w:r>
        <w:rPr>
          <w:color w:val="000000"/>
        </w:rPr>
        <w:t>protection order</w:t>
      </w:r>
      <w:r>
        <w:t xml:space="preserve">,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by No. 54 of 2012 s. 42(2).]</w:t>
      </w:r>
    </w:p>
    <w:p>
      <w:pPr>
        <w:pStyle w:val="Heading5"/>
      </w:pPr>
      <w:bookmarkStart w:id="160" w:name="_Toc375053590"/>
      <w:r>
        <w:rPr>
          <w:rStyle w:val="CharSectno"/>
        </w:rPr>
        <w:t>107</w:t>
      </w:r>
      <w:r>
        <w:t>.</w:t>
      </w:r>
      <w:r>
        <w:tab/>
        <w:t>Protection orders have no effect to extent of inconsistency with certain other orders</w:t>
      </w:r>
      <w:bookmarkEnd w:id="160"/>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by No. 54 of 2012 s. 42(2).]</w:t>
      </w:r>
    </w:p>
    <w:p>
      <w:pPr>
        <w:pStyle w:val="Heading5"/>
      </w:pPr>
      <w:bookmarkStart w:id="161" w:name="_Toc375053591"/>
      <w:r>
        <w:rPr>
          <w:rStyle w:val="CharSectno"/>
        </w:rPr>
        <w:t>108</w:t>
      </w:r>
      <w:r>
        <w:t>.</w:t>
      </w:r>
      <w:r>
        <w:tab/>
        <w:t>Recognition of protection orders made in other jurisdictions</w:t>
      </w:r>
      <w:bookmarkEnd w:id="161"/>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(c)</w:t>
      </w:r>
      <w:r>
        <w:tab/>
        <w:t xml:space="preserve">the modification of corresponding protection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(e)</w:t>
      </w:r>
      <w:r>
        <w:tab/>
        <w:t>the conferral on courts of jurisdiction with respect to the variation or revocation of corresponding protection orders.</w:t>
      </w:r>
    </w:p>
    <w:p>
      <w:pPr>
        <w:pStyle w:val="Footnotesection"/>
        <w:rPr>
          <w:color w:val="000000"/>
        </w:rPr>
      </w:pPr>
      <w:r>
        <w:tab/>
        <w:t>[Section 108 amended by No. 54 of 2012 s. 42(1).]</w:t>
      </w:r>
    </w:p>
    <w:p>
      <w:pPr>
        <w:pStyle w:val="Heading2"/>
      </w:pPr>
      <w:bookmarkStart w:id="162" w:name="_Toc375053592"/>
      <w:r>
        <w:rPr>
          <w:rStyle w:val="CharPartNo"/>
        </w:rPr>
        <w:t>Part 6</w:t>
      </w:r>
      <w:r>
        <w:rPr>
          <w:rStyle w:val="CharDivNo"/>
        </w:rPr>
        <w:t> </w:t>
      </w:r>
      <w:r>
        <w:t>—</w:t>
      </w:r>
      <w:r>
        <w:rPr>
          <w:rStyle w:val="CharDivText"/>
        </w:rPr>
        <w:t> </w:t>
      </w:r>
      <w:r>
        <w:rPr>
          <w:rStyle w:val="CharPartText"/>
        </w:rPr>
        <w:t>Other matters</w:t>
      </w:r>
      <w:bookmarkEnd w:id="162"/>
    </w:p>
    <w:p>
      <w:pPr>
        <w:pStyle w:val="Heading5"/>
      </w:pPr>
      <w:bookmarkStart w:id="163" w:name="_Toc375053593"/>
      <w:r>
        <w:rPr>
          <w:rStyle w:val="CharSectno"/>
        </w:rPr>
        <w:t>109</w:t>
      </w:r>
      <w:r>
        <w:t>.</w:t>
      </w:r>
      <w:r>
        <w:tab/>
        <w:t>Protection from liability</w:t>
      </w:r>
      <w:bookmarkEnd w:id="16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64" w:name="_Toc375053594"/>
      <w:r>
        <w:rPr>
          <w:rStyle w:val="CharSectno"/>
        </w:rPr>
        <w:t>110A</w:t>
      </w:r>
      <w:r>
        <w:rPr>
          <w:color w:val="000000"/>
        </w:rPr>
        <w:t>.</w:t>
      </w:r>
      <w:r>
        <w:rPr>
          <w:color w:val="000000"/>
        </w:rPr>
        <w:tab/>
        <w:t>Public authorities to provide Commissioner with certain information</w:t>
      </w:r>
      <w:bookmarkEnd w:id="164"/>
    </w:p>
    <w:p>
      <w:pPr>
        <w:pStyle w:val="Subsection"/>
      </w:pPr>
      <w:r>
        <w:rPr>
          <w:color w:val="000000"/>
        </w:rPr>
        <w:tab/>
        <w:t>(1)</w:t>
      </w:r>
      <w:r>
        <w:rPr>
          <w:color w:val="000000"/>
        </w:rPr>
        <w:tab/>
        <w:t xml:space="preserve">In this section — </w:t>
      </w:r>
    </w:p>
    <w:p>
      <w:pPr>
        <w:pStyle w:val="Defstart"/>
      </w:pPr>
      <w:r>
        <w:tab/>
      </w:r>
      <w:r>
        <w:rPr>
          <w:rStyle w:val="CharDefText"/>
        </w:rPr>
        <w:t>application</w:t>
      </w:r>
      <w:r>
        <w:t xml:space="preserve"> means — </w:t>
      </w:r>
    </w:p>
    <w:p>
      <w:pPr>
        <w:pStyle w:val="Defpara"/>
      </w:pPr>
      <w:r>
        <w:tab/>
        <w:t>(a)</w:t>
      </w:r>
      <w:r>
        <w:tab/>
        <w:t>an application under section 13(7A) for the imposition of an offender reporting order; or</w:t>
      </w:r>
    </w:p>
    <w:p>
      <w:pPr>
        <w:pStyle w:val="Defpara"/>
      </w:pPr>
      <w:r>
        <w:tab/>
        <w:t>(b)</w:t>
      </w:r>
      <w:r>
        <w:tab/>
        <w:t>an application under section 15 for an order that a person comply with the reporting obligations of this Act; or</w:t>
      </w:r>
    </w:p>
    <w:p>
      <w:pPr>
        <w:pStyle w:val="Defpara"/>
      </w:pPr>
      <w:r>
        <w:tab/>
        <w:t>(c)</w:t>
      </w:r>
      <w:r>
        <w:tab/>
        <w:t>an application for an order under Part 5;</w:t>
      </w:r>
    </w:p>
    <w:p>
      <w:pPr>
        <w:pStyle w:val="Defstart"/>
      </w:pPr>
      <w:r>
        <w:tab/>
      </w:r>
      <w:r>
        <w:rPr>
          <w:rStyle w:val="CharDefText"/>
        </w:rPr>
        <w:t>management</w:t>
      </w:r>
      <w:r>
        <w:t>, of a reportable offender, includes monitoring the reportable offender’s compliance with the reporting obligations of this Act.</w:t>
      </w:r>
    </w:p>
    <w:p>
      <w:pPr>
        <w:pStyle w:val="Subsection"/>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by No. 54 of 2012 s. 36.]</w:t>
      </w:r>
    </w:p>
    <w:p>
      <w:pPr>
        <w:pStyle w:val="Heading5"/>
      </w:pPr>
      <w:bookmarkStart w:id="165" w:name="_Toc375053595"/>
      <w:r>
        <w:rPr>
          <w:rStyle w:val="CharSectno"/>
        </w:rPr>
        <w:t>110</w:t>
      </w:r>
      <w:r>
        <w:t>.</w:t>
      </w:r>
      <w:r>
        <w:tab/>
        <w:t>Delegation by Commissioner</w:t>
      </w:r>
      <w:bookmarkEnd w:id="165"/>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166" w:name="_Toc375053596"/>
      <w:r>
        <w:rPr>
          <w:rStyle w:val="CharSectno"/>
        </w:rPr>
        <w:t>111</w:t>
      </w:r>
      <w:r>
        <w:t>.</w:t>
      </w:r>
      <w:r>
        <w:tab/>
        <w:t>Effect of spent convictions</w:t>
      </w:r>
      <w:bookmarkEnd w:id="166"/>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 xml:space="preserve">any </w:t>
      </w:r>
      <w:r>
        <w:rPr>
          <w:color w:val="000000"/>
        </w:rPr>
        <w:t>protection order</w:t>
      </w:r>
      <w:r>
        <w:t xml:space="preserve">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by No. 54 of 2012 s. 42(2).]</w:t>
      </w:r>
    </w:p>
    <w:p>
      <w:pPr>
        <w:pStyle w:val="Heading5"/>
      </w:pPr>
      <w:bookmarkStart w:id="167" w:name="_Toc375053597"/>
      <w:r>
        <w:rPr>
          <w:rStyle w:val="CharSectno"/>
        </w:rPr>
        <w:t>112</w:t>
      </w:r>
      <w:r>
        <w:t>.</w:t>
      </w:r>
      <w:r>
        <w:tab/>
        <w:t>Civil standard of proof</w:t>
      </w:r>
      <w:bookmarkEnd w:id="167"/>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68" w:name="_Toc375053598"/>
      <w:r>
        <w:rPr>
          <w:rStyle w:val="CharSectno"/>
        </w:rPr>
        <w:t>113</w:t>
      </w:r>
      <w:r>
        <w:t>.</w:t>
      </w:r>
      <w:r>
        <w:tab/>
        <w:t>Certificate concerning evidence</w:t>
      </w:r>
      <w:bookmarkEnd w:id="168"/>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169" w:name="_Toc375053599"/>
      <w:r>
        <w:rPr>
          <w:rStyle w:val="CharSectno"/>
        </w:rPr>
        <w:t>114</w:t>
      </w:r>
      <w:r>
        <w:t>.</w:t>
      </w:r>
      <w:r>
        <w:tab/>
        <w:t>Regulations</w:t>
      </w:r>
      <w:bookmarkEnd w:id="169"/>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170" w:name="_Toc375053600"/>
      <w:r>
        <w:rPr>
          <w:rStyle w:val="CharSectno"/>
        </w:rPr>
        <w:t>115</w:t>
      </w:r>
      <w:r>
        <w:t>.</w:t>
      </w:r>
      <w:r>
        <w:tab/>
        <w:t>Minister to review and report on Act</w:t>
      </w:r>
      <w:bookmarkEnd w:id="170"/>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by No. 1 of 2012 s. 6.]</w:t>
      </w:r>
    </w:p>
    <w:p>
      <w:pPr>
        <w:pStyle w:val="Heading5"/>
      </w:pPr>
      <w:bookmarkStart w:id="171" w:name="_Toc375053601"/>
      <w:r>
        <w:rPr>
          <w:rStyle w:val="CharSectno"/>
        </w:rPr>
        <w:t>115A</w:t>
      </w:r>
      <w:r>
        <w:t>.</w:t>
      </w:r>
      <w:r>
        <w:tab/>
        <w:t>Transitional arrangements for certain offenders</w:t>
      </w:r>
      <w:bookmarkEnd w:id="171"/>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172" w:name="_Toc375053602"/>
      <w:r>
        <w:rPr>
          <w:rStyle w:val="CharSectno"/>
        </w:rPr>
        <w:t>115B</w:t>
      </w:r>
      <w:r>
        <w:t>.</w:t>
      </w:r>
      <w:r>
        <w:tab/>
        <w:t>Further transitional arrangements for certain offenders sentenced for Class 2 offences</w:t>
      </w:r>
      <w:bookmarkEnd w:id="172"/>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by No. 54 of 2012 s. 37.]</w:t>
      </w:r>
    </w:p>
    <w:p>
      <w:pPr>
        <w:pStyle w:val="Ednotesection"/>
      </w:pPr>
      <w:r>
        <w:t>[</w:t>
      </w:r>
      <w:r>
        <w:rPr>
          <w:b/>
          <w:bCs/>
        </w:rPr>
        <w:t>116.</w:t>
      </w:r>
      <w:r>
        <w:t xml:space="preserve"> </w:t>
      </w:r>
      <w:r>
        <w:tab/>
        <w:t>Omitted under the Reprints Act 1984 s. 7(4)(e).]</w:t>
      </w:r>
    </w:p>
    <w:p>
      <w:pPr>
        <w:pStyle w:val="Ednote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73" w:name="_Toc375053603"/>
      <w:r>
        <w:rPr>
          <w:rStyle w:val="CharSchNo"/>
        </w:rPr>
        <w:t>Schedule 1</w:t>
      </w:r>
      <w:r>
        <w:t xml:space="preserve"> — </w:t>
      </w:r>
      <w:r>
        <w:rPr>
          <w:rStyle w:val="CharSchText"/>
        </w:rPr>
        <w:t>Class 1 offences</w:t>
      </w:r>
      <w:bookmarkEnd w:id="173"/>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174" w:name="_Toc375053604"/>
      <w:r>
        <w:rPr>
          <w:rStyle w:val="CharSchNo"/>
        </w:rPr>
        <w:t>Schedule 2</w:t>
      </w:r>
      <w:r>
        <w:t> — </w:t>
      </w:r>
      <w:r>
        <w:rPr>
          <w:rStyle w:val="CharSchText"/>
        </w:rPr>
        <w:t>Class 2 offences</w:t>
      </w:r>
      <w:bookmarkEnd w:id="174"/>
    </w:p>
    <w:p>
      <w:pPr>
        <w:pStyle w:val="yShoulderClause"/>
        <w:spacing w:after="60"/>
      </w:pPr>
      <w:r>
        <w:t>[s. 11]</w:t>
      </w: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71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71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71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71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71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71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NAm"/>
            </w:pPr>
            <w:r>
              <w:rPr>
                <w:i/>
              </w:rPr>
              <w:t>Crimes Act 1914</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 No. 54 of 2012 s. 38.]</w:t>
      </w:r>
    </w:p>
    <w:p>
      <w:pPr>
        <w:pStyle w:val="yEdnotesection"/>
      </w:pPr>
      <w:r>
        <w:t>[Schedule 3 has not come into operation </w:t>
      </w:r>
      <w:r>
        <w:rPr>
          <w:i w:val="0"/>
          <w:vertAlign w:val="superscript"/>
        </w:rPr>
        <w:t>3</w:t>
      </w:r>
      <w:r>
        <w:rPr>
          <w:i w:val="0"/>
        </w:rPr>
        <w:t>.</w:t>
      </w:r>
      <w:r>
        <w:t>]</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75" w:name="_Toc375053605"/>
      <w:r>
        <w:t>Notes</w:t>
      </w:r>
      <w:bookmarkEnd w:id="175"/>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76" w:name="_Toc375053606"/>
      <w:r>
        <w:rPr>
          <w:snapToGrid w:val="0"/>
        </w:rPr>
        <w:t>Compilation table</w:t>
      </w:r>
      <w:bookmarkEnd w:id="1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rPr>
              <w:t xml:space="preserve">27 Apr 2008 (see s. 2 and </w:t>
            </w:r>
            <w:r>
              <w:rPr>
                <w:i/>
                <w:iCs/>
                <w:snapToGrid w:val="0"/>
                <w:spacing w:val="-2"/>
                <w:sz w:val="19"/>
              </w:rPr>
              <w:t>Gazette</w:t>
            </w:r>
            <w:r>
              <w:rPr>
                <w:snapToGrid w:val="0"/>
                <w:spacing w:val="-2"/>
                <w:sz w:val="19"/>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rPr>
            </w:pPr>
            <w:r>
              <w:rPr>
                <w:snapToGrid w:val="0"/>
                <w:sz w:val="19"/>
              </w:rPr>
              <w:t xml:space="preserve">1 Aug 2008 (see s. 2(b) and (d) and </w:t>
            </w:r>
            <w:r>
              <w:rPr>
                <w:i/>
                <w:iCs/>
                <w:snapToGrid w:val="0"/>
                <w:sz w:val="19"/>
              </w:rPr>
              <w:t>Gazette</w:t>
            </w:r>
            <w:r>
              <w:rPr>
                <w:snapToGrid w:val="0"/>
                <w:sz w:val="19"/>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rPr>
            </w:pPr>
            <w:r>
              <w:rPr>
                <w:snapToGrid w:val="0"/>
                <w:spacing w:val="-2"/>
                <w:sz w:val="19"/>
              </w:rPr>
              <w:t>2 Jul 2008 (see s. 2(b))</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rPr>
              <w:t>as at 14 Nov 2008</w:t>
            </w:r>
            <w:r>
              <w:rPr>
                <w:snapToGrid w:val="0"/>
                <w:sz w:val="19"/>
              </w:rPr>
              <w:t xml:space="preserve">  (includes amendments listed above)</w:t>
            </w:r>
          </w:p>
        </w:tc>
      </w:tr>
      <w:tr>
        <w:tc>
          <w:tcPr>
            <w:tcW w:w="2268" w:type="dxa"/>
          </w:tcPr>
          <w:p>
            <w:pPr>
              <w:pStyle w:val="nTable"/>
              <w:spacing w:after="40"/>
              <w:rPr>
                <w:i/>
                <w:snapToGrid w:val="0"/>
                <w:sz w:val="19"/>
              </w:rPr>
            </w:pPr>
            <w:r>
              <w:rPr>
                <w:i/>
                <w:iCs/>
                <w:sz w:val="19"/>
              </w:rPr>
              <w:t xml:space="preserve">Child Pornography and Exploitation Material and Classification Legislation Amendment Act 2010 </w:t>
            </w:r>
            <w:r>
              <w:rPr>
                <w:sz w:val="19"/>
              </w:rPr>
              <w:t>s. 13</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napToGrid w:val="0"/>
                <w:spacing w:val="-2"/>
                <w:sz w:val="19"/>
              </w:rPr>
            </w:pPr>
            <w:r>
              <w:rPr>
                <w:snapToGrid w:val="0"/>
                <w:spacing w:val="-2"/>
                <w:sz w:val="19"/>
              </w:rPr>
              <w:t xml:space="preserve">28 Aug 2010 (see s. 2(b) and </w:t>
            </w:r>
            <w:r>
              <w:rPr>
                <w:i/>
                <w:iCs/>
                <w:snapToGrid w:val="0"/>
                <w:spacing w:val="-2"/>
                <w:sz w:val="19"/>
              </w:rPr>
              <w:t>Gazette</w:t>
            </w:r>
            <w:r>
              <w:rPr>
                <w:snapToGrid w:val="0"/>
                <w:spacing w:val="-2"/>
                <w:sz w:val="19"/>
              </w:rPr>
              <w:t xml:space="preserve"> 27 Aug 2010 p. 4105)</w:t>
            </w:r>
          </w:p>
        </w:tc>
      </w:tr>
      <w:tr>
        <w:tc>
          <w:tcPr>
            <w:tcW w:w="2268" w:type="dxa"/>
          </w:tcPr>
          <w:p>
            <w:pPr>
              <w:pStyle w:val="nTable"/>
              <w:spacing w:after="40"/>
            </w:pPr>
            <w:r>
              <w:rPr>
                <w:i/>
                <w:iCs/>
                <w:snapToGrid w:val="0"/>
                <w:sz w:val="19"/>
              </w:rPr>
              <w:t>Statutes (Repeals and Minor Amendments) Act 2011</w:t>
            </w:r>
            <w:r>
              <w:t xml:space="preserve"> s. 15</w:t>
            </w:r>
          </w:p>
        </w:tc>
        <w:tc>
          <w:tcPr>
            <w:tcW w:w="1134" w:type="dxa"/>
          </w:tcPr>
          <w:p>
            <w:pPr>
              <w:pStyle w:val="nTable"/>
              <w:spacing w:after="40"/>
              <w:rPr>
                <w:sz w:val="19"/>
              </w:rPr>
            </w:pPr>
            <w:r>
              <w:rPr>
                <w:snapToGrid w:val="0"/>
                <w:sz w:val="19"/>
              </w:rPr>
              <w:t>47 of 2011</w:t>
            </w:r>
          </w:p>
        </w:tc>
        <w:tc>
          <w:tcPr>
            <w:tcW w:w="1134" w:type="dxa"/>
          </w:tcPr>
          <w:p>
            <w:pPr>
              <w:pStyle w:val="nTable"/>
              <w:spacing w:after="40"/>
              <w:rPr>
                <w:sz w:val="19"/>
              </w:rPr>
            </w:pPr>
            <w:r>
              <w:rPr>
                <w:snapToGrid w:val="0"/>
                <w:sz w:val="19"/>
              </w:rPr>
              <w:t>25 Oct 2011</w:t>
            </w:r>
          </w:p>
        </w:tc>
        <w:tc>
          <w:tcPr>
            <w:tcW w:w="2552" w:type="dxa"/>
          </w:tcPr>
          <w:p>
            <w:pPr>
              <w:pStyle w:val="nTable"/>
              <w:spacing w:after="40"/>
              <w:rPr>
                <w:snapToGrid w:val="0"/>
                <w:spacing w:val="-2"/>
                <w:sz w:val="19"/>
              </w:rPr>
            </w:pPr>
            <w:r>
              <w:rPr>
                <w:snapToGrid w:val="0"/>
                <w:spacing w:val="-2"/>
                <w:sz w:val="19"/>
              </w:rPr>
              <w:t>26 Oct 2011 (see s. 2(b))</w:t>
            </w:r>
          </w:p>
        </w:tc>
      </w:tr>
      <w:tr>
        <w:tc>
          <w:tcPr>
            <w:tcW w:w="2268" w:type="dxa"/>
          </w:tcPr>
          <w:p>
            <w:pPr>
              <w:pStyle w:val="nTable"/>
              <w:keepNext/>
              <w:spacing w:after="40"/>
              <w:rPr>
                <w:i/>
                <w:iCs/>
                <w:snapToGrid w:val="0"/>
                <w:sz w:val="19"/>
              </w:rPr>
            </w:pPr>
            <w:r>
              <w:rPr>
                <w:i/>
                <w:iCs/>
                <w:snapToGrid w:val="0"/>
                <w:sz w:val="19"/>
              </w:rPr>
              <w:t xml:space="preserve">Community Protection (Offender Reporting) Amendment Act 2012 </w:t>
            </w:r>
            <w:r>
              <w:rPr>
                <w:iCs/>
                <w:snapToGrid w:val="0"/>
                <w:sz w:val="19"/>
              </w:rPr>
              <w:t>Pt. 2 </w:t>
            </w:r>
          </w:p>
        </w:tc>
        <w:tc>
          <w:tcPr>
            <w:tcW w:w="1134" w:type="dxa"/>
          </w:tcPr>
          <w:p>
            <w:pPr>
              <w:pStyle w:val="nTable"/>
              <w:keepNext/>
              <w:spacing w:after="40"/>
              <w:rPr>
                <w:snapToGrid w:val="0"/>
                <w:sz w:val="19"/>
              </w:rPr>
            </w:pPr>
            <w:r>
              <w:rPr>
                <w:snapToGrid w:val="0"/>
                <w:sz w:val="19"/>
              </w:rPr>
              <w:t>1 of 2012</w:t>
            </w:r>
          </w:p>
        </w:tc>
        <w:tc>
          <w:tcPr>
            <w:tcW w:w="1134" w:type="dxa"/>
          </w:tcPr>
          <w:p>
            <w:pPr>
              <w:pStyle w:val="nTable"/>
              <w:keepNext/>
              <w:spacing w:after="40"/>
              <w:rPr>
                <w:snapToGrid w:val="0"/>
                <w:sz w:val="19"/>
              </w:rPr>
            </w:pPr>
            <w:r>
              <w:rPr>
                <w:snapToGrid w:val="0"/>
                <w:sz w:val="19"/>
              </w:rPr>
              <w:t>15 Mar 2012</w:t>
            </w:r>
          </w:p>
        </w:tc>
        <w:tc>
          <w:tcPr>
            <w:tcW w:w="2552" w:type="dxa"/>
          </w:tcPr>
          <w:p>
            <w:pPr>
              <w:pStyle w:val="nTable"/>
              <w:keepNext/>
              <w:spacing w:after="40"/>
              <w:rPr>
                <w:snapToGrid w:val="0"/>
                <w:spacing w:val="-2"/>
                <w:sz w:val="19"/>
              </w:rPr>
            </w:pPr>
            <w:r>
              <w:rPr>
                <w:snapToGrid w:val="0"/>
                <w:spacing w:val="-2"/>
                <w:sz w:val="19"/>
              </w:rPr>
              <w:t xml:space="preserve">1 Jul 2012 (see s. 2(b) and </w:t>
            </w:r>
            <w:r>
              <w:rPr>
                <w:i/>
                <w:snapToGrid w:val="0"/>
                <w:spacing w:val="-2"/>
                <w:sz w:val="19"/>
              </w:rPr>
              <w:t>Gazette</w:t>
            </w:r>
            <w:r>
              <w:rPr>
                <w:snapToGrid w:val="0"/>
                <w:spacing w:val="-2"/>
                <w:sz w:val="19"/>
              </w:rPr>
              <w:t xml:space="preserve"> 22 Jun 2012 p. 2777)</w:t>
            </w:r>
          </w:p>
        </w:tc>
      </w:tr>
      <w:tr>
        <w:tc>
          <w:tcPr>
            <w:tcW w:w="2268" w:type="dxa"/>
            <w:tcBorders>
              <w:bottom w:val="single" w:sz="4" w:space="0" w:color="auto"/>
            </w:tcBorders>
          </w:tcPr>
          <w:p>
            <w:pPr>
              <w:pStyle w:val="nTable"/>
              <w:keepNext/>
              <w:spacing w:after="40"/>
              <w:rPr>
                <w:i/>
                <w:iCs/>
                <w:snapToGrid w:val="0"/>
                <w:sz w:val="19"/>
              </w:rPr>
            </w:pPr>
            <w:r>
              <w:rPr>
                <w:i/>
                <w:snapToGrid w:val="0"/>
                <w:sz w:val="19"/>
              </w:rPr>
              <w:t>Community Protection (Offender Reporting) Amendment Act (No. 2) 2012</w:t>
            </w:r>
            <w:r>
              <w:rPr>
                <w:snapToGrid w:val="0"/>
                <w:sz w:val="19"/>
              </w:rPr>
              <w:t xml:space="preserve"> Pt. 2 (s. 3</w:t>
            </w:r>
            <w:r>
              <w:rPr>
                <w:snapToGrid w:val="0"/>
                <w:sz w:val="19"/>
              </w:rPr>
              <w:noBreakHyphen/>
              <w:t>42)</w:t>
            </w:r>
          </w:p>
        </w:tc>
        <w:tc>
          <w:tcPr>
            <w:tcW w:w="1134" w:type="dxa"/>
            <w:tcBorders>
              <w:bottom w:val="single" w:sz="4" w:space="0" w:color="auto"/>
            </w:tcBorders>
          </w:tcPr>
          <w:p>
            <w:pPr>
              <w:pStyle w:val="nTable"/>
              <w:keepNext/>
              <w:spacing w:after="40"/>
              <w:rPr>
                <w:snapToGrid w:val="0"/>
                <w:sz w:val="19"/>
              </w:rPr>
            </w:pPr>
            <w:r>
              <w:rPr>
                <w:sz w:val="19"/>
              </w:rPr>
              <w:t>54 of 2012</w:t>
            </w:r>
          </w:p>
        </w:tc>
        <w:tc>
          <w:tcPr>
            <w:tcW w:w="1134" w:type="dxa"/>
            <w:tcBorders>
              <w:bottom w:val="single" w:sz="4" w:space="0" w:color="auto"/>
            </w:tcBorders>
          </w:tcPr>
          <w:p>
            <w:pPr>
              <w:pStyle w:val="nTable"/>
              <w:keepNext/>
              <w:spacing w:after="40"/>
              <w:rPr>
                <w:snapToGrid w:val="0"/>
                <w:sz w:val="19"/>
              </w:rPr>
            </w:pPr>
            <w:r>
              <w:rPr>
                <w:sz w:val="19"/>
              </w:rPr>
              <w:t>3 Dec 2012</w:t>
            </w:r>
          </w:p>
        </w:tc>
        <w:tc>
          <w:tcPr>
            <w:tcW w:w="2552" w:type="dxa"/>
            <w:tcBorders>
              <w:bottom w:val="single" w:sz="4" w:space="0" w:color="auto"/>
            </w:tcBorders>
          </w:tcPr>
          <w:p>
            <w:pPr>
              <w:pStyle w:val="nTable"/>
              <w:keepNext/>
              <w:spacing w:after="40"/>
              <w:rPr>
                <w:snapToGrid w:val="0"/>
                <w:spacing w:val="-2"/>
                <w:sz w:val="19"/>
              </w:rPr>
            </w:pPr>
            <w:r>
              <w:rPr>
                <w:snapToGrid w:val="0"/>
                <w:sz w:val="19"/>
              </w:rPr>
              <w:t>s. 3</w:t>
            </w:r>
            <w:r>
              <w:rPr>
                <w:snapToGrid w:val="0"/>
                <w:sz w:val="19"/>
              </w:rPr>
              <w:noBreakHyphen/>
              <w:t>22, 27, 34(1) and (2) and 35</w:t>
            </w:r>
            <w:r>
              <w:rPr>
                <w:snapToGrid w:val="0"/>
                <w:sz w:val="19"/>
              </w:rPr>
              <w:noBreakHyphen/>
              <w:t>38: 23 Feb 2013 (see s.</w:t>
            </w:r>
            <w:r>
              <w:t> </w:t>
            </w:r>
            <w:r>
              <w:rPr>
                <w:snapToGrid w:val="0"/>
                <w:sz w:val="19"/>
              </w:rPr>
              <w:t xml:space="preserve">2(b) and </w:t>
            </w:r>
            <w:r>
              <w:rPr>
                <w:i/>
                <w:snapToGrid w:val="0"/>
                <w:sz w:val="19"/>
              </w:rPr>
              <w:t>Gazette</w:t>
            </w:r>
            <w:r>
              <w:rPr>
                <w:snapToGrid w:val="0"/>
                <w:sz w:val="19"/>
              </w:rPr>
              <w:t xml:space="preserve"> 22 Feb 2013 p. 1045);</w:t>
            </w:r>
            <w:r>
              <w:rPr>
                <w:snapToGrid w:val="0"/>
                <w:sz w:val="19"/>
              </w:rPr>
              <w:br/>
              <w:t>s. 23</w:t>
            </w:r>
            <w:r>
              <w:rPr>
                <w:snapToGrid w:val="0"/>
                <w:sz w:val="19"/>
              </w:rPr>
              <w:noBreakHyphen/>
              <w:t>26, 28</w:t>
            </w:r>
            <w:r>
              <w:rPr>
                <w:snapToGrid w:val="0"/>
                <w:sz w:val="19"/>
              </w:rPr>
              <w:noBreakHyphen/>
              <w:t>33, 34(3) and 39</w:t>
            </w:r>
            <w:r>
              <w:rPr>
                <w:snapToGrid w:val="0"/>
                <w:sz w:val="19"/>
              </w:rPr>
              <w:noBreakHyphen/>
              <w:t xml:space="preserve">42: 9 Nov 2013 (see s. 2(b) and </w:t>
            </w:r>
            <w:r>
              <w:rPr>
                <w:i/>
                <w:snapToGrid w:val="0"/>
                <w:sz w:val="19"/>
              </w:rPr>
              <w:t>Gazette</w:t>
            </w:r>
            <w:r>
              <w:rPr>
                <w:snapToGrid w:val="0"/>
                <w:sz w:val="19"/>
              </w:rPr>
              <w:t xml:space="preserve"> 8 Nov 2013 p. 4969)</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7" w:name="_Toc375053607"/>
      <w:r>
        <w:rPr>
          <w:snapToGrid w:val="0"/>
        </w:rPr>
        <w:t>Provisions that have not come into operation</w:t>
      </w:r>
      <w:bookmarkEnd w:id="17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Assent</w:t>
            </w:r>
          </w:p>
        </w:tc>
        <w:tc>
          <w:tcPr>
            <w:tcW w:w="2552"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rPr>
            </w:pPr>
            <w:r>
              <w:rPr>
                <w:snapToGrid w:val="0"/>
                <w:sz w:val="19"/>
              </w:rPr>
              <w:t>s. 12 and Sch. 3: to be proclaimed (see s. 2)</w:t>
            </w:r>
          </w:p>
        </w:tc>
      </w:tr>
      <w:tr>
        <w:trPr>
          <w:cantSplit/>
        </w:trPr>
        <w:tc>
          <w:tcPr>
            <w:tcW w:w="2268" w:type="dxa"/>
            <w:tcBorders>
              <w:top w:val="nil"/>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single" w:sz="4" w:space="0" w:color="auto"/>
            </w:tcBorders>
          </w:tcPr>
          <w:p>
            <w:pPr>
              <w:pStyle w:val="nTable"/>
              <w:spacing w:after="40"/>
              <w:rPr>
                <w:sz w:val="19"/>
              </w:rPr>
            </w:pPr>
            <w:r>
              <w:rPr>
                <w:sz w:val="19"/>
              </w:rPr>
              <w:t>13 of 2008</w:t>
            </w:r>
          </w:p>
        </w:tc>
        <w:tc>
          <w:tcPr>
            <w:tcW w:w="1134" w:type="dxa"/>
            <w:tcBorders>
              <w:top w:val="nil"/>
              <w:bottom w:val="single" w:sz="4" w:space="0" w:color="auto"/>
            </w:tcBorders>
          </w:tcPr>
          <w:p>
            <w:pPr>
              <w:pStyle w:val="nTable"/>
              <w:spacing w:after="40"/>
              <w:rPr>
                <w:sz w:val="19"/>
              </w:rPr>
            </w:pPr>
            <w:r>
              <w:rPr>
                <w:sz w:val="19"/>
              </w:rPr>
              <w:t>14 Apr 2008</w:t>
            </w:r>
          </w:p>
        </w:tc>
        <w:tc>
          <w:tcPr>
            <w:tcW w:w="2552" w:type="dxa"/>
            <w:tcBorders>
              <w:top w:val="nil"/>
              <w:bottom w:val="single" w:sz="4" w:space="0" w:color="auto"/>
            </w:tcBorders>
          </w:tcPr>
          <w:p>
            <w:pPr>
              <w:pStyle w:val="nTable"/>
              <w:spacing w:after="40"/>
              <w:rPr>
                <w:snapToGrid w:val="0"/>
                <w:sz w:val="19"/>
              </w:rPr>
            </w:pPr>
            <w:r>
              <w:rPr>
                <w:snapToGrid w:val="0"/>
                <w:sz w:val="19"/>
              </w:rPr>
              <w:t>To be proclaimed (see s. 2(b))</w:t>
            </w:r>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r>
        <w:rPr>
          <w:rStyle w:val="CharSectno"/>
        </w:rPr>
        <w:t>12</w:t>
      </w:r>
      <w:r>
        <w:t>.</w:t>
      </w:r>
      <w:r>
        <w:tab/>
        <w:t>Class 3 offences</w:t>
      </w:r>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r>
        <w:rPr>
          <w:rStyle w:val="CharSchNo"/>
        </w:rPr>
        <w:t>Schedule 3</w:t>
      </w:r>
      <w:r>
        <w:t> — </w:t>
      </w:r>
      <w:r>
        <w:rPr>
          <w:rStyle w:val="CharSchText"/>
        </w:rPr>
        <w:t>Class 3 offences</w:t>
      </w:r>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r>
        <w:rPr>
          <w:rStyle w:val="CharSectno"/>
        </w:rPr>
        <w:t>29</w:t>
      </w:r>
      <w:r>
        <w:t>.</w:t>
      </w:r>
      <w:r>
        <w:tab/>
      </w:r>
      <w:r>
        <w:rPr>
          <w:i/>
        </w:rPr>
        <w:t>Community Protection (Offender Reporting) Act </w:t>
      </w:r>
      <w:r>
        <w:rPr>
          <w:i/>
          <w:iCs/>
        </w:rPr>
        <w:t>2004</w:t>
      </w:r>
      <w:r>
        <w:t xml:space="preserve"> amended</w:t>
      </w:r>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178" w:name="_Toc375053608"/>
      <w:r>
        <w:rPr>
          <w:sz w:val="28"/>
        </w:rPr>
        <w:t>Defined terms</w:t>
      </w:r>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9" w:name="DefinedTerms"/>
      <w:bookmarkEnd w:id="179"/>
      <w:r>
        <w:t>animosity towards</w:t>
      </w:r>
      <w:r>
        <w:tab/>
        <w:t>85L(1)</w:t>
      </w:r>
    </w:p>
    <w:p>
      <w:pPr>
        <w:pStyle w:val="DefinedTerms"/>
      </w:pPr>
      <w:r>
        <w:t>application</w:t>
      </w:r>
      <w:r>
        <w:tab/>
        <w:t>110A(1)</w:t>
      </w:r>
    </w:p>
    <w:p>
      <w:pPr>
        <w:pStyle w:val="DefinedTerms"/>
      </w:pPr>
      <w:r>
        <w:t>approved place</w:t>
      </w:r>
      <w:r>
        <w:tab/>
        <w:t>3</w:t>
      </w:r>
    </w:p>
    <w:p>
      <w:pPr>
        <w:pStyle w:val="DefinedTerms"/>
      </w:pPr>
      <w:r>
        <w:t>authorised person</w:t>
      </w:r>
      <w:r>
        <w:tab/>
        <w:t>3</w:t>
      </w:r>
    </w:p>
    <w:p>
      <w:pPr>
        <w:pStyle w:val="DefinedTerms"/>
      </w:pPr>
      <w:r>
        <w:t>authorised police officer</w:t>
      </w:r>
      <w:r>
        <w:tab/>
        <w:t>85</w:t>
      </w:r>
    </w:p>
    <w:p>
      <w:pPr>
        <w:pStyle w:val="DefinedTerms"/>
      </w:pPr>
      <w:r>
        <w:t>change of name application</w:t>
      </w:r>
      <w:r>
        <w:tab/>
        <w:t>80A</w:t>
      </w:r>
    </w:p>
    <w:p>
      <w:pPr>
        <w:pStyle w:val="DefinedTerms"/>
      </w:pPr>
      <w:r>
        <w:t>child</w:t>
      </w:r>
      <w:r>
        <w:tab/>
        <w:t>3</w:t>
      </w:r>
    </w:p>
    <w:p>
      <w:pPr>
        <w:pStyle w:val="DefinedTerms"/>
      </w:pPr>
      <w:r>
        <w:t>child protection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computer</w:t>
      </w:r>
      <w:r>
        <w:tab/>
        <w:t>94C(1)</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protection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85G(1)</w:t>
      </w:r>
    </w:p>
    <w:p>
      <w:pPr>
        <w:pStyle w:val="DefinedTerms"/>
      </w:pPr>
      <w:r>
        <w:t>detainee</w:t>
      </w:r>
      <w:r>
        <w:tab/>
        <w:t>3</w:t>
      </w:r>
    </w:p>
    <w:p>
      <w:pPr>
        <w:pStyle w:val="DefinedTerms"/>
      </w:pPr>
      <w:r>
        <w:t>disability</w:t>
      </w:r>
      <w:r>
        <w:tab/>
        <w:t>3</w:t>
      </w:r>
    </w:p>
    <w:p>
      <w:pPr>
        <w:pStyle w:val="DefinedTerms"/>
      </w:pPr>
      <w:r>
        <w:t>display</w:t>
      </w:r>
      <w:r>
        <w:tab/>
        <w:t>85M(1)</w:t>
      </w:r>
    </w:p>
    <w:p>
      <w:pPr>
        <w:pStyle w:val="DefinedTerms"/>
      </w:pPr>
      <w:r>
        <w:t>distribute</w:t>
      </w:r>
      <w:r>
        <w:tab/>
        <w:t>85M(1)</w:t>
      </w:r>
    </w:p>
    <w:p>
      <w:pPr>
        <w:pStyle w:val="DefinedTerms"/>
      </w:pPr>
      <w:r>
        <w:t>DSO supervision order</w:t>
      </w:r>
      <w:r>
        <w:tab/>
        <w:t>85A</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generally resides</w:t>
      </w:r>
      <w:r>
        <w:tab/>
        <w:t>94C(1)</w:t>
      </w:r>
    </w:p>
    <w:p>
      <w:pPr>
        <w:pStyle w:val="DefinedTerms"/>
      </w:pPr>
      <w:r>
        <w:t>government custody</w:t>
      </w:r>
      <w:r>
        <w:tab/>
        <w:t>3</w:t>
      </w:r>
    </w:p>
    <w:p>
      <w:pPr>
        <w:pStyle w:val="DefinedTerms"/>
      </w:pPr>
      <w:r>
        <w:t>harassment</w:t>
      </w:r>
      <w:r>
        <w:tab/>
        <w:t>85L(1)</w:t>
      </w:r>
    </w:p>
    <w:p>
      <w:pPr>
        <w:pStyle w:val="DefinedTerms"/>
      </w:pPr>
      <w:r>
        <w:t>identified offender</w:t>
      </w:r>
      <w:r>
        <w:tab/>
        <w:t>85L(1)</w:t>
      </w:r>
    </w:p>
    <w:p>
      <w:pPr>
        <w:pStyle w:val="DefinedTerms"/>
      </w:pPr>
      <w:r>
        <w:t>identifying information</w:t>
      </w:r>
      <w:r>
        <w:tab/>
        <w:t>85I(1), 85M(1)</w:t>
      </w:r>
    </w:p>
    <w:p>
      <w:pPr>
        <w:pStyle w:val="DefinedTerms"/>
      </w:pPr>
      <w:r>
        <w:t>in person</w:t>
      </w:r>
      <w:r>
        <w:tab/>
        <w:t>5(2)</w:t>
      </w:r>
    </w:p>
    <w:p>
      <w:pPr>
        <w:pStyle w:val="DefinedTerms"/>
      </w:pPr>
      <w:r>
        <w:t>information</w:t>
      </w:r>
      <w:r>
        <w:tab/>
        <w:t>85K(1)</w:t>
      </w:r>
    </w:p>
    <w:p>
      <w:pPr>
        <w:pStyle w:val="DefinedTerms"/>
      </w:pPr>
      <w:r>
        <w:t>interim protection order</w:t>
      </w:r>
      <w:r>
        <w:tab/>
        <w:t>85</w:t>
      </w:r>
    </w:p>
    <w:p>
      <w:pPr>
        <w:pStyle w:val="DefinedTerms"/>
      </w:pPr>
      <w:r>
        <w:t>Internet carriage service</w:t>
      </w:r>
      <w:r>
        <w:tab/>
        <w:t>26(1a)</w:t>
      </w:r>
    </w:p>
    <w:p>
      <w:pPr>
        <w:pStyle w:val="DefinedTerms"/>
      </w:pPr>
      <w:r>
        <w:t>Internet service provider</w:t>
      </w:r>
      <w:r>
        <w:tab/>
        <w:t>26(1a)</w:t>
      </w:r>
    </w:p>
    <w:p>
      <w:pPr>
        <w:pStyle w:val="DefinedTerms"/>
      </w:pPr>
      <w:r>
        <w:t>interstate Registrar</w:t>
      </w:r>
      <w:r>
        <w:tab/>
        <w:t>80A</w:t>
      </w:r>
    </w:p>
    <w:p>
      <w:pPr>
        <w:pStyle w:val="DefinedTerms"/>
      </w:pPr>
      <w:r>
        <w:t>law enforcement agency</w:t>
      </w:r>
      <w:r>
        <w:tab/>
        <w:t>81(3)</w:t>
      </w:r>
    </w:p>
    <w:p>
      <w:pPr>
        <w:pStyle w:val="DefinedTerms"/>
      </w:pPr>
      <w:r>
        <w:t>locality</w:t>
      </w:r>
      <w:r>
        <w:tab/>
        <w:t>85A</w:t>
      </w:r>
    </w:p>
    <w:p>
      <w:pPr>
        <w:pStyle w:val="DefinedTerms"/>
      </w:pPr>
      <w:r>
        <w:t>management</w:t>
      </w:r>
      <w:r>
        <w:tab/>
        <w:t>110A(1)</w:t>
      </w:r>
    </w:p>
    <w:p>
      <w:pPr>
        <w:pStyle w:val="DefinedTerms"/>
      </w:pPr>
      <w:r>
        <w:t>mentally impaired accused</w:t>
      </w:r>
      <w:r>
        <w:tab/>
        <w:t>3</w:t>
      </w:r>
    </w:p>
    <w:p>
      <w:pPr>
        <w:pStyle w:val="DefinedTerms"/>
      </w:pPr>
      <w:r>
        <w:t>misconduct restraining order</w:t>
      </w:r>
      <w:r>
        <w:tab/>
        <w:t>107(1)</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w:t>
      </w:r>
      <w:r>
        <w:tab/>
        <w:t>19(1), 20A(1)</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photograph</w:t>
      </w:r>
      <w:r>
        <w:tab/>
        <w:t>85G(1)</w:t>
      </w:r>
    </w:p>
    <w:p>
      <w:pPr>
        <w:pStyle w:val="DefinedTerms"/>
      </w:pPr>
      <w:r>
        <w:t>police order</w:t>
      </w:r>
      <w:r>
        <w:tab/>
        <w:t>107(1)</w:t>
      </w:r>
    </w:p>
    <w:p>
      <w:pPr>
        <w:pStyle w:val="DefinedTerms"/>
      </w:pPr>
      <w:r>
        <w:t>prescribed offence</w:t>
      </w:r>
      <w:r>
        <w:tab/>
        <w:t>85G(1)</w:t>
      </w:r>
    </w:p>
    <w:p>
      <w:pPr>
        <w:pStyle w:val="DefinedTerms"/>
      </w:pPr>
      <w:r>
        <w:t>prisoner</w:t>
      </w:r>
      <w:r>
        <w:tab/>
        <w:t>3</w:t>
      </w:r>
    </w:p>
    <w:p>
      <w:pPr>
        <w:pStyle w:val="DefinedTerms"/>
      </w:pPr>
      <w:r>
        <w:t>protection order</w:t>
      </w:r>
      <w:r>
        <w:tab/>
        <w:t>3, 85</w:t>
      </w:r>
    </w:p>
    <w:p>
      <w:pPr>
        <w:pStyle w:val="DefinedTerms"/>
      </w:pPr>
      <w:r>
        <w:t>public authority</w:t>
      </w:r>
      <w:r>
        <w:tab/>
        <w:t>3</w:t>
      </w:r>
    </w:p>
    <w:p>
      <w:pPr>
        <w:pStyle w:val="DefinedTerms"/>
      </w:pPr>
      <w:r>
        <w:t>public place</w:t>
      </w:r>
      <w:r>
        <w:tab/>
        <w:t>85L(1)</w:t>
      </w:r>
    </w:p>
    <w:p>
      <w:pPr>
        <w:pStyle w:val="DefinedTerms"/>
      </w:pPr>
      <w:r>
        <w:t>publish</w:t>
      </w:r>
      <w:r>
        <w:tab/>
        <w:t>85A, 85M(1)</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Registration Act</w:t>
      </w:r>
      <w:r>
        <w:tab/>
        <w:t>80A</w:t>
      </w:r>
    </w:p>
    <w:p>
      <w:pPr>
        <w:pStyle w:val="DefinedTerms"/>
      </w:pPr>
      <w:r>
        <w:t>Registration Act Register</w:t>
      </w:r>
      <w:r>
        <w:tab/>
        <w:t>80F(1)</w:t>
      </w:r>
    </w:p>
    <w:p>
      <w:pPr>
        <w:pStyle w:val="DefinedTerms"/>
      </w:pPr>
      <w:r>
        <w:t>relevant authority</w:t>
      </w:r>
      <w:r>
        <w:tab/>
        <w:t>54(1)</w:t>
      </w:r>
    </w:p>
    <w:p>
      <w:pPr>
        <w:pStyle w:val="DefinedTerms"/>
      </w:pPr>
      <w:r>
        <w:t>relevant day</w:t>
      </w:r>
      <w:r>
        <w:tab/>
        <w:t>115A(1), 115B(1)</w:t>
      </w:r>
    </w:p>
    <w:p>
      <w:pPr>
        <w:pStyle w:val="DefinedTerms"/>
      </w:pPr>
      <w:r>
        <w:t>relevant offence</w:t>
      </w:r>
      <w:r>
        <w:tab/>
        <w:t>115A(1), 115B(1)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senior police officer</w:t>
      </w:r>
      <w:r>
        <w:tab/>
        <w:t>94C(1)</w:t>
      </w:r>
    </w:p>
    <w:p>
      <w:pPr>
        <w:pStyle w:val="DefinedTerms"/>
      </w:pPr>
      <w:r>
        <w:t>sentence</w:t>
      </w:r>
      <w:r>
        <w:tab/>
        <w:t>3</w:t>
      </w:r>
    </w:p>
    <w:p>
      <w:pPr>
        <w:pStyle w:val="DefinedTerms"/>
      </w:pPr>
      <w:r>
        <w:t>specified</w:t>
      </w:r>
      <w:r>
        <w:tab/>
        <w:t>113(1)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violence restraining order</w:t>
      </w:r>
      <w:r>
        <w:tab/>
        <w:t>107(1)</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
      <w:pPr>
        <w:sectPr>
          <w:headerReference w:type="even" r:id="rId33"/>
          <w:headerReference w:type="default" r:id="rId34"/>
          <w:footerReference w:type="even" r:id="rId35"/>
          <w:footerReference w:type="default" r:id="rId36"/>
          <w:headerReference w:type="first" r:id="rId37"/>
          <w:foot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B29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30EF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14BB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B257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903B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DE63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D92A61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3"/>
  </w:num>
  <w:num w:numId="27">
    <w:abstractNumId w:val="14"/>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35247"/>
    <w:docVar w:name="WAFER_20131217135247" w:val="RemoveTocBookmarks,RemoveUnusedBookmarks,RemoveLanguageTags,UsedStyles,ResetPageSize,UpdateArrangement"/>
    <w:docVar w:name="WAFER_20131217135247_GUID" w:val="607542d6-07a5-44c3-b32b-664777eba0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813CA-5252-4577-A366-D000608A4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138</Pages>
  <Words>31955</Words>
  <Characters>155306</Characters>
  <Application>Microsoft Office Word</Application>
  <DocSecurity>0</DocSecurity>
  <Lines>4314</Lines>
  <Paragraphs>2496</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184765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2004 - 01-j0-01</dc:title>
  <dc:subject/>
  <dc:creator/>
  <cp:keywords/>
  <dc:description/>
  <cp:lastModifiedBy>svcMRProcess</cp:lastModifiedBy>
  <cp:revision>4</cp:revision>
  <cp:lastPrinted>2008-11-04T02:22:00Z</cp:lastPrinted>
  <dcterms:created xsi:type="dcterms:W3CDTF">2018-08-21T17:03:00Z</dcterms:created>
  <dcterms:modified xsi:type="dcterms:W3CDTF">2018-08-21T17:03:00Z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20131109</vt:lpwstr>
  </property>
  <property fmtid="{D5CDD505-2E9C-101B-9397-08002B2CF9AE}" pid="4" name="DocumentType">
    <vt:lpwstr>Act</vt:lpwstr>
  </property>
  <property fmtid="{D5CDD505-2E9C-101B-9397-08002B2CF9AE}" pid="5" name="OwlsUID">
    <vt:i4>9275</vt:i4>
  </property>
  <property fmtid="{D5CDD505-2E9C-101B-9397-08002B2CF9AE}" pid="6" name="AsAtDate">
    <vt:lpwstr>09 Nov 2013</vt:lpwstr>
  </property>
  <property fmtid="{D5CDD505-2E9C-101B-9397-08002B2CF9AE}" pid="7" name="Suffix">
    <vt:lpwstr>01-j0-01</vt:lpwstr>
  </property>
  <property fmtid="{D5CDD505-2E9C-101B-9397-08002B2CF9AE}" pid="8" name="ReprintNo">
    <vt:lpwstr>1</vt:lpwstr>
  </property>
</Properties>
</file>