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EA" w:rsidRDefault="00570F75">
      <w:pPr>
        <w:pStyle w:val="WA"/>
      </w:pPr>
      <w:bookmarkStart w:id="0" w:name="_GoBack"/>
      <w:bookmarkEnd w:id="0"/>
      <w:r>
        <w:t>Western Australia</w:t>
      </w:r>
    </w:p>
    <w:p w:rsidR="00AA6CEA" w:rsidRDefault="00570F75">
      <w:pPr>
        <w:pStyle w:val="PrincipalActReg"/>
        <w:spacing w:before="2600" w:after="0"/>
      </w:pPr>
      <w:r>
        <w:rPr>
          <w:snapToGrid w:val="0"/>
        </w:rPr>
        <w:t>State Enterprises (Commonwealth Tax Equivalents) Act 1996</w:t>
      </w:r>
    </w:p>
    <w:p w:rsidR="00AA6CEA" w:rsidRDefault="00570F75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650EE">
        <w:rPr>
          <w:noProof/>
        </w:rPr>
        <w:t>State Enterprises (Commonwealth Tax Equivalents) (Application) Regulations 1997</w:t>
      </w:r>
      <w:r>
        <w:fldChar w:fldCharType="end"/>
      </w:r>
    </w:p>
    <w:p w:rsidR="00AA6CEA" w:rsidRDefault="00AA6CEA">
      <w:pPr>
        <w:jc w:val="center"/>
        <w:rPr>
          <w:b/>
        </w:rPr>
        <w:sectPr w:rsidR="00AA6CE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6CEA" w:rsidRDefault="00570F75">
      <w:pPr>
        <w:pStyle w:val="WA"/>
      </w:pPr>
      <w:r>
        <w:lastRenderedPageBreak/>
        <w:t>Western Australia</w:t>
      </w:r>
    </w:p>
    <w:p w:rsidR="00AA6CEA" w:rsidRDefault="00570F7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650EE">
        <w:rPr>
          <w:noProof/>
        </w:rPr>
        <w:t>State Enterprises (Commonwealth Tax Equivalents) (Application) Regulations 1997</w:t>
      </w:r>
      <w:r>
        <w:fldChar w:fldCharType="end"/>
      </w:r>
    </w:p>
    <w:p w:rsidR="00AA6CEA" w:rsidRDefault="00570F75">
      <w:pPr>
        <w:pStyle w:val="Arrangement"/>
      </w:pPr>
      <w:r>
        <w:t>CONTENTS</w:t>
      </w:r>
    </w:p>
    <w:p w:rsidR="005B19A0" w:rsidRDefault="00570F75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5B19A0">
        <w:t>1</w:t>
      </w:r>
      <w:r w:rsidR="005B19A0" w:rsidRPr="00735B94">
        <w:rPr>
          <w:snapToGrid w:val="0"/>
        </w:rPr>
        <w:t>.</w:t>
      </w:r>
      <w:r w:rsidR="005B19A0" w:rsidRPr="00735B94">
        <w:rPr>
          <w:snapToGrid w:val="0"/>
        </w:rPr>
        <w:tab/>
        <w:t>Citation</w:t>
      </w:r>
      <w:r w:rsidR="005B19A0">
        <w:tab/>
      </w:r>
      <w:r w:rsidR="005B19A0">
        <w:fldChar w:fldCharType="begin"/>
      </w:r>
      <w:r w:rsidR="005B19A0">
        <w:instrText xml:space="preserve"> PAGEREF _Toc372119832 \h </w:instrText>
      </w:r>
      <w:r w:rsidR="005B19A0">
        <w:fldChar w:fldCharType="separate"/>
      </w:r>
      <w:r w:rsidR="00A650EE">
        <w:t>1</w:t>
      </w:r>
      <w:r w:rsidR="005B19A0">
        <w:fldChar w:fldCharType="end"/>
      </w:r>
    </w:p>
    <w:p w:rsidR="005B19A0" w:rsidRDefault="005B19A0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 w:rsidRPr="00735B94">
        <w:rPr>
          <w:snapToGrid w:val="0"/>
        </w:rPr>
        <w:t>.</w:t>
      </w:r>
      <w:r w:rsidRPr="00735B94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_Toc372119833 \h </w:instrText>
      </w:r>
      <w:r>
        <w:fldChar w:fldCharType="separate"/>
      </w:r>
      <w:r w:rsidR="00A650EE">
        <w:t>1</w:t>
      </w:r>
      <w:r>
        <w:fldChar w:fldCharType="end"/>
      </w:r>
    </w:p>
    <w:p w:rsidR="005B19A0" w:rsidRDefault="005B19A0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</w:t>
      </w:r>
      <w:r w:rsidRPr="00735B94">
        <w:rPr>
          <w:snapToGrid w:val="0"/>
        </w:rPr>
        <w:t>.</w:t>
      </w:r>
      <w:r w:rsidRPr="00735B94">
        <w:rPr>
          <w:snapToGrid w:val="0"/>
        </w:rPr>
        <w:tab/>
        <w:t>State enterprises prescribed (section 5)</w:t>
      </w:r>
      <w:r>
        <w:tab/>
      </w:r>
      <w:r>
        <w:fldChar w:fldCharType="begin"/>
      </w:r>
      <w:r>
        <w:instrText xml:space="preserve"> PAGEREF _Toc372119834 \h </w:instrText>
      </w:r>
      <w:r>
        <w:fldChar w:fldCharType="separate"/>
      </w:r>
      <w:r w:rsidR="00A650EE">
        <w:t>1</w:t>
      </w:r>
      <w:r>
        <w:fldChar w:fldCharType="end"/>
      </w:r>
    </w:p>
    <w:p w:rsidR="005B19A0" w:rsidRDefault="005B19A0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 w:rsidR="005B19A0" w:rsidRDefault="005B19A0" w:rsidP="005B19A0"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rPr>
          <w:snapToGrid w:val="0"/>
        </w:rPr>
        <w:tab/>
      </w:r>
      <w:r w:rsidRPr="00735B94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_Toc372119836 \h </w:instrText>
      </w:r>
      <w:r>
        <w:fldChar w:fldCharType="separate"/>
      </w:r>
      <w:r w:rsidR="00A650EE">
        <w:t>5</w:t>
      </w:r>
      <w:r>
        <w:fldChar w:fldCharType="end"/>
      </w:r>
    </w:p>
    <w:p w:rsidR="00AA6CEA" w:rsidRDefault="00570F75">
      <w:pPr>
        <w:pStyle w:val="TOC8"/>
      </w:pPr>
      <w:r>
        <w:fldChar w:fldCharType="end"/>
      </w:r>
    </w:p>
    <w:p w:rsidR="00AA6CEA" w:rsidRDefault="00570F7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AA6CEA" w:rsidRDefault="00AA6CEA">
      <w:pPr>
        <w:pStyle w:val="NoteHeading"/>
        <w:sectPr w:rsidR="00AA6CE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6CEA" w:rsidRDefault="00570F75">
      <w:pPr>
        <w:pStyle w:val="WA"/>
      </w:pPr>
      <w:r>
        <w:t>Western Australia</w:t>
      </w:r>
    </w:p>
    <w:p w:rsidR="00AA6CEA" w:rsidRDefault="00570F75"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 w:rsidR="00AA6CEA" w:rsidRDefault="00570F75">
      <w:pPr>
        <w:pStyle w:val="NameofActReg"/>
      </w:pPr>
      <w:r>
        <w:t>State Enterprises (Commonwealth Tax Equivalents) (Application) Regulations 1997</w:t>
      </w:r>
    </w:p>
    <w:p w:rsidR="00AA6CEA" w:rsidRDefault="00570F75">
      <w:pPr>
        <w:pStyle w:val="Heading5"/>
        <w:rPr>
          <w:snapToGrid w:val="0"/>
        </w:rPr>
      </w:pPr>
      <w:bookmarkStart w:id="1" w:name="_Toc5010346"/>
      <w:bookmarkStart w:id="2" w:name="_Toc12954836"/>
      <w:bookmarkStart w:id="3" w:name="_Toc38938770"/>
      <w:bookmarkStart w:id="4" w:name="_Toc155079430"/>
      <w:bookmarkStart w:id="5" w:name="_Toc37211983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 w:rsidR="00AA6CEA" w:rsidRDefault="00570F7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6CEA" w:rsidRDefault="00570F75">
      <w:pPr>
        <w:pStyle w:val="Heading5"/>
        <w:spacing w:before="260"/>
        <w:rPr>
          <w:snapToGrid w:val="0"/>
        </w:rPr>
      </w:pPr>
      <w:bookmarkStart w:id="6" w:name="_Toc5010347"/>
      <w:bookmarkStart w:id="7" w:name="_Toc12954837"/>
      <w:bookmarkStart w:id="8" w:name="_Toc38938771"/>
      <w:bookmarkStart w:id="9" w:name="_Toc155079431"/>
      <w:bookmarkStart w:id="10" w:name="_Toc37211983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 w:rsidR="00AA6CEA" w:rsidRDefault="00570F75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6CEA" w:rsidRDefault="00570F75">
      <w:pPr>
        <w:pStyle w:val="Heading5"/>
        <w:spacing w:before="260"/>
        <w:rPr>
          <w:snapToGrid w:val="0"/>
        </w:rPr>
      </w:pPr>
      <w:bookmarkStart w:id="11" w:name="_Toc5010348"/>
      <w:bookmarkStart w:id="12" w:name="_Toc12954838"/>
      <w:bookmarkStart w:id="13" w:name="_Toc38938772"/>
      <w:bookmarkStart w:id="14" w:name="_Toc155079432"/>
      <w:bookmarkStart w:id="15" w:name="_Toc3721198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 w:rsidR="00AA6CEA" w:rsidRDefault="00570F75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 w:rsidR="00AA6CEA" w:rsidRDefault="00570F75">
      <w:pPr>
        <w:pStyle w:val="THeadingNAm"/>
        <w:rPr>
          <w:snapToGrid w:val="0"/>
        </w:rPr>
      </w:pPr>
      <w:r>
        <w:rPr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 w:rsidR="00AA6CEA">
        <w:trPr>
          <w:cantSplit/>
          <w:tblHeader/>
        </w:trPr>
        <w:tc>
          <w:tcPr>
            <w:tcW w:w="4536" w:type="dxa"/>
          </w:tcPr>
          <w:p w:rsidR="00AA6CEA" w:rsidRDefault="00570F75"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State enterprises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jc w:val="center"/>
              <w:rPr>
                <w:snapToGrid w:val="0"/>
              </w:rPr>
            </w:pPr>
            <w:r>
              <w:rPr>
                <w:snapToGrid w:val="0"/>
              </w:rPr>
              <w:t>Commencement of application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Chemistry Centre (WA) established under the </w:t>
            </w:r>
            <w:r>
              <w:rPr>
                <w:i/>
                <w:iCs/>
              </w:rPr>
              <w:t>Chemistry Centre (WA) Act 2007</w:t>
            </w:r>
            <w:r>
              <w:t>, 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pacing w:val="-4"/>
              </w:rPr>
            </w:pPr>
            <w:r>
              <w:rPr>
                <w:spacing w:val="-4"/>
              </w:rPr>
              <w:t>1 August 2010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Electricity Generation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</w:pPr>
            <w:r>
              <w:t xml:space="preserve">Electricity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br/>
              <w:t>1 January 2001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697934"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>,</w:t>
            </w:r>
            <w:r w:rsidRPr="00AF7221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s. 4(2)</w:t>
            </w:r>
          </w:p>
        </w:tc>
        <w:tc>
          <w:tcPr>
            <w:tcW w:w="2552" w:type="dxa"/>
          </w:tcPr>
          <w:p w:rsidR="00AA6CEA" w:rsidRDefault="00697934" w:rsidP="00773023">
            <w:pPr>
              <w:pStyle w:val="TableNAm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</w:t>
            </w:r>
            <w:r w:rsidRPr="00A11009">
              <w:rPr>
                <w:i/>
              </w:rPr>
              <w:t>2012</w:t>
            </w:r>
            <w:r>
              <w:t xml:space="preserve"> </w:t>
            </w:r>
            <w:r w:rsidRPr="00C363A5">
              <w:t>section</w:t>
            </w:r>
            <w:r>
              <w:t> 114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697934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 w:rsidRPr="001B5189">
              <w:rPr>
                <w:i/>
                <w:snapToGrid w:val="0"/>
              </w:rPr>
              <w:t xml:space="preserve">Water </w:t>
            </w:r>
            <w:r>
              <w:rPr>
                <w:i/>
                <w:snapToGrid w:val="0"/>
              </w:rPr>
              <w:t>Corporations Act 1995</w:t>
            </w:r>
            <w:r>
              <w:rPr>
                <w:snapToGrid w:val="0"/>
              </w:rPr>
              <w:t>,</w:t>
            </w:r>
            <w:r w:rsidRPr="00AF7221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s. 4(3)</w:t>
            </w:r>
          </w:p>
        </w:tc>
        <w:tc>
          <w:tcPr>
            <w:tcW w:w="2552" w:type="dxa"/>
          </w:tcPr>
          <w:p w:rsidR="00AA6CEA" w:rsidRDefault="00697934">
            <w:pPr>
              <w:pStyle w:val="TableNAm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</w:t>
            </w:r>
            <w:r w:rsidRPr="00A11009">
              <w:rPr>
                <w:i/>
              </w:rPr>
              <w:t>2012</w:t>
            </w:r>
            <w:r>
              <w:t xml:space="preserve"> </w:t>
            </w:r>
            <w:r w:rsidRPr="00C363A5">
              <w:t>section</w:t>
            </w:r>
            <w:r>
              <w:t> 114 comes into operation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AA6CEA">
        <w:trPr>
          <w:cantSplit/>
        </w:trPr>
        <w:tc>
          <w:tcPr>
            <w:tcW w:w="4536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 w:rsidR="00AA6CEA" w:rsidRDefault="00570F75">
            <w:pPr>
              <w:pStyle w:val="TableNAm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 w:rsidR="00AA6CEA" w:rsidRDefault="00570F75"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</w:t>
      </w:r>
      <w:r w:rsidR="00697934">
        <w:rPr>
          <w:snapToGrid/>
        </w:rPr>
        <w:t>;</w:t>
      </w:r>
      <w:r w:rsidR="008E76C0">
        <w:rPr>
          <w:snapToGrid/>
        </w:rPr>
        <w:t xml:space="preserve"> </w:t>
      </w:r>
      <w:r w:rsidR="008E76C0" w:rsidRPr="005B19A0">
        <w:rPr>
          <w:snapToGrid/>
        </w:rPr>
        <w:t>14 Nov 2013 p. 50</w:t>
      </w:r>
      <w:r w:rsidR="008E76C0">
        <w:rPr>
          <w:snapToGrid/>
        </w:rPr>
        <w:t>72</w:t>
      </w:r>
      <w:r>
        <w:rPr>
          <w:snapToGrid/>
        </w:rPr>
        <w:t>.]</w:t>
      </w:r>
    </w:p>
    <w:p w:rsidR="00AA6CEA" w:rsidRDefault="00AA6CEA">
      <w:pPr>
        <w:rPr>
          <w:rStyle w:val="CharDivText"/>
        </w:rPr>
        <w:sectPr w:rsidR="00AA6CE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A6CEA" w:rsidRDefault="00570F75">
      <w:pPr>
        <w:pStyle w:val="nHeading2"/>
      </w:pPr>
      <w:bookmarkStart w:id="16" w:name="_Toc131831884"/>
      <w:bookmarkStart w:id="17" w:name="_Toc131926516"/>
      <w:bookmarkStart w:id="18" w:name="_Toc155079433"/>
      <w:bookmarkStart w:id="19" w:name="_Toc268251735"/>
      <w:bookmarkStart w:id="20" w:name="_Toc268252123"/>
      <w:bookmarkStart w:id="21" w:name="_Toc268252861"/>
      <w:bookmarkStart w:id="22" w:name="_Toc372119835"/>
      <w:r>
        <w:t>Notes</w:t>
      </w:r>
      <w:bookmarkEnd w:id="16"/>
      <w:bookmarkEnd w:id="17"/>
      <w:bookmarkEnd w:id="18"/>
      <w:bookmarkEnd w:id="19"/>
      <w:bookmarkEnd w:id="20"/>
      <w:bookmarkEnd w:id="21"/>
      <w:bookmarkEnd w:id="22"/>
    </w:p>
    <w:p w:rsidR="00AA6CEA" w:rsidRDefault="00570F7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A6CEA" w:rsidRDefault="00570F75">
      <w:pPr>
        <w:pStyle w:val="nHeading3"/>
        <w:rPr>
          <w:snapToGrid w:val="0"/>
        </w:rPr>
      </w:pPr>
      <w:bookmarkStart w:id="23" w:name="_Toc155079434"/>
      <w:bookmarkStart w:id="24" w:name="_Toc372119836"/>
      <w:r>
        <w:rPr>
          <w:snapToGrid w:val="0"/>
        </w:rPr>
        <w:t>Compilation table</w:t>
      </w:r>
      <w:bookmarkEnd w:id="23"/>
      <w:bookmarkEnd w:id="2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A6CEA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A6CEA" w:rsidRDefault="00570F7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 w:rsidR="00AA6CEA">
        <w:trPr>
          <w:cantSplit/>
        </w:trPr>
        <w:tc>
          <w:tcPr>
            <w:tcW w:w="7087" w:type="dxa"/>
            <w:gridSpan w:val="3"/>
          </w:tcPr>
          <w:p w:rsidR="00AA6CEA" w:rsidRDefault="00570F7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 w:rsidR="00AA6CEA">
        <w:tc>
          <w:tcPr>
            <w:tcW w:w="3118" w:type="dxa"/>
          </w:tcPr>
          <w:p w:rsidR="00AA6CEA" w:rsidRDefault="00570F75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Dec 2006 p. 5808-9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2007 (see r. 2 and </w:t>
            </w:r>
            <w:r>
              <w:rPr>
                <w:i/>
                <w:sz w:val="19"/>
              </w:rPr>
              <w:t>Gazette</w:t>
            </w:r>
            <w:r>
              <w:rPr>
                <w:iCs/>
                <w:sz w:val="19"/>
              </w:rPr>
              <w:t xml:space="preserve"> 8 Dec 2006 p. 5369)</w:t>
            </w:r>
          </w:p>
        </w:tc>
      </w:tr>
      <w:tr w:rsidR="00AA6CEA" w:rsidTr="00773023">
        <w:tc>
          <w:tcPr>
            <w:tcW w:w="3118" w:type="dxa"/>
          </w:tcPr>
          <w:p w:rsidR="00AA6CEA" w:rsidRDefault="00570F75"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Jul 2010 p. 3561-2</w:t>
            </w:r>
          </w:p>
        </w:tc>
        <w:tc>
          <w:tcPr>
            <w:tcW w:w="2693" w:type="dxa"/>
          </w:tcPr>
          <w:p w:rsidR="00AA6CEA" w:rsidRDefault="00570F7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30 Jul 2010 (see r. 2(a));</w:t>
            </w:r>
            <w:r>
              <w:rPr>
                <w:sz w:val="19"/>
              </w:rPr>
              <w:br/>
              <w:t>Regulations other than r. 1 and 2: 31 Jul 2010 (see r. 2(b))</w:t>
            </w:r>
          </w:p>
        </w:tc>
      </w:tr>
      <w:tr w:rsidR="00697934">
        <w:tc>
          <w:tcPr>
            <w:tcW w:w="3118" w:type="dxa"/>
            <w:tcBorders>
              <w:bottom w:val="single" w:sz="4" w:space="0" w:color="auto"/>
            </w:tcBorders>
          </w:tcPr>
          <w:p w:rsidR="00697934" w:rsidRDefault="00697934">
            <w:pPr>
              <w:pStyle w:val="nTable"/>
              <w:rPr>
                <w:i/>
                <w:sz w:val="19"/>
              </w:rPr>
            </w:pPr>
            <w:r w:rsidRPr="00697934">
              <w:rPr>
                <w:i/>
                <w:sz w:val="19"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97934" w:rsidRDefault="008E76C0">
            <w:pPr>
              <w:pStyle w:val="nTable"/>
              <w:rPr>
                <w:sz w:val="19"/>
              </w:rPr>
            </w:pPr>
            <w:r w:rsidRPr="008E76C0">
              <w:rPr>
                <w:sz w:val="19"/>
              </w:rPr>
              <w:t>14 Nov 2013 p. 50</w:t>
            </w:r>
            <w:r>
              <w:rPr>
                <w:sz w:val="19"/>
              </w:rPr>
              <w:t>71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97934" w:rsidRDefault="008E76C0">
            <w:pPr>
              <w:pStyle w:val="nTable"/>
              <w:rPr>
                <w:sz w:val="19"/>
              </w:rPr>
            </w:pPr>
            <w:r w:rsidRPr="008E76C0">
              <w:rPr>
                <w:bCs/>
                <w:snapToGrid w:val="0"/>
                <w:sz w:val="19"/>
                <w:lang w:val="en-US"/>
              </w:rPr>
              <w:t>r. 1 and 2: 14 Nov 2013 (see r. 2(a));</w:t>
            </w:r>
            <w:r w:rsidRPr="008E76C0">
              <w:rPr>
                <w:bCs/>
                <w:snapToGrid w:val="0"/>
                <w:sz w:val="19"/>
                <w:lang w:val="en-US"/>
              </w:rPr>
              <w:br/>
              <w:t xml:space="preserve">Regulations other than r. 1 and 2: 18 Nov 2013 (see r. 2(b) and </w:t>
            </w:r>
            <w:r w:rsidRPr="008E76C0">
              <w:rPr>
                <w:bCs/>
                <w:i/>
                <w:snapToGrid w:val="0"/>
                <w:sz w:val="19"/>
                <w:lang w:val="en-US"/>
              </w:rPr>
              <w:t xml:space="preserve">Gazette </w:t>
            </w:r>
            <w:r w:rsidRPr="005B19A0">
              <w:rPr>
                <w:bCs/>
                <w:snapToGrid w:val="0"/>
                <w:sz w:val="19"/>
                <w:lang w:val="en-US"/>
              </w:rPr>
              <w:t>14 Nov 2013 p. 5027</w:t>
            </w:r>
            <w:r w:rsidRPr="008E76C0">
              <w:rPr>
                <w:bCs/>
                <w:snapToGrid w:val="0"/>
                <w:sz w:val="19"/>
                <w:lang w:val="en-US"/>
              </w:rPr>
              <w:t>)</w:t>
            </w:r>
          </w:p>
        </w:tc>
      </w:tr>
    </w:tbl>
    <w:p w:rsidR="00AA6CEA" w:rsidRDefault="00570F75">
      <w:pPr>
        <w:pStyle w:val="nSubsection"/>
      </w:pPr>
      <w:r>
        <w:rPr>
          <w:vertAlign w:val="superscript"/>
        </w:rPr>
        <w:t>2</w:t>
      </w:r>
      <w:r>
        <w:tab/>
        <w:t>Came into operation on 1 Jan 2000.</w:t>
      </w:r>
    </w:p>
    <w:p w:rsidR="00AA6CEA" w:rsidRDefault="00570F75"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 w:rsidR="00AA6CEA" w:rsidRDefault="00AA6CEA"/>
    <w:p w:rsidR="00EA200E" w:rsidRDefault="00EA200E">
      <w:pPr>
        <w:sectPr w:rsidR="00EA200E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EA200E" w:rsidRDefault="00EA200E"/>
    <w:sectPr w:rsidR="00EA200E" w:rsidSect="00EA200E"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09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EA" w:rsidRDefault="00570F75">
      <w:r>
        <w:separator/>
      </w:r>
    </w:p>
  </w:endnote>
  <w:endnote w:type="continuationSeparator" w:id="0">
    <w:p w:rsidR="00AA6CEA" w:rsidRDefault="0057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260B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260B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650E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650EE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650EE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Footer"/>
      <w:tabs>
        <w:tab w:val="clear" w:pos="4153"/>
        <w:tab w:val="right" w:pos="7088"/>
      </w:tabs>
      <w:rPr>
        <w:rStyle w:val="PageNumber"/>
      </w:rPr>
    </w:pPr>
  </w:p>
  <w:p w:rsidR="00AA6CEA" w:rsidRDefault="00570F7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18 Nov 2013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650EE">
      <w:rPr>
        <w:rFonts w:ascii="Arial" w:hAnsi="Arial" w:cs="Arial"/>
        <w:sz w:val="20"/>
        <w:lang w:val="en-US"/>
      </w:rPr>
      <w:t>01-e0-00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650E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A6CEA" w:rsidRDefault="00570F7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EA" w:rsidRDefault="00570F75">
      <w:r>
        <w:separator/>
      </w:r>
    </w:p>
  </w:footnote>
  <w:footnote w:type="continuationSeparator" w:id="0">
    <w:p w:rsidR="00AA6CEA" w:rsidRDefault="00570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650EE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570F7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A6CEA" w:rsidRDefault="00570F7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A6CEA" w:rsidRDefault="00AA6CEA">
    <w:pPr>
      <w:pStyle w:val="headerpart"/>
    </w:pPr>
  </w:p>
  <w:p w:rsidR="00AA6CEA" w:rsidRDefault="00AA6CEA">
    <w:pPr>
      <w:pBdr>
        <w:bottom w:val="single" w:sz="6" w:space="1" w:color="auto"/>
      </w:pBdr>
      <w:rPr>
        <w:b/>
      </w:rPr>
    </w:pPr>
  </w:p>
  <w:p w:rsidR="00AA6CEA" w:rsidRDefault="00AA6C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B2" w:rsidRDefault="007260B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0B2" w:rsidRDefault="007260B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A650EE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715" w:type="dxa"/>
        </w:tcPr>
        <w:p w:rsidR="00AA6CEA" w:rsidRDefault="00AA6CEA">
          <w:pPr>
            <w:pStyle w:val="HeaderTextLeft"/>
          </w:pP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715" w:type="dxa"/>
        </w:tcPr>
        <w:p w:rsidR="00AA6CEA" w:rsidRDefault="00AA6CEA">
          <w:pPr>
            <w:pStyle w:val="HeaderTextLeft"/>
          </w:pP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A650EE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5715" w:type="dxa"/>
        </w:tcPr>
        <w:p w:rsidR="00AA6CEA" w:rsidRDefault="00AA6CEA">
          <w:pPr>
            <w:pStyle w:val="HeaderTextRight"/>
          </w:pPr>
        </w:p>
      </w:tc>
      <w:tc>
        <w:tcPr>
          <w:tcW w:w="1548" w:type="dxa"/>
        </w:tcPr>
        <w:p w:rsidR="00AA6CEA" w:rsidRDefault="00AA6CEA">
          <w:pPr>
            <w:pStyle w:val="HeaderNumberRight"/>
            <w:ind w:right="17"/>
          </w:pPr>
        </w:p>
      </w:tc>
    </w:tr>
    <w:tr w:rsidR="00AA6CEA">
      <w:tc>
        <w:tcPr>
          <w:tcW w:w="5715" w:type="dxa"/>
        </w:tcPr>
        <w:p w:rsidR="00AA6CEA" w:rsidRDefault="00AA6CEA">
          <w:pPr>
            <w:pStyle w:val="HeaderTextRight"/>
          </w:pPr>
        </w:p>
      </w:tc>
      <w:tc>
        <w:tcPr>
          <w:tcW w:w="1548" w:type="dxa"/>
        </w:tcPr>
        <w:p w:rsidR="00AA6CEA" w:rsidRDefault="00AA6CEA">
          <w:pPr>
            <w:pStyle w:val="HeaderNumberRight"/>
            <w:ind w:right="17"/>
          </w:pP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A650EE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570F7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A6CEA" w:rsidRDefault="00570F75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570F7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A6CEA" w:rsidRDefault="00570F7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Left"/>
          </w:pPr>
          <w:r>
            <w:t xml:space="preserve">r. </w:t>
          </w:r>
          <w:r w:rsidR="00A650EE">
            <w:fldChar w:fldCharType="begin"/>
          </w:r>
          <w:r w:rsidR="00A650EE">
            <w:instrText xml:space="preserve"> styleref CharSectno </w:instrText>
          </w:r>
          <w:r w:rsidR="00A650EE">
            <w:fldChar w:fldCharType="separate"/>
          </w:r>
          <w:r w:rsidR="00A650EE">
            <w:rPr>
              <w:noProof/>
            </w:rPr>
            <w:t>1</w:t>
          </w:r>
          <w:r w:rsidR="00A650EE">
            <w:rPr>
              <w:noProof/>
            </w:rPr>
            <w:fldChar w:fldCharType="end"/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CEA">
      <w:trPr>
        <w:cantSplit/>
      </w:trPr>
      <w:tc>
        <w:tcPr>
          <w:tcW w:w="7258" w:type="dxa"/>
          <w:gridSpan w:val="2"/>
        </w:tcPr>
        <w:p w:rsidR="00AA6CEA" w:rsidRDefault="00A650EE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5715" w:type="dxa"/>
        </w:tcPr>
        <w:p w:rsidR="00AA6CEA" w:rsidRDefault="00570F75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AA6CEA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A6CEA">
      <w:tc>
        <w:tcPr>
          <w:tcW w:w="5715" w:type="dxa"/>
        </w:tcPr>
        <w:p w:rsidR="00AA6CEA" w:rsidRDefault="00570F7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A6CEA" w:rsidRDefault="00570F7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A6CEA">
      <w:trPr>
        <w:cantSplit/>
      </w:trPr>
      <w:tc>
        <w:tcPr>
          <w:tcW w:w="7258" w:type="dxa"/>
          <w:gridSpan w:val="2"/>
        </w:tcPr>
        <w:p w:rsidR="00AA6CEA" w:rsidRDefault="00570F75">
          <w:pPr>
            <w:pStyle w:val="HeaderSectionRight"/>
            <w:ind w:right="17"/>
          </w:pPr>
          <w:r>
            <w:t xml:space="preserve">r. </w:t>
          </w:r>
          <w:r w:rsidR="00A650EE">
            <w:fldChar w:fldCharType="begin"/>
          </w:r>
          <w:r w:rsidR="00A650EE">
            <w:instrText xml:space="preserve"> styleref CharSectno </w:instrText>
          </w:r>
          <w:r w:rsidR="00A650EE">
            <w:fldChar w:fldCharType="separate"/>
          </w:r>
          <w:r w:rsidR="00A650EE">
            <w:rPr>
              <w:noProof/>
            </w:rPr>
            <w:t>1</w:t>
          </w:r>
          <w:r w:rsidR="00A650EE">
            <w:rPr>
              <w:noProof/>
            </w:rPr>
            <w:fldChar w:fldCharType="end"/>
          </w: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AA6CEA">
      <w:trPr>
        <w:cantSplit/>
      </w:trPr>
      <w:tc>
        <w:tcPr>
          <w:tcW w:w="7160" w:type="dxa"/>
          <w:gridSpan w:val="2"/>
        </w:tcPr>
        <w:p w:rsidR="00AA6CEA" w:rsidRDefault="00A650EE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612" w:type="dxa"/>
        </w:tcPr>
        <w:p w:rsidR="00AA6CEA" w:rsidRDefault="00AA6CEA">
          <w:pPr>
            <w:pStyle w:val="HeaderTextLeft"/>
          </w:pPr>
        </w:p>
      </w:tc>
    </w:tr>
    <w:tr w:rsidR="00AA6CEA">
      <w:tc>
        <w:tcPr>
          <w:tcW w:w="1548" w:type="dxa"/>
        </w:tcPr>
        <w:p w:rsidR="00AA6CEA" w:rsidRDefault="00AA6CEA">
          <w:pPr>
            <w:pStyle w:val="HeaderNumberLeft"/>
          </w:pPr>
        </w:p>
      </w:tc>
      <w:tc>
        <w:tcPr>
          <w:tcW w:w="5612" w:type="dxa"/>
        </w:tcPr>
        <w:p w:rsidR="00AA6CEA" w:rsidRDefault="00AA6CEA">
          <w:pPr>
            <w:pStyle w:val="HeaderTextLeft"/>
          </w:pPr>
        </w:p>
      </w:tc>
    </w:tr>
    <w:tr w:rsidR="00AA6CEA">
      <w:trPr>
        <w:cantSplit/>
      </w:trPr>
      <w:tc>
        <w:tcPr>
          <w:tcW w:w="7160" w:type="dxa"/>
          <w:gridSpan w:val="2"/>
        </w:tcPr>
        <w:p w:rsidR="00AA6CEA" w:rsidRDefault="00AA6CEA">
          <w:pPr>
            <w:pStyle w:val="HeaderSectionLeft"/>
          </w:pP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AA6CEA">
      <w:trPr>
        <w:cantSplit/>
      </w:trPr>
      <w:tc>
        <w:tcPr>
          <w:tcW w:w="7160" w:type="dxa"/>
          <w:gridSpan w:val="2"/>
        </w:tcPr>
        <w:p w:rsidR="00AA6CEA" w:rsidRDefault="00A650EE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Enterprises (Commonwealth Tax Equivalents) (Application) Regulations 1997</w:t>
          </w:r>
          <w:r>
            <w:rPr>
              <w:noProof/>
            </w:rPr>
            <w:fldChar w:fldCharType="end"/>
          </w:r>
        </w:p>
      </w:tc>
    </w:tr>
    <w:tr w:rsidR="00AA6CEA">
      <w:tc>
        <w:tcPr>
          <w:tcW w:w="5760" w:type="dxa"/>
        </w:tcPr>
        <w:p w:rsidR="00AA6CEA" w:rsidRDefault="00AA6CEA">
          <w:pPr>
            <w:pStyle w:val="HeaderTextRight"/>
          </w:pPr>
        </w:p>
      </w:tc>
      <w:tc>
        <w:tcPr>
          <w:tcW w:w="1400" w:type="dxa"/>
        </w:tcPr>
        <w:p w:rsidR="00AA6CEA" w:rsidRDefault="00AA6CEA">
          <w:pPr>
            <w:pStyle w:val="HeaderNumberRight"/>
          </w:pPr>
        </w:p>
      </w:tc>
    </w:tr>
    <w:tr w:rsidR="00AA6CEA">
      <w:tc>
        <w:tcPr>
          <w:tcW w:w="5760" w:type="dxa"/>
        </w:tcPr>
        <w:p w:rsidR="00AA6CEA" w:rsidRDefault="00AA6CEA">
          <w:pPr>
            <w:pStyle w:val="HeaderTextRight"/>
          </w:pPr>
        </w:p>
      </w:tc>
      <w:tc>
        <w:tcPr>
          <w:tcW w:w="1400" w:type="dxa"/>
        </w:tcPr>
        <w:p w:rsidR="00AA6CEA" w:rsidRDefault="00AA6CEA">
          <w:pPr>
            <w:pStyle w:val="HeaderNumberRight"/>
          </w:pPr>
        </w:p>
      </w:tc>
    </w:tr>
    <w:tr w:rsidR="00AA6CEA">
      <w:trPr>
        <w:cantSplit/>
      </w:trPr>
      <w:tc>
        <w:tcPr>
          <w:tcW w:w="7160" w:type="dxa"/>
          <w:gridSpan w:val="2"/>
        </w:tcPr>
        <w:p w:rsidR="00AA6CEA" w:rsidRDefault="00AA6CEA">
          <w:pPr>
            <w:pStyle w:val="HeaderSectionRight"/>
          </w:pPr>
        </w:p>
      </w:tc>
    </w:tr>
  </w:tbl>
  <w:p w:rsidR="00AA6CEA" w:rsidRDefault="00AA6CE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AA6CE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650EE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AA6CEA">
    <w:pPr>
      <w:pStyle w:val="headerpartodd"/>
      <w:ind w:left="0" w:firstLine="0"/>
      <w:rPr>
        <w:b w:val="0"/>
        <w:i/>
      </w:rPr>
    </w:pPr>
  </w:p>
  <w:p w:rsidR="00AA6CEA" w:rsidRDefault="00AA6CEA">
    <w:pPr>
      <w:pStyle w:val="headerpart"/>
    </w:pPr>
  </w:p>
  <w:p w:rsidR="00AA6CEA" w:rsidRDefault="00AA6CEA">
    <w:pPr>
      <w:pStyle w:val="headerpart"/>
    </w:pPr>
  </w:p>
  <w:p w:rsidR="00AA6CEA" w:rsidRDefault="00AA6CEA">
    <w:pPr>
      <w:pBdr>
        <w:bottom w:val="single" w:sz="6" w:space="1" w:color="auto"/>
      </w:pBdr>
      <w:rPr>
        <w:b/>
      </w:rPr>
    </w:pPr>
  </w:p>
  <w:p w:rsidR="00AA6CEA" w:rsidRDefault="00AA6CEA"/>
  <w:p w:rsidR="00AA6CEA" w:rsidRDefault="00AA6CEA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EA" w:rsidRDefault="00570F7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650EE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AA6CEA" w:rsidRDefault="00AA6CEA">
    <w:pPr>
      <w:pStyle w:val="headerpartodd"/>
      <w:ind w:left="0" w:firstLine="0"/>
      <w:jc w:val="right"/>
      <w:rPr>
        <w:b w:val="0"/>
        <w:i/>
      </w:rPr>
    </w:pPr>
  </w:p>
  <w:p w:rsidR="00AA6CEA" w:rsidRDefault="00AA6CEA">
    <w:pPr>
      <w:pStyle w:val="headerpart"/>
      <w:jc w:val="right"/>
    </w:pPr>
  </w:p>
  <w:p w:rsidR="00AA6CEA" w:rsidRDefault="00AA6CEA">
    <w:pPr>
      <w:pStyle w:val="headerpart"/>
      <w:jc w:val="right"/>
    </w:pPr>
  </w:p>
  <w:p w:rsidR="00AA6CEA" w:rsidRDefault="00AA6CEA">
    <w:pPr>
      <w:pBdr>
        <w:bottom w:val="single" w:sz="6" w:space="1" w:color="auto"/>
      </w:pBdr>
      <w:jc w:val="right"/>
      <w:rPr>
        <w:b/>
      </w:rPr>
    </w:pPr>
  </w:p>
  <w:p w:rsidR="00AA6CEA" w:rsidRDefault="00AA6CEA"/>
  <w:p w:rsidR="00AA6CEA" w:rsidRDefault="00AA6C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83A6D2A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C2EEE02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F75"/>
    <w:rsid w:val="00157DE6"/>
    <w:rsid w:val="00570F75"/>
    <w:rsid w:val="005B19A0"/>
    <w:rsid w:val="00697934"/>
    <w:rsid w:val="007260B2"/>
    <w:rsid w:val="00756F7D"/>
    <w:rsid w:val="00773023"/>
    <w:rsid w:val="008E76C0"/>
    <w:rsid w:val="00A650EE"/>
    <w:rsid w:val="00AA6CEA"/>
    <w:rsid w:val="00EA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6184</Characters>
  <Application>Microsoft Office Word</Application>
  <DocSecurity>0</DocSecurity>
  <Lines>309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1997 - 01-e0-00</dc:title>
  <dc:subject/>
  <dc:creator>Brian John Cunnane</dc:creator>
  <cp:keywords/>
  <cp:lastModifiedBy>svcMRProcess</cp:lastModifiedBy>
  <cp:revision>4</cp:revision>
  <cp:lastPrinted>2003-06-11T00:58:00Z</cp:lastPrinted>
  <dcterms:created xsi:type="dcterms:W3CDTF">2013-11-13T07:48:00Z</dcterms:created>
  <dcterms:modified xsi:type="dcterms:W3CDTF">2013-11-13T07:48:00Z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20131118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AsAtDate">
    <vt:lpwstr>18 Nov 2013</vt:lpwstr>
  </property>
  <property fmtid="{D5CDD505-2E9C-101B-9397-08002B2CF9AE}" pid="7" name="Suffix">
    <vt:lpwstr>01-e0-00</vt:lpwstr>
  </property>
</Properties>
</file>