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(Punmu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(Punmu Restricted Area)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_Toc421007345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_Toc421007346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_Toc421007347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Note is not part of regulations</w:t>
      </w:r>
      <w:r>
        <w:tab/>
      </w:r>
      <w:r>
        <w:fldChar w:fldCharType="begin"/>
      </w:r>
      <w:r>
        <w:instrText xml:space="preserve"> PAGEREF _Toc421007348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Declaration of restricted area</w:t>
      </w:r>
      <w:r>
        <w:tab/>
      </w:r>
      <w:r>
        <w:fldChar w:fldCharType="begin"/>
      </w:r>
      <w:r>
        <w:instrText xml:space="preserve"> PAGEREF _Toc421007349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Notice of restricted area</w:t>
      </w:r>
      <w:r>
        <w:tab/>
      </w:r>
      <w:r>
        <w:fldChar w:fldCharType="begin"/>
      </w:r>
      <w:r>
        <w:instrText xml:space="preserve"> PAGEREF _Toc421007350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 xml:space="preserve">Prohibitions as to liquor in the </w:t>
      </w:r>
      <w:r>
        <w:rPr>
          <w:snapToGrid w:val="0"/>
        </w:rPr>
        <w:t xml:space="preserve">Punmu </w:t>
      </w:r>
      <w:r>
        <w:t>Aboriginal Community</w:t>
      </w:r>
      <w:r>
        <w:tab/>
      </w:r>
      <w:r>
        <w:fldChar w:fldCharType="begin"/>
      </w:r>
      <w:r>
        <w:instrText xml:space="preserve"> PAGEREF _Toc421007351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tab/>
        <w:t>Seizure and disposal of containers of liquor</w:t>
      </w:r>
      <w:r>
        <w:tab/>
      </w:r>
      <w:r>
        <w:fldChar w:fldCharType="begin"/>
      </w:r>
      <w:r>
        <w:instrText xml:space="preserve"> PAGEREF _Toc421007352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Period during which these regulations have effect</w:t>
      </w:r>
      <w:r>
        <w:tab/>
      </w:r>
      <w:r>
        <w:fldChar w:fldCharType="begin"/>
      </w:r>
      <w:r>
        <w:instrText xml:space="preserve"> PAGEREF _Toc421007353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_Toc421007355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(Punmu Restricted Area) Regulations 2010</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72288878"/>
      <w:bookmarkStart w:id="11" w:name="_Toc421007345"/>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(Punmu Restricted Area) Regulations 2010 </w:t>
      </w:r>
      <w:r>
        <w:rPr>
          <w:iCs/>
          <w:vertAlign w:val="superscript"/>
        </w:rPr>
        <w:t>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72288879"/>
      <w:bookmarkStart w:id="21" w:name="_Toc421007346"/>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22" w:name="_Toc423332724"/>
      <w:bookmarkStart w:id="23" w:name="_Toc425219443"/>
      <w:bookmarkStart w:id="24" w:name="_Toc426249310"/>
      <w:bookmarkStart w:id="25" w:name="_Toc449924706"/>
      <w:bookmarkStart w:id="26" w:name="_Toc449947724"/>
      <w:bookmarkStart w:id="27" w:name="_Toc454185715"/>
      <w:bookmarkStart w:id="28" w:name="_Toc515958688"/>
      <w:bookmarkStart w:id="29" w:name="_Toc372288880"/>
      <w:bookmarkStart w:id="30" w:name="_Toc421007347"/>
      <w:r>
        <w:rPr>
          <w:rStyle w:val="CharSectno"/>
        </w:rPr>
        <w:t>3</w:t>
      </w:r>
      <w:r>
        <w:rPr>
          <w:snapToGrid w:val="0"/>
        </w:rPr>
        <w:t>.</w:t>
      </w:r>
      <w:r>
        <w:rPr>
          <w:snapToGrid w:val="0"/>
        </w:rPr>
        <w:tab/>
      </w:r>
      <w:bookmarkEnd w:id="22"/>
      <w:bookmarkEnd w:id="23"/>
      <w:bookmarkEnd w:id="24"/>
      <w:bookmarkEnd w:id="25"/>
      <w:bookmarkEnd w:id="26"/>
      <w:bookmarkEnd w:id="27"/>
      <w:bookmarkEnd w:id="28"/>
      <w:r>
        <w:rPr>
          <w:snapToGrid w:val="0"/>
        </w:rPr>
        <w:t>Terms used</w:t>
      </w:r>
      <w:bookmarkEnd w:id="29"/>
      <w:bookmarkEnd w:id="30"/>
    </w:p>
    <w:p>
      <w:pPr>
        <w:pStyle w:val="Subsection"/>
      </w:pPr>
      <w:r>
        <w:tab/>
      </w:r>
      <w:r>
        <w:tab/>
        <w:t xml:space="preserve">In these regulations — </w:t>
      </w:r>
    </w:p>
    <w:p>
      <w:pPr>
        <w:pStyle w:val="Defstart"/>
      </w:pPr>
      <w:r>
        <w:tab/>
      </w:r>
      <w:r>
        <w:rPr>
          <w:rStyle w:val="CharDefText"/>
        </w:rPr>
        <w:t xml:space="preserve">aerial </w:t>
      </w:r>
      <w:r>
        <w:t>means the telecommunications installation located at Latitude 22 degrees 2 minutes 40.36 seconds South and Longitude 123 degrees 7 minutes 22.29 seconds East;</w:t>
      </w:r>
    </w:p>
    <w:p>
      <w:pPr>
        <w:pStyle w:val="Defstart"/>
      </w:pPr>
      <w:r>
        <w:tab/>
      </w:r>
      <w:r>
        <w:rPr>
          <w:rStyle w:val="CharDefText"/>
        </w:rPr>
        <w:t>Punmu Aboriginal Community</w:t>
      </w:r>
      <w:r>
        <w:t xml:space="preserve"> means that part of </w:t>
      </w:r>
      <w:smartTag w:uri="urn:schemas-microsoft-com:office:smarttags" w:element="place">
        <w:r>
          <w:t>Lot</w:t>
        </w:r>
      </w:smartTag>
      <w:r>
        <w:t xml:space="preserve"> 13 on Deposited Plan 240373 (Record of Qualified Certificate of Crown Land Title Volume LR 3124 Folio 556) that is within the area bounded by the circumference of a circle with — </w:t>
      </w:r>
    </w:p>
    <w:p>
      <w:pPr>
        <w:pStyle w:val="Defpara"/>
      </w:pPr>
      <w:r>
        <w:tab/>
        <w:t>(a)</w:t>
      </w:r>
      <w:r>
        <w:tab/>
        <w:t>the aerial at the centre; and</w:t>
      </w:r>
    </w:p>
    <w:p>
      <w:pPr>
        <w:pStyle w:val="Defpara"/>
        <w:rPr>
          <w:rStyle w:val="DraftersNotes"/>
        </w:rPr>
      </w:pPr>
      <w:r>
        <w:tab/>
        <w:t>(b)</w:t>
      </w:r>
      <w:r>
        <w:tab/>
        <w:t>a radius of 30 kilometres.</w:t>
      </w:r>
    </w:p>
    <w:p>
      <w:pPr>
        <w:pStyle w:val="Heading5"/>
      </w:pPr>
      <w:bookmarkStart w:id="31" w:name="_Toc372288881"/>
      <w:bookmarkStart w:id="32" w:name="_Toc421007348"/>
      <w:r>
        <w:rPr>
          <w:rStyle w:val="CharSectno"/>
        </w:rPr>
        <w:t>4</w:t>
      </w:r>
      <w:r>
        <w:t>.</w:t>
      </w:r>
      <w:r>
        <w:tab/>
        <w:t>Note is not part of regulations</w:t>
      </w:r>
      <w:bookmarkEnd w:id="31"/>
      <w:bookmarkEnd w:id="32"/>
    </w:p>
    <w:p>
      <w:pPr>
        <w:pStyle w:val="Subsection"/>
      </w:pPr>
      <w:r>
        <w:tab/>
      </w:r>
      <w:r>
        <w:tab/>
        <w:t>The note after regulation 9 does not form part of these regulations.</w:t>
      </w:r>
    </w:p>
    <w:p>
      <w:pPr>
        <w:pStyle w:val="Heading5"/>
      </w:pPr>
      <w:bookmarkStart w:id="33" w:name="_Toc372288882"/>
      <w:bookmarkStart w:id="34" w:name="_Toc421007349"/>
      <w:r>
        <w:rPr>
          <w:rStyle w:val="CharSectno"/>
        </w:rPr>
        <w:t>5</w:t>
      </w:r>
      <w:r>
        <w:t>.</w:t>
      </w:r>
      <w:r>
        <w:tab/>
        <w:t>Declaration of restricted area</w:t>
      </w:r>
      <w:bookmarkEnd w:id="33"/>
      <w:bookmarkEnd w:id="34"/>
    </w:p>
    <w:p>
      <w:pPr>
        <w:pStyle w:val="Subsection"/>
      </w:pPr>
      <w:r>
        <w:tab/>
      </w:r>
      <w:r>
        <w:tab/>
        <w:t>The Punmu Aboriginal Community is declared to be a restricted area for the purposes of section 175(1a) of the Act.</w:t>
      </w:r>
    </w:p>
    <w:p>
      <w:pPr>
        <w:pStyle w:val="Heading5"/>
      </w:pPr>
      <w:bookmarkStart w:id="35" w:name="_Toc372288883"/>
      <w:bookmarkStart w:id="36" w:name="_Toc421007350"/>
      <w:r>
        <w:rPr>
          <w:rStyle w:val="CharSectno"/>
        </w:rPr>
        <w:t>6</w:t>
      </w:r>
      <w:r>
        <w:t>.</w:t>
      </w:r>
      <w:r>
        <w:tab/>
        <w:t>Notice of restricted area</w:t>
      </w:r>
      <w:bookmarkEnd w:id="35"/>
      <w:bookmarkEnd w:id="36"/>
    </w:p>
    <w:p>
      <w:pPr>
        <w:pStyle w:val="Subsection"/>
      </w:pPr>
      <w:r>
        <w:tab/>
        <w:t>(1)</w:t>
      </w:r>
      <w:r>
        <w:tab/>
        <w:t xml:space="preserve">The Director of Liquor Licensing must take all reasonable steps to cause to be posted, and while the Punmu Aboriginal Community continues to be a restricted area by operation of regulation 5 to be kept posted, at each place where a customary access route enters the Punmu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37" w:name="_Toc372288884"/>
      <w:bookmarkStart w:id="38" w:name="_Toc421007351"/>
      <w:r>
        <w:rPr>
          <w:rStyle w:val="CharSectno"/>
        </w:rPr>
        <w:t>7</w:t>
      </w:r>
      <w:r>
        <w:t>.</w:t>
      </w:r>
      <w:r>
        <w:tab/>
        <w:t xml:space="preserve">Prohibitions as to liquor in the </w:t>
      </w:r>
      <w:r>
        <w:rPr>
          <w:snapToGrid w:val="0"/>
        </w:rPr>
        <w:t xml:space="preserve">Punmu </w:t>
      </w:r>
      <w:r>
        <w:t>Aboriginal Community</w:t>
      </w:r>
      <w:bookmarkEnd w:id="37"/>
      <w:bookmarkEnd w:id="38"/>
    </w:p>
    <w:p>
      <w:pPr>
        <w:pStyle w:val="Subsection"/>
      </w:pPr>
      <w:r>
        <w:tab/>
        <w:t>(1)</w:t>
      </w:r>
      <w:r>
        <w:tab/>
        <w:t xml:space="preserve">In this regulation — </w:t>
      </w:r>
    </w:p>
    <w:p>
      <w:pPr>
        <w:pStyle w:val="Defstart"/>
      </w:pPr>
      <w:r>
        <w:tab/>
      </w:r>
      <w:r>
        <w:rPr>
          <w:rStyle w:val="CharDefText"/>
        </w:rPr>
        <w:t>exempt person</w:t>
      </w:r>
      <w:r>
        <w:t xml:space="preserve"> means the driver of or a passenger in a transiting vehicle; </w:t>
      </w:r>
    </w:p>
    <w:p>
      <w:pPr>
        <w:pStyle w:val="Defstart"/>
      </w:pPr>
      <w:r>
        <w:tab/>
      </w:r>
      <w:r>
        <w:rPr>
          <w:rStyle w:val="CharDefText"/>
        </w:rPr>
        <w:t xml:space="preserve">transiting vehicle </w:t>
      </w:r>
      <w:r>
        <w:t xml:space="preserve">means a vehicle that transits the Punmu Aboriginal Community on a public road without — </w:t>
      </w:r>
    </w:p>
    <w:p>
      <w:pPr>
        <w:pStyle w:val="Defpara"/>
      </w:pPr>
      <w:r>
        <w:tab/>
        <w:t>(a)</w:t>
      </w:r>
      <w:r>
        <w:tab/>
        <w:t>stopping; or</w:t>
      </w:r>
    </w:p>
    <w:p>
      <w:pPr>
        <w:pStyle w:val="Defpara"/>
      </w:pPr>
      <w:r>
        <w:tab/>
        <w:t>(b)</w:t>
      </w:r>
      <w:r>
        <w:tab/>
        <w:t>discharging any person or item.</w:t>
      </w:r>
    </w:p>
    <w:p>
      <w:pPr>
        <w:pStyle w:val="Subsection"/>
      </w:pPr>
      <w:r>
        <w:tab/>
        <w:t>(2)</w:t>
      </w:r>
      <w:r>
        <w:tab/>
        <w:t xml:space="preserve">A person, other than an exempt person, who — </w:t>
      </w:r>
    </w:p>
    <w:p>
      <w:pPr>
        <w:pStyle w:val="Indenta"/>
      </w:pPr>
      <w:r>
        <w:tab/>
        <w:t>(a)</w:t>
      </w:r>
      <w:r>
        <w:tab/>
        <w:t>brings liquor into, or causes liquor to be brought into, the Punmu Aboriginal Community; or</w:t>
      </w:r>
    </w:p>
    <w:p>
      <w:pPr>
        <w:pStyle w:val="Indenta"/>
      </w:pPr>
      <w:r>
        <w:tab/>
        <w:t>(b)</w:t>
      </w:r>
      <w:r>
        <w:tab/>
        <w:t>has liquor in his or her possession in the Punmu Aboriginal Community,</w:t>
      </w:r>
    </w:p>
    <w:p>
      <w:pPr>
        <w:pStyle w:val="Subsection"/>
      </w:pPr>
      <w:r>
        <w:tab/>
      </w:r>
      <w:r>
        <w:tab/>
        <w:t>commits an offence.</w:t>
      </w:r>
    </w:p>
    <w:p>
      <w:pPr>
        <w:pStyle w:val="Penstart"/>
      </w:pPr>
      <w:r>
        <w:tab/>
        <w:t>Penalty:</w:t>
      </w:r>
    </w:p>
    <w:p>
      <w:pPr>
        <w:pStyle w:val="Penpara"/>
      </w:pPr>
      <w:r>
        <w:tab/>
        <w:t>(a)</w:t>
      </w:r>
      <w:r>
        <w:tab/>
        <w:t>if subregulation (3) applies, a fine of $5 000;</w:t>
      </w:r>
    </w:p>
    <w:p>
      <w:pPr>
        <w:pStyle w:val="Penpara"/>
      </w:pPr>
      <w:r>
        <w:tab/>
        <w:t>(b)</w:t>
      </w:r>
      <w:r>
        <w:tab/>
        <w:t>in any other case, a fine of $2 000.</w:t>
      </w:r>
    </w:p>
    <w:p>
      <w:pPr>
        <w:pStyle w:val="Subsection"/>
      </w:pPr>
      <w:r>
        <w:tab/>
        <w:t>(3)</w:t>
      </w:r>
      <w:r>
        <w:tab/>
        <w:t>This subregulation applies to an offence under subregulation (2) committed by a licensee, a manager of licensed premises or a director of a body corporate that holds a licence.</w:t>
      </w:r>
    </w:p>
    <w:p>
      <w:pPr>
        <w:pStyle w:val="Heading5"/>
      </w:pPr>
      <w:bookmarkStart w:id="39" w:name="_Toc372288885"/>
      <w:bookmarkStart w:id="40" w:name="_Toc421007352"/>
      <w:r>
        <w:rPr>
          <w:rStyle w:val="CharSectno"/>
        </w:rPr>
        <w:t>8</w:t>
      </w:r>
      <w:r>
        <w:t>.</w:t>
      </w:r>
      <w:r>
        <w:tab/>
        <w:t>Seizure and disposal of containers of liquor</w:t>
      </w:r>
      <w:bookmarkEnd w:id="39"/>
      <w:bookmarkEnd w:id="4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1" w:name="_Toc372288886"/>
      <w:bookmarkStart w:id="42" w:name="_Toc421007353"/>
      <w:r>
        <w:rPr>
          <w:rStyle w:val="CharSectno"/>
        </w:rPr>
        <w:t>9</w:t>
      </w:r>
      <w:r>
        <w:t>.</w:t>
      </w:r>
      <w:r>
        <w:tab/>
        <w:t>Period during which these regulations have effect</w:t>
      </w:r>
      <w:bookmarkEnd w:id="41"/>
      <w:bookmarkEnd w:id="42"/>
    </w:p>
    <w:p>
      <w:pPr>
        <w:pStyle w:val="Subsection"/>
      </w:pPr>
      <w:r>
        <w:tab/>
      </w:r>
      <w:r>
        <w:tab/>
        <w:t>Unless sooner repealed, these regulations have effect for the period that ends on the day 6 years after the day on which these regulations, other than regulations 1 and 2, come into operation under regulation 2(b).</w:t>
      </w:r>
    </w:p>
    <w:p>
      <w:pPr>
        <w:pStyle w:val="PermNoteHeading"/>
      </w:pPr>
      <w:r>
        <w:tab/>
        <w:t>Note:</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pStyle w:val="Footnotesection"/>
      </w:pPr>
      <w:r>
        <w:tab/>
        <w:t>[Regulation 9 amended in Gazette 15 Nov 2013 p. 5266.]</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3" w:name="_Toc113695922"/>
      <w:bookmarkStart w:id="44" w:name="_Toc279075940"/>
      <w:bookmarkStart w:id="45" w:name="_Toc279141294"/>
      <w:bookmarkStart w:id="46" w:name="_Toc372207193"/>
      <w:bookmarkStart w:id="47" w:name="_Toc372288887"/>
      <w:bookmarkStart w:id="48" w:name="_Toc421007341"/>
      <w:bookmarkStart w:id="49" w:name="_Toc421007354"/>
      <w:r>
        <w:t>Notes</w:t>
      </w:r>
      <w:bookmarkEnd w:id="43"/>
      <w:bookmarkEnd w:id="44"/>
      <w:bookmarkEnd w:id="45"/>
      <w:bookmarkEnd w:id="46"/>
      <w:bookmarkEnd w:id="47"/>
      <w:bookmarkEnd w:id="48"/>
      <w:bookmarkEnd w:id="49"/>
    </w:p>
    <w:p>
      <w:pPr>
        <w:pStyle w:val="nSubsection"/>
        <w:rPr>
          <w:snapToGrid w:val="0"/>
        </w:rPr>
      </w:pPr>
      <w:bookmarkStart w:id="50" w:name="_Toc70311430"/>
      <w:bookmarkStart w:id="51" w:name="_Toc113695923"/>
      <w:r>
        <w:rPr>
          <w:snapToGrid w:val="0"/>
          <w:vertAlign w:val="superscript"/>
        </w:rPr>
        <w:t>1</w:t>
      </w:r>
      <w:r>
        <w:rPr>
          <w:snapToGrid w:val="0"/>
        </w:rPr>
        <w:tab/>
        <w:t xml:space="preserve">This is a compilation of the </w:t>
      </w:r>
      <w:r>
        <w:rPr>
          <w:i/>
          <w:noProof/>
          <w:snapToGrid w:val="0"/>
        </w:rPr>
        <w:t>Liquor Control (Punmu Restricted Area) Regulations </w:t>
      </w:r>
      <w:r>
        <w:t>2010 and</w:t>
      </w:r>
      <w:r>
        <w:rPr>
          <w:snapToGrid w:val="0"/>
        </w:rPr>
        <w:t xml:space="preserve"> includes the amendments made by the other written laws referred to in the following table. </w:t>
      </w:r>
    </w:p>
    <w:p>
      <w:pPr>
        <w:pStyle w:val="nHeading3"/>
      </w:pPr>
      <w:bookmarkStart w:id="52" w:name="_Toc372288888"/>
      <w:bookmarkStart w:id="53" w:name="_Toc421007355"/>
      <w:r>
        <w:t>Compilation table</w:t>
      </w:r>
      <w:bookmarkEnd w:id="50"/>
      <w:bookmarkEnd w:id="51"/>
      <w:bookmarkEnd w:id="52"/>
      <w:bookmarkEnd w:id="5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(Punmu Restricted Area) Regulations 2010</w:t>
            </w:r>
          </w:p>
        </w:tc>
        <w:tc>
          <w:tcPr>
            <w:tcW w:w="1276" w:type="dxa"/>
            <w:tcBorders>
              <w:bottom w:val="nil"/>
            </w:tcBorders>
          </w:tcPr>
          <w:p>
            <w:pPr>
              <w:pStyle w:val="nTable"/>
              <w:spacing w:after="40"/>
            </w:pPr>
            <w:r>
              <w:t>3 Dec 2010 p. 6060-2</w:t>
            </w:r>
          </w:p>
        </w:tc>
        <w:tc>
          <w:tcPr>
            <w:tcW w:w="2693" w:type="dxa"/>
            <w:tcBorders>
              <w:bottom w:val="nil"/>
            </w:tcBorders>
          </w:tcPr>
          <w:p>
            <w:pPr>
              <w:pStyle w:val="nTable"/>
              <w:spacing w:after="40"/>
            </w:pPr>
            <w:r>
              <w:rPr>
                <w:snapToGrid w:val="0"/>
                <w:spacing w:val="-2"/>
                <w:lang w:val="en-US"/>
              </w:rPr>
              <w:t>r. 1 and 2: 3 Dec 2010 (see r. 2(a));</w:t>
            </w:r>
            <w:r>
              <w:rPr>
                <w:snapToGrid w:val="0"/>
                <w:spacing w:val="-2"/>
                <w:lang w:val="en-US"/>
              </w:rPr>
              <w:br/>
              <w:t>Regulations other than r. 1 and 2: 4 Dec 2010 (see r. 2(b))</w:t>
            </w:r>
          </w:p>
        </w:tc>
      </w:tr>
      <w:tr>
        <w:tc>
          <w:tcPr>
            <w:tcW w:w="3118" w:type="dxa"/>
            <w:tcBorders>
              <w:top w:val="nil"/>
            </w:tcBorders>
          </w:tcPr>
          <w:p>
            <w:pPr>
              <w:pStyle w:val="nTable"/>
              <w:spacing w:after="40"/>
              <w:rPr>
                <w:i/>
                <w:noProof/>
                <w:snapToGrid w:val="0"/>
              </w:rPr>
            </w:pPr>
            <w:r>
              <w:rPr>
                <w:i/>
                <w:noProof/>
                <w:snapToGrid w:val="0"/>
              </w:rPr>
              <w:t>Liquor Control (Punmu Restricted Area) Amendment Regulations 2013</w:t>
            </w:r>
          </w:p>
        </w:tc>
        <w:tc>
          <w:tcPr>
            <w:tcW w:w="1276" w:type="dxa"/>
            <w:tcBorders>
              <w:top w:val="nil"/>
            </w:tcBorders>
          </w:tcPr>
          <w:p>
            <w:pPr>
              <w:pStyle w:val="nTable"/>
              <w:spacing w:after="40"/>
            </w:pPr>
            <w:r>
              <w:t>15 Nov 2013 p. 5266</w:t>
            </w:r>
          </w:p>
        </w:tc>
        <w:tc>
          <w:tcPr>
            <w:tcW w:w="2693" w:type="dxa"/>
            <w:tcBorders>
              <w:top w:val="nil"/>
            </w:tcBorders>
          </w:tcPr>
          <w:p>
            <w:pPr>
              <w:pStyle w:val="nTable"/>
              <w:spacing w:after="40"/>
              <w:rPr>
                <w:snapToGrid w:val="0"/>
                <w:spacing w:val="-2"/>
                <w:lang w:val="en-US"/>
              </w:rPr>
            </w:pPr>
            <w:r>
              <w:rPr>
                <w:snapToGrid w:val="0"/>
                <w:spacing w:val="-2"/>
                <w:lang w:val="en-US"/>
              </w:rPr>
              <w:t>r. 1 and 2: 15 Nov 2013 (see r. 2(a));</w:t>
            </w:r>
            <w:r>
              <w:rPr>
                <w:snapToGrid w:val="0"/>
                <w:spacing w:val="-2"/>
                <w:lang w:val="en-US"/>
              </w:rPr>
              <w:br/>
              <w:t>Regulations other than r. 1 and 2: 16 Nov 2013 (see r. 2(b))</w:t>
            </w:r>
          </w:p>
        </w:tc>
      </w:tr>
    </w:tbl>
    <w:p>
      <w:pPr>
        <w:pStyle w:val="nSubsection"/>
      </w:pPr>
      <w:r>
        <w:rPr>
          <w:vertAlign w:val="superscript"/>
        </w:rPr>
        <w:t>2</w:t>
      </w:r>
      <w:r>
        <w:tab/>
        <w:t>These regulations expire 4 Dec 2016 (see r. 9).</w:t>
      </w: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5" w:name="_Toc421007356"/>
      <w:r>
        <w:rPr>
          <w:sz w:val="28"/>
        </w:rPr>
        <w:t>Defined terms</w:t>
      </w:r>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 xml:space="preserve">aerial </w:t>
      </w:r>
      <w:r>
        <w:tab/>
        <w:t>3</w:t>
      </w:r>
    </w:p>
    <w:p>
      <w:pPr>
        <w:pStyle w:val="DefinedTerms"/>
      </w:pPr>
      <w:r>
        <w:t>exempt person</w:t>
      </w:r>
      <w:r>
        <w:tab/>
        <w:t>7(1)</w:t>
      </w:r>
    </w:p>
    <w:p>
      <w:pPr>
        <w:pStyle w:val="DefinedTerms"/>
      </w:pPr>
      <w:r>
        <w:t>Punmu Aboriginal Community</w:t>
      </w:r>
      <w:r>
        <w:tab/>
        <w:t>3</w:t>
      </w:r>
    </w:p>
    <w:p>
      <w:pPr>
        <w:pStyle w:val="DefinedTerms"/>
      </w:pPr>
      <w:r>
        <w:t xml:space="preserve">transiting vehicle </w:t>
      </w:r>
      <w:r>
        <w:tab/>
        <w:t>7(1)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316"/>
    <w:docVar w:name="WAFER_20150602110308" w:val="ResetPageSize,UpdateArrangement,UpdateNTable"/>
    <w:docVar w:name="WAFER_20150602110308_GUID" w:val="37b3dd2e-51c3-461f-9daa-c9922ab61695"/>
    <w:docVar w:name="WAFER_20151112163911" w:val="UpdateStyles"/>
    <w:docVar w:name="WAFER_20151112163911_GUID" w:val="2daeb8e1-94c3-46b5-9086-52af0ea8a480"/>
    <w:docVar w:name="WAFER_20151112164316" w:val="UsedStyles"/>
    <w:docVar w:name="WAFER_20151112164316_GUID" w:val="5207b2fa-1eec-4369-9291-f8f7d5b860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934</Words>
  <Characters>4587</Characters>
  <Application>Microsoft Office Word</Application>
  <DocSecurity>0</DocSecurity>
  <Lines>163</Lines>
  <Paragraphs>115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(Punmu Restricted Area) Regulations 2010 - 00-b0-02</dc:title>
  <dc:subject/>
  <dc:creator/>
  <cp:keywords/>
  <dc:description/>
  <cp:lastModifiedBy>svcMRProcess</cp:lastModifiedBy>
  <cp:revision>4</cp:revision>
  <cp:lastPrinted>2010-11-05T01:22:00Z</cp:lastPrinted>
  <dcterms:created xsi:type="dcterms:W3CDTF">2015-11-12T08:54:00Z</dcterms:created>
  <dcterms:modified xsi:type="dcterms:W3CDTF">2015-11-12T08:54:00Z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6060-2</vt:lpwstr>
  </property>
  <property fmtid="{D5CDD505-2E9C-101B-9397-08002B2CF9AE}" pid="3" name="CommencementDate">
    <vt:lpwstr>20131116</vt:lpwstr>
  </property>
  <property fmtid="{D5CDD505-2E9C-101B-9397-08002B2CF9AE}" pid="4" name="OwlsUID">
    <vt:i4>43007</vt:i4>
  </property>
  <property fmtid="{D5CDD505-2E9C-101B-9397-08002B2CF9AE}" pid="5" name="DocumentType">
    <vt:lpwstr>Reg</vt:lpwstr>
  </property>
  <property fmtid="{D5CDD505-2E9C-101B-9397-08002B2CF9AE}" pid="6" name="AsAtDate">
    <vt:lpwstr>16 Nov 2013</vt:lpwstr>
  </property>
  <property fmtid="{D5CDD505-2E9C-101B-9397-08002B2CF9AE}" pid="7" name="Suffix">
    <vt:lpwstr>00-b0-02</vt:lpwstr>
  </property>
</Properties>
</file>