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Agencies (Powers)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Agencies (Water Use) By-laws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_Toc425247245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_Toc425247246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_Toc425247247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Water restrictions</w:t>
      </w:r>
    </w:p>
    <w:p>
      <w:pPr>
        <w:pStyle w:val="TOC4"/>
        <w:tabs>
          <w:tab w:val="right" w:leader="dot" w:pos="7077"/>
        </w:tabs>
        <w:rPr>
          <w:rFonts w:asciiTheme="minorHAnsi" w:eastAsiaTheme="minorEastAsia" w:hAnsiTheme="minorHAnsi" w:cstheme="minorBidi"/>
          <w:b w:val="0"/>
          <w:szCs w:val="22"/>
        </w:rPr>
      </w:pPr>
      <w:r>
        <w:t>Division 1A — General</w:t>
      </w:r>
    </w:p>
    <w:p>
      <w:pPr>
        <w:pStyle w:val="TOC8"/>
        <w:rPr>
          <w:rFonts w:asciiTheme="minorHAnsi" w:eastAsiaTheme="minorEastAsia" w:hAnsiTheme="minorHAnsi" w:cstheme="minorBidi"/>
          <w:szCs w:val="22"/>
        </w:rPr>
      </w:pPr>
      <w:r>
        <w:t>4A.</w:t>
      </w:r>
      <w:r>
        <w:tab/>
        <w:t>Term used: water</w:t>
      </w:r>
      <w:r>
        <w:tab/>
      </w:r>
      <w:r>
        <w:fldChar w:fldCharType="begin"/>
      </w:r>
      <w:r>
        <w:instrText xml:space="preserve"> PAGEREF _Toc425247250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1 — Restrictions</w:t>
      </w:r>
    </w:p>
    <w:p>
      <w:pPr>
        <w:pStyle w:val="TOC8"/>
        <w:rPr>
          <w:rFonts w:asciiTheme="minorHAnsi" w:eastAsiaTheme="minorEastAsia" w:hAnsiTheme="minorHAnsi" w:cstheme="minorBidi"/>
          <w:szCs w:val="22"/>
        </w:rPr>
      </w:pPr>
      <w:r>
        <w:t>4.</w:t>
      </w:r>
      <w:r>
        <w:tab/>
        <w:t>Contravening restrictions, offence</w:t>
      </w:r>
      <w:r>
        <w:tab/>
      </w:r>
      <w:r>
        <w:fldChar w:fldCharType="begin"/>
      </w:r>
      <w:r>
        <w:instrText xml:space="preserve"> PAGEREF _Toc425247252 \h </w:instrText>
      </w:r>
      <w:r>
        <w:fldChar w:fldCharType="separate"/>
      </w:r>
      <w:r>
        <w:t>4</w:t>
      </w:r>
      <w:r>
        <w:fldChar w:fldCharType="end"/>
      </w:r>
    </w:p>
    <w:p>
      <w:pPr>
        <w:pStyle w:val="TOC8"/>
        <w:rPr>
          <w:rFonts w:asciiTheme="minorHAnsi" w:eastAsiaTheme="minorEastAsia" w:hAnsiTheme="minorHAnsi" w:cstheme="minorBidi"/>
          <w:szCs w:val="22"/>
        </w:rPr>
      </w:pPr>
      <w:r>
        <w:t>5.</w:t>
      </w:r>
      <w:r>
        <w:tab/>
        <w:t>Area 1’s restrictions</w:t>
      </w:r>
      <w:r>
        <w:tab/>
      </w:r>
      <w:r>
        <w:fldChar w:fldCharType="begin"/>
      </w:r>
      <w:r>
        <w:instrText xml:space="preserve"> PAGEREF _Toc425247253 \h </w:instrText>
      </w:r>
      <w:r>
        <w:fldChar w:fldCharType="separate"/>
      </w:r>
      <w:r>
        <w:t>4</w:t>
      </w:r>
      <w:r>
        <w:fldChar w:fldCharType="end"/>
      </w:r>
    </w:p>
    <w:p>
      <w:pPr>
        <w:pStyle w:val="TOC8"/>
        <w:rPr>
          <w:rFonts w:asciiTheme="minorHAnsi" w:eastAsiaTheme="minorEastAsia" w:hAnsiTheme="minorHAnsi" w:cstheme="minorBidi"/>
          <w:szCs w:val="22"/>
        </w:rPr>
      </w:pPr>
      <w:r>
        <w:t>6.</w:t>
      </w:r>
      <w:r>
        <w:tab/>
        <w:t>Area 2’s restrictions</w:t>
      </w:r>
      <w:r>
        <w:tab/>
      </w:r>
      <w:r>
        <w:fldChar w:fldCharType="begin"/>
      </w:r>
      <w:r>
        <w:instrText xml:space="preserve"> PAGEREF _Toc425247254 \h </w:instrText>
      </w:r>
      <w:r>
        <w:fldChar w:fldCharType="separate"/>
      </w:r>
      <w:r>
        <w:t>4</w:t>
      </w:r>
      <w:r>
        <w:fldChar w:fldCharType="end"/>
      </w:r>
    </w:p>
    <w:p>
      <w:pPr>
        <w:pStyle w:val="TOC8"/>
        <w:rPr>
          <w:rFonts w:asciiTheme="minorHAnsi" w:eastAsiaTheme="minorEastAsia" w:hAnsiTheme="minorHAnsi" w:cstheme="minorBidi"/>
          <w:szCs w:val="22"/>
        </w:rPr>
      </w:pPr>
      <w:r>
        <w:t>7.</w:t>
      </w:r>
      <w:r>
        <w:tab/>
        <w:t>Area 3’s restrictions</w:t>
      </w:r>
      <w:r>
        <w:tab/>
      </w:r>
      <w:r>
        <w:fldChar w:fldCharType="begin"/>
      </w:r>
      <w:r>
        <w:instrText xml:space="preserve"> PAGEREF _Toc425247255 \h </w:instrText>
      </w:r>
      <w:r>
        <w:fldChar w:fldCharType="separate"/>
      </w:r>
      <w:r>
        <w:t>5</w:t>
      </w:r>
      <w:r>
        <w:fldChar w:fldCharType="end"/>
      </w:r>
    </w:p>
    <w:p>
      <w:pPr>
        <w:pStyle w:val="TOC8"/>
        <w:rPr>
          <w:rFonts w:asciiTheme="minorHAnsi" w:eastAsiaTheme="minorEastAsia" w:hAnsiTheme="minorHAnsi" w:cstheme="minorBidi"/>
          <w:szCs w:val="22"/>
        </w:rPr>
      </w:pPr>
      <w:r>
        <w:t>8.</w:t>
      </w:r>
      <w:r>
        <w:tab/>
        <w:t>Area 4’s restrictions</w:t>
      </w:r>
      <w:r>
        <w:tab/>
      </w:r>
      <w:r>
        <w:fldChar w:fldCharType="begin"/>
      </w:r>
      <w:r>
        <w:instrText xml:space="preserve"> PAGEREF _Toc425247256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Exemptions</w:t>
      </w:r>
    </w:p>
    <w:p>
      <w:pPr>
        <w:pStyle w:val="TOC8"/>
        <w:rPr>
          <w:rFonts w:asciiTheme="minorHAnsi" w:eastAsiaTheme="minorEastAsia" w:hAnsiTheme="minorHAnsi" w:cstheme="minorBidi"/>
          <w:szCs w:val="22"/>
        </w:rPr>
      </w:pPr>
      <w:r>
        <w:t>10.</w:t>
      </w:r>
      <w:r>
        <w:tab/>
      </w:r>
      <w:r>
        <w:rPr>
          <w:i/>
        </w:rPr>
        <w:t>Rights in Water and Irrigation Act </w:t>
      </w:r>
      <w:r>
        <w:rPr>
          <w:i/>
          <w:iCs/>
        </w:rPr>
        <w:t>1914</w:t>
      </w:r>
      <w:r>
        <w:t xml:space="preserve"> s. 5C, use of water under is exempt</w:t>
      </w:r>
      <w:r>
        <w:tab/>
      </w:r>
      <w:r>
        <w:fldChar w:fldCharType="begin"/>
      </w:r>
      <w:r>
        <w:instrText xml:space="preserve"> PAGEREF _Toc425247258 \h </w:instrText>
      </w:r>
      <w:r>
        <w:fldChar w:fldCharType="separate"/>
      </w:r>
      <w:r>
        <w:t>6</w:t>
      </w:r>
      <w:r>
        <w:fldChar w:fldCharType="end"/>
      </w:r>
    </w:p>
    <w:p>
      <w:pPr>
        <w:pStyle w:val="TOC8"/>
        <w:rPr>
          <w:rFonts w:asciiTheme="minorHAnsi" w:eastAsiaTheme="minorEastAsia" w:hAnsiTheme="minorHAnsi" w:cstheme="minorBidi"/>
          <w:szCs w:val="22"/>
        </w:rPr>
      </w:pPr>
      <w:r>
        <w:t>11.</w:t>
      </w:r>
      <w:r>
        <w:tab/>
        <w:t>Domestic bore on other property, using water from</w:t>
      </w:r>
      <w:r>
        <w:tab/>
      </w:r>
      <w:r>
        <w:fldChar w:fldCharType="begin"/>
      </w:r>
      <w:r>
        <w:instrText xml:space="preserve"> PAGEREF _Toc425247259 \h </w:instrText>
      </w:r>
      <w:r>
        <w:fldChar w:fldCharType="separate"/>
      </w:r>
      <w:r>
        <w:t>6</w:t>
      </w:r>
      <w:r>
        <w:fldChar w:fldCharType="end"/>
      </w:r>
    </w:p>
    <w:p>
      <w:pPr>
        <w:pStyle w:val="TOC8"/>
        <w:rPr>
          <w:rFonts w:asciiTheme="minorHAnsi" w:eastAsiaTheme="minorEastAsia" w:hAnsiTheme="minorHAnsi" w:cstheme="minorBidi"/>
          <w:szCs w:val="22"/>
        </w:rPr>
      </w:pPr>
      <w:r>
        <w:t>12.</w:t>
      </w:r>
      <w:r>
        <w:tab/>
        <w:t>Installing etc. reticulation system, using water for</w:t>
      </w:r>
      <w:r>
        <w:tab/>
      </w:r>
      <w:r>
        <w:fldChar w:fldCharType="begin"/>
      </w:r>
      <w:r>
        <w:instrText xml:space="preserve"> PAGEREF _Toc425247260 \h </w:instrText>
      </w:r>
      <w:r>
        <w:fldChar w:fldCharType="separate"/>
      </w:r>
      <w:r>
        <w:t>6</w:t>
      </w:r>
      <w:r>
        <w:fldChar w:fldCharType="end"/>
      </w:r>
    </w:p>
    <w:p>
      <w:pPr>
        <w:pStyle w:val="TOC8"/>
        <w:rPr>
          <w:rFonts w:asciiTheme="minorHAnsi" w:eastAsiaTheme="minorEastAsia" w:hAnsiTheme="minorHAnsi" w:cstheme="minorBidi"/>
          <w:szCs w:val="22"/>
        </w:rPr>
      </w:pPr>
      <w:r>
        <w:t>13.</w:t>
      </w:r>
      <w:r>
        <w:tab/>
        <w:t>Vertimowing, fertilising etc. by commercial operator, watering after</w:t>
      </w:r>
      <w:r>
        <w:tab/>
      </w:r>
      <w:r>
        <w:fldChar w:fldCharType="begin"/>
      </w:r>
      <w:r>
        <w:instrText xml:space="preserve"> PAGEREF _Toc425247261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garden or plant nursery, watering of</w:t>
      </w:r>
      <w:r>
        <w:tab/>
      </w:r>
      <w:r>
        <w:fldChar w:fldCharType="begin"/>
      </w:r>
      <w:r>
        <w:instrText xml:space="preserve"> PAGEREF _Toc425247262 \h </w:instrText>
      </w:r>
      <w:r>
        <w:fldChar w:fldCharType="separate"/>
      </w:r>
      <w:r>
        <w:t>7</w:t>
      </w:r>
      <w:r>
        <w:fldChar w:fldCharType="end"/>
      </w:r>
    </w:p>
    <w:p>
      <w:pPr>
        <w:pStyle w:val="TOC8"/>
        <w:rPr>
          <w:rFonts w:asciiTheme="minorHAnsi" w:eastAsiaTheme="minorEastAsia" w:hAnsiTheme="minorHAnsi" w:cstheme="minorBidi"/>
          <w:szCs w:val="22"/>
        </w:rPr>
      </w:pPr>
      <w:r>
        <w:t>15.</w:t>
      </w:r>
      <w:r>
        <w:tab/>
        <w:t>Caravan park site etc., watering of after vacation of</w:t>
      </w:r>
      <w:r>
        <w:tab/>
      </w:r>
      <w:r>
        <w:fldChar w:fldCharType="begin"/>
      </w:r>
      <w:r>
        <w:instrText xml:space="preserve"> PAGEREF _Toc425247263 \h </w:instrText>
      </w:r>
      <w:r>
        <w:fldChar w:fldCharType="separate"/>
      </w:r>
      <w:r>
        <w:t>7</w:t>
      </w:r>
      <w:r>
        <w:fldChar w:fldCharType="end"/>
      </w:r>
    </w:p>
    <w:p>
      <w:pPr>
        <w:pStyle w:val="TOC8"/>
        <w:rPr>
          <w:rFonts w:asciiTheme="minorHAnsi" w:eastAsiaTheme="minorEastAsia" w:hAnsiTheme="minorHAnsi" w:cstheme="minorBidi"/>
          <w:szCs w:val="22"/>
        </w:rPr>
      </w:pPr>
      <w:r>
        <w:t>16.</w:t>
      </w:r>
      <w:r>
        <w:tab/>
        <w:t>Aviary, water for birds in</w:t>
      </w:r>
      <w:r>
        <w:tab/>
      </w:r>
      <w:r>
        <w:fldChar w:fldCharType="begin"/>
      </w:r>
      <w:r>
        <w:instrText xml:space="preserve"> PAGEREF _Toc425247264 \h </w:instrText>
      </w:r>
      <w:r>
        <w:fldChar w:fldCharType="separate"/>
      </w:r>
      <w:r>
        <w:t>7</w:t>
      </w:r>
      <w:r>
        <w:fldChar w:fldCharType="end"/>
      </w:r>
    </w:p>
    <w:p>
      <w:pPr>
        <w:pStyle w:val="TOC8"/>
        <w:rPr>
          <w:rFonts w:asciiTheme="minorHAnsi" w:eastAsiaTheme="minorEastAsia" w:hAnsiTheme="minorHAnsi" w:cstheme="minorBidi"/>
          <w:szCs w:val="22"/>
        </w:rPr>
      </w:pPr>
      <w:r>
        <w:t>17.</w:t>
      </w:r>
      <w:r>
        <w:tab/>
        <w:t>Fire fighting, using water for</w:t>
      </w:r>
      <w:r>
        <w:tab/>
      </w:r>
      <w:r>
        <w:fldChar w:fldCharType="begin"/>
      </w:r>
      <w:r>
        <w:instrText xml:space="preserve"> PAGEREF _Toc425247265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Scheme water efficiency management plans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18.</w:t>
      </w:r>
      <w:r>
        <w:tab/>
        <w:t>Terms used</w:t>
      </w:r>
      <w:r>
        <w:tab/>
      </w:r>
      <w:r>
        <w:fldChar w:fldCharType="begin"/>
      </w:r>
      <w:r>
        <w:instrText xml:space="preserve"> PAGEREF _Toc425247268 \h </w:instrText>
      </w:r>
      <w:r>
        <w:fldChar w:fldCharType="separate"/>
      </w:r>
      <w:r>
        <w:t>9</w:t>
      </w:r>
      <w:r>
        <w:fldChar w:fldCharType="end"/>
      </w:r>
    </w:p>
    <w:p>
      <w:pPr>
        <w:pStyle w:val="TOC8"/>
        <w:rPr>
          <w:rFonts w:asciiTheme="minorHAnsi" w:eastAsiaTheme="minorEastAsia" w:hAnsiTheme="minorHAnsi" w:cstheme="minorBidi"/>
          <w:szCs w:val="22"/>
        </w:rPr>
      </w:pPr>
      <w:r>
        <w:t>19.</w:t>
      </w:r>
      <w:r>
        <w:tab/>
        <w:t>Extension of time, application for and grant of</w:t>
      </w:r>
      <w:r>
        <w:tab/>
      </w:r>
      <w:r>
        <w:fldChar w:fldCharType="begin"/>
      </w:r>
      <w:r>
        <w:instrText xml:space="preserve"> PAGEREF _Toc425247269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Preparation, submission and approval of scheme water efficiency management plans</w:t>
      </w:r>
    </w:p>
    <w:p>
      <w:pPr>
        <w:pStyle w:val="TOC8"/>
        <w:rPr>
          <w:rFonts w:asciiTheme="minorHAnsi" w:eastAsiaTheme="minorEastAsia" w:hAnsiTheme="minorHAnsi" w:cstheme="minorBidi"/>
          <w:szCs w:val="22"/>
        </w:rPr>
      </w:pPr>
      <w:r>
        <w:t>20.</w:t>
      </w:r>
      <w:r>
        <w:tab/>
        <w:t>Supplier may require certain owners etc. to submit plan</w:t>
      </w:r>
      <w:r>
        <w:tab/>
      </w:r>
      <w:r>
        <w:fldChar w:fldCharType="begin"/>
      </w:r>
      <w:r>
        <w:instrText xml:space="preserve"> PAGEREF _Toc425247271 \h </w:instrText>
      </w:r>
      <w:r>
        <w:fldChar w:fldCharType="separate"/>
      </w:r>
      <w:r>
        <w:t>10</w:t>
      </w:r>
      <w:r>
        <w:fldChar w:fldCharType="end"/>
      </w:r>
    </w:p>
    <w:p>
      <w:pPr>
        <w:pStyle w:val="TOC8"/>
        <w:rPr>
          <w:rFonts w:asciiTheme="minorHAnsi" w:eastAsiaTheme="minorEastAsia" w:hAnsiTheme="minorHAnsi" w:cstheme="minorBidi"/>
          <w:szCs w:val="22"/>
        </w:rPr>
      </w:pPr>
      <w:r>
        <w:t>21.</w:t>
      </w:r>
      <w:r>
        <w:tab/>
        <w:t>Supplier’s functions on receiving plan</w:t>
      </w:r>
      <w:r>
        <w:tab/>
      </w:r>
      <w:r>
        <w:fldChar w:fldCharType="begin"/>
      </w:r>
      <w:r>
        <w:instrText xml:space="preserve"> PAGEREF _Toc425247272 \h </w:instrText>
      </w:r>
      <w:r>
        <w:fldChar w:fldCharType="separate"/>
      </w:r>
      <w:r>
        <w:t>11</w:t>
      </w:r>
      <w:r>
        <w:fldChar w:fldCharType="end"/>
      </w:r>
    </w:p>
    <w:p>
      <w:pPr>
        <w:pStyle w:val="TOC8"/>
        <w:rPr>
          <w:rFonts w:asciiTheme="minorHAnsi" w:eastAsiaTheme="minorEastAsia" w:hAnsiTheme="minorHAnsi" w:cstheme="minorBidi"/>
          <w:szCs w:val="22"/>
        </w:rPr>
      </w:pPr>
      <w:r>
        <w:t>22.</w:t>
      </w:r>
      <w:r>
        <w:tab/>
        <w:t>Revised plan may be submitted at any time</w:t>
      </w:r>
      <w:r>
        <w:tab/>
      </w:r>
      <w:r>
        <w:fldChar w:fldCharType="begin"/>
      </w:r>
      <w:r>
        <w:instrText xml:space="preserve"> PAGEREF _Toc425247273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After approval of scheme water efficiency management plans</w:t>
      </w:r>
    </w:p>
    <w:p>
      <w:pPr>
        <w:pStyle w:val="TOC8"/>
        <w:rPr>
          <w:rFonts w:asciiTheme="minorHAnsi" w:eastAsiaTheme="minorEastAsia" w:hAnsiTheme="minorHAnsi" w:cstheme="minorBidi"/>
          <w:szCs w:val="22"/>
        </w:rPr>
      </w:pPr>
      <w:r>
        <w:t>23.</w:t>
      </w:r>
      <w:r>
        <w:tab/>
        <w:t>Application of this Division</w:t>
      </w:r>
      <w:r>
        <w:tab/>
      </w:r>
      <w:r>
        <w:fldChar w:fldCharType="begin"/>
      </w:r>
      <w:r>
        <w:instrText xml:space="preserve"> PAGEREF _Toc425247275 \h </w:instrText>
      </w:r>
      <w:r>
        <w:fldChar w:fldCharType="separate"/>
      </w:r>
      <w:r>
        <w:t>12</w:t>
      </w:r>
      <w:r>
        <w:fldChar w:fldCharType="end"/>
      </w:r>
    </w:p>
    <w:p>
      <w:pPr>
        <w:pStyle w:val="TOC8"/>
        <w:rPr>
          <w:rFonts w:asciiTheme="minorHAnsi" w:eastAsiaTheme="minorEastAsia" w:hAnsiTheme="minorHAnsi" w:cstheme="minorBidi"/>
          <w:szCs w:val="22"/>
        </w:rPr>
      </w:pPr>
      <w:r>
        <w:t>24.</w:t>
      </w:r>
      <w:r>
        <w:tab/>
        <w:t>Approval of plan, duration of</w:t>
      </w:r>
      <w:r>
        <w:tab/>
      </w:r>
      <w:r>
        <w:fldChar w:fldCharType="begin"/>
      </w:r>
      <w:r>
        <w:instrText xml:space="preserve"> PAGEREF _Toc425247276 \h </w:instrText>
      </w:r>
      <w:r>
        <w:fldChar w:fldCharType="separate"/>
      </w:r>
      <w:r>
        <w:t>12</w:t>
      </w:r>
      <w:r>
        <w:fldChar w:fldCharType="end"/>
      </w:r>
    </w:p>
    <w:p>
      <w:pPr>
        <w:pStyle w:val="TOC8"/>
        <w:rPr>
          <w:rFonts w:asciiTheme="minorHAnsi" w:eastAsiaTheme="minorEastAsia" w:hAnsiTheme="minorHAnsi" w:cstheme="minorBidi"/>
          <w:szCs w:val="22"/>
        </w:rPr>
      </w:pPr>
      <w:r>
        <w:t>25.</w:t>
      </w:r>
      <w:r>
        <w:tab/>
        <w:t>Approved plan to be complied with etc.</w:t>
      </w:r>
      <w:r>
        <w:tab/>
      </w:r>
      <w:r>
        <w:fldChar w:fldCharType="begin"/>
      </w:r>
      <w:r>
        <w:instrText xml:space="preserve"> PAGEREF _Toc425247277 \h </w:instrText>
      </w:r>
      <w:r>
        <w:fldChar w:fldCharType="separate"/>
      </w:r>
      <w:r>
        <w:t>13</w:t>
      </w:r>
      <w:r>
        <w:fldChar w:fldCharType="end"/>
      </w:r>
    </w:p>
    <w:p>
      <w:pPr>
        <w:pStyle w:val="TOC8"/>
        <w:rPr>
          <w:rFonts w:asciiTheme="minorHAnsi" w:eastAsiaTheme="minorEastAsia" w:hAnsiTheme="minorHAnsi" w:cstheme="minorBidi"/>
          <w:szCs w:val="22"/>
        </w:rPr>
      </w:pPr>
      <w:r>
        <w:t>26.</w:t>
      </w:r>
      <w:r>
        <w:tab/>
        <w:t>Revised plan to be submitted before end of approved plan in some cases</w:t>
      </w:r>
      <w:r>
        <w:tab/>
      </w:r>
      <w:r>
        <w:fldChar w:fldCharType="begin"/>
      </w:r>
      <w:r>
        <w:instrText xml:space="preserve"> PAGEREF _Toc425247278 \h </w:instrText>
      </w:r>
      <w:r>
        <w:fldChar w:fldCharType="separate"/>
      </w:r>
      <w:r>
        <w:t>13</w:t>
      </w:r>
      <w:r>
        <w:fldChar w:fldCharType="end"/>
      </w:r>
    </w:p>
    <w:p>
      <w:pPr>
        <w:pStyle w:val="TOC8"/>
        <w:rPr>
          <w:rFonts w:asciiTheme="minorHAnsi" w:eastAsiaTheme="minorEastAsia" w:hAnsiTheme="minorHAnsi" w:cstheme="minorBidi"/>
          <w:szCs w:val="22"/>
        </w:rPr>
      </w:pPr>
      <w:r>
        <w:t>27.</w:t>
      </w:r>
      <w:r>
        <w:tab/>
        <w:t>Supplier may require revised plan to be submitted in some cases</w:t>
      </w:r>
      <w:r>
        <w:tab/>
      </w:r>
      <w:r>
        <w:fldChar w:fldCharType="begin"/>
      </w:r>
      <w:r>
        <w:instrText xml:space="preserve"> PAGEREF _Toc425247279 \h </w:instrText>
      </w:r>
      <w:r>
        <w:fldChar w:fldCharType="separate"/>
      </w:r>
      <w:r>
        <w:t>14</w:t>
      </w:r>
      <w:r>
        <w:fldChar w:fldCharType="end"/>
      </w:r>
    </w:p>
    <w:p>
      <w:pPr>
        <w:pStyle w:val="TOC8"/>
        <w:rPr>
          <w:rFonts w:asciiTheme="minorHAnsi" w:eastAsiaTheme="minorEastAsia" w:hAnsiTheme="minorHAnsi" w:cstheme="minorBidi"/>
          <w:szCs w:val="22"/>
        </w:rPr>
      </w:pPr>
      <w:r>
        <w:t>28.</w:t>
      </w:r>
      <w:r>
        <w:tab/>
        <w:t>Revocation of approval of plan, application for etc.</w:t>
      </w:r>
      <w:r>
        <w:tab/>
      </w:r>
      <w:r>
        <w:fldChar w:fldCharType="begin"/>
      </w:r>
      <w:r>
        <w:instrText xml:space="preserve"> PAGEREF _Toc425247280 \h </w:instrText>
      </w:r>
      <w:r>
        <w:fldChar w:fldCharType="separate"/>
      </w:r>
      <w:r>
        <w:t>15</w:t>
      </w:r>
      <w:r>
        <w:fldChar w:fldCharType="end"/>
      </w:r>
    </w:p>
    <w:p>
      <w:pPr>
        <w:pStyle w:val="TOC8"/>
        <w:rPr>
          <w:rFonts w:asciiTheme="minorHAnsi" w:eastAsiaTheme="minorEastAsia" w:hAnsiTheme="minorHAnsi" w:cstheme="minorBidi"/>
          <w:szCs w:val="22"/>
        </w:rPr>
      </w:pPr>
      <w:r>
        <w:t>29.</w:t>
      </w:r>
      <w:r>
        <w:tab/>
        <w:t>Annual report on plan to be given to supplier</w:t>
      </w:r>
      <w:r>
        <w:tab/>
      </w:r>
      <w:r>
        <w:fldChar w:fldCharType="begin"/>
      </w:r>
      <w:r>
        <w:instrText xml:space="preserve"> PAGEREF _Toc425247281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Repeal, saving and transitional</w:t>
      </w:r>
    </w:p>
    <w:p>
      <w:pPr>
        <w:pStyle w:val="TOC8"/>
        <w:rPr>
          <w:rFonts w:asciiTheme="minorHAnsi" w:eastAsiaTheme="minorEastAsia" w:hAnsiTheme="minorHAnsi" w:cstheme="minorBidi"/>
          <w:szCs w:val="22"/>
        </w:rPr>
      </w:pPr>
      <w:r>
        <w:t>30.</w:t>
      </w:r>
      <w:r>
        <w:tab/>
        <w:t>Repeal</w:t>
      </w:r>
      <w:r>
        <w:tab/>
      </w:r>
      <w:r>
        <w:fldChar w:fldCharType="begin"/>
      </w:r>
      <w:r>
        <w:instrText xml:space="preserve"> PAGEREF _Toc425247283 \h </w:instrText>
      </w:r>
      <w:r>
        <w:fldChar w:fldCharType="separate"/>
      </w:r>
      <w:r>
        <w:t>17</w:t>
      </w:r>
      <w:r>
        <w:fldChar w:fldCharType="end"/>
      </w:r>
    </w:p>
    <w:p>
      <w:pPr>
        <w:pStyle w:val="TOC8"/>
        <w:rPr>
          <w:rFonts w:asciiTheme="minorHAnsi" w:eastAsiaTheme="minorEastAsia" w:hAnsiTheme="minorHAnsi" w:cstheme="minorBidi"/>
          <w:szCs w:val="22"/>
        </w:rPr>
      </w:pPr>
      <w:r>
        <w:t>31.</w:t>
      </w:r>
      <w:r>
        <w:tab/>
      </w:r>
      <w:r>
        <w:rPr>
          <w:i/>
        </w:rPr>
        <w:t>Water Agencies (Water Use) By</w:t>
      </w:r>
      <w:r>
        <w:rPr>
          <w:i/>
        </w:rPr>
        <w:noBreakHyphen/>
        <w:t>laws 2007</w:t>
      </w:r>
      <w:r>
        <w:t>, provisions for</w:t>
      </w:r>
      <w:r>
        <w:tab/>
      </w:r>
      <w:r>
        <w:fldChar w:fldCharType="begin"/>
      </w:r>
      <w:r>
        <w:instrText xml:space="preserve"> PAGEREF _Toc425247284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Schedule 1 — Maps showing Areas 1, 2, 3 and 4</w:t>
      </w:r>
    </w:p>
    <w:p>
      <w:pPr>
        <w:pStyle w:val="TOC2"/>
        <w:tabs>
          <w:tab w:val="right" w:leader="dot" w:pos="7077"/>
        </w:tabs>
        <w:rPr>
          <w:rFonts w:asciiTheme="minorHAnsi" w:eastAsiaTheme="minorEastAsia" w:hAnsiTheme="minorHAnsi" w:cstheme="minorBidi"/>
          <w:b w:val="0"/>
          <w:sz w:val="22"/>
          <w:szCs w:val="22"/>
        </w:rPr>
      </w:pPr>
      <w:r>
        <w:t>Schedule 2 — Stages of restrictions</w:t>
      </w:r>
    </w:p>
    <w:p>
      <w:pPr>
        <w:pStyle w:val="TOC8"/>
        <w:rPr>
          <w:rFonts w:asciiTheme="minorHAnsi" w:eastAsiaTheme="minorEastAsia" w:hAnsiTheme="minorHAnsi" w:cstheme="minorBidi"/>
          <w:szCs w:val="22"/>
        </w:rPr>
      </w:pPr>
      <w:r>
        <w:t>1.</w:t>
      </w:r>
      <w:r>
        <w:tab/>
        <w:t>Stage 1</w:t>
      </w:r>
      <w:r>
        <w:tab/>
      </w:r>
      <w:r>
        <w:fldChar w:fldCharType="begin"/>
      </w:r>
      <w:r>
        <w:instrText xml:space="preserve"> PAGEREF _Toc425247287 \h </w:instrText>
      </w:r>
      <w:r>
        <w:fldChar w:fldCharType="separate"/>
      </w:r>
      <w:r>
        <w:t>20</w:t>
      </w:r>
      <w:r>
        <w:fldChar w:fldCharType="end"/>
      </w:r>
    </w:p>
    <w:p>
      <w:pPr>
        <w:pStyle w:val="TOC8"/>
        <w:rPr>
          <w:rFonts w:asciiTheme="minorHAnsi" w:eastAsiaTheme="minorEastAsia" w:hAnsiTheme="minorHAnsi" w:cstheme="minorBidi"/>
          <w:szCs w:val="22"/>
        </w:rPr>
      </w:pPr>
      <w:r>
        <w:t>2.</w:t>
      </w:r>
      <w:r>
        <w:tab/>
        <w:t>Stage 2</w:t>
      </w:r>
      <w:r>
        <w:tab/>
      </w:r>
      <w:r>
        <w:fldChar w:fldCharType="begin"/>
      </w:r>
      <w:r>
        <w:instrText xml:space="preserve"> PAGEREF _Toc425247288 \h </w:instrText>
      </w:r>
      <w:r>
        <w:fldChar w:fldCharType="separate"/>
      </w:r>
      <w:r>
        <w:t>20</w:t>
      </w:r>
      <w:r>
        <w:fldChar w:fldCharType="end"/>
      </w:r>
    </w:p>
    <w:p>
      <w:pPr>
        <w:pStyle w:val="TOC8"/>
        <w:rPr>
          <w:rFonts w:asciiTheme="minorHAnsi" w:eastAsiaTheme="minorEastAsia" w:hAnsiTheme="minorHAnsi" w:cstheme="minorBidi"/>
          <w:szCs w:val="22"/>
        </w:rPr>
      </w:pPr>
      <w:r>
        <w:t>3.</w:t>
      </w:r>
      <w:r>
        <w:tab/>
        <w:t>Stage 3</w:t>
      </w:r>
      <w:r>
        <w:tab/>
      </w:r>
      <w:r>
        <w:fldChar w:fldCharType="begin"/>
      </w:r>
      <w:r>
        <w:instrText xml:space="preserve"> PAGEREF _Toc425247289 \h </w:instrText>
      </w:r>
      <w:r>
        <w:fldChar w:fldCharType="separate"/>
      </w:r>
      <w:r>
        <w:t>21</w:t>
      </w:r>
      <w:r>
        <w:fldChar w:fldCharType="end"/>
      </w:r>
    </w:p>
    <w:p>
      <w:pPr>
        <w:pStyle w:val="TOC8"/>
        <w:rPr>
          <w:rFonts w:asciiTheme="minorHAnsi" w:eastAsiaTheme="minorEastAsia" w:hAnsiTheme="minorHAnsi" w:cstheme="minorBidi"/>
          <w:szCs w:val="22"/>
        </w:rPr>
      </w:pPr>
      <w:r>
        <w:t>4.</w:t>
      </w:r>
      <w:r>
        <w:tab/>
        <w:t>Stage 4</w:t>
      </w:r>
      <w:r>
        <w:tab/>
      </w:r>
      <w:r>
        <w:fldChar w:fldCharType="begin"/>
      </w:r>
      <w:r>
        <w:instrText xml:space="preserve"> PAGEREF _Toc425247290 \h </w:instrText>
      </w:r>
      <w:r>
        <w:fldChar w:fldCharType="separate"/>
      </w:r>
      <w:r>
        <w:t>22</w:t>
      </w:r>
      <w:r>
        <w:fldChar w:fldCharType="end"/>
      </w:r>
    </w:p>
    <w:p>
      <w:pPr>
        <w:pStyle w:val="TOC8"/>
        <w:rPr>
          <w:rFonts w:asciiTheme="minorHAnsi" w:eastAsiaTheme="minorEastAsia" w:hAnsiTheme="minorHAnsi" w:cstheme="minorBidi"/>
          <w:szCs w:val="22"/>
        </w:rPr>
      </w:pPr>
      <w:r>
        <w:t>5.</w:t>
      </w:r>
      <w:r>
        <w:tab/>
        <w:t>Stage 5</w:t>
      </w:r>
      <w:r>
        <w:tab/>
      </w:r>
      <w:r>
        <w:fldChar w:fldCharType="begin"/>
      </w:r>
      <w:r>
        <w:instrText xml:space="preserve"> PAGEREF _Toc425247291 \h </w:instrText>
      </w:r>
      <w:r>
        <w:fldChar w:fldCharType="separate"/>
      </w:r>
      <w:r>
        <w:t>23</w:t>
      </w:r>
      <w:r>
        <w:fldChar w:fldCharType="end"/>
      </w:r>
    </w:p>
    <w:p>
      <w:pPr>
        <w:pStyle w:val="TOC8"/>
        <w:rPr>
          <w:rFonts w:asciiTheme="minorHAnsi" w:eastAsiaTheme="minorEastAsia" w:hAnsiTheme="minorHAnsi" w:cstheme="minorBidi"/>
          <w:szCs w:val="22"/>
        </w:rPr>
      </w:pPr>
      <w:r>
        <w:t>6.</w:t>
      </w:r>
      <w:r>
        <w:tab/>
        <w:t>Stage 6</w:t>
      </w:r>
      <w:r>
        <w:tab/>
      </w:r>
      <w:r>
        <w:fldChar w:fldCharType="begin"/>
      </w:r>
      <w:r>
        <w:instrText xml:space="preserve"> PAGEREF _Toc425247292 \h </w:instrText>
      </w:r>
      <w:r>
        <w:fldChar w:fldCharType="separate"/>
      </w:r>
      <w:r>
        <w:t>24</w:t>
      </w:r>
      <w:r>
        <w:fldChar w:fldCharType="end"/>
      </w:r>
    </w:p>
    <w:p>
      <w:pPr>
        <w:pStyle w:val="TOC8"/>
        <w:rPr>
          <w:rFonts w:asciiTheme="minorHAnsi" w:eastAsiaTheme="minorEastAsia" w:hAnsiTheme="minorHAnsi" w:cstheme="minorBidi"/>
          <w:szCs w:val="22"/>
        </w:rPr>
      </w:pPr>
      <w:r>
        <w:t>7.</w:t>
      </w:r>
      <w:r>
        <w:tab/>
        <w:t>Stage 7</w:t>
      </w:r>
      <w:r>
        <w:tab/>
      </w:r>
      <w:r>
        <w:fldChar w:fldCharType="begin"/>
      </w:r>
      <w:r>
        <w:instrText xml:space="preserve"> PAGEREF _Toc425247293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3 — Specified days for watering by reticulation</w:t>
      </w:r>
    </w:p>
    <w:p>
      <w:pPr>
        <w:pStyle w:val="TOC4"/>
        <w:tabs>
          <w:tab w:val="right" w:leader="dot" w:pos="7077"/>
        </w:tabs>
        <w:rPr>
          <w:rFonts w:asciiTheme="minorHAnsi" w:eastAsiaTheme="minorEastAsia" w:hAnsiTheme="minorHAnsi" w:cstheme="minorBidi"/>
          <w:b w:val="0"/>
          <w:szCs w:val="22"/>
        </w:rPr>
      </w:pPr>
      <w:r>
        <w:t>Division 1 — Specified days for Schedule 2 clauses 3(1)(a), 4(2)(a), 5(2)(a) and 6(2)(a)</w:t>
      </w:r>
    </w:p>
    <w:p>
      <w:pPr>
        <w:pStyle w:val="TOC4"/>
        <w:tabs>
          <w:tab w:val="right" w:leader="dot" w:pos="7077"/>
        </w:tabs>
        <w:rPr>
          <w:rFonts w:asciiTheme="minorHAnsi" w:eastAsiaTheme="minorEastAsia" w:hAnsiTheme="minorHAnsi" w:cstheme="minorBidi"/>
          <w:b w:val="0"/>
          <w:szCs w:val="22"/>
        </w:rPr>
      </w:pPr>
      <w:r>
        <w:t>Division 2 — Specified days for Schedule 2 clause 4(1)(a)</w:t>
      </w:r>
    </w:p>
    <w:p>
      <w:pPr>
        <w:pStyle w:val="TOC4"/>
        <w:tabs>
          <w:tab w:val="right" w:leader="dot" w:pos="7077"/>
        </w:tabs>
        <w:rPr>
          <w:rFonts w:asciiTheme="minorHAnsi" w:eastAsiaTheme="minorEastAsia" w:hAnsiTheme="minorHAnsi" w:cstheme="minorBidi"/>
          <w:b w:val="0"/>
          <w:szCs w:val="22"/>
        </w:rPr>
      </w:pPr>
      <w:r>
        <w:t>Division 3 — Specified days for Schedule 2 clause 5(1)(a)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_Toc425247299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3" w:name="_Toc379276133"/>
      <w:bookmarkStart w:id="4" w:name="_Toc425247188"/>
      <w:bookmarkStart w:id="5" w:name="_Toc42524724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9276134"/>
      <w:bookmarkStart w:id="7" w:name="_Toc425247245"/>
      <w:r>
        <w:rPr>
          <w:rStyle w:val="CharSectno"/>
        </w:rPr>
        <w:t>1</w:t>
      </w:r>
      <w:r>
        <w:t>.</w:t>
      </w:r>
      <w:r>
        <w:tab/>
        <w:t>Citation</w:t>
      </w:r>
      <w:bookmarkEnd w:id="6"/>
      <w:bookmarkEnd w:id="7"/>
    </w:p>
    <w:p>
      <w:pPr>
        <w:pStyle w:val="Subsection"/>
        <w:ind w:right="990"/>
        <w:rPr>
          <w:i/>
        </w:rPr>
      </w:pPr>
      <w:r>
        <w:tab/>
      </w:r>
      <w:r>
        <w:tab/>
      </w:r>
      <w:bookmarkStart w:id="8" w:name="Start_Cursor"/>
      <w:bookmarkEnd w:id="8"/>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9" w:name="_Toc379276135"/>
      <w:bookmarkStart w:id="10" w:name="_Toc425247246"/>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11" w:name="_Toc379276136"/>
      <w:bookmarkStart w:id="12" w:name="_Toc425247247"/>
      <w:r>
        <w:rPr>
          <w:rStyle w:val="CharSectno"/>
        </w:rPr>
        <w:t>3</w:t>
      </w:r>
      <w:r>
        <w:t>.</w:t>
      </w:r>
      <w:r>
        <w:tab/>
        <w:t>Terms used</w:t>
      </w:r>
      <w:bookmarkEnd w:id="11"/>
      <w:bookmarkEnd w:id="12"/>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a water corporation established by or under the </w:t>
      </w:r>
      <w:r>
        <w:rPr>
          <w:i/>
        </w:rPr>
        <w:t>Water Corporations Act 1995</w:t>
      </w:r>
      <w:r>
        <w:t xml:space="preserve"> section 4;</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in Gazette 30 Nov 2010 p. 6016; 14 Nov 2013 p. 5097.]</w:t>
      </w:r>
    </w:p>
    <w:p>
      <w:pPr>
        <w:pStyle w:val="Heading2"/>
      </w:pPr>
      <w:bookmarkStart w:id="13" w:name="_Toc379276137"/>
      <w:bookmarkStart w:id="14" w:name="_Toc425247192"/>
      <w:bookmarkStart w:id="15" w:name="_Toc425247248"/>
      <w:r>
        <w:rPr>
          <w:rStyle w:val="CharPartNo"/>
        </w:rPr>
        <w:t>Part 2</w:t>
      </w:r>
      <w:r>
        <w:t> — </w:t>
      </w:r>
      <w:r>
        <w:rPr>
          <w:rStyle w:val="CharPartText"/>
        </w:rPr>
        <w:t>Water restrictions</w:t>
      </w:r>
      <w:bookmarkEnd w:id="13"/>
      <w:bookmarkEnd w:id="14"/>
      <w:bookmarkEnd w:id="15"/>
    </w:p>
    <w:p>
      <w:pPr>
        <w:pStyle w:val="Heading3"/>
      </w:pPr>
      <w:bookmarkStart w:id="16" w:name="_Toc379276138"/>
      <w:bookmarkStart w:id="17" w:name="_Toc425247193"/>
      <w:bookmarkStart w:id="18" w:name="_Toc425247249"/>
      <w:r>
        <w:rPr>
          <w:rStyle w:val="CharDivNo"/>
        </w:rPr>
        <w:t>Division 1A</w:t>
      </w:r>
      <w:r>
        <w:t> — </w:t>
      </w:r>
      <w:r>
        <w:rPr>
          <w:rStyle w:val="CharDivText"/>
        </w:rPr>
        <w:t>General</w:t>
      </w:r>
      <w:bookmarkEnd w:id="16"/>
      <w:bookmarkEnd w:id="17"/>
      <w:bookmarkEnd w:id="18"/>
    </w:p>
    <w:p>
      <w:pPr>
        <w:pStyle w:val="Footnoteheading"/>
      </w:pPr>
      <w:r>
        <w:tab/>
        <w:t>[Heading inserted in Gazette 14 Nov 2013 p. 5098.]</w:t>
      </w:r>
    </w:p>
    <w:p>
      <w:pPr>
        <w:pStyle w:val="Heading5"/>
      </w:pPr>
      <w:bookmarkStart w:id="19" w:name="_Toc379276139"/>
      <w:bookmarkStart w:id="20" w:name="_Toc425247250"/>
      <w:r>
        <w:rPr>
          <w:rStyle w:val="CharSectno"/>
        </w:rPr>
        <w:t>4A</w:t>
      </w:r>
      <w:r>
        <w:t>.</w:t>
      </w:r>
      <w:r>
        <w:tab/>
        <w:t>Term used: water</w:t>
      </w:r>
      <w:bookmarkEnd w:id="19"/>
      <w:bookmarkEnd w:id="20"/>
    </w:p>
    <w:p>
      <w:pPr>
        <w:pStyle w:val="Subsection"/>
      </w:pPr>
      <w:r>
        <w:tab/>
      </w:r>
      <w:r>
        <w:tab/>
        <w:t xml:space="preserve">In this Part — </w:t>
      </w:r>
    </w:p>
    <w:p>
      <w:pPr>
        <w:pStyle w:val="Defstart"/>
      </w:pPr>
      <w:r>
        <w:tab/>
      </w:r>
      <w:r>
        <w:rPr>
          <w:rStyle w:val="CharDefText"/>
        </w:rPr>
        <w:t>water</w:t>
      </w:r>
      <w:r>
        <w:t xml:space="preserve"> means domestic bore water.</w:t>
      </w:r>
    </w:p>
    <w:p>
      <w:pPr>
        <w:pStyle w:val="Footnotesection"/>
      </w:pPr>
      <w:r>
        <w:tab/>
        <w:t>[By</w:t>
      </w:r>
      <w:r>
        <w:noBreakHyphen/>
        <w:t>law 4A inserted in Gazette 14 Nov 2013 p. 5098.]</w:t>
      </w:r>
    </w:p>
    <w:p>
      <w:pPr>
        <w:pStyle w:val="Heading3"/>
      </w:pPr>
      <w:bookmarkStart w:id="21" w:name="_Toc379276140"/>
      <w:bookmarkStart w:id="22" w:name="_Toc425247195"/>
      <w:bookmarkStart w:id="23" w:name="_Toc425247251"/>
      <w:r>
        <w:rPr>
          <w:rStyle w:val="CharDivNo"/>
        </w:rPr>
        <w:t>Division 1</w:t>
      </w:r>
      <w:r>
        <w:t> — </w:t>
      </w:r>
      <w:r>
        <w:rPr>
          <w:rStyle w:val="CharDivText"/>
        </w:rPr>
        <w:t>Restrictions</w:t>
      </w:r>
      <w:bookmarkEnd w:id="21"/>
      <w:bookmarkEnd w:id="22"/>
      <w:bookmarkEnd w:id="23"/>
    </w:p>
    <w:p>
      <w:pPr>
        <w:pStyle w:val="Heading5"/>
      </w:pPr>
      <w:bookmarkStart w:id="24" w:name="_Toc379276141"/>
      <w:bookmarkStart w:id="25" w:name="_Toc425247252"/>
      <w:r>
        <w:rPr>
          <w:rStyle w:val="CharSectno"/>
        </w:rPr>
        <w:t>4</w:t>
      </w:r>
      <w:r>
        <w:t>.</w:t>
      </w:r>
      <w:r>
        <w:tab/>
        <w:t>Contravening restrictions, offence</w:t>
      </w:r>
      <w:bookmarkEnd w:id="24"/>
      <w:bookmarkEnd w:id="25"/>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in Gazette 28 Sep 2010 p. 5063; 14 Nov 2013 p. 5098.]</w:t>
      </w:r>
    </w:p>
    <w:p>
      <w:pPr>
        <w:pStyle w:val="Heading5"/>
      </w:pPr>
      <w:bookmarkStart w:id="26" w:name="_Toc379276142"/>
      <w:bookmarkStart w:id="27" w:name="_Toc425247253"/>
      <w:r>
        <w:rPr>
          <w:rStyle w:val="CharSectno"/>
        </w:rPr>
        <w:t>5</w:t>
      </w:r>
      <w:r>
        <w:t>.</w:t>
      </w:r>
      <w:r>
        <w:tab/>
        <w:t>Area 1’s restrictions</w:t>
      </w:r>
      <w:bookmarkEnd w:id="26"/>
      <w:bookmarkEnd w:id="27"/>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 in Gazette 28 Sep 2010 p. 5063; 14 Nov 2013 p. 5098.]</w:t>
      </w:r>
    </w:p>
    <w:p>
      <w:pPr>
        <w:pStyle w:val="Heading5"/>
      </w:pPr>
      <w:bookmarkStart w:id="28" w:name="_Toc379276143"/>
      <w:bookmarkStart w:id="29" w:name="_Toc425247254"/>
      <w:r>
        <w:rPr>
          <w:rStyle w:val="CharSectno"/>
        </w:rPr>
        <w:t>6</w:t>
      </w:r>
      <w:r>
        <w:t>.</w:t>
      </w:r>
      <w:r>
        <w:tab/>
        <w:t>Area 2’s restrictions</w:t>
      </w:r>
      <w:bookmarkEnd w:id="28"/>
      <w:bookmarkEnd w:id="29"/>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 in Gazette 28 Sep 2010 p. 5064; 8 Mar 2011 p. 801; 14 Nov 2013 p. 5098.]</w:t>
      </w:r>
    </w:p>
    <w:p>
      <w:pPr>
        <w:pStyle w:val="Heading5"/>
      </w:pPr>
      <w:bookmarkStart w:id="30" w:name="_Toc379276144"/>
      <w:bookmarkStart w:id="31" w:name="_Toc425247255"/>
      <w:r>
        <w:rPr>
          <w:rStyle w:val="CharSectno"/>
        </w:rPr>
        <w:t>7</w:t>
      </w:r>
      <w:r>
        <w:t>.</w:t>
      </w:r>
      <w:r>
        <w:tab/>
        <w:t>Area 3’s restrictions</w:t>
      </w:r>
      <w:bookmarkEnd w:id="30"/>
      <w:bookmarkEnd w:id="31"/>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 in Gazette 28 Sep 2010 p. 5064; 30 Nov 2010 p. 6016; 14 Nov 2013 p. 5098.]</w:t>
      </w:r>
    </w:p>
    <w:p>
      <w:pPr>
        <w:pStyle w:val="Heading5"/>
      </w:pPr>
      <w:bookmarkStart w:id="32" w:name="_Toc379276145"/>
      <w:bookmarkStart w:id="33" w:name="_Toc425247256"/>
      <w:r>
        <w:rPr>
          <w:rStyle w:val="CharSectno"/>
        </w:rPr>
        <w:t>8</w:t>
      </w:r>
      <w:r>
        <w:t>.</w:t>
      </w:r>
      <w:r>
        <w:tab/>
        <w:t>Area 4’s restrictions</w:t>
      </w:r>
      <w:bookmarkEnd w:id="32"/>
      <w:bookmarkEnd w:id="33"/>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in Gazette 28 Sep 2010 p. 5064; 14 Nov 2013 p. 5098.]</w:t>
      </w:r>
    </w:p>
    <w:p>
      <w:pPr>
        <w:pStyle w:val="Ednotesection"/>
      </w:pPr>
      <w:r>
        <w:t>[</w:t>
      </w:r>
      <w:r>
        <w:rPr>
          <w:b/>
        </w:rPr>
        <w:t xml:space="preserve">9, 10AA, 10A. </w:t>
      </w:r>
      <w:r>
        <w:t>Deleted in Gazette 14 Nov 2013 p. 5098.]</w:t>
      </w:r>
    </w:p>
    <w:p>
      <w:pPr>
        <w:pStyle w:val="Heading3"/>
      </w:pPr>
      <w:bookmarkStart w:id="34" w:name="_Toc379276146"/>
      <w:bookmarkStart w:id="35" w:name="_Toc425247201"/>
      <w:bookmarkStart w:id="36" w:name="_Toc425247257"/>
      <w:r>
        <w:rPr>
          <w:rStyle w:val="CharDivNo"/>
        </w:rPr>
        <w:t>Division 2</w:t>
      </w:r>
      <w:r>
        <w:t> — </w:t>
      </w:r>
      <w:r>
        <w:rPr>
          <w:rStyle w:val="CharDivText"/>
        </w:rPr>
        <w:t>Exemptions</w:t>
      </w:r>
      <w:bookmarkEnd w:id="34"/>
      <w:bookmarkEnd w:id="35"/>
      <w:bookmarkEnd w:id="36"/>
    </w:p>
    <w:p>
      <w:pPr>
        <w:pStyle w:val="Heading5"/>
      </w:pPr>
      <w:bookmarkStart w:id="37" w:name="_Toc379276147"/>
      <w:bookmarkStart w:id="38" w:name="_Toc425247258"/>
      <w:r>
        <w:rPr>
          <w:rStyle w:val="CharSectno"/>
        </w:rPr>
        <w:t>10</w:t>
      </w:r>
      <w:r>
        <w:t>.</w:t>
      </w:r>
      <w:r>
        <w:tab/>
      </w:r>
      <w:r>
        <w:rPr>
          <w:i/>
        </w:rPr>
        <w:t>Rights in Water and Irrigation Act </w:t>
      </w:r>
      <w:r>
        <w:rPr>
          <w:i/>
          <w:iCs/>
        </w:rPr>
        <w:t>1914</w:t>
      </w:r>
      <w:r>
        <w:t xml:space="preserve"> s. 5C, use of water under is exempt</w:t>
      </w:r>
      <w:bookmarkEnd w:id="37"/>
      <w:bookmarkEnd w:id="38"/>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39" w:name="_Toc379276148"/>
      <w:bookmarkStart w:id="40" w:name="_Toc425247259"/>
      <w:r>
        <w:rPr>
          <w:rStyle w:val="CharSectno"/>
        </w:rPr>
        <w:t>11</w:t>
      </w:r>
      <w:r>
        <w:t>.</w:t>
      </w:r>
      <w:r>
        <w:tab/>
        <w:t>Domestic bore on other property, using water from</w:t>
      </w:r>
      <w:bookmarkEnd w:id="39"/>
      <w:bookmarkEnd w:id="40"/>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41" w:name="_Toc379276149"/>
      <w:bookmarkStart w:id="42" w:name="_Toc425247260"/>
      <w:r>
        <w:rPr>
          <w:rStyle w:val="CharSectno"/>
        </w:rPr>
        <w:t>12</w:t>
      </w:r>
      <w:r>
        <w:t>.</w:t>
      </w:r>
      <w:r>
        <w:tab/>
        <w:t>Installing etc. reticulation system, using water for</w:t>
      </w:r>
      <w:bookmarkEnd w:id="41"/>
      <w:bookmarkEnd w:id="42"/>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 in Gazette 14 Nov 2013 p. 5099.]</w:t>
      </w:r>
    </w:p>
    <w:p>
      <w:pPr>
        <w:pStyle w:val="Heading5"/>
      </w:pPr>
      <w:bookmarkStart w:id="43" w:name="_Toc379276150"/>
      <w:bookmarkStart w:id="44" w:name="_Toc425247261"/>
      <w:r>
        <w:rPr>
          <w:rStyle w:val="CharSectno"/>
        </w:rPr>
        <w:t>13</w:t>
      </w:r>
      <w:r>
        <w:t>.</w:t>
      </w:r>
      <w:r>
        <w:tab/>
        <w:t>Vertimowing, fertilising etc. by commercial operator, watering after</w:t>
      </w:r>
      <w:bookmarkEnd w:id="43"/>
      <w:bookmarkEnd w:id="44"/>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45" w:name="_Toc379276151"/>
      <w:bookmarkStart w:id="46" w:name="_Toc425247262"/>
      <w:r>
        <w:rPr>
          <w:rStyle w:val="CharSectno"/>
        </w:rPr>
        <w:t>14</w:t>
      </w:r>
      <w:r>
        <w:t>.</w:t>
      </w:r>
      <w:r>
        <w:tab/>
        <w:t>Market garden or plant nursery, watering of</w:t>
      </w:r>
      <w:bookmarkEnd w:id="45"/>
      <w:bookmarkEnd w:id="46"/>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47" w:name="_Toc379276152"/>
      <w:bookmarkStart w:id="48" w:name="_Toc425247263"/>
      <w:r>
        <w:rPr>
          <w:rStyle w:val="CharSectno"/>
        </w:rPr>
        <w:t>15</w:t>
      </w:r>
      <w:r>
        <w:t>.</w:t>
      </w:r>
      <w:r>
        <w:tab/>
        <w:t>Caravan park site etc., watering of after vacation of</w:t>
      </w:r>
      <w:bookmarkEnd w:id="47"/>
      <w:bookmarkEnd w:id="48"/>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49" w:name="_Toc379276153"/>
      <w:bookmarkStart w:id="50" w:name="_Toc425247264"/>
      <w:r>
        <w:rPr>
          <w:rStyle w:val="CharSectno"/>
        </w:rPr>
        <w:t>16</w:t>
      </w:r>
      <w:r>
        <w:t>.</w:t>
      </w:r>
      <w:r>
        <w:tab/>
        <w:t>Aviary, water for birds in</w:t>
      </w:r>
      <w:bookmarkEnd w:id="49"/>
      <w:bookmarkEnd w:id="50"/>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51" w:name="_Toc379276154"/>
      <w:bookmarkStart w:id="52" w:name="_Toc425247265"/>
      <w:r>
        <w:rPr>
          <w:rStyle w:val="CharSectno"/>
        </w:rPr>
        <w:t>17</w:t>
      </w:r>
      <w:r>
        <w:t>.</w:t>
      </w:r>
      <w:r>
        <w:tab/>
        <w:t>Fire fighting, using water for</w:t>
      </w:r>
      <w:bookmarkEnd w:id="51"/>
      <w:bookmarkEnd w:id="52"/>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53" w:name="_Toc379276155"/>
      <w:bookmarkStart w:id="54" w:name="_Toc425247210"/>
      <w:bookmarkStart w:id="55" w:name="_Toc425247266"/>
      <w:r>
        <w:rPr>
          <w:rStyle w:val="CharPartNo"/>
        </w:rPr>
        <w:t>Part 3</w:t>
      </w:r>
      <w:r>
        <w:t> — </w:t>
      </w:r>
      <w:r>
        <w:rPr>
          <w:rStyle w:val="CharPartText"/>
        </w:rPr>
        <w:t>Scheme water efficiency management plans</w:t>
      </w:r>
      <w:bookmarkEnd w:id="53"/>
      <w:bookmarkEnd w:id="54"/>
      <w:bookmarkEnd w:id="55"/>
    </w:p>
    <w:p>
      <w:pPr>
        <w:pStyle w:val="Heading3"/>
      </w:pPr>
      <w:bookmarkStart w:id="56" w:name="_Toc379276156"/>
      <w:bookmarkStart w:id="57" w:name="_Toc425247211"/>
      <w:bookmarkStart w:id="58" w:name="_Toc425247267"/>
      <w:r>
        <w:rPr>
          <w:rStyle w:val="CharDivNo"/>
        </w:rPr>
        <w:t>Division 1</w:t>
      </w:r>
      <w:r>
        <w:t> — </w:t>
      </w:r>
      <w:r>
        <w:rPr>
          <w:rStyle w:val="CharDivText"/>
        </w:rPr>
        <w:t>General</w:t>
      </w:r>
      <w:bookmarkEnd w:id="56"/>
      <w:bookmarkEnd w:id="57"/>
      <w:bookmarkEnd w:id="58"/>
    </w:p>
    <w:p>
      <w:pPr>
        <w:pStyle w:val="Heading5"/>
      </w:pPr>
      <w:bookmarkStart w:id="59" w:name="_Toc379276157"/>
      <w:bookmarkStart w:id="60" w:name="_Toc425247268"/>
      <w:r>
        <w:rPr>
          <w:rStyle w:val="CharSectno"/>
        </w:rPr>
        <w:t>18</w:t>
      </w:r>
      <w:r>
        <w:t>.</w:t>
      </w:r>
      <w:r>
        <w:tab/>
        <w:t>Terms used</w:t>
      </w:r>
      <w:bookmarkEnd w:id="59"/>
      <w:bookmarkEnd w:id="60"/>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rPr>
          <w:rStyle w:val="CharDefText"/>
          <w:b w:val="0"/>
          <w:i w:val="0"/>
        </w:rPr>
        <w:t>,</w:t>
      </w:r>
      <w:r>
        <w:t xml:space="preserve"> in relation to land, means — </w:t>
      </w:r>
    </w:p>
    <w:p>
      <w:pPr>
        <w:pStyle w:val="Defpara"/>
      </w:pPr>
      <w:r>
        <w:tab/>
        <w:t>(a)</w:t>
      </w:r>
      <w:r>
        <w:tab/>
        <w:t>the period determined, by the scheme water supplier, for the purposes of calculating the quality/quantity charge for the supply of water to the land by the scheme water supplier; or</w:t>
      </w:r>
    </w:p>
    <w:p>
      <w:pPr>
        <w:pStyle w:val="Defpara"/>
      </w:pPr>
      <w:r>
        <w:tab/>
        <w:t>(b)</w:t>
      </w:r>
      <w:r>
        <w:tab/>
        <w:t>if no period is determined in relation to the land — a financial year;</w:t>
      </w:r>
    </w:p>
    <w:p>
      <w:pPr>
        <w:pStyle w:val="Defstart"/>
      </w:pPr>
      <w:r>
        <w:tab/>
      </w:r>
      <w:r>
        <w:rPr>
          <w:rStyle w:val="CharDefText"/>
        </w:rPr>
        <w:t>non</w:t>
      </w:r>
      <w:r>
        <w:rPr>
          <w:rStyle w:val="CharDefText"/>
        </w:rPr>
        <w:noBreakHyphen/>
        <w:t>residential lot</w:t>
      </w:r>
      <w:r>
        <w:t xml:space="preserve"> means a lot other than — </w:t>
      </w:r>
    </w:p>
    <w:p>
      <w:pPr>
        <w:pStyle w:val="Defpara"/>
      </w:pPr>
      <w:r>
        <w:tab/>
        <w:t>(a)</w:t>
      </w:r>
      <w:r>
        <w:tab/>
        <w:t>a lot depicted on a strata plan, unless it is a lot in a survey</w:t>
      </w:r>
      <w:r>
        <w:noBreakHyphen/>
        <w:t>strata scheme; or</w:t>
      </w:r>
    </w:p>
    <w:p>
      <w:pPr>
        <w:pStyle w:val="Defpara"/>
      </w:pPr>
      <w:r>
        <w:tab/>
        <w:t>(b)</w:t>
      </w:r>
      <w:r>
        <w:tab/>
        <w:t>a lot that has on it a building that is used, or suitable to be used, for residential purposes;</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Footnotesection"/>
      </w:pPr>
      <w:r>
        <w:tab/>
        <w:t>[By</w:t>
      </w:r>
      <w:r>
        <w:noBreakHyphen/>
        <w:t>law 18 amended in Gazette 14 Nov 2013 p. 5099.]</w:t>
      </w:r>
    </w:p>
    <w:p>
      <w:pPr>
        <w:pStyle w:val="Heading5"/>
      </w:pPr>
      <w:bookmarkStart w:id="61" w:name="_Toc379276158"/>
      <w:bookmarkStart w:id="62" w:name="_Toc425247269"/>
      <w:r>
        <w:rPr>
          <w:rStyle w:val="CharSectno"/>
        </w:rPr>
        <w:t>19</w:t>
      </w:r>
      <w:r>
        <w:t>.</w:t>
      </w:r>
      <w:r>
        <w:tab/>
        <w:t>Extension of time, application for and grant of</w:t>
      </w:r>
      <w:bookmarkEnd w:id="61"/>
      <w:bookmarkEnd w:id="62"/>
    </w:p>
    <w:p>
      <w:pPr>
        <w:pStyle w:val="Subsection"/>
        <w:keepNext/>
        <w:keepLines/>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63" w:name="_Toc379276159"/>
      <w:bookmarkStart w:id="64" w:name="_Toc425247214"/>
      <w:bookmarkStart w:id="65" w:name="_Toc425247270"/>
      <w:r>
        <w:rPr>
          <w:rStyle w:val="CharDivNo"/>
        </w:rPr>
        <w:t>Division 2</w:t>
      </w:r>
      <w:r>
        <w:t> — </w:t>
      </w:r>
      <w:r>
        <w:rPr>
          <w:rStyle w:val="CharDivText"/>
        </w:rPr>
        <w:t>Preparation, submission and approval of scheme water efficiency management plans</w:t>
      </w:r>
      <w:bookmarkEnd w:id="63"/>
      <w:bookmarkEnd w:id="64"/>
      <w:bookmarkEnd w:id="65"/>
    </w:p>
    <w:p>
      <w:pPr>
        <w:pStyle w:val="Heading5"/>
      </w:pPr>
      <w:bookmarkStart w:id="66" w:name="_Toc379276160"/>
      <w:bookmarkStart w:id="67" w:name="_Toc425247271"/>
      <w:r>
        <w:rPr>
          <w:rStyle w:val="CharSectno"/>
        </w:rPr>
        <w:t>20</w:t>
      </w:r>
      <w:r>
        <w:t>.</w:t>
      </w:r>
      <w:r>
        <w:tab/>
        <w:t>Supplier may require certain owners etc. to submit plan</w:t>
      </w:r>
      <w:bookmarkEnd w:id="66"/>
      <w:bookmarkEnd w:id="67"/>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spacing w:before="180"/>
      </w:pPr>
      <w:bookmarkStart w:id="68" w:name="_Toc379276161"/>
      <w:bookmarkStart w:id="69" w:name="_Toc425247272"/>
      <w:r>
        <w:rPr>
          <w:rStyle w:val="CharSectno"/>
        </w:rPr>
        <w:t>21</w:t>
      </w:r>
      <w:r>
        <w:t>.</w:t>
      </w:r>
      <w:r>
        <w:tab/>
        <w:t>Supplier’s functions on receiving plan</w:t>
      </w:r>
      <w:bookmarkEnd w:id="68"/>
      <w:bookmarkEnd w:id="69"/>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spacing w:before="120"/>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70" w:name="_Toc379276162"/>
      <w:bookmarkStart w:id="71" w:name="_Toc425247273"/>
      <w:r>
        <w:rPr>
          <w:rStyle w:val="CharSectno"/>
        </w:rPr>
        <w:t>22</w:t>
      </w:r>
      <w:r>
        <w:t>.</w:t>
      </w:r>
      <w:r>
        <w:tab/>
        <w:t>Revised plan may be submitted at any time</w:t>
      </w:r>
      <w:bookmarkEnd w:id="70"/>
      <w:bookmarkEnd w:id="71"/>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72" w:name="_Toc379276163"/>
      <w:bookmarkStart w:id="73" w:name="_Toc425247218"/>
      <w:bookmarkStart w:id="74" w:name="_Toc425247274"/>
      <w:r>
        <w:rPr>
          <w:rStyle w:val="CharDivNo"/>
        </w:rPr>
        <w:t>Division 3</w:t>
      </w:r>
      <w:r>
        <w:t> — </w:t>
      </w:r>
      <w:r>
        <w:rPr>
          <w:rStyle w:val="CharDivText"/>
        </w:rPr>
        <w:t>After approval of scheme water efficiency management plans</w:t>
      </w:r>
      <w:bookmarkEnd w:id="72"/>
      <w:bookmarkEnd w:id="73"/>
      <w:bookmarkEnd w:id="74"/>
    </w:p>
    <w:p>
      <w:pPr>
        <w:pStyle w:val="Heading5"/>
      </w:pPr>
      <w:bookmarkStart w:id="75" w:name="_Toc379276164"/>
      <w:bookmarkStart w:id="76" w:name="_Toc425247275"/>
      <w:r>
        <w:rPr>
          <w:rStyle w:val="CharSectno"/>
        </w:rPr>
        <w:t>23</w:t>
      </w:r>
      <w:r>
        <w:t>.</w:t>
      </w:r>
      <w:r>
        <w:tab/>
        <w:t>Application of this Division</w:t>
      </w:r>
      <w:bookmarkEnd w:id="75"/>
      <w:bookmarkEnd w:id="76"/>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77" w:name="_Toc379276165"/>
      <w:bookmarkStart w:id="78" w:name="_Toc425247276"/>
      <w:r>
        <w:rPr>
          <w:rStyle w:val="CharSectno"/>
        </w:rPr>
        <w:t>24</w:t>
      </w:r>
      <w:r>
        <w:t>.</w:t>
      </w:r>
      <w:r>
        <w:tab/>
        <w:t>Approval of plan, duration of</w:t>
      </w:r>
      <w:bookmarkEnd w:id="77"/>
      <w:bookmarkEnd w:id="78"/>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79" w:name="_Toc379276166"/>
      <w:bookmarkStart w:id="80" w:name="_Toc425247277"/>
      <w:r>
        <w:rPr>
          <w:rStyle w:val="CharSectno"/>
        </w:rPr>
        <w:t>25</w:t>
      </w:r>
      <w:r>
        <w:t>.</w:t>
      </w:r>
      <w:r>
        <w:tab/>
        <w:t>Approved plan to be complied with etc.</w:t>
      </w:r>
      <w:bookmarkEnd w:id="79"/>
      <w:bookmarkEnd w:id="80"/>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81" w:name="_Toc379276167"/>
      <w:bookmarkStart w:id="82" w:name="_Toc425247278"/>
      <w:r>
        <w:rPr>
          <w:rStyle w:val="CharSectno"/>
        </w:rPr>
        <w:t>26</w:t>
      </w:r>
      <w:r>
        <w:t>.</w:t>
      </w:r>
      <w:r>
        <w:tab/>
        <w:t>Revised plan to be submitted before end of approved plan in some cases</w:t>
      </w:r>
      <w:bookmarkEnd w:id="81"/>
      <w:bookmarkEnd w:id="82"/>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83" w:name="_Toc379276168"/>
      <w:bookmarkStart w:id="84" w:name="_Toc425247279"/>
      <w:r>
        <w:rPr>
          <w:rStyle w:val="CharSectno"/>
        </w:rPr>
        <w:t>27</w:t>
      </w:r>
      <w:r>
        <w:t>.</w:t>
      </w:r>
      <w:r>
        <w:tab/>
        <w:t>Supplier may require revised plan to be submitted in some cases</w:t>
      </w:r>
      <w:bookmarkEnd w:id="83"/>
      <w:bookmarkEnd w:id="84"/>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85" w:name="_Toc379276169"/>
      <w:bookmarkStart w:id="86" w:name="_Toc425247280"/>
      <w:r>
        <w:rPr>
          <w:rStyle w:val="CharSectno"/>
        </w:rPr>
        <w:t>28</w:t>
      </w:r>
      <w:r>
        <w:t>.</w:t>
      </w:r>
      <w:r>
        <w:tab/>
        <w:t>Revocation of approval of plan, application for etc.</w:t>
      </w:r>
      <w:bookmarkEnd w:id="85"/>
      <w:bookmarkEnd w:id="86"/>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87" w:name="_Toc379276170"/>
      <w:bookmarkStart w:id="88" w:name="_Toc425247281"/>
      <w:r>
        <w:rPr>
          <w:rStyle w:val="CharSectno"/>
        </w:rPr>
        <w:t>29</w:t>
      </w:r>
      <w:r>
        <w:t>.</w:t>
      </w:r>
      <w:r>
        <w:tab/>
        <w:t>Annual report on plan to be given to supplier</w:t>
      </w:r>
      <w:bookmarkEnd w:id="87"/>
      <w:bookmarkEnd w:id="88"/>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89" w:name="_Toc379276171"/>
      <w:bookmarkStart w:id="90" w:name="_Toc425247226"/>
      <w:bookmarkStart w:id="91" w:name="_Toc425247282"/>
      <w:r>
        <w:rPr>
          <w:rStyle w:val="CharPartNo"/>
        </w:rPr>
        <w:t>Part 4</w:t>
      </w:r>
      <w:r>
        <w:rPr>
          <w:rStyle w:val="CharDivNo"/>
        </w:rPr>
        <w:t> </w:t>
      </w:r>
      <w:r>
        <w:t>—</w:t>
      </w:r>
      <w:r>
        <w:rPr>
          <w:rStyle w:val="CharDivText"/>
        </w:rPr>
        <w:t> </w:t>
      </w:r>
      <w:r>
        <w:rPr>
          <w:rStyle w:val="CharPartText"/>
        </w:rPr>
        <w:t>Repeal, saving and transitional</w:t>
      </w:r>
      <w:bookmarkEnd w:id="89"/>
      <w:bookmarkEnd w:id="90"/>
      <w:bookmarkEnd w:id="91"/>
    </w:p>
    <w:p>
      <w:pPr>
        <w:pStyle w:val="Heading5"/>
      </w:pPr>
      <w:bookmarkStart w:id="92" w:name="_Toc379276172"/>
      <w:bookmarkStart w:id="93" w:name="_Toc425247283"/>
      <w:r>
        <w:rPr>
          <w:rStyle w:val="CharSectno"/>
        </w:rPr>
        <w:t>30</w:t>
      </w:r>
      <w:r>
        <w:t>.</w:t>
      </w:r>
      <w:r>
        <w:tab/>
        <w:t>Repeal</w:t>
      </w:r>
      <w:bookmarkEnd w:id="92"/>
      <w:bookmarkEnd w:id="93"/>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94" w:name="_Toc379276173"/>
      <w:bookmarkStart w:id="95" w:name="_Toc425247284"/>
      <w:r>
        <w:rPr>
          <w:rStyle w:val="CharSectno"/>
        </w:rPr>
        <w:t>31</w:t>
      </w:r>
      <w:r>
        <w:t>.</w:t>
      </w:r>
      <w:r>
        <w:tab/>
      </w:r>
      <w:r>
        <w:rPr>
          <w:rStyle w:val="CharSDivText"/>
          <w:i/>
        </w:rPr>
        <w:t>Water Agencies (Water Use) By</w:t>
      </w:r>
      <w:r>
        <w:rPr>
          <w:rStyle w:val="CharSDivText"/>
          <w:i/>
        </w:rPr>
        <w:noBreakHyphen/>
        <w:t>laws 2007</w:t>
      </w:r>
      <w:r>
        <w:rPr>
          <w:rStyle w:val="CharSDivText"/>
        </w:rPr>
        <w:t>, provisions for</w:t>
      </w:r>
      <w:bookmarkEnd w:id="94"/>
      <w:bookmarkEnd w:id="95"/>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00" w:name="_Toc379276174"/>
      <w:bookmarkStart w:id="101" w:name="_Toc425247229"/>
      <w:bookmarkStart w:id="102" w:name="_Toc425247285"/>
      <w:r>
        <w:rPr>
          <w:rStyle w:val="CharSchNo"/>
        </w:rPr>
        <w:t>Schedule 1</w:t>
      </w:r>
      <w:r>
        <w:rPr>
          <w:rStyle w:val="CharSDivNo"/>
        </w:rPr>
        <w:t> </w:t>
      </w:r>
      <w:r>
        <w:t>—</w:t>
      </w:r>
      <w:r>
        <w:rPr>
          <w:rStyle w:val="CharSDivText"/>
        </w:rPr>
        <w:t> </w:t>
      </w:r>
      <w:r>
        <w:rPr>
          <w:rStyle w:val="CharSchText"/>
        </w:rPr>
        <w:t>Maps showing Areas 1, 2, 3 and 4</w:t>
      </w:r>
      <w:bookmarkEnd w:id="100"/>
      <w:bookmarkEnd w:id="101"/>
      <w:bookmarkEnd w:id="102"/>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pPr>
      <w:bookmarkStart w:id="109" w:name="_Toc379276175"/>
      <w:bookmarkStart w:id="110" w:name="_Toc425247230"/>
      <w:bookmarkStart w:id="111" w:name="_Toc425247286"/>
      <w:r>
        <w:rPr>
          <w:rStyle w:val="CharSchNo"/>
        </w:rPr>
        <w:t>Schedule 2</w:t>
      </w:r>
      <w:r>
        <w:rPr>
          <w:rStyle w:val="CharSDivNo"/>
        </w:rPr>
        <w:t> </w:t>
      </w:r>
      <w:r>
        <w:t>—</w:t>
      </w:r>
      <w:r>
        <w:rPr>
          <w:rStyle w:val="CharSDivText"/>
        </w:rPr>
        <w:t> </w:t>
      </w:r>
      <w:r>
        <w:rPr>
          <w:rStyle w:val="CharSchText"/>
        </w:rPr>
        <w:t>Stages of restrictions</w:t>
      </w:r>
      <w:bookmarkEnd w:id="109"/>
      <w:bookmarkEnd w:id="110"/>
      <w:bookmarkEnd w:id="111"/>
    </w:p>
    <w:p>
      <w:pPr>
        <w:pStyle w:val="yShoulderClause"/>
      </w:pPr>
      <w:r>
        <w:t>[bl. 3]</w:t>
      </w:r>
    </w:p>
    <w:p>
      <w:pPr>
        <w:pStyle w:val="yHeading5"/>
      </w:pPr>
      <w:bookmarkStart w:id="112" w:name="_Toc379276176"/>
      <w:bookmarkStart w:id="113" w:name="_Toc425247287"/>
      <w:r>
        <w:rPr>
          <w:rStyle w:val="CharSClsNo"/>
        </w:rPr>
        <w:t>1</w:t>
      </w:r>
      <w:r>
        <w:t>.</w:t>
      </w:r>
      <w:r>
        <w:tab/>
        <w:t>Stage 1</w:t>
      </w:r>
      <w:bookmarkEnd w:id="112"/>
      <w:bookmarkEnd w:id="113"/>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114" w:name="_Toc379276177"/>
      <w:bookmarkStart w:id="115" w:name="_Toc425247288"/>
      <w:r>
        <w:rPr>
          <w:rStyle w:val="CharSClsNo"/>
        </w:rPr>
        <w:t>2</w:t>
      </w:r>
      <w:r>
        <w:t>.</w:t>
      </w:r>
      <w:r>
        <w:tab/>
        <w:t>Stage 2</w:t>
      </w:r>
      <w:bookmarkEnd w:id="114"/>
      <w:bookmarkEnd w:id="11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116" w:name="_Toc379276178"/>
      <w:bookmarkStart w:id="117" w:name="_Toc425247289"/>
      <w:r>
        <w:rPr>
          <w:rStyle w:val="CharSClsNo"/>
        </w:rPr>
        <w:t>3</w:t>
      </w:r>
      <w:r>
        <w:t>.</w:t>
      </w:r>
      <w:r>
        <w:tab/>
        <w:t>Stage 3</w:t>
      </w:r>
      <w:bookmarkEnd w:id="116"/>
      <w:bookmarkEnd w:id="117"/>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118" w:name="_Toc379276179"/>
      <w:bookmarkStart w:id="119" w:name="_Toc425247290"/>
      <w:r>
        <w:rPr>
          <w:rStyle w:val="CharSClsNo"/>
        </w:rPr>
        <w:t>4</w:t>
      </w:r>
      <w:r>
        <w:t>.</w:t>
      </w:r>
      <w:r>
        <w:tab/>
        <w:t>Stage 4</w:t>
      </w:r>
      <w:bookmarkEnd w:id="118"/>
      <w:bookmarkEnd w:id="119"/>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120" w:name="_Toc379276180"/>
      <w:bookmarkStart w:id="121" w:name="_Toc425247291"/>
      <w:r>
        <w:rPr>
          <w:rStyle w:val="CharSClsNo"/>
        </w:rPr>
        <w:t>5</w:t>
      </w:r>
      <w:r>
        <w:t>.</w:t>
      </w:r>
      <w:r>
        <w:tab/>
        <w:t>Stage 5</w:t>
      </w:r>
      <w:bookmarkEnd w:id="120"/>
      <w:bookmarkEnd w:id="121"/>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122" w:name="_Toc379276181"/>
      <w:bookmarkStart w:id="123" w:name="_Toc425247292"/>
      <w:r>
        <w:rPr>
          <w:rStyle w:val="CharSClsNo"/>
        </w:rPr>
        <w:t>6</w:t>
      </w:r>
      <w:r>
        <w:t>.</w:t>
      </w:r>
      <w:r>
        <w:tab/>
        <w:t>Stage 6</w:t>
      </w:r>
      <w:bookmarkEnd w:id="122"/>
      <w:bookmarkEnd w:id="123"/>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124" w:name="_Toc379276182"/>
      <w:bookmarkStart w:id="125" w:name="_Toc425247293"/>
      <w:r>
        <w:rPr>
          <w:rStyle w:val="CharSClsNo"/>
        </w:rPr>
        <w:t>7</w:t>
      </w:r>
      <w:r>
        <w:t>.</w:t>
      </w:r>
      <w:r>
        <w:tab/>
        <w:t>Stage 7</w:t>
      </w:r>
      <w:bookmarkEnd w:id="124"/>
      <w:bookmarkEnd w:id="125"/>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yScheduleHeading"/>
      </w:pPr>
      <w:bookmarkStart w:id="126" w:name="_Toc379276183"/>
      <w:bookmarkStart w:id="127" w:name="_Toc425247238"/>
      <w:bookmarkStart w:id="128" w:name="_Toc425247294"/>
      <w:r>
        <w:rPr>
          <w:rStyle w:val="CharSchNo"/>
        </w:rPr>
        <w:t>Schedule 3</w:t>
      </w:r>
      <w:r>
        <w:t> — </w:t>
      </w:r>
      <w:r>
        <w:rPr>
          <w:rStyle w:val="CharSchText"/>
        </w:rPr>
        <w:t>Specified days for watering by reticulation</w:t>
      </w:r>
      <w:bookmarkEnd w:id="126"/>
      <w:bookmarkEnd w:id="127"/>
      <w:bookmarkEnd w:id="128"/>
    </w:p>
    <w:p>
      <w:pPr>
        <w:pStyle w:val="yShoulderClause"/>
      </w:pPr>
      <w:r>
        <w:t>[bl. 3, 6, Sch. 2 cl. 3, 4, 5 and 6]</w:t>
      </w:r>
    </w:p>
    <w:p>
      <w:pPr>
        <w:pStyle w:val="yHeading3"/>
        <w:spacing w:after="120"/>
      </w:pPr>
      <w:bookmarkStart w:id="129" w:name="_Toc379276184"/>
      <w:bookmarkStart w:id="130" w:name="_Toc425247239"/>
      <w:bookmarkStart w:id="131" w:name="_Toc425247295"/>
      <w:r>
        <w:rPr>
          <w:rStyle w:val="CharSDivNo"/>
        </w:rPr>
        <w:t>Division 1</w:t>
      </w:r>
      <w:r>
        <w:t> — </w:t>
      </w:r>
      <w:r>
        <w:rPr>
          <w:rStyle w:val="CharSDivText"/>
        </w:rPr>
        <w:t>Specified days for Schedule 2 clauses 3(1)(a), 4(2)(a), 5(2)(a) and 6(2)(a)</w:t>
      </w:r>
      <w:bookmarkEnd w:id="129"/>
      <w:bookmarkEnd w:id="130"/>
      <w:bookmarkEnd w:id="13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132" w:name="_Toc379276185"/>
      <w:bookmarkStart w:id="133" w:name="_Toc425247240"/>
      <w:bookmarkStart w:id="134" w:name="_Toc425247296"/>
      <w:r>
        <w:rPr>
          <w:rStyle w:val="CharSDivNo"/>
        </w:rPr>
        <w:t>Division 2</w:t>
      </w:r>
      <w:r>
        <w:t> — </w:t>
      </w:r>
      <w:r>
        <w:rPr>
          <w:rStyle w:val="CharSDivText"/>
        </w:rPr>
        <w:t>Specified days for Schedule 2 clause 4(1)(a)</w:t>
      </w:r>
      <w:bookmarkEnd w:id="132"/>
      <w:bookmarkEnd w:id="133"/>
      <w:bookmarkEnd w:id="134"/>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135" w:name="_Toc379276186"/>
      <w:bookmarkStart w:id="136" w:name="_Toc425247241"/>
      <w:bookmarkStart w:id="137" w:name="_Toc425247297"/>
      <w:r>
        <w:rPr>
          <w:rStyle w:val="CharSDivNo"/>
        </w:rPr>
        <w:t>Division 3</w:t>
      </w:r>
      <w:r>
        <w:t> — </w:t>
      </w:r>
      <w:r>
        <w:rPr>
          <w:rStyle w:val="CharSDivText"/>
        </w:rPr>
        <w:t>Specified days for Schedule 2 clause 5(1)(a)</w:t>
      </w:r>
      <w:bookmarkEnd w:id="135"/>
      <w:bookmarkEnd w:id="136"/>
      <w:bookmarkEnd w:id="137"/>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in Gazette 28 Sep 2010 p. 5065.]</w:t>
      </w:r>
    </w:p>
    <w:p>
      <w:pPr>
        <w:pStyle w:val="yEdnoteschedule"/>
      </w:pPr>
      <w:r>
        <w:t>[Schedule 4 deleted in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32"/>
          <w:headerReference w:type="default" r:id="rId33"/>
          <w:endnotePr>
            <w:numFmt w:val="decimal"/>
          </w:endnotePr>
          <w:pgSz w:w="11907" w:h="16840" w:code="9"/>
          <w:pgMar w:top="2381" w:right="2410" w:bottom="3544" w:left="2410" w:header="720" w:footer="3380" w:gutter="0"/>
          <w:cols w:space="720"/>
          <w:docGrid w:linePitch="326"/>
        </w:sectPr>
      </w:pPr>
    </w:p>
    <w:p>
      <w:pPr>
        <w:pStyle w:val="nHeading2"/>
      </w:pPr>
      <w:bookmarkStart w:id="144" w:name="_Toc379276187"/>
      <w:bookmarkStart w:id="145" w:name="_Toc425247242"/>
      <w:bookmarkStart w:id="146" w:name="_Toc425247298"/>
      <w:r>
        <w:t>Notes</w:t>
      </w:r>
      <w:bookmarkEnd w:id="144"/>
      <w:bookmarkEnd w:id="145"/>
      <w:bookmarkEnd w:id="146"/>
    </w:p>
    <w:p>
      <w:pPr>
        <w:pStyle w:val="nSubsection"/>
        <w:rPr>
          <w:snapToGrid w:val="0"/>
        </w:rPr>
      </w:pPr>
      <w:r>
        <w:rPr>
          <w:snapToGrid w:val="0"/>
          <w:vertAlign w:val="superscript"/>
        </w:rPr>
        <w:t>1</w:t>
      </w:r>
      <w:r>
        <w:rPr>
          <w:snapToGrid w:val="0"/>
        </w:rPr>
        <w:tab/>
        <w:t xml:space="preserve">This is a compilation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147" w:name="_Toc379276188"/>
      <w:bookmarkStart w:id="148" w:name="_Toc425247299"/>
      <w:r>
        <w:t>Compilation table</w:t>
      </w:r>
      <w:bookmarkEnd w:id="147"/>
      <w:bookmarkEnd w:id="1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rFonts w:ascii="Times" w:hAnsi="Times"/>
              </w:rPr>
            </w:pPr>
            <w:r>
              <w:rPr>
                <w:rFonts w:ascii="Times" w:hAnsi="Times"/>
                <w:i/>
              </w:rPr>
              <w:t>Water Agencies (Water Use) By</w:t>
            </w:r>
            <w:r>
              <w:rPr>
                <w:rFonts w:ascii="Times" w:hAnsi="Times"/>
                <w:i/>
              </w:rPr>
              <w:noBreakHyphen/>
              <w:t xml:space="preserve">laws 2010 </w:t>
            </w:r>
          </w:p>
        </w:tc>
        <w:tc>
          <w:tcPr>
            <w:tcW w:w="1276" w:type="dxa"/>
            <w:tcBorders>
              <w:top w:val="single" w:sz="8" w:space="0" w:color="auto"/>
              <w:bottom w:val="nil"/>
            </w:tcBorders>
          </w:tcPr>
          <w:p>
            <w:pPr>
              <w:pStyle w:val="nTable"/>
              <w:spacing w:after="40"/>
              <w:rPr>
                <w:rFonts w:ascii="Times" w:hAnsi="Times"/>
              </w:rPr>
            </w:pPr>
            <w:r>
              <w:rPr>
                <w:rFonts w:ascii="Times" w:hAnsi="Times"/>
              </w:rPr>
              <w:t>16 Mar 2010 p. 999</w:t>
            </w:r>
            <w:r>
              <w:rPr>
                <w:rFonts w:ascii="Times" w:hAnsi="Times"/>
              </w:rPr>
              <w:noBreakHyphen/>
              <w:t>1031</w:t>
            </w:r>
          </w:p>
        </w:tc>
        <w:tc>
          <w:tcPr>
            <w:tcW w:w="2693" w:type="dxa"/>
            <w:tcBorders>
              <w:top w:val="single" w:sz="8" w:space="0" w:color="auto"/>
              <w:bottom w:val="nil"/>
            </w:tcBorders>
          </w:tcPr>
          <w:p>
            <w:pPr>
              <w:pStyle w:val="nTable"/>
              <w:spacing w:after="40"/>
              <w:rPr>
                <w:rFonts w:ascii="Times" w:hAnsi="Times"/>
              </w:rPr>
            </w:pPr>
            <w:r>
              <w:rPr>
                <w:rFonts w:ascii="Times" w:hAnsi="Times"/>
              </w:rPr>
              <w:t>bl. 1 and 2: 16 Mar 2010 (see bl. 2(a));</w:t>
            </w:r>
            <w:r>
              <w:rPr>
                <w:rFonts w:ascii="Times" w:hAnsi="Times"/>
              </w:rPr>
              <w:br/>
              <w:t>By</w:t>
            </w:r>
            <w:r>
              <w:rPr>
                <w:rFonts w:ascii="Times" w:hAnsi="Times"/>
              </w:rPr>
              <w:noBreakHyphen/>
              <w:t>laws other than bl. 1 and 2: 1 Apr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2010</w:t>
            </w:r>
          </w:p>
        </w:tc>
        <w:tc>
          <w:tcPr>
            <w:tcW w:w="1276" w:type="dxa"/>
            <w:tcBorders>
              <w:top w:val="nil"/>
              <w:bottom w:val="nil"/>
            </w:tcBorders>
          </w:tcPr>
          <w:p>
            <w:pPr>
              <w:pStyle w:val="nTable"/>
              <w:spacing w:after="40"/>
              <w:rPr>
                <w:rFonts w:ascii="Times" w:hAnsi="Times"/>
              </w:rPr>
            </w:pPr>
            <w:r>
              <w:rPr>
                <w:rFonts w:ascii="Times" w:hAnsi="Times"/>
              </w:rPr>
              <w:t>28 Sep 2010 p. 5063</w:t>
            </w:r>
            <w:r>
              <w:rPr>
                <w:rFonts w:ascii="Times" w:hAnsi="Times"/>
              </w:rPr>
              <w:noBreakHyphen/>
              <w:t>5</w:t>
            </w:r>
          </w:p>
        </w:tc>
        <w:tc>
          <w:tcPr>
            <w:tcW w:w="2693" w:type="dxa"/>
            <w:tcBorders>
              <w:top w:val="nil"/>
              <w:bottom w:val="nil"/>
            </w:tcBorders>
          </w:tcPr>
          <w:p>
            <w:pPr>
              <w:pStyle w:val="nTable"/>
              <w:spacing w:after="40"/>
              <w:rPr>
                <w:rFonts w:ascii="Times" w:hAnsi="Times"/>
              </w:rPr>
            </w:pPr>
            <w:r>
              <w:rPr>
                <w:rFonts w:ascii="Times" w:hAnsi="Times"/>
              </w:rPr>
              <w:t>bl. 1 and 2: 28 Sep 2010 (see bl. 2(a));</w:t>
            </w:r>
            <w:r>
              <w:rPr>
                <w:rFonts w:ascii="Times" w:hAnsi="Times"/>
              </w:rPr>
              <w:br/>
              <w:t>By</w:t>
            </w:r>
            <w:r>
              <w:rPr>
                <w:rFonts w:ascii="Times" w:hAnsi="Times"/>
              </w:rPr>
              <w:noBreakHyphen/>
              <w:t>laws other than bl. 1 and 2: 1 Oct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2010</w:t>
            </w:r>
          </w:p>
        </w:tc>
        <w:tc>
          <w:tcPr>
            <w:tcW w:w="1276" w:type="dxa"/>
            <w:tcBorders>
              <w:top w:val="nil"/>
              <w:bottom w:val="nil"/>
            </w:tcBorders>
          </w:tcPr>
          <w:p>
            <w:pPr>
              <w:pStyle w:val="nTable"/>
              <w:spacing w:after="40"/>
              <w:rPr>
                <w:rFonts w:ascii="Times" w:hAnsi="Times"/>
              </w:rPr>
            </w:pPr>
            <w:r>
              <w:rPr>
                <w:rFonts w:ascii="Times" w:hAnsi="Times"/>
              </w:rPr>
              <w:t>30 Nov 2010 p. 6016</w:t>
            </w:r>
            <w:r>
              <w:rPr>
                <w:rFonts w:ascii="Times" w:hAnsi="Times"/>
              </w:rPr>
              <w:noBreakHyphen/>
              <w:t>22</w:t>
            </w:r>
          </w:p>
        </w:tc>
        <w:tc>
          <w:tcPr>
            <w:tcW w:w="2693" w:type="dxa"/>
            <w:tcBorders>
              <w:top w:val="nil"/>
              <w:bottom w:val="nil"/>
            </w:tcBorders>
          </w:tcPr>
          <w:p>
            <w:pPr>
              <w:pStyle w:val="nTable"/>
              <w:spacing w:after="40"/>
              <w:rPr>
                <w:rFonts w:ascii="Times" w:hAnsi="Times"/>
              </w:rPr>
            </w:pPr>
            <w:r>
              <w:rPr>
                <w:rFonts w:ascii="Times" w:hAnsi="Times"/>
              </w:rPr>
              <w:t>bl. 1 and 2: 30 Nov 2010 (see bl. 2(a));</w:t>
            </w:r>
            <w:r>
              <w:rPr>
                <w:rFonts w:ascii="Times" w:hAnsi="Times"/>
              </w:rPr>
              <w:br/>
              <w:t>By</w:t>
            </w:r>
            <w:r>
              <w:rPr>
                <w:rFonts w:ascii="Times" w:hAnsi="Times"/>
              </w:rPr>
              <w:noBreakHyphen/>
              <w:t>laws other than bl. 1 and 2: 1 Dec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2011</w:t>
            </w:r>
          </w:p>
        </w:tc>
        <w:tc>
          <w:tcPr>
            <w:tcW w:w="1276" w:type="dxa"/>
            <w:tcBorders>
              <w:top w:val="nil"/>
              <w:bottom w:val="nil"/>
            </w:tcBorders>
          </w:tcPr>
          <w:p>
            <w:pPr>
              <w:pStyle w:val="nTable"/>
              <w:spacing w:after="40"/>
              <w:rPr>
                <w:rFonts w:ascii="Times" w:hAnsi="Times"/>
              </w:rPr>
            </w:pPr>
            <w:r>
              <w:rPr>
                <w:rFonts w:ascii="Times" w:hAnsi="Times"/>
              </w:rPr>
              <w:t>8 Mar 2011 p. 801</w:t>
            </w:r>
            <w:r>
              <w:rPr>
                <w:rFonts w:ascii="Times" w:hAnsi="Times"/>
              </w:rPr>
              <w:noBreakHyphen/>
              <w:t>4</w:t>
            </w:r>
          </w:p>
        </w:tc>
        <w:tc>
          <w:tcPr>
            <w:tcW w:w="2693" w:type="dxa"/>
            <w:tcBorders>
              <w:top w:val="nil"/>
              <w:bottom w:val="nil"/>
            </w:tcBorders>
          </w:tcPr>
          <w:p>
            <w:pPr>
              <w:pStyle w:val="nTable"/>
              <w:spacing w:after="40"/>
              <w:rPr>
                <w:rFonts w:ascii="Times" w:hAnsi="Times"/>
              </w:rPr>
            </w:pPr>
            <w:r>
              <w:rPr>
                <w:rFonts w:ascii="Times" w:hAnsi="Times"/>
                <w:snapToGrid w:val="0"/>
              </w:rPr>
              <w:t>bl. 1 and 2: 8 Mar 2011 (see bl. 2(a));</w:t>
            </w:r>
            <w:r>
              <w:rPr>
                <w:rFonts w:ascii="Times" w:hAnsi="Times"/>
                <w:snapToGrid w:val="0"/>
              </w:rPr>
              <w:br/>
              <w:t>By</w:t>
            </w:r>
            <w:r>
              <w:rPr>
                <w:rFonts w:ascii="Times" w:hAnsi="Times"/>
                <w:snapToGrid w:val="0"/>
              </w:rPr>
              <w:noBreakHyphen/>
              <w:t>laws other than bl. 1 and 2: 9 Mar 2011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2011</w:t>
            </w:r>
          </w:p>
        </w:tc>
        <w:tc>
          <w:tcPr>
            <w:tcW w:w="1276" w:type="dxa"/>
            <w:tcBorders>
              <w:top w:val="nil"/>
              <w:bottom w:val="nil"/>
            </w:tcBorders>
          </w:tcPr>
          <w:p>
            <w:pPr>
              <w:pStyle w:val="nTable"/>
              <w:spacing w:after="40"/>
              <w:rPr>
                <w:rFonts w:ascii="Times" w:hAnsi="Times"/>
              </w:rPr>
            </w:pPr>
            <w:r>
              <w:rPr>
                <w:rFonts w:ascii="Times" w:hAnsi="Times"/>
              </w:rPr>
              <w:t>18 Nov 2011 p. 4818</w:t>
            </w:r>
            <w:r>
              <w:rPr>
                <w:rFonts w:ascii="Times" w:hAnsi="Times"/>
              </w:rPr>
              <w:noBreakHyphen/>
              <w:t>19</w:t>
            </w:r>
          </w:p>
        </w:tc>
        <w:tc>
          <w:tcPr>
            <w:tcW w:w="2693" w:type="dxa"/>
            <w:tcBorders>
              <w:top w:val="nil"/>
              <w:bottom w:val="nil"/>
            </w:tcBorders>
          </w:tcPr>
          <w:p>
            <w:pPr>
              <w:pStyle w:val="nTable"/>
              <w:spacing w:after="40"/>
              <w:rPr>
                <w:rFonts w:ascii="Times" w:hAnsi="Times"/>
                <w:snapToGrid w:val="0"/>
              </w:rPr>
            </w:pPr>
            <w:r>
              <w:rPr>
                <w:rFonts w:ascii="Times" w:hAnsi="Times"/>
                <w:snapToGrid w:val="0"/>
              </w:rPr>
              <w:t>bl. 1 and 2: 18 Nov 2011 (see bl. 2(a));</w:t>
            </w:r>
            <w:r>
              <w:rPr>
                <w:rFonts w:ascii="Times" w:hAnsi="Times"/>
                <w:snapToGrid w:val="0"/>
              </w:rPr>
              <w:br/>
              <w:t>By</w:t>
            </w:r>
            <w:r>
              <w:rPr>
                <w:rFonts w:ascii="Times" w:hAnsi="Times"/>
                <w:snapToGrid w:val="0"/>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2012</w:t>
            </w:r>
          </w:p>
        </w:tc>
        <w:tc>
          <w:tcPr>
            <w:tcW w:w="1276" w:type="dxa"/>
            <w:tcBorders>
              <w:top w:val="nil"/>
              <w:left w:val="nil"/>
              <w:bottom w:val="nil"/>
              <w:right w:val="nil"/>
            </w:tcBorders>
          </w:tcPr>
          <w:p>
            <w:pPr>
              <w:pStyle w:val="nTable"/>
              <w:spacing w:after="40"/>
              <w:rPr>
                <w:rFonts w:ascii="Times" w:hAnsi="Times"/>
              </w:rPr>
            </w:pPr>
            <w:r>
              <w:rPr>
                <w:rFonts w:ascii="Times" w:hAnsi="Times"/>
              </w:rPr>
              <w:t>24 Aug 2012 p. 3961</w:t>
            </w:r>
            <w:r>
              <w:rPr>
                <w:rFonts w:ascii="Times" w:hAnsi="Times"/>
              </w:rPr>
              <w:noBreakHyphen/>
              <w:t>3</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24 Aug 2012 (see bl. 2(a));</w:t>
            </w:r>
            <w:r>
              <w:rPr>
                <w:rFonts w:ascii="Times" w:hAnsi="Times"/>
                <w:snapToGrid w:val="0"/>
              </w:rPr>
              <w:br/>
              <w:t>By</w:t>
            </w:r>
            <w:r>
              <w:rPr>
                <w:rFonts w:ascii="Times" w:hAnsi="Times"/>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rFonts w:ascii="Times" w:hAnsi="Times"/>
                <w:snapToGrid w:val="0"/>
              </w:rPr>
            </w:pPr>
            <w:r>
              <w:rPr>
                <w:rFonts w:ascii="Times" w:hAnsi="Times"/>
                <w:b/>
                <w:snapToGrid w:val="0"/>
              </w:rPr>
              <w:t xml:space="preserve">Reprint 1: The </w:t>
            </w:r>
            <w:r>
              <w:rPr>
                <w:rFonts w:ascii="Times" w:hAnsi="Times"/>
                <w:b/>
                <w:i/>
              </w:rPr>
              <w:t>Water Agencies (Water Use) By</w:t>
            </w:r>
            <w:r>
              <w:rPr>
                <w:rFonts w:ascii="Times" w:hAnsi="Times"/>
                <w:b/>
                <w:i/>
              </w:rPr>
              <w:noBreakHyphen/>
              <w:t xml:space="preserve">laws 2010 </w:t>
            </w:r>
            <w:r>
              <w:rPr>
                <w:rFonts w:ascii="Times" w:hAnsi="Times"/>
                <w:b/>
                <w:snapToGrid w:val="0"/>
              </w:rPr>
              <w:t>as at 5 Apr 2013</w:t>
            </w:r>
            <w:r>
              <w:rPr>
                <w:rFonts w:ascii="Times" w:hAnsi="Times"/>
                <w:b/>
                <w:snapToGrid w:val="0"/>
              </w:rPr>
              <w:br/>
            </w:r>
            <w:r>
              <w:rPr>
                <w:rFonts w:ascii="Times" w:hAnsi="Times"/>
                <w:snapToGrid w:val="0"/>
              </w:rPr>
              <w:t>(includes amendments listed above)</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 laws 2013</w:t>
            </w:r>
          </w:p>
        </w:tc>
        <w:tc>
          <w:tcPr>
            <w:tcW w:w="1276" w:type="dxa"/>
            <w:tcBorders>
              <w:top w:val="nil"/>
              <w:left w:val="nil"/>
              <w:bottom w:val="nil"/>
              <w:right w:val="nil"/>
            </w:tcBorders>
          </w:tcPr>
          <w:p>
            <w:pPr>
              <w:pStyle w:val="nTable"/>
              <w:spacing w:after="40"/>
              <w:rPr>
                <w:rFonts w:ascii="Times" w:hAnsi="Times"/>
              </w:rPr>
            </w:pPr>
            <w:r>
              <w:rPr>
                <w:rFonts w:ascii="Times" w:hAnsi="Times"/>
              </w:rPr>
              <w:t>14 Nov 2013 p. 5097-9</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14 Nov 2013 (see bl. 2(a));</w:t>
            </w:r>
            <w:r>
              <w:rPr>
                <w:rFonts w:ascii="Times" w:hAnsi="Times"/>
                <w:snapToGrid w:val="0"/>
              </w:rPr>
              <w:br/>
              <w:t xml:space="preserve">By-laws other than bl. 1 and 2: 18 Nov 2013 (see bl. 2(b) and </w:t>
            </w:r>
            <w:r>
              <w:rPr>
                <w:rFonts w:ascii="Times" w:hAnsi="Times"/>
                <w:i/>
                <w:snapToGrid w:val="0"/>
              </w:rPr>
              <w:t>Gazette</w:t>
            </w:r>
            <w:r>
              <w:rPr>
                <w:rFonts w:ascii="Times" w:hAnsi="Times"/>
                <w:snapToGrid w:val="0"/>
              </w:rPr>
              <w:t xml:space="preserve"> 14 Nov 2013 p. 5027)</w:t>
            </w:r>
          </w:p>
        </w:tc>
      </w:tr>
      <w:tr>
        <w:tc>
          <w:tcPr>
            <w:tcW w:w="3118" w:type="dxa"/>
            <w:tcBorders>
              <w:top w:val="nil"/>
              <w:bottom w:val="single" w:sz="4" w:space="0" w:color="auto"/>
              <w:right w:val="nil"/>
            </w:tcBorders>
          </w:tcPr>
          <w:p>
            <w:pPr>
              <w:pStyle w:val="nTable"/>
              <w:keepNext/>
              <w:spacing w:after="40"/>
              <w:rPr>
                <w:rFonts w:ascii="Times" w:hAnsi="Times"/>
              </w:rPr>
            </w:pPr>
            <w:r>
              <w:rPr>
                <w:rFonts w:ascii="Times" w:hAnsi="Times"/>
                <w:i/>
              </w:rPr>
              <w:t>Water Agencies (Water Use) Amendment By</w:t>
            </w:r>
            <w:r>
              <w:rPr>
                <w:rFonts w:ascii="Times" w:hAnsi="Times"/>
                <w:i/>
              </w:rPr>
              <w:noBreakHyphen/>
              <w:t>laws 2016</w:t>
            </w:r>
            <w:r>
              <w:rPr>
                <w:rFonts w:ascii="Times" w:hAnsi="Times"/>
                <w:vertAlign w:val="superscript"/>
              </w:rPr>
              <w:t> 2</w:t>
            </w:r>
          </w:p>
        </w:tc>
        <w:tc>
          <w:tcPr>
            <w:tcW w:w="1276" w:type="dxa"/>
            <w:tcBorders>
              <w:top w:val="nil"/>
              <w:left w:val="nil"/>
              <w:bottom w:val="single" w:sz="4" w:space="0" w:color="auto"/>
              <w:right w:val="nil"/>
            </w:tcBorders>
          </w:tcPr>
          <w:p>
            <w:pPr>
              <w:pStyle w:val="nTable"/>
              <w:keepNext/>
              <w:spacing w:after="40"/>
              <w:rPr>
                <w:rFonts w:ascii="Times" w:hAnsi="Times"/>
              </w:rPr>
            </w:pPr>
            <w:r>
              <w:rPr>
                <w:rFonts w:ascii="Times" w:hAnsi="Times"/>
              </w:rPr>
              <w:t>13 Dec 2016 p. 5657-8</w:t>
            </w:r>
          </w:p>
        </w:tc>
        <w:tc>
          <w:tcPr>
            <w:tcW w:w="2693" w:type="dxa"/>
            <w:tcBorders>
              <w:top w:val="nil"/>
              <w:left w:val="nil"/>
              <w:bottom w:val="single" w:sz="4" w:space="0" w:color="auto"/>
            </w:tcBorders>
          </w:tcPr>
          <w:p>
            <w:pPr>
              <w:pStyle w:val="nTable"/>
              <w:keepNext/>
              <w:spacing w:after="40"/>
              <w:rPr>
                <w:rFonts w:ascii="Times" w:hAnsi="Times"/>
                <w:snapToGrid w:val="0"/>
              </w:rPr>
            </w:pPr>
            <w:r>
              <w:rPr>
                <w:rFonts w:ascii="Times" w:hAnsi="Times"/>
                <w:snapToGrid w:val="0"/>
              </w:rPr>
              <w:t>bl. 1 and 2: 13 Dec 2016 (see bl. 2(a));</w:t>
            </w:r>
            <w:r>
              <w:rPr>
                <w:rFonts w:ascii="Times" w:hAnsi="Times"/>
                <w:snapToGrid w:val="0"/>
              </w:rPr>
              <w:br/>
              <w:t>By</w:t>
            </w:r>
            <w:r>
              <w:rPr>
                <w:rFonts w:ascii="Times" w:hAnsi="Times"/>
                <w:snapToGrid w:val="0"/>
              </w:rPr>
              <w:noBreakHyphen/>
              <w:t xml:space="preserve">laws other than bl. 1 and 2: 14 Dec 2016 (see bl. 2(b) and </w:t>
            </w:r>
            <w:r>
              <w:rPr>
                <w:rFonts w:ascii="Times" w:hAnsi="Times"/>
                <w:i/>
                <w:snapToGrid w:val="0"/>
              </w:rPr>
              <w:t>Gazette</w:t>
            </w:r>
            <w:r>
              <w:rPr>
                <w:rFonts w:ascii="Times" w:hAnsi="Times"/>
                <w:snapToGrid w:val="0"/>
              </w:rPr>
              <w:t xml:space="preserve"> 13 Dec 2016 p. 5659) (see footnote 2)</w:t>
            </w:r>
          </w:p>
        </w:tc>
      </w:tr>
    </w:tbl>
    <w:p>
      <w:pPr>
        <w:pStyle w:val="nSubsection"/>
      </w:pPr>
      <w:r>
        <w:rPr>
          <w:vertAlign w:val="superscript"/>
        </w:rPr>
        <w:t>2</w:t>
      </w:r>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1" w:name="_Toc425247300"/>
      <w:r>
        <w:rPr>
          <w:sz w:val="28"/>
        </w:rPr>
        <w:t>Defined terms</w:t>
      </w:r>
      <w:bookmarkEnd w:id="1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31(1)</w:t>
      </w:r>
    </w:p>
    <w:p>
      <w:pPr>
        <w:pStyle w:val="DefinedTerms"/>
      </w:pPr>
      <w:r>
        <w:t>consumption year,</w:t>
      </w:r>
      <w:r>
        <w:tab/>
        <w:t>18</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4A, 18</w:t>
      </w:r>
    </w:p>
    <w:p>
      <w:pPr>
        <w:pStyle w:val="DefinedTerms"/>
      </w:pPr>
      <w:r>
        <w:t>week</w:t>
      </w:r>
      <w:r>
        <w:tab/>
        <w:t>3</w:t>
      </w:r>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sz w:val="20"/>
        <w:rPrChange w:id="96" w:author="Sandra Williams" w:date="2017-11-10T15:33:00Z">
          <w:rPr>
            <w:rFonts w:ascii="Arial" w:hAnsi="Arial"/>
          </w:rPr>
        </w:rPrChange>
      </w:rPr>
      <w:fldChar w:fldCharType="begin"/>
    </w:r>
    <w:r>
      <w:rPr>
        <w:rFonts w:ascii="Arial" w:hAnsi="Arial"/>
        <w:sz w:val="20"/>
        <w:rPrChange w:id="97" w:author="Sandra Williams" w:date="2017-11-10T15:33:00Z">
          <w:rPr>
            <w:rFonts w:ascii="Arial" w:hAnsi="Arial"/>
          </w:rPr>
        </w:rPrChange>
      </w:rPr>
      <w:instrText xml:space="preserve"> PAGE </w:instrText>
    </w:r>
    <w:r>
      <w:rPr>
        <w:rFonts w:ascii="Arial" w:hAnsi="Arial"/>
        <w:sz w:val="20"/>
        <w:rPrChange w:id="98" w:author="Sandra Williams" w:date="2017-11-10T15:33:00Z">
          <w:rPr>
            <w:rFonts w:ascii="Arial" w:hAnsi="Arial"/>
          </w:rPr>
        </w:rPrChange>
      </w:rPr>
      <w:fldChar w:fldCharType="separate"/>
    </w:r>
    <w:r>
      <w:rPr>
        <w:rFonts w:ascii="Arial" w:hAnsi="Arial"/>
        <w:noProof/>
        <w:sz w:val="20"/>
      </w:rPr>
      <w:t>30</w:t>
    </w:r>
    <w:r>
      <w:rPr>
        <w:rFonts w:ascii="Arial" w:hAnsi="Arial"/>
        <w:sz w:val="20"/>
        <w:rPrChange w:id="99" w:author="Sandra Williams" w:date="2017-11-10T15:33:00Z">
          <w:rPr>
            <w:rFonts w:ascii="Arial" w:hAnsi="Arial"/>
          </w:rPr>
        </w:rPrChange>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 w:type="continuationNotice"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del w:id="103" w:author="Sandra Williams" w:date="2017-11-10T15:33:00Z">
            <w:r>
              <w:rPr>
                <w:b/>
              </w:rPr>
              <w:fldChar w:fldCharType="begin"/>
            </w:r>
            <w:r>
              <w:rPr>
                <w:b/>
              </w:rPr>
              <w:delInstrText xml:space="preserve"> IF </w:delInstrText>
            </w:r>
            <w:r>
              <w:rPr>
                <w:b/>
              </w:rPr>
              <w:fldChar w:fldCharType="begin"/>
            </w:r>
            <w:r>
              <w:rPr>
                <w:b/>
              </w:rPr>
              <w:delInstrText xml:space="preserve"> STYLEREF CharSchno \n </w:delInstrText>
            </w:r>
            <w:r>
              <w:rPr>
                <w:b/>
              </w:rPr>
              <w:fldChar w:fldCharType="separate"/>
            </w:r>
            <w:r>
              <w:rPr>
                <w:b/>
              </w:rPr>
              <w:delInstrText>0</w:delInstrText>
            </w:r>
            <w:r>
              <w:rPr>
                <w:b/>
              </w:rPr>
              <w:fldChar w:fldCharType="end"/>
            </w:r>
            <w:r>
              <w:rPr>
                <w:b/>
              </w:rPr>
              <w:delInstrText xml:space="preserve"> = 0 "</w:delInstrText>
            </w:r>
            <w:r>
              <w:rPr>
                <w:b/>
              </w:rPr>
              <w:fldChar w:fldCharType="begin"/>
            </w:r>
            <w:r>
              <w:rPr>
                <w:b/>
              </w:rPr>
              <w:delInstrText xml:space="preserve"> STYLEREF CharSchno </w:delInstrText>
            </w:r>
            <w:r>
              <w:rPr>
                <w:b/>
              </w:rPr>
              <w:fldChar w:fldCharType="separate"/>
            </w:r>
            <w:r>
              <w:rPr>
                <w:b/>
              </w:rPr>
              <w:delInstrText>Schedule 1</w:delInstrText>
            </w:r>
            <w:r>
              <w:rPr>
                <w:b/>
              </w:rPr>
              <w:fldChar w:fldCharType="end"/>
            </w:r>
            <w:r>
              <w:rPr>
                <w:b/>
              </w:rPr>
              <w:delInstrText>" "</w:delInstrText>
            </w:r>
            <w:r>
              <w:rPr>
                <w:b/>
              </w:rPr>
              <w:fldChar w:fldCharType="begin"/>
            </w:r>
            <w:r>
              <w:rPr>
                <w:b/>
              </w:rPr>
              <w:delInstrText xml:space="preserve"> STYLEREF CharSchno </w:delInstrText>
            </w:r>
            <w:r>
              <w:rPr>
                <w:b/>
              </w:rPr>
              <w:fldChar w:fldCharType="separate"/>
            </w:r>
            <w:r>
              <w:rPr>
                <w:b/>
              </w:rPr>
              <w:delInstrText>Schedule</w:delInstrText>
            </w:r>
            <w:r>
              <w:rPr>
                <w:b/>
              </w:rPr>
              <w:fldChar w:fldCharType="end"/>
            </w:r>
            <w:r>
              <w:rPr>
                <w:b/>
              </w:rPr>
              <w:delInstrText xml:space="preserve"> </w:delInstrText>
            </w:r>
            <w:r>
              <w:rPr>
                <w:b/>
              </w:rPr>
              <w:fldChar w:fldCharType="begin"/>
            </w:r>
            <w:r>
              <w:rPr>
                <w:b/>
              </w:rPr>
              <w:delInstrText xml:space="preserve"> STYLEREF CharSchno \n </w:delInstrText>
            </w:r>
            <w:r>
              <w:rPr>
                <w:b/>
              </w:rPr>
              <w:fldChar w:fldCharType="separate"/>
            </w:r>
            <w:r>
              <w:rPr>
                <w:b/>
              </w:rPr>
              <w:delInstrText>1</w:delInstrText>
            </w:r>
            <w:r>
              <w:rPr>
                <w:b/>
              </w:rPr>
              <w:fldChar w:fldCharType="end"/>
            </w:r>
            <w:r>
              <w:rPr>
                <w:b/>
              </w:rPr>
              <w:delInstrText>"Schedule 1Schedule 1</w:delInstrText>
            </w:r>
            <w:r>
              <w:rPr>
                <w:b/>
              </w:rPr>
              <w:fldChar w:fldCharType="separate"/>
            </w:r>
            <w:r>
              <w:rPr>
                <w:b/>
              </w:rPr>
              <w:delText>Schedule 1</w:delText>
            </w:r>
            <w:r>
              <w:rPr>
                <w:b/>
              </w:rPr>
              <w:fldChar w:fldCharType="end"/>
            </w:r>
          </w:del>
          <w:ins w:id="104" w:author="Sandra Williams" w:date="2017-11-10T15:33:00Z">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ins>
          <w:r>
            <w:rPr>
              <w:b/>
            </w:rPr>
            <w:instrText>0</w:instrText>
          </w:r>
          <w:ins w:id="105" w:author="Sandra Williams" w:date="2017-11-10T15:33:00Z">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ins>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Water Agencies (Water Use) By-laws 2007, provisions for</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del w:id="106" w:author="Sandra Williams" w:date="2017-11-10T15:33:00Z">
            <w:r>
              <w:rPr>
                <w:b/>
              </w:rPr>
              <w:fldChar w:fldCharType="begin"/>
            </w:r>
            <w:r>
              <w:rPr>
                <w:b/>
              </w:rPr>
              <w:delInstrText xml:space="preserve"> IF </w:delInstrText>
            </w:r>
            <w:r>
              <w:rPr>
                <w:b/>
              </w:rPr>
              <w:fldChar w:fldCharType="begin"/>
            </w:r>
            <w:r>
              <w:rPr>
                <w:b/>
              </w:rPr>
              <w:delInstrText xml:space="preserve"> STYLEREF CharSchno \n </w:delInstrText>
            </w:r>
            <w:r>
              <w:rPr>
                <w:b/>
              </w:rPr>
              <w:fldChar w:fldCharType="separate"/>
            </w:r>
            <w:r>
              <w:rPr>
                <w:b/>
              </w:rPr>
              <w:delInstrText>0</w:delInstrText>
            </w:r>
            <w:r>
              <w:rPr>
                <w:b/>
              </w:rPr>
              <w:fldChar w:fldCharType="end"/>
            </w:r>
            <w:r>
              <w:rPr>
                <w:b/>
              </w:rPr>
              <w:delInstrText xml:space="preserve"> = 0 "</w:delInstrText>
            </w:r>
            <w:r>
              <w:rPr>
                <w:b/>
              </w:rPr>
              <w:fldChar w:fldCharType="begin"/>
            </w:r>
            <w:r>
              <w:rPr>
                <w:b/>
              </w:rPr>
              <w:delInstrText xml:space="preserve"> STYLEREF CharSchno </w:delInstrText>
            </w:r>
            <w:r>
              <w:rPr>
                <w:b/>
              </w:rPr>
              <w:fldChar w:fldCharType="separate"/>
            </w:r>
            <w:r>
              <w:rPr>
                <w:b/>
              </w:rPr>
              <w:delInstrText>Schedule 1</w:delInstrText>
            </w:r>
            <w:r>
              <w:rPr>
                <w:b/>
              </w:rPr>
              <w:fldChar w:fldCharType="end"/>
            </w:r>
            <w:r>
              <w:rPr>
                <w:b/>
              </w:rPr>
              <w:delInstrText>" "</w:delInstrText>
            </w:r>
            <w:r>
              <w:rPr>
                <w:b/>
              </w:rPr>
              <w:fldChar w:fldCharType="begin"/>
            </w:r>
            <w:r>
              <w:rPr>
                <w:b/>
              </w:rPr>
              <w:delInstrText xml:space="preserve"> STYLEREF CharSchno </w:delInstrText>
            </w:r>
            <w:r>
              <w:rPr>
                <w:b/>
              </w:rPr>
              <w:fldChar w:fldCharType="separate"/>
            </w:r>
            <w:r>
              <w:rPr>
                <w:b/>
              </w:rPr>
              <w:delInstrText>Schedule</w:delInstrText>
            </w:r>
            <w:r>
              <w:rPr>
                <w:b/>
              </w:rPr>
              <w:fldChar w:fldCharType="end"/>
            </w:r>
            <w:r>
              <w:rPr>
                <w:b/>
              </w:rPr>
              <w:delInstrText xml:space="preserve"> </w:delInstrText>
            </w:r>
            <w:r>
              <w:rPr>
                <w:b/>
              </w:rPr>
              <w:fldChar w:fldCharType="begin"/>
            </w:r>
            <w:r>
              <w:rPr>
                <w:b/>
              </w:rPr>
              <w:delInstrText xml:space="preserve"> STYLEREF CharSchno \n </w:delInstrText>
            </w:r>
            <w:r>
              <w:rPr>
                <w:b/>
              </w:rPr>
              <w:fldChar w:fldCharType="separate"/>
            </w:r>
            <w:r>
              <w:rPr>
                <w:b/>
              </w:rPr>
              <w:delInstrText>1</w:delInstrText>
            </w:r>
            <w:r>
              <w:rPr>
                <w:b/>
              </w:rPr>
              <w:fldChar w:fldCharType="end"/>
            </w:r>
            <w:r>
              <w:rPr>
                <w:b/>
              </w:rPr>
              <w:delInstrText>"Schedule 1Schedule 1</w:delInstrText>
            </w:r>
            <w:r>
              <w:rPr>
                <w:b/>
              </w:rPr>
              <w:fldChar w:fldCharType="separate"/>
            </w:r>
            <w:r>
              <w:rPr>
                <w:b/>
              </w:rPr>
              <w:delText>Schedule 1</w:delText>
            </w:r>
            <w:r>
              <w:rPr>
                <w:b/>
              </w:rPr>
              <w:fldChar w:fldCharType="end"/>
            </w:r>
          </w:del>
          <w:ins w:id="107" w:author="Sandra Williams" w:date="2017-11-10T15:33:00Z">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ins>
          <w:r>
            <w:rPr>
              <w:b/>
            </w:rPr>
            <w:instrText>0</w:instrText>
          </w:r>
          <w:ins w:id="108" w:author="Sandra Williams" w:date="2017-11-10T15:33:00Z">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ins>
        </w:p>
      </w:tc>
    </w:tr>
    <w:tr>
      <w:tc>
        <w:tcPr>
          <w:tcW w:w="5715" w:type="dxa"/>
        </w:tcPr>
        <w:p>
          <w:pPr>
            <w:pStyle w:val="Header"/>
            <w:spacing w:before="40"/>
            <w:jc w:val="right"/>
          </w:pPr>
          <w:r>
            <w:fldChar w:fldCharType="begin"/>
          </w:r>
          <w:r>
            <w:instrText xml:space="preserve"> styleref CharSDivText </w:instrText>
          </w:r>
          <w:r>
            <w:fldChar w:fldCharType="separate"/>
          </w:r>
          <w:r>
            <w:t>Water Agencies (Water Use) By-laws 2007, provisions for</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c>
        <w:tcPr>
          <w:tcW w:w="1548" w:type="dxa"/>
        </w:tcPr>
        <w:p>
          <w:pPr>
            <w:pStyle w:val="Header"/>
            <w:spacing w:before="40"/>
          </w:pPr>
          <w:del w:id="138" w:author="Sandra Williams" w:date="2017-11-10T15:33:00Z">
            <w:r>
              <w:rPr>
                <w:b/>
              </w:rPr>
              <w:fldChar w:fldCharType="begin"/>
            </w:r>
            <w:r>
              <w:rPr>
                <w:b/>
              </w:rPr>
              <w:delInstrText xml:space="preserve"> IF </w:delInstrText>
            </w:r>
            <w:r>
              <w:rPr>
                <w:b/>
              </w:rPr>
              <w:fldChar w:fldCharType="begin"/>
            </w:r>
            <w:r>
              <w:rPr>
                <w:b/>
              </w:rPr>
              <w:delInstrText xml:space="preserve"> STYLEREF CharSDivNo \n </w:delInstrText>
            </w:r>
            <w:r>
              <w:rPr>
                <w:b/>
              </w:rPr>
              <w:fldChar w:fldCharType="separate"/>
            </w:r>
            <w:r>
              <w:rPr>
                <w:b/>
              </w:rPr>
              <w:delInstrText>0</w:delInstrText>
            </w:r>
            <w:r>
              <w:rPr>
                <w:b/>
              </w:rPr>
              <w:fldChar w:fldCharType="end"/>
            </w:r>
            <w:r>
              <w:rPr>
                <w:b/>
              </w:rPr>
              <w:delInstrText xml:space="preserve"> = 0 "</w:delInstrText>
            </w:r>
            <w:r>
              <w:rPr>
                <w:b/>
              </w:rPr>
              <w:fldChar w:fldCharType="begin"/>
            </w:r>
            <w:r>
              <w:rPr>
                <w:b/>
              </w:rPr>
              <w:delInstrText xml:space="preserve"> STYLEREF CharSDivNo </w:delInstrText>
            </w:r>
            <w:r>
              <w:rPr>
                <w:b/>
              </w:rPr>
              <w:fldChar w:fldCharType="separate"/>
            </w:r>
            <w:r>
              <w:rPr>
                <w:b/>
              </w:rPr>
              <w:delInstrText>Division 3</w:delInstrText>
            </w:r>
            <w:r>
              <w:rPr>
                <w:b/>
              </w:rPr>
              <w:fldChar w:fldCharType="end"/>
            </w:r>
            <w:r>
              <w:rPr>
                <w:b/>
              </w:rPr>
              <w:delInstrText>" "</w:delInstrText>
            </w:r>
            <w:r>
              <w:rPr>
                <w:b/>
              </w:rPr>
              <w:fldChar w:fldCharType="begin"/>
            </w:r>
            <w:r>
              <w:rPr>
                <w:b/>
              </w:rPr>
              <w:delInstrText xml:space="preserve"> STYLEREF CharSDivNo </w:delInstrText>
            </w:r>
            <w:r>
              <w:rPr>
                <w:b/>
              </w:rPr>
              <w:fldChar w:fldCharType="separate"/>
            </w:r>
            <w:r>
              <w:rPr>
                <w:b/>
              </w:rPr>
              <w:delInstrText>Division</w:delInstrText>
            </w:r>
            <w:r>
              <w:rPr>
                <w:b/>
              </w:rPr>
              <w:fldChar w:fldCharType="end"/>
            </w:r>
            <w:r>
              <w:rPr>
                <w:b/>
              </w:rPr>
              <w:delInstrText xml:space="preserve"> </w:delInstrText>
            </w:r>
            <w:r>
              <w:rPr>
                <w:b/>
              </w:rPr>
              <w:fldChar w:fldCharType="begin"/>
            </w:r>
            <w:r>
              <w:rPr>
                <w:b/>
              </w:rPr>
              <w:delInstrText xml:space="preserve"> STYLEREF CharSDivNo \n </w:delInstrText>
            </w:r>
            <w:r>
              <w:rPr>
                <w:b/>
              </w:rPr>
              <w:fldChar w:fldCharType="separate"/>
            </w:r>
            <w:r>
              <w:rPr>
                <w:b/>
              </w:rPr>
              <w:delInstrText>3</w:delInstrText>
            </w:r>
            <w:r>
              <w:rPr>
                <w:b/>
              </w:rPr>
              <w:fldChar w:fldCharType="end"/>
            </w:r>
            <w:r>
              <w:rPr>
                <w:b/>
              </w:rPr>
              <w:delInstrText>"</w:delInstrText>
            </w:r>
            <w:r>
              <w:rPr>
                <w:b/>
              </w:rPr>
              <w:fldChar w:fldCharType="separate"/>
            </w:r>
            <w:r>
              <w:rPr>
                <w:b/>
              </w:rPr>
              <w:delText>Division 3</w:delText>
            </w:r>
            <w:r>
              <w:rPr>
                <w:b/>
              </w:rPr>
              <w:fldChar w:fldCharType="end"/>
            </w:r>
          </w:del>
          <w:ins w:id="139" w:author="Sandra Williams" w:date="2017-11-10T15:33:00Z">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ins>
          <w:r>
            <w:rPr>
              <w:b/>
            </w:rPr>
            <w:instrText>0</w:instrText>
          </w:r>
          <w:ins w:id="140" w:author="Sandra Williams" w:date="2017-11-10T15:33:00Z">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ins>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del w:id="141" w:author="Sandra Williams" w:date="2017-11-10T15:33:00Z">
            <w:r>
              <w:rPr>
                <w:b/>
              </w:rPr>
              <w:fldChar w:fldCharType="begin"/>
            </w:r>
            <w:r>
              <w:rPr>
                <w:b/>
              </w:rPr>
              <w:delInstrText xml:space="preserve"> IF </w:delInstrText>
            </w:r>
            <w:r>
              <w:rPr>
                <w:b/>
              </w:rPr>
              <w:fldChar w:fldCharType="begin"/>
            </w:r>
            <w:r>
              <w:rPr>
                <w:b/>
              </w:rPr>
              <w:delInstrText xml:space="preserve"> STYLEREF CharSDivNo \n </w:delInstrText>
            </w:r>
            <w:r>
              <w:rPr>
                <w:b/>
              </w:rPr>
              <w:fldChar w:fldCharType="separate"/>
            </w:r>
            <w:r>
              <w:rPr>
                <w:b/>
              </w:rPr>
              <w:delInstrText>0</w:delInstrText>
            </w:r>
            <w:r>
              <w:rPr>
                <w:b/>
              </w:rPr>
              <w:fldChar w:fldCharType="end"/>
            </w:r>
            <w:r>
              <w:rPr>
                <w:b/>
              </w:rPr>
              <w:delInstrText xml:space="preserve"> = 0 "</w:delInstrText>
            </w:r>
            <w:r>
              <w:rPr>
                <w:b/>
              </w:rPr>
              <w:fldChar w:fldCharType="begin"/>
            </w:r>
            <w:r>
              <w:rPr>
                <w:b/>
              </w:rPr>
              <w:delInstrText xml:space="preserve"> STYLEREF CharSDivNo </w:delInstrText>
            </w:r>
            <w:r>
              <w:rPr>
                <w:b/>
              </w:rPr>
              <w:fldChar w:fldCharType="separate"/>
            </w:r>
            <w:r>
              <w:rPr>
                <w:b/>
              </w:rPr>
              <w:delInstrText>Division 3</w:delInstrText>
            </w:r>
            <w:r>
              <w:rPr>
                <w:b/>
              </w:rPr>
              <w:fldChar w:fldCharType="end"/>
            </w:r>
            <w:r>
              <w:rPr>
                <w:b/>
              </w:rPr>
              <w:delInstrText>" "</w:delInstrText>
            </w:r>
            <w:r>
              <w:rPr>
                <w:b/>
              </w:rPr>
              <w:fldChar w:fldCharType="begin"/>
            </w:r>
            <w:r>
              <w:rPr>
                <w:b/>
              </w:rPr>
              <w:delInstrText xml:space="preserve"> STYLEREF CharSDivNo </w:delInstrText>
            </w:r>
            <w:r>
              <w:rPr>
                <w:b/>
              </w:rPr>
              <w:fldChar w:fldCharType="separate"/>
            </w:r>
            <w:r>
              <w:rPr>
                <w:b/>
              </w:rPr>
              <w:delInstrText>Division</w:delInstrText>
            </w:r>
            <w:r>
              <w:rPr>
                <w:b/>
              </w:rPr>
              <w:fldChar w:fldCharType="end"/>
            </w:r>
            <w:r>
              <w:rPr>
                <w:b/>
              </w:rPr>
              <w:delInstrText xml:space="preserve"> </w:delInstrText>
            </w:r>
            <w:r>
              <w:rPr>
                <w:b/>
              </w:rPr>
              <w:fldChar w:fldCharType="begin"/>
            </w:r>
            <w:r>
              <w:rPr>
                <w:b/>
              </w:rPr>
              <w:delInstrText xml:space="preserve"> STYLEREF CharSDivNo \n </w:delInstrText>
            </w:r>
            <w:r>
              <w:rPr>
                <w:b/>
              </w:rPr>
              <w:fldChar w:fldCharType="separate"/>
            </w:r>
            <w:r>
              <w:rPr>
                <w:b/>
              </w:rPr>
              <w:delInstrText>3</w:delInstrText>
            </w:r>
            <w:r>
              <w:rPr>
                <w:b/>
              </w:rPr>
              <w:fldChar w:fldCharType="end"/>
            </w:r>
            <w:r>
              <w:rPr>
                <w:b/>
              </w:rPr>
              <w:delInstrText>"</w:delInstrText>
            </w:r>
            <w:r>
              <w:rPr>
                <w:b/>
              </w:rPr>
              <w:fldChar w:fldCharType="separate"/>
            </w:r>
            <w:r>
              <w:rPr>
                <w:b/>
              </w:rPr>
              <w:delText>Division 3</w:delText>
            </w:r>
            <w:r>
              <w:rPr>
                <w:b/>
              </w:rPr>
              <w:fldChar w:fldCharType="end"/>
            </w:r>
          </w:del>
          <w:ins w:id="142" w:author="Sandra Williams" w:date="2017-11-10T15:33:00Z">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ins>
          <w:r>
            <w:rPr>
              <w:b/>
            </w:rPr>
            <w:instrText>0</w:instrText>
          </w:r>
          <w:ins w:id="143" w:author="Sandra Williams" w:date="2017-11-10T15:33:00Z">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ins>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9" w:name="Compilation"/>
    <w:bookmarkStart w:id="150" w:name="Schedule"/>
    <w:bookmarkEnd w:id="149"/>
    <w:bookmarkEnd w:id="15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2" w:name="DefinedTerms"/>
    <w:bookmarkEnd w:id="152"/>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3" w:name="Coversheet"/>
    <w:bookmarkEnd w:id="1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330"/>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4.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6491</Words>
  <Characters>30510</Characters>
  <Application>Microsoft Office Word</Application>
  <DocSecurity>0</DocSecurity>
  <Lines>984</Lines>
  <Paragraphs>649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2010 - 01-b0-04</dc:title>
  <dc:subject/>
  <dc:creator/>
  <cp:keywords/>
  <dc:description/>
  <cp:lastModifiedBy>svcMRProcess</cp:lastModifiedBy>
  <cp:revision>4</cp:revision>
  <cp:lastPrinted>2013-04-08T07:46:00Z</cp:lastPrinted>
  <dcterms:created xsi:type="dcterms:W3CDTF">2018-09-18T06:29:00Z</dcterms:created>
  <dcterms:modified xsi:type="dcterms:W3CDTF">2018-09-18T06:29:00Z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AsAtDate">
    <vt:lpwstr>18 Nov 2013</vt:lpwstr>
  </property>
  <property fmtid="{D5CDD505-2E9C-101B-9397-08002B2CF9AE}" pid="8" name="Suffix">
    <vt:lpwstr>01-b0-04</vt:lpwstr>
  </property>
  <property fmtid="{D5CDD505-2E9C-101B-9397-08002B2CF9AE}" pid="9" name="CommencementDate">
    <vt:lpwstr>20131118</vt:lpwstr>
  </property>
</Properties>
</file>