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Statutory Corporations (Liability of Directors) Act 1996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Statutory Corporations (Liability of Directors) Act 1996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_Toc379194589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_Toc379194590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2 — Statutory corporations generally</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_Toc379194593 \h </w:instrText>
      </w:r>
      <w:r>
        <w:fldChar w:fldCharType="separate"/>
      </w:r>
      <w:r>
        <w:t>3</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Duties of directors stated</w:t>
      </w:r>
    </w:p>
    <w:p>
      <w:pPr>
        <w:pStyle w:val="TOC8"/>
        <w:rPr>
          <w:rFonts w:asciiTheme="minorHAnsi" w:eastAsiaTheme="minorEastAsia" w:hAnsiTheme="minorHAnsi" w:cstheme="minorBidi"/>
          <w:szCs w:val="22"/>
        </w:rPr>
      </w:pPr>
      <w:r>
        <w:t>5</w:t>
      </w:r>
      <w:r>
        <w:rPr>
          <w:snapToGrid w:val="0"/>
        </w:rPr>
        <w:t>.</w:t>
      </w:r>
      <w:r>
        <w:rPr>
          <w:snapToGrid w:val="0"/>
        </w:rPr>
        <w:tab/>
        <w:t>Directors’ fiduciary relationship with and duties to corporation</w:t>
      </w:r>
      <w:r>
        <w:tab/>
      </w:r>
      <w:r>
        <w:fldChar w:fldCharType="begin"/>
      </w:r>
      <w:r>
        <w:instrText xml:space="preserve"> PAGEREF _Toc379194595 \h </w:instrText>
      </w:r>
      <w:r>
        <w:fldChar w:fldCharType="separate"/>
      </w:r>
      <w:r>
        <w:t>3</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Ministerial directions</w:t>
      </w:r>
    </w:p>
    <w:p>
      <w:pPr>
        <w:pStyle w:val="TOC8"/>
        <w:rPr>
          <w:rFonts w:asciiTheme="minorHAnsi" w:eastAsiaTheme="minorEastAsia" w:hAnsiTheme="minorHAnsi" w:cstheme="minorBidi"/>
          <w:szCs w:val="22"/>
        </w:rPr>
      </w:pPr>
      <w:r>
        <w:t>6</w:t>
      </w:r>
      <w:r>
        <w:rPr>
          <w:snapToGrid w:val="0"/>
        </w:rPr>
        <w:t>.</w:t>
      </w:r>
      <w:r>
        <w:rPr>
          <w:snapToGrid w:val="0"/>
        </w:rPr>
        <w:tab/>
        <w:t>Unlawful directions</w:t>
      </w:r>
      <w:r>
        <w:tab/>
      </w:r>
      <w:r>
        <w:fldChar w:fldCharType="begin"/>
      </w:r>
      <w:r>
        <w:instrText xml:space="preserve"> PAGEREF _Toc379194597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3 — Duties of directors of certain corporations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7</w:t>
      </w:r>
      <w:r>
        <w:rPr>
          <w:snapToGrid w:val="0"/>
        </w:rPr>
        <w:t>.</w:t>
      </w:r>
      <w:r>
        <w:rPr>
          <w:snapToGrid w:val="0"/>
        </w:rPr>
        <w:tab/>
        <w:t>Terms used; attempted offences; application of Part</w:t>
      </w:r>
      <w:r>
        <w:tab/>
      </w:r>
      <w:r>
        <w:fldChar w:fldCharType="begin"/>
      </w:r>
      <w:r>
        <w:instrText xml:space="preserve"> PAGEREF _Toc379194600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Amendment of Sch. 1</w:t>
      </w:r>
      <w:r>
        <w:tab/>
      </w:r>
      <w:r>
        <w:fldChar w:fldCharType="begin"/>
      </w:r>
      <w:r>
        <w:instrText xml:space="preserve"> PAGEREF _Toc379194601 \h </w:instrText>
      </w:r>
      <w:r>
        <w:fldChar w:fldCharType="separate"/>
      </w:r>
      <w:r>
        <w:t>5</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Duties stated</w:t>
      </w:r>
    </w:p>
    <w:p>
      <w:pPr>
        <w:pStyle w:val="TOC8"/>
        <w:rPr>
          <w:rFonts w:asciiTheme="minorHAnsi" w:eastAsiaTheme="minorEastAsia" w:hAnsiTheme="minorHAnsi" w:cstheme="minorBidi"/>
          <w:szCs w:val="22"/>
        </w:rPr>
      </w:pPr>
      <w:r>
        <w:t>9</w:t>
      </w:r>
      <w:r>
        <w:rPr>
          <w:snapToGrid w:val="0"/>
        </w:rPr>
        <w:t>.</w:t>
      </w:r>
      <w:r>
        <w:rPr>
          <w:snapToGrid w:val="0"/>
        </w:rPr>
        <w:tab/>
        <w:t>Duty to act honestly</w:t>
      </w:r>
      <w:r>
        <w:tab/>
      </w:r>
      <w:r>
        <w:fldChar w:fldCharType="begin"/>
      </w:r>
      <w:r>
        <w:instrText xml:space="preserve"> PAGEREF _Toc379194603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Duty to exercise reasonable care and diligence</w:t>
      </w:r>
      <w:r>
        <w:tab/>
      </w:r>
      <w:r>
        <w:fldChar w:fldCharType="begin"/>
      </w:r>
      <w:r>
        <w:instrText xml:space="preserve"> PAGEREF _Toc379194604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Duty not to make improper use of information</w:t>
      </w:r>
      <w:r>
        <w:tab/>
      </w:r>
      <w:r>
        <w:fldChar w:fldCharType="begin"/>
      </w:r>
      <w:r>
        <w:instrText xml:space="preserve"> PAGEREF _Toc379194605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Duty not to make improper use of position</w:t>
      </w:r>
      <w:r>
        <w:tab/>
      </w:r>
      <w:r>
        <w:fldChar w:fldCharType="begin"/>
      </w:r>
      <w:r>
        <w:instrText xml:space="preserve"> PAGEREF _Toc379194606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Compensation</w:t>
      </w:r>
    </w:p>
    <w:p>
      <w:pPr>
        <w:pStyle w:val="TOC8"/>
        <w:rPr>
          <w:rFonts w:asciiTheme="minorHAnsi" w:eastAsiaTheme="minorEastAsia" w:hAnsiTheme="minorHAnsi" w:cstheme="minorBidi"/>
          <w:szCs w:val="22"/>
        </w:rPr>
      </w:pPr>
      <w:r>
        <w:t>13</w:t>
      </w:r>
      <w:r>
        <w:rPr>
          <w:snapToGrid w:val="0"/>
        </w:rPr>
        <w:t>.</w:t>
      </w:r>
      <w:r>
        <w:rPr>
          <w:snapToGrid w:val="0"/>
        </w:rPr>
        <w:tab/>
        <w:t>Compensation may be ordered for breach of s. 9, 10, 11 or 12</w:t>
      </w:r>
      <w:r>
        <w:tab/>
      </w:r>
      <w:r>
        <w:fldChar w:fldCharType="begin"/>
      </w:r>
      <w:r>
        <w:instrText xml:space="preserve"> PAGEREF _Toc379194608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Civil proceedings for breach of s. 9, 10, 11 or 12</w:t>
      </w:r>
      <w:r>
        <w:tab/>
      </w:r>
      <w:r>
        <w:fldChar w:fldCharType="begin"/>
      </w:r>
      <w:r>
        <w:instrText xml:space="preserve"> PAGEREF _Toc379194609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Corporation’s power to insure</w:t>
      </w:r>
      <w:r>
        <w:tab/>
      </w:r>
      <w:r>
        <w:fldChar w:fldCharType="begin"/>
      </w:r>
      <w:r>
        <w:instrText xml:space="preserve"> PAGEREF _Toc379194610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Ministerial directions</w:t>
      </w:r>
    </w:p>
    <w:p>
      <w:pPr>
        <w:pStyle w:val="TOC8"/>
        <w:rPr>
          <w:rFonts w:asciiTheme="minorHAnsi" w:eastAsiaTheme="minorEastAsia" w:hAnsiTheme="minorHAnsi" w:cstheme="minorBidi"/>
          <w:szCs w:val="22"/>
        </w:rPr>
      </w:pPr>
      <w:r>
        <w:t>16</w:t>
      </w:r>
      <w:r>
        <w:rPr>
          <w:snapToGrid w:val="0"/>
        </w:rPr>
        <w:t>.</w:t>
      </w:r>
      <w:r>
        <w:rPr>
          <w:snapToGrid w:val="0"/>
        </w:rPr>
        <w:tab/>
        <w:t>Terms used</w:t>
      </w:r>
      <w:r>
        <w:tab/>
      </w:r>
      <w:r>
        <w:fldChar w:fldCharType="begin"/>
      </w:r>
      <w:r>
        <w:instrText xml:space="preserve"> PAGEREF _Toc379194612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Governing body may question direction</w:t>
      </w:r>
      <w:r>
        <w:tab/>
      </w:r>
      <w:r>
        <w:fldChar w:fldCharType="begin"/>
      </w:r>
      <w:r>
        <w:instrText xml:space="preserve"> PAGEREF _Toc379194613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Corporation may challenge direction</w:t>
      </w:r>
      <w:r>
        <w:tab/>
      </w:r>
      <w:r>
        <w:fldChar w:fldCharType="begin"/>
      </w:r>
      <w:r>
        <w:instrText xml:space="preserve"> PAGEREF _Toc379194614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Protection of directors</w:t>
      </w:r>
      <w:r>
        <w:tab/>
      </w:r>
      <w:r>
        <w:fldChar w:fldCharType="begin"/>
      </w:r>
      <w:r>
        <w:instrText xml:space="preserve"> PAGEREF _Toc379194615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4 — Relief from liability</w:t>
      </w:r>
    </w:p>
    <w:p>
      <w:pPr>
        <w:pStyle w:val="TOC8"/>
        <w:rPr>
          <w:rFonts w:asciiTheme="minorHAnsi" w:eastAsiaTheme="minorEastAsia" w:hAnsiTheme="minorHAnsi" w:cstheme="minorBidi"/>
          <w:szCs w:val="22"/>
        </w:rPr>
      </w:pPr>
      <w:r>
        <w:t>20</w:t>
      </w:r>
      <w:r>
        <w:rPr>
          <w:snapToGrid w:val="0"/>
        </w:rPr>
        <w:t>.</w:t>
      </w:r>
      <w:r>
        <w:rPr>
          <w:snapToGrid w:val="0"/>
        </w:rPr>
        <w:tab/>
        <w:t>Relief from liability under s. 5, 13 and 14</w:t>
      </w:r>
      <w:r>
        <w:tab/>
      </w:r>
      <w:r>
        <w:fldChar w:fldCharType="begin"/>
      </w:r>
      <w:r>
        <w:instrText xml:space="preserve"> PAGEREF _Toc379194617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for relief from liability under s. 5, 13 or 14</w:t>
      </w:r>
      <w:r>
        <w:tab/>
      </w:r>
      <w:r>
        <w:fldChar w:fldCharType="begin"/>
      </w:r>
      <w:r>
        <w:instrText xml:space="preserve"> PAGEREF _Toc379194618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Case may be withdrawn from jury</w:t>
      </w:r>
      <w:r>
        <w:tab/>
      </w:r>
      <w:r>
        <w:fldChar w:fldCharType="begin"/>
      </w:r>
      <w:r>
        <w:instrText xml:space="preserve"> PAGEREF _Toc379194619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Schedule 1 — Persons who are directors under Part 3</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_Toc379194622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80" w:after="1000"/>
      </w:pPr>
      <w:r>
        <w:t>Statutory Corporations (Liability of Directors) Act 1996</w:t>
      </w:r>
    </w:p>
    <w:p>
      <w:pPr>
        <w:pStyle w:val="LongTitle"/>
        <w:rPr>
          <w:snapToGrid w:val="0"/>
        </w:rPr>
      </w:pPr>
      <w:r>
        <w:rPr>
          <w:snapToGrid w:val="0"/>
        </w:rPr>
        <w:t xml:space="preserve">An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1" w:name="_Toc379194588"/>
      <w:r>
        <w:rPr>
          <w:rStyle w:val="CharPartNo"/>
        </w:rPr>
        <w:t>Part 1</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379194589"/>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 xml:space="preserve"> </w:t>
      </w:r>
      <w:r>
        <w:rPr>
          <w:snapToGrid w:val="0"/>
          <w:vertAlign w:val="superscript"/>
        </w:rPr>
        <w:t>1</w:t>
      </w:r>
      <w:r>
        <w:rPr>
          <w:snapToGrid w:val="0"/>
        </w:rPr>
        <w:t>.</w:t>
      </w:r>
    </w:p>
    <w:p>
      <w:pPr>
        <w:pStyle w:val="Heading5"/>
        <w:rPr>
          <w:snapToGrid w:val="0"/>
        </w:rPr>
      </w:pPr>
      <w:bookmarkStart w:id="3" w:name="_Toc379194590"/>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Ednotesection"/>
      </w:pPr>
      <w:r>
        <w:t>[</w:t>
      </w:r>
      <w:r>
        <w:rPr>
          <w:b/>
        </w:rPr>
        <w:t>3.</w:t>
      </w:r>
      <w:r>
        <w:tab/>
        <w:t>Omitted under the Reprints Act 1984 s. 7(4)(e).]</w:t>
      </w:r>
    </w:p>
    <w:p>
      <w:pPr>
        <w:pStyle w:val="Heading2"/>
      </w:pPr>
      <w:bookmarkStart w:id="4" w:name="_Toc379194591"/>
      <w:r>
        <w:rPr>
          <w:rStyle w:val="CharPartNo"/>
        </w:rPr>
        <w:t>Part 2</w:t>
      </w:r>
      <w:r>
        <w:t> — </w:t>
      </w:r>
      <w:r>
        <w:rPr>
          <w:rStyle w:val="CharPartText"/>
        </w:rPr>
        <w:t>Statutory corporations generally</w:t>
      </w:r>
      <w:bookmarkEnd w:id="4"/>
      <w:r>
        <w:rPr>
          <w:rStyle w:val="CharPartText"/>
        </w:rPr>
        <w:t xml:space="preserve"> </w:t>
      </w:r>
    </w:p>
    <w:p>
      <w:pPr>
        <w:pStyle w:val="Heading3"/>
        <w:rPr>
          <w:snapToGrid w:val="0"/>
        </w:rPr>
      </w:pPr>
      <w:bookmarkStart w:id="5" w:name="_Toc379194592"/>
      <w:r>
        <w:rPr>
          <w:rStyle w:val="CharDivNo"/>
        </w:rPr>
        <w:t>Division 1</w:t>
      </w:r>
      <w:r>
        <w:rPr>
          <w:snapToGrid w:val="0"/>
        </w:rPr>
        <w:t> — </w:t>
      </w:r>
      <w:r>
        <w:rPr>
          <w:rStyle w:val="CharDivText"/>
        </w:rPr>
        <w:t>Interpretation</w:t>
      </w:r>
      <w:bookmarkEnd w:id="5"/>
      <w:r>
        <w:rPr>
          <w:rStyle w:val="CharDivText"/>
        </w:rPr>
        <w:t xml:space="preserve"> </w:t>
      </w:r>
    </w:p>
    <w:p>
      <w:pPr>
        <w:pStyle w:val="Heading5"/>
        <w:rPr>
          <w:snapToGrid w:val="0"/>
        </w:rPr>
      </w:pPr>
      <w:bookmarkStart w:id="6" w:name="_Toc379194593"/>
      <w:r>
        <w:rPr>
          <w:rStyle w:val="CharSectno"/>
        </w:rPr>
        <w:t>4</w:t>
      </w:r>
      <w:r>
        <w:rPr>
          <w:snapToGrid w:val="0"/>
        </w:rPr>
        <w:t>.</w:t>
      </w:r>
      <w:r>
        <w:rPr>
          <w:snapToGrid w:val="0"/>
        </w:rPr>
        <w:tab/>
        <w:t>Terms used</w:t>
      </w:r>
      <w:bookmarkEnd w:id="6"/>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corporation</w:t>
      </w:r>
      <w:r>
        <w:t xml:space="preserve"> means any body corporate established for a public purpose by a written law, but does not include a local government;</w:t>
      </w:r>
    </w:p>
    <w:p>
      <w:pPr>
        <w:pStyle w:val="Defstart"/>
      </w:pPr>
      <w:r>
        <w:rPr>
          <w:b/>
        </w:rPr>
        <w:tab/>
      </w:r>
      <w:r>
        <w:rPr>
          <w:rStyle w:val="CharDefText"/>
        </w:rPr>
        <w:t>director</w:t>
      </w:r>
      <w:r>
        <w:t xml:space="preserve"> means — </w:t>
      </w:r>
    </w:p>
    <w:p>
      <w:pPr>
        <w:pStyle w:val="Defpara"/>
      </w:pPr>
      <w:r>
        <w:tab/>
        <w:t>(a)</w:t>
      </w:r>
      <w:r>
        <w:tab/>
        <w:t>a member of the governing body of a corporation or, if the corporation is governed by one person, that person; or</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Footnotesection"/>
      </w:pPr>
      <w:r>
        <w:tab/>
        <w:t>[Section 4 amended by No. 8 of 2009 s. 121.]</w:t>
      </w:r>
    </w:p>
    <w:p>
      <w:pPr>
        <w:pStyle w:val="Heading3"/>
        <w:rPr>
          <w:snapToGrid w:val="0"/>
        </w:rPr>
      </w:pPr>
      <w:bookmarkStart w:id="7" w:name="_Toc379194594"/>
      <w:r>
        <w:rPr>
          <w:rStyle w:val="CharDivNo"/>
        </w:rPr>
        <w:t>Division 2</w:t>
      </w:r>
      <w:r>
        <w:rPr>
          <w:snapToGrid w:val="0"/>
        </w:rPr>
        <w:t> — </w:t>
      </w:r>
      <w:r>
        <w:rPr>
          <w:rStyle w:val="CharDivText"/>
        </w:rPr>
        <w:t>Duties of directors stated</w:t>
      </w:r>
      <w:bookmarkEnd w:id="7"/>
      <w:r>
        <w:rPr>
          <w:rStyle w:val="CharDivText"/>
        </w:rPr>
        <w:t xml:space="preserve"> </w:t>
      </w:r>
    </w:p>
    <w:p>
      <w:pPr>
        <w:pStyle w:val="Heading5"/>
        <w:rPr>
          <w:snapToGrid w:val="0"/>
        </w:rPr>
      </w:pPr>
      <w:bookmarkStart w:id="8" w:name="_Toc379194595"/>
      <w:r>
        <w:rPr>
          <w:rStyle w:val="CharSectno"/>
        </w:rPr>
        <w:t>5</w:t>
      </w:r>
      <w:r>
        <w:rPr>
          <w:snapToGrid w:val="0"/>
        </w:rPr>
        <w:t>.</w:t>
      </w:r>
      <w:r>
        <w:rPr>
          <w:snapToGrid w:val="0"/>
        </w:rPr>
        <w:tab/>
        <w:t>Directors’ fiduciary relationship with and duties to corporation</w:t>
      </w:r>
      <w:bookmarkEnd w:id="8"/>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 or</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by No. 10 of 2001 s. 220.]</w:t>
      </w:r>
    </w:p>
    <w:p>
      <w:pPr>
        <w:pStyle w:val="Heading3"/>
        <w:rPr>
          <w:snapToGrid w:val="0"/>
        </w:rPr>
      </w:pPr>
      <w:bookmarkStart w:id="9" w:name="_Toc379194596"/>
      <w:r>
        <w:rPr>
          <w:rStyle w:val="CharDivNo"/>
        </w:rPr>
        <w:t>Division 3</w:t>
      </w:r>
      <w:r>
        <w:rPr>
          <w:snapToGrid w:val="0"/>
        </w:rPr>
        <w:t> — </w:t>
      </w:r>
      <w:r>
        <w:rPr>
          <w:rStyle w:val="CharDivText"/>
        </w:rPr>
        <w:t>Ministerial directions</w:t>
      </w:r>
      <w:bookmarkEnd w:id="9"/>
      <w:r>
        <w:rPr>
          <w:rStyle w:val="CharDivText"/>
        </w:rPr>
        <w:t xml:space="preserve"> </w:t>
      </w:r>
    </w:p>
    <w:p>
      <w:pPr>
        <w:pStyle w:val="Heading5"/>
        <w:rPr>
          <w:snapToGrid w:val="0"/>
        </w:rPr>
      </w:pPr>
      <w:bookmarkStart w:id="10" w:name="_Toc379194597"/>
      <w:r>
        <w:rPr>
          <w:rStyle w:val="CharSectno"/>
        </w:rPr>
        <w:t>6</w:t>
      </w:r>
      <w:r>
        <w:rPr>
          <w:snapToGrid w:val="0"/>
        </w:rPr>
        <w:t>.</w:t>
      </w:r>
      <w:r>
        <w:rPr>
          <w:snapToGrid w:val="0"/>
        </w:rPr>
        <w:tab/>
        <w:t>Unlawful directions</w:t>
      </w:r>
      <w:bookmarkEnd w:id="10"/>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11" w:name="_Toc379194598"/>
      <w:r>
        <w:rPr>
          <w:rStyle w:val="CharPartNo"/>
        </w:rPr>
        <w:t>Part 3</w:t>
      </w:r>
      <w:r>
        <w:t> — </w:t>
      </w:r>
      <w:r>
        <w:rPr>
          <w:rStyle w:val="CharPartText"/>
        </w:rPr>
        <w:t>Duties of directors of certain corporations</w:t>
      </w:r>
      <w:bookmarkEnd w:id="11"/>
      <w:r>
        <w:rPr>
          <w:rStyle w:val="CharPartText"/>
        </w:rPr>
        <w:t xml:space="preserve"> </w:t>
      </w:r>
    </w:p>
    <w:p>
      <w:pPr>
        <w:pStyle w:val="Heading3"/>
        <w:rPr>
          <w:snapToGrid w:val="0"/>
        </w:rPr>
      </w:pPr>
      <w:bookmarkStart w:id="12" w:name="_Toc379194599"/>
      <w:r>
        <w:rPr>
          <w:rStyle w:val="CharDivNo"/>
        </w:rPr>
        <w:t>Division 1</w:t>
      </w:r>
      <w:r>
        <w:rPr>
          <w:snapToGrid w:val="0"/>
        </w:rPr>
        <w:t> — </w:t>
      </w:r>
      <w:r>
        <w:rPr>
          <w:rStyle w:val="CharDivText"/>
        </w:rPr>
        <w:t>Interpretation</w:t>
      </w:r>
      <w:bookmarkEnd w:id="12"/>
      <w:r>
        <w:rPr>
          <w:rStyle w:val="CharDivText"/>
        </w:rPr>
        <w:t xml:space="preserve"> </w:t>
      </w:r>
    </w:p>
    <w:p>
      <w:pPr>
        <w:pStyle w:val="Heading5"/>
        <w:rPr>
          <w:snapToGrid w:val="0"/>
        </w:rPr>
      </w:pPr>
      <w:bookmarkStart w:id="13" w:name="_Toc379194600"/>
      <w:r>
        <w:rPr>
          <w:rStyle w:val="CharSectno"/>
        </w:rPr>
        <w:t>7</w:t>
      </w:r>
      <w:r>
        <w:rPr>
          <w:snapToGrid w:val="0"/>
        </w:rPr>
        <w:t>.</w:t>
      </w:r>
      <w:r>
        <w:rPr>
          <w:snapToGrid w:val="0"/>
        </w:rPr>
        <w:tab/>
        <w:t>Terms used; attempted offences; application of Part</w:t>
      </w:r>
      <w:bookmarkEnd w:id="13"/>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corporation</w:t>
      </w:r>
      <w:r>
        <w:t>, in relation to a director, means the body specified in the first column in Schedule 1 opposite the reference in the second column that includes that director;</w:t>
      </w:r>
    </w:p>
    <w:p>
      <w:pPr>
        <w:pStyle w:val="Defstart"/>
      </w:pPr>
      <w:r>
        <w:rPr>
          <w:b/>
        </w:rPr>
        <w:tab/>
      </w:r>
      <w:r>
        <w:rPr>
          <w:rStyle w:val="CharDefText"/>
        </w:rPr>
        <w:t>director</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 or</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by No. 4 of 2004 s. 58.]</w:t>
      </w:r>
    </w:p>
    <w:p>
      <w:pPr>
        <w:pStyle w:val="Heading5"/>
        <w:rPr>
          <w:snapToGrid w:val="0"/>
        </w:rPr>
      </w:pPr>
      <w:bookmarkStart w:id="14" w:name="_Toc379194601"/>
      <w:r>
        <w:rPr>
          <w:rStyle w:val="CharSectno"/>
        </w:rPr>
        <w:t>8</w:t>
      </w:r>
      <w:r>
        <w:rPr>
          <w:snapToGrid w:val="0"/>
        </w:rPr>
        <w:t>.</w:t>
      </w:r>
      <w:r>
        <w:rPr>
          <w:snapToGrid w:val="0"/>
        </w:rPr>
        <w:tab/>
        <w:t>Amendment of Sch. 1</w:t>
      </w:r>
      <w:bookmarkEnd w:id="14"/>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15" w:name="_Toc379194602"/>
      <w:r>
        <w:rPr>
          <w:rStyle w:val="CharDivNo"/>
        </w:rPr>
        <w:t>Division 2</w:t>
      </w:r>
      <w:r>
        <w:rPr>
          <w:snapToGrid w:val="0"/>
        </w:rPr>
        <w:t> — </w:t>
      </w:r>
      <w:r>
        <w:rPr>
          <w:rStyle w:val="CharDivText"/>
        </w:rPr>
        <w:t>Duties stated</w:t>
      </w:r>
      <w:bookmarkEnd w:id="15"/>
      <w:r>
        <w:rPr>
          <w:rStyle w:val="CharDivText"/>
        </w:rPr>
        <w:t xml:space="preserve"> </w:t>
      </w:r>
    </w:p>
    <w:p>
      <w:pPr>
        <w:pStyle w:val="Heading5"/>
        <w:spacing w:before="180"/>
        <w:rPr>
          <w:snapToGrid w:val="0"/>
        </w:rPr>
      </w:pPr>
      <w:bookmarkStart w:id="16" w:name="_Toc379194603"/>
      <w:r>
        <w:rPr>
          <w:rStyle w:val="CharSectno"/>
        </w:rPr>
        <w:t>9</w:t>
      </w:r>
      <w:r>
        <w:rPr>
          <w:snapToGrid w:val="0"/>
        </w:rPr>
        <w:t>.</w:t>
      </w:r>
      <w:r>
        <w:rPr>
          <w:snapToGrid w:val="0"/>
        </w:rPr>
        <w:tab/>
        <w:t>Duty to act honestly</w:t>
      </w:r>
      <w:bookmarkEnd w:id="16"/>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spacing w:before="80"/>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spacing w:before="180"/>
        <w:rPr>
          <w:snapToGrid w:val="0"/>
        </w:rPr>
      </w:pPr>
      <w:bookmarkStart w:id="17" w:name="_Toc379194604"/>
      <w:r>
        <w:rPr>
          <w:rStyle w:val="CharSectno"/>
        </w:rPr>
        <w:t>10</w:t>
      </w:r>
      <w:r>
        <w:rPr>
          <w:snapToGrid w:val="0"/>
        </w:rPr>
        <w:t>.</w:t>
      </w:r>
      <w:r>
        <w:rPr>
          <w:snapToGrid w:val="0"/>
        </w:rPr>
        <w:tab/>
        <w:t>Duty to exercise reasonable care and diligence</w:t>
      </w:r>
      <w:bookmarkEnd w:id="17"/>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18" w:name="_Toc379194605"/>
      <w:r>
        <w:rPr>
          <w:rStyle w:val="CharSectno"/>
        </w:rPr>
        <w:t>11</w:t>
      </w:r>
      <w:r>
        <w:rPr>
          <w:snapToGrid w:val="0"/>
        </w:rPr>
        <w:t>.</w:t>
      </w:r>
      <w:r>
        <w:rPr>
          <w:snapToGrid w:val="0"/>
        </w:rPr>
        <w:tab/>
        <w:t>Duty not to make improper use of information</w:t>
      </w:r>
      <w:bookmarkEnd w:id="18"/>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19" w:name="_Toc379194606"/>
      <w:r>
        <w:rPr>
          <w:rStyle w:val="CharSectno"/>
        </w:rPr>
        <w:t>12</w:t>
      </w:r>
      <w:r>
        <w:rPr>
          <w:snapToGrid w:val="0"/>
        </w:rPr>
        <w:t>.</w:t>
      </w:r>
      <w:r>
        <w:rPr>
          <w:snapToGrid w:val="0"/>
        </w:rPr>
        <w:tab/>
        <w:t>Duty not to make improper use of position</w:t>
      </w:r>
      <w:bookmarkEnd w:id="19"/>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20" w:name="_Toc379194607"/>
      <w:r>
        <w:rPr>
          <w:rStyle w:val="CharDivNo"/>
        </w:rPr>
        <w:t>Division 3</w:t>
      </w:r>
      <w:r>
        <w:rPr>
          <w:snapToGrid w:val="0"/>
        </w:rPr>
        <w:t> — </w:t>
      </w:r>
      <w:r>
        <w:rPr>
          <w:rStyle w:val="CharDivText"/>
        </w:rPr>
        <w:t>Compensation</w:t>
      </w:r>
      <w:bookmarkEnd w:id="20"/>
      <w:r>
        <w:rPr>
          <w:rStyle w:val="CharDivText"/>
        </w:rPr>
        <w:t xml:space="preserve"> </w:t>
      </w:r>
    </w:p>
    <w:p>
      <w:pPr>
        <w:pStyle w:val="Heading5"/>
        <w:rPr>
          <w:snapToGrid w:val="0"/>
        </w:rPr>
      </w:pPr>
      <w:bookmarkStart w:id="21" w:name="_Toc379194608"/>
      <w:r>
        <w:rPr>
          <w:rStyle w:val="CharSectno"/>
        </w:rPr>
        <w:t>13</w:t>
      </w:r>
      <w:r>
        <w:rPr>
          <w:snapToGrid w:val="0"/>
        </w:rPr>
        <w:t>.</w:t>
      </w:r>
      <w:r>
        <w:rPr>
          <w:snapToGrid w:val="0"/>
        </w:rPr>
        <w:tab/>
        <w:t>Compensation may be ordered for breach of s. 9, 10, 11 or 12</w:t>
      </w:r>
      <w:bookmarkEnd w:id="21"/>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22" w:name="_Toc379194609"/>
      <w:r>
        <w:rPr>
          <w:rStyle w:val="CharSectno"/>
        </w:rPr>
        <w:t>14</w:t>
      </w:r>
      <w:r>
        <w:rPr>
          <w:snapToGrid w:val="0"/>
        </w:rPr>
        <w:t>.</w:t>
      </w:r>
      <w:r>
        <w:rPr>
          <w:snapToGrid w:val="0"/>
        </w:rPr>
        <w:tab/>
        <w:t>Civil proceedings for breach of s. 9, 10, 11 or 12</w:t>
      </w:r>
      <w:bookmarkEnd w:id="22"/>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23" w:name="_Toc379194610"/>
      <w:r>
        <w:rPr>
          <w:rStyle w:val="CharSectno"/>
        </w:rPr>
        <w:t>15</w:t>
      </w:r>
      <w:r>
        <w:rPr>
          <w:snapToGrid w:val="0"/>
        </w:rPr>
        <w:t>.</w:t>
      </w:r>
      <w:r>
        <w:rPr>
          <w:snapToGrid w:val="0"/>
        </w:rPr>
        <w:tab/>
        <w:t>Corporation’s power to insure</w:t>
      </w:r>
      <w:bookmarkEnd w:id="23"/>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responsible Minister</w:t>
      </w:r>
      <w:r>
        <w:t xml:space="preserve"> means the Minister responsible for the administration of the Act under which the corporation is established.</w:t>
      </w:r>
    </w:p>
    <w:p>
      <w:pPr>
        <w:pStyle w:val="Heading3"/>
        <w:keepNext w:val="0"/>
        <w:rPr>
          <w:snapToGrid w:val="0"/>
        </w:rPr>
      </w:pPr>
      <w:bookmarkStart w:id="24" w:name="_Toc379194611"/>
      <w:r>
        <w:rPr>
          <w:rStyle w:val="CharDivNo"/>
        </w:rPr>
        <w:t>Division 4</w:t>
      </w:r>
      <w:r>
        <w:rPr>
          <w:snapToGrid w:val="0"/>
        </w:rPr>
        <w:t> — </w:t>
      </w:r>
      <w:r>
        <w:rPr>
          <w:rStyle w:val="CharDivText"/>
        </w:rPr>
        <w:t>Ministerial directions</w:t>
      </w:r>
      <w:bookmarkEnd w:id="24"/>
      <w:r>
        <w:rPr>
          <w:rStyle w:val="CharDivText"/>
        </w:rPr>
        <w:t xml:space="preserve"> </w:t>
      </w:r>
    </w:p>
    <w:p>
      <w:pPr>
        <w:pStyle w:val="Heading5"/>
        <w:keepNext w:val="0"/>
        <w:keepLines w:val="0"/>
        <w:rPr>
          <w:snapToGrid w:val="0"/>
        </w:rPr>
      </w:pPr>
      <w:bookmarkStart w:id="25" w:name="_Toc379194612"/>
      <w:r>
        <w:rPr>
          <w:rStyle w:val="CharSectno"/>
        </w:rPr>
        <w:t>16</w:t>
      </w:r>
      <w:r>
        <w:rPr>
          <w:snapToGrid w:val="0"/>
        </w:rPr>
        <w:t>.</w:t>
      </w:r>
      <w:r>
        <w:rPr>
          <w:snapToGrid w:val="0"/>
        </w:rPr>
        <w:tab/>
        <w:t>Terms used</w:t>
      </w:r>
      <w:bookmarkEnd w:id="25"/>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r>
      <w:r>
        <w:rPr>
          <w:rStyle w:val="CharDefText"/>
        </w:rPr>
        <w:t>governing body</w:t>
      </w:r>
      <w:r>
        <w:t>, in relation to a corporation whose affairs are managed by its members, means the members of the corporation;</w:t>
      </w:r>
    </w:p>
    <w:p>
      <w:pPr>
        <w:pStyle w:val="Defstart"/>
      </w:pPr>
      <w:r>
        <w:rPr>
          <w:b/>
        </w:rPr>
        <w:tab/>
      </w:r>
      <w:r>
        <w:rPr>
          <w:rStyle w:val="CharDefText"/>
        </w:rPr>
        <w:t>responsible Minister</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26" w:name="_Toc379194613"/>
      <w:r>
        <w:rPr>
          <w:rStyle w:val="CharSectno"/>
        </w:rPr>
        <w:t>17</w:t>
      </w:r>
      <w:r>
        <w:rPr>
          <w:snapToGrid w:val="0"/>
        </w:rPr>
        <w:t>.</w:t>
      </w:r>
      <w:r>
        <w:rPr>
          <w:snapToGrid w:val="0"/>
        </w:rPr>
        <w:tab/>
        <w:t>Governing body may question direction</w:t>
      </w:r>
      <w:bookmarkEnd w:id="26"/>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27" w:name="_Toc379194614"/>
      <w:r>
        <w:rPr>
          <w:rStyle w:val="CharSectno"/>
        </w:rPr>
        <w:t>18</w:t>
      </w:r>
      <w:r>
        <w:rPr>
          <w:snapToGrid w:val="0"/>
        </w:rPr>
        <w:t>.</w:t>
      </w:r>
      <w:r>
        <w:rPr>
          <w:snapToGrid w:val="0"/>
        </w:rPr>
        <w:tab/>
        <w:t>Corporation may challenge direction</w:t>
      </w:r>
      <w:bookmarkEnd w:id="27"/>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28" w:name="_Toc379194615"/>
      <w:r>
        <w:rPr>
          <w:rStyle w:val="CharSectno"/>
        </w:rPr>
        <w:t>19</w:t>
      </w:r>
      <w:r>
        <w:rPr>
          <w:snapToGrid w:val="0"/>
        </w:rPr>
        <w:t>.</w:t>
      </w:r>
      <w:r>
        <w:rPr>
          <w:snapToGrid w:val="0"/>
        </w:rPr>
        <w:tab/>
        <w:t>Protection of directors</w:t>
      </w:r>
      <w:bookmarkEnd w:id="28"/>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29" w:name="_Toc379194616"/>
      <w:r>
        <w:rPr>
          <w:rStyle w:val="CharPartNo"/>
        </w:rPr>
        <w:t>Part 4</w:t>
      </w:r>
      <w:r>
        <w:rPr>
          <w:rStyle w:val="CharDivNo"/>
        </w:rPr>
        <w:t> </w:t>
      </w:r>
      <w:r>
        <w:t>—</w:t>
      </w:r>
      <w:r>
        <w:rPr>
          <w:rStyle w:val="CharDivText"/>
        </w:rPr>
        <w:t> </w:t>
      </w:r>
      <w:r>
        <w:rPr>
          <w:rStyle w:val="CharPartText"/>
        </w:rPr>
        <w:t>Relief from liability</w:t>
      </w:r>
      <w:bookmarkEnd w:id="29"/>
      <w:r>
        <w:rPr>
          <w:rStyle w:val="CharPartText"/>
        </w:rPr>
        <w:t xml:space="preserve"> </w:t>
      </w:r>
    </w:p>
    <w:p>
      <w:pPr>
        <w:pStyle w:val="Heading5"/>
        <w:rPr>
          <w:snapToGrid w:val="0"/>
        </w:rPr>
      </w:pPr>
      <w:bookmarkStart w:id="30" w:name="_Toc379194617"/>
      <w:r>
        <w:rPr>
          <w:rStyle w:val="CharSectno"/>
        </w:rPr>
        <w:t>20</w:t>
      </w:r>
      <w:r>
        <w:rPr>
          <w:snapToGrid w:val="0"/>
        </w:rPr>
        <w:t>.</w:t>
      </w:r>
      <w:r>
        <w:rPr>
          <w:snapToGrid w:val="0"/>
        </w:rPr>
        <w:tab/>
        <w:t>Relief from liability under s. 5, 13 and 14</w:t>
      </w:r>
      <w:bookmarkEnd w:id="30"/>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 and</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31" w:name="_Toc379194618"/>
      <w:r>
        <w:rPr>
          <w:rStyle w:val="CharSectno"/>
        </w:rPr>
        <w:t>21</w:t>
      </w:r>
      <w:r>
        <w:rPr>
          <w:snapToGrid w:val="0"/>
        </w:rPr>
        <w:t>.</w:t>
      </w:r>
      <w:r>
        <w:rPr>
          <w:snapToGrid w:val="0"/>
        </w:rPr>
        <w:tab/>
        <w:t>Application for relief from liability under s. 5, 13 or 14</w:t>
      </w:r>
      <w:bookmarkEnd w:id="31"/>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32" w:name="_Toc379194619"/>
      <w:r>
        <w:rPr>
          <w:rStyle w:val="CharSectno"/>
        </w:rPr>
        <w:t>22</w:t>
      </w:r>
      <w:r>
        <w:rPr>
          <w:snapToGrid w:val="0"/>
        </w:rPr>
        <w:t>.</w:t>
      </w:r>
      <w:r>
        <w:rPr>
          <w:snapToGrid w:val="0"/>
        </w:rPr>
        <w:tab/>
        <w:t>Case may be withdrawn from jury</w:t>
      </w:r>
      <w:bookmarkEnd w:id="32"/>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3" w:name="_Toc379194620"/>
      <w:r>
        <w:rPr>
          <w:rStyle w:val="CharSchNo"/>
        </w:rPr>
        <w:t>Schedule 1</w:t>
      </w:r>
      <w:r>
        <w:t> — </w:t>
      </w:r>
      <w:r>
        <w:rPr>
          <w:rStyle w:val="CharSchText"/>
        </w:rPr>
        <w:t>Persons who are directors under Part 3</w:t>
      </w:r>
      <w:bookmarkEnd w:id="33"/>
    </w:p>
    <w:p>
      <w:pPr>
        <w:pStyle w:val="yShoulderClause"/>
        <w:spacing w:after="60"/>
        <w:rPr>
          <w:snapToGrid w:val="0"/>
        </w:rPr>
      </w:pPr>
      <w:r>
        <w:rPr>
          <w:snapToGrid w:val="0"/>
        </w:rPr>
        <w:t>[s. 7(1)]</w:t>
      </w:r>
    </w:p>
    <w:p>
      <w:pPr>
        <w:pStyle w:val="yFootnoteheading"/>
        <w:spacing w:after="40"/>
      </w:pPr>
      <w:r>
        <w:tab/>
        <w:t>[Heading amended by No. 19 of 2010 s. 4.]</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NAm"/>
              <w:rPr>
                <w:b/>
              </w:rPr>
            </w:pPr>
            <w:r>
              <w:rPr>
                <w:b/>
              </w:rPr>
              <w:t>Corporation</w:t>
            </w:r>
          </w:p>
        </w:tc>
        <w:tc>
          <w:tcPr>
            <w:tcW w:w="2410" w:type="dxa"/>
            <w:tcBorders>
              <w:top w:val="single" w:sz="4" w:space="0" w:color="auto"/>
              <w:bottom w:val="single" w:sz="4" w:space="0" w:color="auto"/>
            </w:tcBorders>
          </w:tcPr>
          <w:p>
            <w:pPr>
              <w:pStyle w:val="yTableNAm"/>
              <w:spacing w:after="40"/>
              <w:rPr>
                <w:b/>
              </w:rPr>
            </w:pPr>
            <w:r>
              <w:rPr>
                <w:b/>
              </w:rPr>
              <w:t>Persons who are directors for the purposes of this Act</w:t>
            </w:r>
          </w:p>
        </w:tc>
        <w:tc>
          <w:tcPr>
            <w:tcW w:w="2126" w:type="dxa"/>
            <w:tcBorders>
              <w:top w:val="single" w:sz="4" w:space="0" w:color="auto"/>
              <w:bottom w:val="single" w:sz="4" w:space="0" w:color="auto"/>
            </w:tcBorders>
          </w:tcPr>
          <w:p>
            <w:pPr>
              <w:pStyle w:val="yTableNAm"/>
              <w:rPr>
                <w:b/>
              </w:rPr>
            </w:pPr>
            <w:r>
              <w:rPr>
                <w:b/>
              </w:rPr>
              <w:t>Act under which holds position</w:t>
            </w:r>
          </w:p>
        </w:tc>
      </w:tr>
      <w:tr>
        <w:trPr>
          <w:cantSplit/>
        </w:trPr>
        <w:tc>
          <w:tcPr>
            <w:tcW w:w="2552" w:type="dxa"/>
            <w:tcBorders>
              <w:top w:val="nil"/>
              <w:bottom w:val="nil"/>
            </w:tcBorders>
          </w:tcPr>
          <w:p>
            <w:pPr>
              <w:pStyle w:val="yTableNAm"/>
            </w:pPr>
            <w:smartTag w:uri="urn:schemas-microsoft-com:office:smarttags" w:element="place">
              <w:smartTag w:uri="urn:schemas-microsoft-com:office:smarttags" w:element="PlaceName">
                <w:r>
                  <w:t>Albany</w:t>
                </w:r>
              </w:smartTag>
              <w:r>
                <w:t xml:space="preserve"> </w:t>
              </w:r>
              <w:smartTag w:uri="urn:schemas-microsoft-com:office:smarttags" w:element="PlaceType">
                <w:r>
                  <w:t>Port</w:t>
                </w:r>
              </w:smartTag>
            </w:smartTag>
            <w:r>
              <w:t xml:space="preserve"> Authority</w:t>
            </w:r>
          </w:p>
        </w:tc>
        <w:tc>
          <w:tcPr>
            <w:tcW w:w="2410" w:type="dxa"/>
            <w:tcBorders>
              <w:top w:val="nil"/>
              <w:bottom w:val="nil"/>
            </w:tcBorders>
          </w:tcPr>
          <w:p>
            <w:pPr>
              <w:pStyle w:val="yTableNAm"/>
            </w:pPr>
            <w:r>
              <w:t>a director of the Authority</w:t>
            </w:r>
          </w:p>
        </w:tc>
        <w:tc>
          <w:tcPr>
            <w:tcW w:w="2126" w:type="dxa"/>
            <w:tcBorders>
              <w:top w:val="nil"/>
              <w:bottom w:val="nil"/>
            </w:tcBorders>
          </w:tcPr>
          <w:p>
            <w:pPr>
              <w:pStyle w:val="yTableNAm"/>
              <w:rPr>
                <w:i/>
              </w:rPr>
            </w:pPr>
            <w:r>
              <w:rPr>
                <w:i/>
              </w:rPr>
              <w:t>Port Authorities Act 1999</w:t>
            </w:r>
          </w:p>
        </w:tc>
      </w:tr>
      <w:tr>
        <w:trPr>
          <w:cantSplit/>
        </w:trPr>
        <w:tc>
          <w:tcPr>
            <w:tcW w:w="2552" w:type="dxa"/>
            <w:tcBorders>
              <w:top w:val="nil"/>
            </w:tcBorders>
          </w:tcPr>
          <w:p>
            <w:pPr>
              <w:pStyle w:val="yTableNAm"/>
            </w:pPr>
            <w:smartTag w:uri="urn:schemas-microsoft-com:office:smarttags" w:element="place">
              <w:smartTag w:uri="urn:schemas-microsoft-com:office:smarttags" w:element="PlaceName">
                <w:r>
                  <w:rPr>
                    <w:snapToGrid w:val="0"/>
                  </w:rPr>
                  <w:t>Broome</w:t>
                </w:r>
              </w:smartTag>
              <w:r>
                <w:rPr>
                  <w:snapToGrid w:val="0"/>
                </w:rPr>
                <w:t xml:space="preserve"> </w:t>
              </w:r>
              <w:smartTag w:uri="urn:schemas-microsoft-com:office:smarttags" w:element="PlaceType">
                <w:r>
                  <w:rPr>
                    <w:snapToGrid w:val="0"/>
                  </w:rPr>
                  <w:t>Port</w:t>
                </w:r>
              </w:smartTag>
            </w:smartTag>
            <w:r>
              <w:rPr>
                <w:snapToGrid w:val="0"/>
              </w:rPr>
              <w:t xml:space="preserve"> Authority</w:t>
            </w:r>
          </w:p>
        </w:tc>
        <w:tc>
          <w:tcPr>
            <w:tcW w:w="2410" w:type="dxa"/>
            <w:tcBorders>
              <w:top w:val="nil"/>
            </w:tcBorders>
          </w:tcPr>
          <w:p>
            <w:pPr>
              <w:pStyle w:val="yTableNAm"/>
            </w:pPr>
            <w:r>
              <w:t>a director of the Authority</w:t>
            </w:r>
          </w:p>
        </w:tc>
        <w:tc>
          <w:tcPr>
            <w:tcW w:w="2126" w:type="dxa"/>
            <w:tcBorders>
              <w:top w:val="nil"/>
            </w:tcBorders>
          </w:tcPr>
          <w:p>
            <w:pPr>
              <w:pStyle w:val="yTableNAm"/>
              <w:rPr>
                <w:i/>
              </w:rPr>
            </w:pPr>
            <w:r>
              <w:rPr>
                <w:i/>
              </w:rPr>
              <w:t>Port Authorities Act 1999</w:t>
            </w:r>
          </w:p>
        </w:tc>
      </w:tr>
      <w:tr>
        <w:trPr>
          <w:cantSplit/>
        </w:trPr>
        <w:tc>
          <w:tcPr>
            <w:tcW w:w="2552" w:type="dxa"/>
          </w:tcPr>
          <w:p>
            <w:pPr>
              <w:pStyle w:val="yTableNAm"/>
            </w:pPr>
            <w:smartTag w:uri="urn:schemas-microsoft-com:office:smarttags" w:element="place">
              <w:smartTag w:uri="urn:schemas-microsoft-com:office:smarttags" w:element="PlaceName">
                <w:r>
                  <w:t>Bunbury</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Chemistry Centre (WA)</w:t>
            </w:r>
          </w:p>
        </w:tc>
        <w:tc>
          <w:tcPr>
            <w:tcW w:w="2410" w:type="dxa"/>
          </w:tcPr>
          <w:p>
            <w:pPr>
              <w:pStyle w:val="yTableNAm"/>
            </w:pPr>
            <w:r>
              <w:t>a member of the Board</w:t>
            </w:r>
          </w:p>
        </w:tc>
        <w:tc>
          <w:tcPr>
            <w:tcW w:w="2126" w:type="dxa"/>
          </w:tcPr>
          <w:p>
            <w:pPr>
              <w:pStyle w:val="yTableNAm"/>
              <w:rPr>
                <w:i/>
              </w:rPr>
            </w:pPr>
            <w:r>
              <w:rPr>
                <w:i/>
              </w:rPr>
              <w:t>Chemistry Centre (WA) Act 2007</w:t>
            </w:r>
          </w:p>
        </w:tc>
      </w:tr>
      <w:tr>
        <w:trPr>
          <w:cantSplit/>
        </w:trPr>
        <w:tc>
          <w:tcPr>
            <w:tcW w:w="2552" w:type="dxa"/>
          </w:tcPr>
          <w:p>
            <w:pPr>
              <w:pStyle w:val="yTableNAm"/>
            </w:pPr>
            <w:r>
              <w:t>Country Housing Authority</w:t>
            </w:r>
          </w:p>
        </w:tc>
        <w:tc>
          <w:tcPr>
            <w:tcW w:w="2410" w:type="dxa"/>
          </w:tcPr>
          <w:p>
            <w:pPr>
              <w:pStyle w:val="yTableNAm"/>
            </w:pPr>
            <w:r>
              <w:t>a member of the Authority</w:t>
            </w:r>
          </w:p>
        </w:tc>
        <w:tc>
          <w:tcPr>
            <w:tcW w:w="2126" w:type="dxa"/>
          </w:tcPr>
          <w:p>
            <w:pPr>
              <w:pStyle w:val="yTableNAm"/>
              <w:rPr>
                <w:i/>
              </w:rPr>
            </w:pPr>
            <w:r>
              <w:rPr>
                <w:i/>
              </w:rPr>
              <w:t>Country Housing Act 1998</w:t>
            </w:r>
          </w:p>
        </w:tc>
      </w:tr>
      <w:tr>
        <w:trPr>
          <w:cantSplit/>
        </w:trPr>
        <w:tc>
          <w:tcPr>
            <w:tcW w:w="2552" w:type="dxa"/>
          </w:tcPr>
          <w:p>
            <w:pPr>
              <w:pStyle w:val="yTableNAm"/>
            </w:pPr>
            <w:smartTag w:uri="urn:schemas-microsoft-com:office:smarttags" w:element="place">
              <w:smartTag w:uri="urn:schemas-microsoft-com:office:smarttags" w:element="PlaceName">
                <w:r>
                  <w:t>Dampier</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smartTag w:uri="urn:schemas-microsoft-com:office:smarttags" w:element="place">
              <w:smartTag w:uri="urn:schemas-microsoft-com:office:smarttags" w:element="PlaceName">
                <w:r>
                  <w:t>Esperance</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smartTag w:uri="urn:schemas-microsoft-com:office:smarttags" w:element="place">
              <w:r>
                <w:t>Forest</w:t>
              </w:r>
            </w:smartTag>
            <w:r>
              <w:t xml:space="preserve"> Products Commission</w:t>
            </w:r>
          </w:p>
        </w:tc>
        <w:tc>
          <w:tcPr>
            <w:tcW w:w="2410" w:type="dxa"/>
          </w:tcPr>
          <w:p>
            <w:pPr>
              <w:pStyle w:val="yTableNAm"/>
            </w:pPr>
            <w:r>
              <w:t>a commissioner</w:t>
            </w:r>
          </w:p>
        </w:tc>
        <w:tc>
          <w:tcPr>
            <w:tcW w:w="2126" w:type="dxa"/>
          </w:tcPr>
          <w:p>
            <w:pPr>
              <w:pStyle w:val="yTableNAm"/>
              <w:rPr>
                <w:i/>
              </w:rPr>
            </w:pPr>
            <w:smartTag w:uri="urn:schemas-microsoft-com:office:smarttags" w:element="place">
              <w:r>
                <w:rPr>
                  <w:i/>
                </w:rPr>
                <w:t>Forest</w:t>
              </w:r>
            </w:smartTag>
            <w:r>
              <w:rPr>
                <w:i/>
              </w:rPr>
              <w:t xml:space="preserve"> Products Act 2000</w:t>
            </w:r>
          </w:p>
        </w:tc>
      </w:tr>
      <w:tr>
        <w:trPr>
          <w:cantSplit/>
        </w:trPr>
        <w:tc>
          <w:tcPr>
            <w:tcW w:w="2552"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Type">
                <w:r>
                  <w:t>Cemetery</w:t>
                </w:r>
              </w:smartTag>
            </w:smartTag>
            <w:r>
              <w:t xml:space="preserve">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smartTag w:uri="urn:schemas-microsoft-com:office:smarttags" w:element="place">
              <w:smartTag w:uri="urn:schemas-microsoft-com:office:smarttags" w:element="PlaceName">
                <w:r>
                  <w:t>Geraldton</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Government Employees Superannuation Board</w:t>
            </w:r>
          </w:p>
        </w:tc>
        <w:tc>
          <w:tcPr>
            <w:tcW w:w="2410" w:type="dxa"/>
          </w:tcPr>
          <w:p>
            <w:pPr>
              <w:pStyle w:val="yTableNAm"/>
            </w:pPr>
            <w:r>
              <w:t>a director</w:t>
            </w:r>
          </w:p>
        </w:tc>
        <w:tc>
          <w:tcPr>
            <w:tcW w:w="2126" w:type="dxa"/>
          </w:tcPr>
          <w:p>
            <w:pPr>
              <w:pStyle w:val="yTableNAm"/>
              <w:rPr>
                <w:i/>
              </w:rPr>
            </w:pPr>
            <w:r>
              <w:rPr>
                <w:i/>
              </w:rPr>
              <w:t>State Superannuation Act 2000</w:t>
            </w:r>
          </w:p>
        </w:tc>
      </w:tr>
      <w:tr>
        <w:trPr>
          <w:cantSplit/>
        </w:trPr>
        <w:tc>
          <w:tcPr>
            <w:tcW w:w="2552" w:type="dxa"/>
          </w:tcPr>
          <w:p>
            <w:pPr>
              <w:pStyle w:val="yTableNAm"/>
            </w:pPr>
            <w:r>
              <w:t>Independent Market Operator</w:t>
            </w:r>
          </w:p>
        </w:tc>
        <w:tc>
          <w:tcPr>
            <w:tcW w:w="2410" w:type="dxa"/>
          </w:tcPr>
          <w:p>
            <w:pPr>
              <w:pStyle w:val="yTableNAm"/>
            </w:pPr>
            <w:r>
              <w:t>a director</w:t>
            </w:r>
          </w:p>
        </w:tc>
        <w:tc>
          <w:tcPr>
            <w:tcW w:w="2126" w:type="dxa"/>
          </w:tcPr>
          <w:p>
            <w:pPr>
              <w:pStyle w:val="yTableNAm"/>
              <w:rPr>
                <w:i/>
              </w:rPr>
            </w:pPr>
            <w:r>
              <w:rPr>
                <w:i/>
              </w:rPr>
              <w:t>Electricity Industry Act 2004</w:t>
            </w:r>
          </w:p>
        </w:tc>
      </w:tr>
      <w:tr>
        <w:trPr>
          <w:cantSplit/>
        </w:trPr>
        <w:tc>
          <w:tcPr>
            <w:tcW w:w="2552" w:type="dxa"/>
          </w:tcPr>
          <w:p>
            <w:pPr>
              <w:pStyle w:val="yTableNAm"/>
            </w:pPr>
            <w:r>
              <w:t xml:space="preserve">Insurance Commission of </w:t>
            </w:r>
            <w:smartTag w:uri="urn:schemas-microsoft-com:office:smarttags" w:element="place">
              <w:smartTag w:uri="urn:schemas-microsoft-com:office:smarttags" w:element="State">
                <w:r>
                  <w:t>Western Australia</w:t>
                </w:r>
              </w:smartTag>
            </w:smartTag>
          </w:p>
        </w:tc>
        <w:tc>
          <w:tcPr>
            <w:tcW w:w="2410" w:type="dxa"/>
          </w:tcPr>
          <w:p>
            <w:pPr>
              <w:pStyle w:val="yTableNAm"/>
            </w:pPr>
            <w:r>
              <w:t>a commissioner</w:t>
            </w:r>
          </w:p>
        </w:tc>
        <w:tc>
          <w:tcPr>
            <w:tcW w:w="2126" w:type="dxa"/>
          </w:tcPr>
          <w:p>
            <w:pPr>
              <w:pStyle w:val="yTableNAm"/>
              <w:rPr>
                <w:i/>
              </w:rPr>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p>
        </w:tc>
      </w:tr>
      <w:tr>
        <w:trPr>
          <w:cantSplit/>
        </w:trPr>
        <w:tc>
          <w:tcPr>
            <w:tcW w:w="2552" w:type="dxa"/>
          </w:tcPr>
          <w:p>
            <w:pPr>
              <w:pStyle w:val="yTableNAm"/>
            </w:pPr>
            <w:r>
              <w:t>Lotteries Commission</w:t>
            </w:r>
          </w:p>
        </w:tc>
        <w:tc>
          <w:tcPr>
            <w:tcW w:w="2410" w:type="dxa"/>
          </w:tcPr>
          <w:p>
            <w:pPr>
              <w:pStyle w:val="yTableNAm"/>
            </w:pPr>
            <w:r>
              <w:t>a member of the Commission</w:t>
            </w:r>
          </w:p>
        </w:tc>
        <w:tc>
          <w:tcPr>
            <w:tcW w:w="2126" w:type="dxa"/>
          </w:tcPr>
          <w:p>
            <w:pPr>
              <w:pStyle w:val="yTableNAm"/>
              <w:rPr>
                <w:i/>
              </w:rPr>
            </w:pPr>
            <w:r>
              <w:rPr>
                <w:i/>
              </w:rPr>
              <w:t>Lotteries Commission Act 1990</w:t>
            </w:r>
          </w:p>
        </w:tc>
      </w:tr>
      <w:tr>
        <w:trPr>
          <w:cantSplit/>
        </w:trPr>
        <w:tc>
          <w:tcPr>
            <w:tcW w:w="2552" w:type="dxa"/>
          </w:tcPr>
          <w:p>
            <w:pPr>
              <w:pStyle w:val="yTableNAm"/>
            </w:pPr>
            <w:r>
              <w:t>Metropolitan Cemeteries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r>
              <w:t>Metropolitan Redevelopment Authority</w:t>
            </w:r>
          </w:p>
        </w:tc>
        <w:tc>
          <w:tcPr>
            <w:tcW w:w="2410" w:type="dxa"/>
          </w:tcPr>
          <w:p>
            <w:pPr>
              <w:pStyle w:val="yTableNAm"/>
            </w:pPr>
            <w:r>
              <w:t>a member of the board of management of the Authority</w:t>
            </w:r>
          </w:p>
        </w:tc>
        <w:tc>
          <w:tcPr>
            <w:tcW w:w="2126" w:type="dxa"/>
          </w:tcPr>
          <w:p>
            <w:pPr>
              <w:pStyle w:val="yTableNAm"/>
              <w:rPr>
                <w:i/>
              </w:rPr>
            </w:pPr>
            <w:r>
              <w:rPr>
                <w:i/>
              </w:rPr>
              <w:t>Metropolitan Redevelopment Authority Act 2011</w:t>
            </w:r>
          </w:p>
        </w:tc>
      </w:tr>
      <w:tr>
        <w:trPr>
          <w:cantSplit/>
        </w:trPr>
        <w:tc>
          <w:tcPr>
            <w:tcW w:w="2552" w:type="dxa"/>
          </w:tcPr>
          <w:p>
            <w:pPr>
              <w:pStyle w:val="yTableNAm"/>
            </w:pPr>
            <w:r>
              <w:t>Mid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smartTag w:uri="urn:schemas-microsoft-com:office:smarttags" w:element="place">
              <w:smartTag w:uri="urn:schemas-microsoft-com:office:smarttags" w:element="City">
                <w:r>
                  <w:t>Perth</w:t>
                </w:r>
              </w:smartTag>
            </w:smartTag>
            <w:r>
              <w:t xml:space="preserve"> Market Authority</w:t>
            </w:r>
          </w:p>
        </w:tc>
        <w:tc>
          <w:tcPr>
            <w:tcW w:w="2410" w:type="dxa"/>
          </w:tcPr>
          <w:p>
            <w:pPr>
              <w:pStyle w:val="yTableNAm"/>
            </w:pPr>
            <w:r>
              <w:t>a member of the Authority</w:t>
            </w:r>
          </w:p>
        </w:tc>
        <w:tc>
          <w:tcPr>
            <w:tcW w:w="2126"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Market Act 1926</w:t>
            </w:r>
          </w:p>
        </w:tc>
      </w:tr>
      <w:tr>
        <w:trPr>
          <w:cantSplit/>
        </w:trPr>
        <w:tc>
          <w:tcPr>
            <w:tcW w:w="2552" w:type="dxa"/>
          </w:tcPr>
          <w:p>
            <w:pPr>
              <w:pStyle w:val="yTableNAm"/>
            </w:pPr>
            <w:r>
              <w:t>Perth Theatre Trust</w:t>
            </w:r>
          </w:p>
        </w:tc>
        <w:tc>
          <w:tcPr>
            <w:tcW w:w="2410" w:type="dxa"/>
          </w:tcPr>
          <w:p>
            <w:pPr>
              <w:pStyle w:val="yTableNAm"/>
            </w:pPr>
            <w:r>
              <w:t>a trustee</w:t>
            </w:r>
          </w:p>
        </w:tc>
        <w:tc>
          <w:tcPr>
            <w:tcW w:w="2126" w:type="dxa"/>
          </w:tcPr>
          <w:p>
            <w:pPr>
              <w:pStyle w:val="yTableNAm"/>
              <w:rPr>
                <w:i/>
              </w:rPr>
            </w:pPr>
            <w:r>
              <w:rPr>
                <w:i/>
              </w:rPr>
              <w:t>Perth Theatre Trust Act 1979</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w:t>
              </w:r>
              <w:smartTag w:uri="urn:schemas-microsoft-com:office:smarttags" w:element="PlaceName">
                <w:r>
                  <w:t>Hedland</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 xml:space="preserve">Potato Marketing Corporation of </w:t>
            </w:r>
            <w:smartTag w:uri="urn:schemas-microsoft-com:office:smarttags" w:element="place">
              <w:smartTag w:uri="urn:schemas-microsoft-com:office:smarttags" w:element="State">
                <w:r>
                  <w:t>Western Australia</w:t>
                </w:r>
              </w:smartTag>
            </w:smartTag>
          </w:p>
        </w:tc>
        <w:tc>
          <w:tcPr>
            <w:tcW w:w="2410" w:type="dxa"/>
          </w:tcPr>
          <w:p>
            <w:pPr>
              <w:pStyle w:val="yTableNAm"/>
            </w:pPr>
            <w:r>
              <w:t>a member of the Corporation</w:t>
            </w:r>
          </w:p>
        </w:tc>
        <w:tc>
          <w:tcPr>
            <w:tcW w:w="2126" w:type="dxa"/>
          </w:tcPr>
          <w:p>
            <w:pPr>
              <w:pStyle w:val="yTableNAm"/>
              <w:rPr>
                <w:i/>
              </w:rPr>
            </w:pPr>
            <w:r>
              <w:rPr>
                <w:i/>
              </w:rPr>
              <w:t>Marketing of Potatoes Act 1946</w:t>
            </w:r>
          </w:p>
        </w:tc>
      </w:tr>
      <w:tr>
        <w:trPr>
          <w:cantSplit/>
        </w:trPr>
        <w:tc>
          <w:tcPr>
            <w:tcW w:w="2552" w:type="dxa"/>
          </w:tcPr>
          <w:p>
            <w:pPr>
              <w:pStyle w:val="yTableNAm"/>
            </w:pPr>
            <w:r>
              <w:t xml:space="preserve">Racing and Wagering </w:t>
            </w:r>
            <w:smartTag w:uri="urn:schemas-microsoft-com:office:smarttags" w:element="place">
              <w:smartTag w:uri="urn:schemas-microsoft-com:office:smarttags" w:element="State">
                <w:r>
                  <w:t>Western Australia</w:t>
                </w:r>
              </w:smartTag>
            </w:smartTag>
          </w:p>
        </w:tc>
        <w:tc>
          <w:tcPr>
            <w:tcW w:w="2410" w:type="dxa"/>
          </w:tcPr>
          <w:p>
            <w:pPr>
              <w:pStyle w:val="yTableNAm"/>
            </w:pPr>
            <w:r>
              <w:t>a director of the board</w:t>
            </w:r>
          </w:p>
        </w:tc>
        <w:tc>
          <w:tcPr>
            <w:tcW w:w="2126" w:type="dxa"/>
          </w:tcPr>
          <w:p>
            <w:pPr>
              <w:pStyle w:val="yTableNAm"/>
            </w:pPr>
            <w:r>
              <w:rPr>
                <w:i/>
              </w:rPr>
              <w:t xml:space="preserve">Racing and Wagering </w:t>
            </w:r>
            <w:smartTag w:uri="urn:schemas-microsoft-com:office:smarttags" w:element="State">
              <w:smartTag w:uri="urn:schemas-microsoft-com:office:smarttags" w:element="place">
                <w:r>
                  <w:rPr>
                    <w:i/>
                  </w:rPr>
                  <w:t>Western Australia</w:t>
                </w:r>
              </w:smartTag>
            </w:smartTag>
            <w:r>
              <w:rPr>
                <w:i/>
              </w:rPr>
              <w:t xml:space="preserve"> Act 2003</w:t>
            </w:r>
          </w:p>
        </w:tc>
      </w:tr>
      <w:tr>
        <w:trPr>
          <w:cantSplit/>
        </w:trPr>
        <w:tc>
          <w:tcPr>
            <w:tcW w:w="2552"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c>
          <w:tcPr>
            <w:tcW w:w="2410" w:type="dxa"/>
          </w:tcPr>
          <w:p>
            <w:pPr>
              <w:pStyle w:val="yTableNAm"/>
            </w:pPr>
            <w:r>
              <w:t>a member of the Authority</w:t>
            </w:r>
          </w:p>
        </w:tc>
        <w:tc>
          <w:tcPr>
            <w:tcW w:w="2126"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r>
      <w:tr>
        <w:trPr>
          <w:cantSplit/>
        </w:trPr>
        <w:tc>
          <w:tcPr>
            <w:tcW w:w="2552" w:type="dxa"/>
          </w:tcPr>
          <w:p>
            <w:pPr>
              <w:pStyle w:val="yTableNAm"/>
            </w:pPr>
            <w:r>
              <w:t xml:space="preserve">State Government Insurance Corporation </w:t>
            </w:r>
            <w:r>
              <w:rPr>
                <w:snapToGrid w:val="0"/>
                <w:vertAlign w:val="superscript"/>
              </w:rPr>
              <w:t>2</w:t>
            </w:r>
          </w:p>
        </w:tc>
        <w:tc>
          <w:tcPr>
            <w:tcW w:w="2410" w:type="dxa"/>
          </w:tcPr>
          <w:p>
            <w:pPr>
              <w:pStyle w:val="yTableNAm"/>
              <w:rPr>
                <w:vertAlign w:val="superscript"/>
              </w:rPr>
            </w:pPr>
            <w:r>
              <w:t>a director of the Corporation </w:t>
            </w:r>
            <w:r>
              <w:rPr>
                <w:vertAlign w:val="superscript"/>
              </w:rPr>
              <w:t>2</w:t>
            </w:r>
          </w:p>
        </w:tc>
        <w:tc>
          <w:tcPr>
            <w:tcW w:w="2126" w:type="dxa"/>
          </w:tcPr>
          <w:p>
            <w:pPr>
              <w:pStyle w:val="yTableNAm"/>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 xml:space="preserve"> </w:t>
            </w:r>
            <w:r>
              <w:rPr>
                <w:snapToGrid w:val="0"/>
                <w:vertAlign w:val="superscript"/>
              </w:rPr>
              <w:t>3</w:t>
            </w:r>
          </w:p>
        </w:tc>
      </w:tr>
      <w:tr>
        <w:trPr>
          <w:cantSplit/>
        </w:trPr>
        <w:tc>
          <w:tcPr>
            <w:tcW w:w="2552" w:type="dxa"/>
          </w:tcPr>
          <w:p>
            <w:pPr>
              <w:pStyle w:val="yTableNAm"/>
            </w:pPr>
            <w:r>
              <w:t>South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Western Australian Coastal Shipping Commission</w:t>
            </w:r>
          </w:p>
        </w:tc>
        <w:tc>
          <w:tcPr>
            <w:tcW w:w="2410" w:type="dxa"/>
          </w:tcPr>
          <w:p>
            <w:pPr>
              <w:pStyle w:val="yTableNAm"/>
            </w:pPr>
            <w:r>
              <w:t>a Commissioner</w:t>
            </w:r>
          </w:p>
        </w:tc>
        <w:tc>
          <w:tcPr>
            <w:tcW w:w="2126" w:type="dxa"/>
          </w:tcPr>
          <w:p>
            <w:pPr>
              <w:pStyle w:val="yTableNAm"/>
              <w:rPr>
                <w:i/>
              </w:rPr>
            </w:pPr>
            <w:r>
              <w:rPr>
                <w:i/>
              </w:rPr>
              <w:t>Western Australian Coastal Shipping Commission Act 1965</w:t>
            </w:r>
          </w:p>
        </w:tc>
      </w:tr>
      <w:tr>
        <w:trPr>
          <w:cantSplit/>
        </w:trPr>
        <w:tc>
          <w:tcPr>
            <w:tcW w:w="2552"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Authority</w:t>
            </w:r>
          </w:p>
        </w:tc>
        <w:tc>
          <w:tcPr>
            <w:tcW w:w="2410" w:type="dxa"/>
          </w:tcPr>
          <w:p>
            <w:pPr>
              <w:pStyle w:val="yTableNAm"/>
            </w:pPr>
            <w:r>
              <w:t>a director</w:t>
            </w:r>
          </w:p>
        </w:tc>
        <w:tc>
          <w:tcPr>
            <w:tcW w:w="2126" w:type="dxa"/>
          </w:tcPr>
          <w:p>
            <w:pPr>
              <w:pStyle w:val="yTableNAm"/>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p>
        </w:tc>
      </w:tr>
      <w:tr>
        <w:trPr>
          <w:cantSplit/>
        </w:trPr>
        <w:tc>
          <w:tcPr>
            <w:tcW w:w="2552"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Information Authority</w:t>
            </w:r>
          </w:p>
        </w:tc>
        <w:tc>
          <w:tcPr>
            <w:tcW w:w="2410" w:type="dxa"/>
          </w:tcPr>
          <w:p>
            <w:pPr>
              <w:pStyle w:val="yTableNAm"/>
            </w:pPr>
            <w:r>
              <w:t>a member of the Authority’s board of management</w:t>
            </w:r>
          </w:p>
        </w:tc>
        <w:tc>
          <w:tcPr>
            <w:tcW w:w="2126" w:type="dxa"/>
          </w:tcPr>
          <w:p>
            <w:pPr>
              <w:pStyle w:val="yTableNAm"/>
              <w:rPr>
                <w:i/>
                <w:iCs/>
              </w:rPr>
            </w:pPr>
            <w:r>
              <w:rPr>
                <w:i/>
                <w:iCs/>
              </w:rPr>
              <w:t>Land Information Authority Act 2006</w:t>
            </w:r>
          </w:p>
        </w:tc>
      </w:tr>
      <w:tr>
        <w:trPr>
          <w:cantSplit/>
        </w:trPr>
        <w:tc>
          <w:tcPr>
            <w:tcW w:w="2552" w:type="dxa"/>
          </w:tcPr>
          <w:p>
            <w:pPr>
              <w:pStyle w:val="yTableNAm"/>
            </w:pPr>
            <w:r>
              <w:t>Western Australian Meat Commission</w:t>
            </w:r>
          </w:p>
        </w:tc>
        <w:tc>
          <w:tcPr>
            <w:tcW w:w="2410" w:type="dxa"/>
          </w:tcPr>
          <w:p>
            <w:pPr>
              <w:pStyle w:val="yTableNAm"/>
            </w:pPr>
            <w:r>
              <w:t>a member of the Commission</w:t>
            </w:r>
          </w:p>
        </w:tc>
        <w:tc>
          <w:tcPr>
            <w:tcW w:w="2126" w:type="dxa"/>
          </w:tcPr>
          <w:p>
            <w:pPr>
              <w:pStyle w:val="yTableNAm"/>
            </w:pPr>
            <w:r>
              <w:rPr>
                <w:i/>
              </w:rPr>
              <w:t>Abattoirs Act 1909</w:t>
            </w:r>
            <w:r>
              <w:t xml:space="preserve"> </w:t>
            </w:r>
            <w:r>
              <w:rPr>
                <w:vertAlign w:val="superscript"/>
              </w:rPr>
              <w:t>4</w:t>
            </w:r>
          </w:p>
        </w:tc>
      </w:tr>
      <w:tr>
        <w:trPr>
          <w:cantSplit/>
        </w:trPr>
        <w:tc>
          <w:tcPr>
            <w:tcW w:w="2552" w:type="dxa"/>
          </w:tcPr>
          <w:p>
            <w:pPr>
              <w:pStyle w:val="yTableNAm"/>
            </w:pPr>
            <w:r>
              <w:t>Western Australian Meat Industry Authority</w:t>
            </w:r>
          </w:p>
        </w:tc>
        <w:tc>
          <w:tcPr>
            <w:tcW w:w="2410" w:type="dxa"/>
          </w:tcPr>
          <w:p>
            <w:pPr>
              <w:pStyle w:val="yTableNAm"/>
            </w:pPr>
            <w:r>
              <w:t>a member of the Authority</w:t>
            </w:r>
          </w:p>
        </w:tc>
        <w:tc>
          <w:tcPr>
            <w:tcW w:w="2126" w:type="dxa"/>
          </w:tcPr>
          <w:p>
            <w:pPr>
              <w:pStyle w:val="yTableNAm"/>
              <w:rPr>
                <w:i/>
              </w:rPr>
            </w:pPr>
            <w:r>
              <w:rPr>
                <w:i/>
              </w:rPr>
              <w:t>Western Australian Meat Industry Authority Act 1976</w:t>
            </w:r>
          </w:p>
        </w:tc>
      </w:tr>
      <w:tr>
        <w:trPr>
          <w:cantSplit/>
        </w:trPr>
        <w:tc>
          <w:tcPr>
            <w:tcW w:w="2552" w:type="dxa"/>
          </w:tcPr>
          <w:p>
            <w:pPr>
              <w:pStyle w:val="yTableNAm"/>
            </w:pPr>
            <w:r>
              <w:t>Western Australian Treasury Corporation</w:t>
            </w:r>
          </w:p>
        </w:tc>
        <w:tc>
          <w:tcPr>
            <w:tcW w:w="2410" w:type="dxa"/>
          </w:tcPr>
          <w:p>
            <w:pPr>
              <w:pStyle w:val="yTableNAm"/>
            </w:pPr>
            <w:r>
              <w:t>a director</w:t>
            </w:r>
          </w:p>
        </w:tc>
        <w:tc>
          <w:tcPr>
            <w:tcW w:w="2126" w:type="dxa"/>
          </w:tcPr>
          <w:p>
            <w:pPr>
              <w:pStyle w:val="yTableNAm"/>
              <w:rPr>
                <w:i/>
              </w:rPr>
            </w:pPr>
            <w:r>
              <w:rPr>
                <w:i/>
              </w:rPr>
              <w:t>Western Australian Treasury Corporation Act 1986</w:t>
            </w:r>
          </w:p>
        </w:tc>
      </w:tr>
    </w:tbl>
    <w:p>
      <w:pPr>
        <w:pStyle w:val="yFootnotesection"/>
      </w:pPr>
      <w:r>
        <w:tab/>
        <w:t xml:space="preserve">[Schedule 1 amended by No. 4 of 1998 s. 48; No. 30 of 1998 s. 8; No. 25 of 1998 s. 27; No. 46 of 1998 s. 12; No. 5 of 1999 s. 21; No. 8 of 1999 s. 19; No. 38 of 1999 s. 76; No. 34 of 2000 s. 72; No. 43 of 2000 s. 65; No. 25 of 2001 s. 69; No. 30 of 2002 s. 47; No. 31 of 2003 s. 208(2); No. 35 of 2003 s. 24(2) and 52; No. 20 of 2004 s. 9; No. 28 of 2006 s. 45; No. 60 of 2006 s. 188; No. 10 of 2007 s. 43; No. 28 of 2008 s. 14; </w:t>
      </w:r>
      <w:r>
        <w:rPr>
          <w:spacing w:val="-4"/>
        </w:rPr>
        <w:t>No. 45 of 2011 s. 1</w:t>
      </w:r>
      <w:r>
        <w:t>43; No. 25 of 2012 s. 231; amended in Gazette 26 Nov 2004 p. 5314</w:t>
      </w:r>
      <w:r>
        <w:noBreakHyphen/>
        <w:t>15.]</w:t>
      </w:r>
    </w:p>
    <w:p>
      <w:pPr>
        <w:pStyle w:val="yEdnoteschedule"/>
      </w:pPr>
      <w:r>
        <w:t>[Schedule 2 omitted under the Reprints Act 1984 s. 7(4)(e).]</w:t>
      </w:r>
    </w:p>
    <w:p>
      <w:pPr>
        <w:pStyle w:val="CentredBaseLine"/>
        <w:jc w:val="center"/>
      </w:pP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34" w:name="_Toc379194621"/>
      <w:r>
        <w:t>Notes</w:t>
      </w:r>
      <w:bookmarkEnd w:id="34"/>
    </w:p>
    <w:p>
      <w:pPr>
        <w:pStyle w:val="nSubsection"/>
        <w:rPr>
          <w:snapToGrid w:val="0"/>
        </w:rPr>
      </w:pPr>
      <w:r>
        <w:rPr>
          <w:snapToGrid w:val="0"/>
          <w:vertAlign w:val="superscript"/>
        </w:rPr>
        <w:t>1</w:t>
      </w:r>
      <w:r>
        <w:rPr>
          <w:snapToGrid w:val="0"/>
        </w:rPr>
        <w:tab/>
        <w:t xml:space="preserve">This is a compilation of the </w:t>
      </w:r>
      <w:r>
        <w:rPr>
          <w:i/>
          <w:noProof/>
          <w:snapToGrid w:val="0"/>
        </w:rPr>
        <w:t>Statutory Corporations (Liability of Directors) Act 1996</w:t>
      </w:r>
      <w:r>
        <w:rPr>
          <w:snapToGrid w:val="0"/>
        </w:rPr>
        <w:t xml:space="preserve"> and includes the amendments made by the other written laws referred to in the following table</w:t>
      </w:r>
      <w:r>
        <w:rPr>
          <w:snapToGrid w:val="0"/>
          <w:vertAlign w:val="superscript"/>
        </w:rPr>
        <w:t> 5</w:t>
      </w:r>
      <w:r>
        <w:rPr>
          <w:snapToGrid w:val="0"/>
        </w:rPr>
        <w:t>.  The table also contains information about any reprint.</w:t>
      </w:r>
    </w:p>
    <w:p>
      <w:pPr>
        <w:pStyle w:val="nHeading3"/>
        <w:rPr>
          <w:snapToGrid w:val="0"/>
        </w:rPr>
      </w:pPr>
      <w:bookmarkStart w:id="35" w:name="_Toc379194622"/>
      <w:r>
        <w:rPr>
          <w:snapToGrid w:val="0"/>
        </w:rPr>
        <w:t>Compilation table</w:t>
      </w:r>
      <w:bookmarkEnd w:id="35"/>
    </w:p>
    <w:tbl>
      <w:tblPr>
        <w:tblW w:w="706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51"/>
        <w:gridCol w:w="1083"/>
        <w:gridCol w:w="35"/>
        <w:gridCol w:w="1099"/>
        <w:gridCol w:w="35"/>
        <w:gridCol w:w="2497"/>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32"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nil"/>
              <w:bottom w:val="nil"/>
            </w:tcBorders>
          </w:tcPr>
          <w:p>
            <w:pPr>
              <w:pStyle w:val="nTable"/>
              <w:spacing w:after="40"/>
              <w:ind w:right="113"/>
              <w:rPr>
                <w:sz w:val="19"/>
              </w:rPr>
            </w:pPr>
            <w:r>
              <w:rPr>
                <w:i/>
                <w:sz w:val="19"/>
              </w:rPr>
              <w:t>Statutory Corporations (Liability of Directors) Act 1996</w:t>
            </w:r>
          </w:p>
        </w:tc>
        <w:tc>
          <w:tcPr>
            <w:tcW w:w="1134" w:type="dxa"/>
            <w:gridSpan w:val="2"/>
            <w:tcBorders>
              <w:top w:val="nil"/>
              <w:bottom w:val="nil"/>
            </w:tcBorders>
          </w:tcPr>
          <w:p>
            <w:pPr>
              <w:pStyle w:val="nTable"/>
              <w:spacing w:after="40"/>
              <w:rPr>
                <w:sz w:val="19"/>
              </w:rPr>
            </w:pPr>
            <w:r>
              <w:rPr>
                <w:sz w:val="19"/>
              </w:rPr>
              <w:t>41 of 1996</w:t>
            </w:r>
          </w:p>
        </w:tc>
        <w:tc>
          <w:tcPr>
            <w:tcW w:w="1134" w:type="dxa"/>
            <w:gridSpan w:val="2"/>
            <w:tcBorders>
              <w:top w:val="nil"/>
              <w:bottom w:val="nil"/>
            </w:tcBorders>
          </w:tcPr>
          <w:p>
            <w:pPr>
              <w:pStyle w:val="nTable"/>
              <w:spacing w:after="40"/>
              <w:rPr>
                <w:sz w:val="19"/>
              </w:rPr>
            </w:pPr>
            <w:r>
              <w:rPr>
                <w:sz w:val="19"/>
              </w:rPr>
              <w:t>10 Oct 1996</w:t>
            </w:r>
          </w:p>
        </w:tc>
        <w:tc>
          <w:tcPr>
            <w:tcW w:w="2532" w:type="dxa"/>
            <w:gridSpan w:val="2"/>
            <w:tcBorders>
              <w:top w:val="nil"/>
              <w:bottom w:val="nil"/>
            </w:tcBorders>
          </w:tcPr>
          <w:p>
            <w:pPr>
              <w:pStyle w:val="nTable"/>
              <w:spacing w:after="40"/>
              <w:rPr>
                <w:sz w:val="19"/>
              </w:rPr>
            </w:pPr>
            <w:r>
              <w:rPr>
                <w:sz w:val="19"/>
              </w:rPr>
              <w:t>s. 1 and 2: 10 Oct 1996;</w:t>
            </w:r>
            <w:r>
              <w:rPr>
                <w:sz w:val="19"/>
              </w:rPr>
              <w:br/>
              <w:t xml:space="preserve">Act other than s. 1 and 2: 1 Dec 1996 (see s. 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after="40"/>
              <w:ind w:right="113"/>
              <w:rPr>
                <w:sz w:val="19"/>
              </w:rPr>
            </w:pPr>
            <w:r>
              <w:rPr>
                <w:i/>
                <w:sz w:val="19"/>
              </w:rPr>
              <w:t>Country Housing Act 1998</w:t>
            </w:r>
            <w:r>
              <w:rPr>
                <w:sz w:val="19"/>
              </w:rPr>
              <w:t xml:space="preserve"> s. 48</w:t>
            </w:r>
          </w:p>
        </w:tc>
        <w:tc>
          <w:tcPr>
            <w:tcW w:w="1134" w:type="dxa"/>
            <w:gridSpan w:val="2"/>
            <w:tcBorders>
              <w:top w:val="nil"/>
              <w:bottom w:val="nil"/>
            </w:tcBorders>
          </w:tcPr>
          <w:p>
            <w:pPr>
              <w:pStyle w:val="nTable"/>
              <w:spacing w:after="40"/>
              <w:rPr>
                <w:sz w:val="19"/>
              </w:rPr>
            </w:pPr>
            <w:r>
              <w:rPr>
                <w:sz w:val="19"/>
              </w:rPr>
              <w:t>4 of 1998</w:t>
            </w:r>
          </w:p>
        </w:tc>
        <w:tc>
          <w:tcPr>
            <w:tcW w:w="1134" w:type="dxa"/>
            <w:gridSpan w:val="2"/>
            <w:tcBorders>
              <w:top w:val="nil"/>
              <w:bottom w:val="nil"/>
            </w:tcBorders>
          </w:tcPr>
          <w:p>
            <w:pPr>
              <w:pStyle w:val="nTable"/>
              <w:spacing w:after="40"/>
              <w:rPr>
                <w:sz w:val="19"/>
              </w:rPr>
            </w:pPr>
            <w:r>
              <w:rPr>
                <w:sz w:val="19"/>
              </w:rPr>
              <w:t>14 Apr 1998</w:t>
            </w:r>
          </w:p>
        </w:tc>
        <w:tc>
          <w:tcPr>
            <w:tcW w:w="2532" w:type="dxa"/>
            <w:gridSpan w:val="2"/>
            <w:tcBorders>
              <w:top w:val="nil"/>
              <w:bottom w:val="nil"/>
            </w:tcBorders>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Pr>
        <w:tc>
          <w:tcPr>
            <w:tcW w:w="2268" w:type="dxa"/>
            <w:tcBorders>
              <w:top w:val="nil"/>
              <w:bottom w:val="nil"/>
            </w:tcBorders>
          </w:tcPr>
          <w:p>
            <w:pPr>
              <w:pStyle w:val="nTable"/>
              <w:spacing w:after="40"/>
              <w:ind w:right="113"/>
              <w:rPr>
                <w:sz w:val="19"/>
              </w:rPr>
            </w:pPr>
            <w:r>
              <w:rPr>
                <w:i/>
                <w:sz w:val="19"/>
              </w:rPr>
              <w:t>Western Australian Treasury Corporation Amendment Act 1998</w:t>
            </w:r>
            <w:r>
              <w:rPr>
                <w:sz w:val="19"/>
              </w:rPr>
              <w:t xml:space="preserve"> s. 27</w:t>
            </w:r>
          </w:p>
        </w:tc>
        <w:tc>
          <w:tcPr>
            <w:tcW w:w="1134" w:type="dxa"/>
            <w:gridSpan w:val="2"/>
            <w:tcBorders>
              <w:top w:val="nil"/>
              <w:bottom w:val="nil"/>
            </w:tcBorders>
          </w:tcPr>
          <w:p>
            <w:pPr>
              <w:pStyle w:val="nTable"/>
              <w:spacing w:after="40"/>
              <w:rPr>
                <w:sz w:val="19"/>
              </w:rPr>
            </w:pPr>
            <w:r>
              <w:rPr>
                <w:sz w:val="19"/>
              </w:rPr>
              <w:t>25 of 1998</w:t>
            </w:r>
          </w:p>
        </w:tc>
        <w:tc>
          <w:tcPr>
            <w:tcW w:w="1134" w:type="dxa"/>
            <w:gridSpan w:val="2"/>
            <w:tcBorders>
              <w:top w:val="nil"/>
              <w:bottom w:val="nil"/>
            </w:tcBorders>
          </w:tcPr>
          <w:p>
            <w:pPr>
              <w:pStyle w:val="nTable"/>
              <w:spacing w:after="40"/>
              <w:rPr>
                <w:sz w:val="19"/>
              </w:rPr>
            </w:pPr>
            <w:r>
              <w:rPr>
                <w:sz w:val="19"/>
              </w:rPr>
              <w:t>30 Jun 1998</w:t>
            </w:r>
          </w:p>
        </w:tc>
        <w:tc>
          <w:tcPr>
            <w:tcW w:w="2532" w:type="dxa"/>
            <w:gridSpan w:val="2"/>
            <w:tcBorders>
              <w:top w:val="nil"/>
              <w:bottom w:val="nil"/>
            </w:tcBorders>
          </w:tcPr>
          <w:p>
            <w:pPr>
              <w:pStyle w:val="nTable"/>
              <w:spacing w:after="40"/>
              <w:rPr>
                <w:sz w:val="19"/>
              </w:rPr>
            </w:pPr>
            <w:r>
              <w:rPr>
                <w:sz w:val="19"/>
              </w:rPr>
              <w:t xml:space="preserve">10 Nov 1998 (see s. 2 and </w:t>
            </w:r>
            <w:r>
              <w:rPr>
                <w:i/>
                <w:sz w:val="19"/>
              </w:rPr>
              <w:t>Gazette</w:t>
            </w:r>
            <w:r>
              <w:rPr>
                <w:sz w:val="19"/>
              </w:rPr>
              <w:t xml:space="preserve"> 10 Nov 1998 p. 6149)</w:t>
            </w:r>
          </w:p>
        </w:tc>
      </w:tr>
      <w:tr>
        <w:trPr>
          <w:cantSplit/>
        </w:trPr>
        <w:tc>
          <w:tcPr>
            <w:tcW w:w="2268" w:type="dxa"/>
            <w:tcBorders>
              <w:top w:val="nil"/>
              <w:bottom w:val="nil"/>
            </w:tcBorders>
          </w:tcPr>
          <w:p>
            <w:pPr>
              <w:pStyle w:val="nTable"/>
              <w:spacing w:after="40"/>
              <w:ind w:right="113"/>
              <w:rPr>
                <w:sz w:val="19"/>
              </w:rPr>
            </w:pPr>
            <w:r>
              <w:rPr>
                <w:i/>
                <w:sz w:val="19"/>
              </w:rPr>
              <w:t>WADC and WA Exim Corporation Repeal Act 1998</w:t>
            </w:r>
            <w:r>
              <w:rPr>
                <w:sz w:val="19"/>
              </w:rPr>
              <w:t xml:space="preserve"> s. 8</w:t>
            </w:r>
          </w:p>
        </w:tc>
        <w:tc>
          <w:tcPr>
            <w:tcW w:w="1134" w:type="dxa"/>
            <w:gridSpan w:val="2"/>
            <w:tcBorders>
              <w:top w:val="nil"/>
              <w:bottom w:val="nil"/>
            </w:tcBorders>
          </w:tcPr>
          <w:p>
            <w:pPr>
              <w:pStyle w:val="nTable"/>
              <w:spacing w:after="40"/>
              <w:rPr>
                <w:sz w:val="19"/>
              </w:rPr>
            </w:pPr>
            <w:r>
              <w:rPr>
                <w:sz w:val="19"/>
              </w:rPr>
              <w:t>30 of 1998</w:t>
            </w:r>
          </w:p>
        </w:tc>
        <w:tc>
          <w:tcPr>
            <w:tcW w:w="1134" w:type="dxa"/>
            <w:gridSpan w:val="2"/>
            <w:tcBorders>
              <w:top w:val="nil"/>
              <w:bottom w:val="nil"/>
            </w:tcBorders>
          </w:tcPr>
          <w:p>
            <w:pPr>
              <w:pStyle w:val="nTable"/>
              <w:spacing w:after="40"/>
              <w:rPr>
                <w:sz w:val="19"/>
              </w:rPr>
            </w:pPr>
            <w:r>
              <w:rPr>
                <w:sz w:val="19"/>
              </w:rPr>
              <w:t>30 Jun 1998</w:t>
            </w:r>
          </w:p>
        </w:tc>
        <w:tc>
          <w:tcPr>
            <w:tcW w:w="2532" w:type="dxa"/>
            <w:gridSpan w:val="2"/>
            <w:tcBorders>
              <w:top w:val="nil"/>
              <w:bottom w:val="nil"/>
            </w:tcBorders>
          </w:tcPr>
          <w:p>
            <w:pPr>
              <w:pStyle w:val="nTable"/>
              <w:spacing w:after="40"/>
              <w:rPr>
                <w:sz w:val="19"/>
              </w:rPr>
            </w:pPr>
            <w:r>
              <w:rPr>
                <w:sz w:val="19"/>
              </w:rPr>
              <w:t>30 Jun 1998 (see s. 2)</w:t>
            </w:r>
          </w:p>
        </w:tc>
      </w:tr>
      <w:tr>
        <w:trPr>
          <w:cantSplit/>
        </w:trPr>
        <w:tc>
          <w:tcPr>
            <w:tcW w:w="2268" w:type="dxa"/>
            <w:tcBorders>
              <w:top w:val="nil"/>
              <w:bottom w:val="nil"/>
            </w:tcBorders>
          </w:tcPr>
          <w:p>
            <w:pPr>
              <w:pStyle w:val="nTable"/>
              <w:spacing w:after="40"/>
              <w:ind w:right="113"/>
              <w:rPr>
                <w:sz w:val="19"/>
              </w:rPr>
            </w:pPr>
            <w:r>
              <w:rPr>
                <w:i/>
                <w:sz w:val="19"/>
              </w:rPr>
              <w:t>Western Australian Meat Industry Authority Amendment Act 1998</w:t>
            </w:r>
            <w:r>
              <w:rPr>
                <w:sz w:val="19"/>
              </w:rPr>
              <w:t xml:space="preserve"> s. 12</w:t>
            </w:r>
          </w:p>
        </w:tc>
        <w:tc>
          <w:tcPr>
            <w:tcW w:w="1134" w:type="dxa"/>
            <w:gridSpan w:val="2"/>
            <w:tcBorders>
              <w:top w:val="nil"/>
              <w:bottom w:val="nil"/>
            </w:tcBorders>
          </w:tcPr>
          <w:p>
            <w:pPr>
              <w:pStyle w:val="nTable"/>
              <w:spacing w:after="40"/>
              <w:rPr>
                <w:sz w:val="19"/>
              </w:rPr>
            </w:pPr>
            <w:r>
              <w:rPr>
                <w:sz w:val="19"/>
              </w:rPr>
              <w:t>46 of 1998</w:t>
            </w:r>
          </w:p>
        </w:tc>
        <w:tc>
          <w:tcPr>
            <w:tcW w:w="1134" w:type="dxa"/>
            <w:gridSpan w:val="2"/>
            <w:tcBorders>
              <w:top w:val="nil"/>
              <w:bottom w:val="nil"/>
            </w:tcBorders>
          </w:tcPr>
          <w:p>
            <w:pPr>
              <w:pStyle w:val="nTable"/>
              <w:spacing w:after="40"/>
              <w:rPr>
                <w:sz w:val="19"/>
              </w:rPr>
            </w:pPr>
            <w:r>
              <w:rPr>
                <w:sz w:val="19"/>
              </w:rPr>
              <w:t>19 Nov 1998</w:t>
            </w:r>
          </w:p>
        </w:tc>
        <w:tc>
          <w:tcPr>
            <w:tcW w:w="2532" w:type="dxa"/>
            <w:gridSpan w:val="2"/>
            <w:tcBorders>
              <w:top w:val="nil"/>
              <w:bottom w:val="nil"/>
            </w:tcBorders>
          </w:tcPr>
          <w:p>
            <w:pPr>
              <w:pStyle w:val="nTable"/>
              <w:spacing w:after="40"/>
              <w:rPr>
                <w:sz w:val="19"/>
              </w:rPr>
            </w:pPr>
            <w:r>
              <w:rPr>
                <w:sz w:val="19"/>
              </w:rPr>
              <w:t>19 Nov 1998 (see s. 2)</w:t>
            </w:r>
          </w:p>
        </w:tc>
      </w:tr>
      <w:tr>
        <w:trPr>
          <w:cantSplit/>
        </w:trPr>
        <w:tc>
          <w:tcPr>
            <w:tcW w:w="2268" w:type="dxa"/>
            <w:tcBorders>
              <w:top w:val="nil"/>
              <w:bottom w:val="nil"/>
            </w:tcBorders>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4" w:type="dxa"/>
            <w:gridSpan w:val="2"/>
            <w:tcBorders>
              <w:top w:val="nil"/>
              <w:bottom w:val="nil"/>
            </w:tcBorders>
          </w:tcPr>
          <w:p>
            <w:pPr>
              <w:pStyle w:val="nTable"/>
              <w:spacing w:after="40"/>
              <w:rPr>
                <w:sz w:val="19"/>
              </w:rPr>
            </w:pPr>
            <w:r>
              <w:rPr>
                <w:sz w:val="19"/>
              </w:rPr>
              <w:t>5 of 1999</w:t>
            </w:r>
          </w:p>
        </w:tc>
        <w:tc>
          <w:tcPr>
            <w:tcW w:w="1134" w:type="dxa"/>
            <w:gridSpan w:val="2"/>
            <w:tcBorders>
              <w:top w:val="nil"/>
              <w:bottom w:val="nil"/>
            </w:tcBorders>
          </w:tcPr>
          <w:p>
            <w:pPr>
              <w:pStyle w:val="nTable"/>
              <w:spacing w:after="40"/>
              <w:rPr>
                <w:sz w:val="19"/>
              </w:rPr>
            </w:pPr>
            <w:r>
              <w:rPr>
                <w:sz w:val="19"/>
              </w:rPr>
              <w:t>13 Apr 1999</w:t>
            </w:r>
          </w:p>
        </w:tc>
        <w:tc>
          <w:tcPr>
            <w:tcW w:w="2532" w:type="dxa"/>
            <w:gridSpan w:val="2"/>
            <w:tcBorders>
              <w:top w:val="nil"/>
              <w:bottom w:val="nil"/>
            </w:tcBorders>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Pr>
        <w:tc>
          <w:tcPr>
            <w:tcW w:w="2268" w:type="dxa"/>
            <w:tcBorders>
              <w:top w:val="nil"/>
              <w:bottom w:val="nil"/>
            </w:tcBorders>
          </w:tcPr>
          <w:p>
            <w:pPr>
              <w:pStyle w:val="nTable"/>
              <w:spacing w:after="40"/>
              <w:ind w:right="113"/>
              <w:rPr>
                <w:sz w:val="19"/>
              </w:rPr>
            </w:pPr>
            <w:r>
              <w:rPr>
                <w:i/>
                <w:sz w:val="19"/>
              </w:rPr>
              <w:t>Marketing of Meat Amendment Act 1999</w:t>
            </w:r>
            <w:r>
              <w:rPr>
                <w:sz w:val="19"/>
              </w:rPr>
              <w:t xml:space="preserve"> s. 19</w:t>
            </w:r>
          </w:p>
        </w:tc>
        <w:tc>
          <w:tcPr>
            <w:tcW w:w="1134" w:type="dxa"/>
            <w:gridSpan w:val="2"/>
            <w:tcBorders>
              <w:top w:val="nil"/>
              <w:bottom w:val="nil"/>
            </w:tcBorders>
          </w:tcPr>
          <w:p>
            <w:pPr>
              <w:pStyle w:val="nTable"/>
              <w:spacing w:after="40"/>
              <w:rPr>
                <w:sz w:val="19"/>
              </w:rPr>
            </w:pPr>
            <w:r>
              <w:rPr>
                <w:sz w:val="19"/>
              </w:rPr>
              <w:t>8 of 1999</w:t>
            </w:r>
          </w:p>
        </w:tc>
        <w:tc>
          <w:tcPr>
            <w:tcW w:w="1134" w:type="dxa"/>
            <w:gridSpan w:val="2"/>
            <w:tcBorders>
              <w:top w:val="nil"/>
              <w:bottom w:val="nil"/>
            </w:tcBorders>
          </w:tcPr>
          <w:p>
            <w:pPr>
              <w:pStyle w:val="nTable"/>
              <w:spacing w:after="40"/>
              <w:rPr>
                <w:sz w:val="19"/>
              </w:rPr>
            </w:pPr>
            <w:r>
              <w:rPr>
                <w:sz w:val="19"/>
              </w:rPr>
              <w:t>13 Apr 1999</w:t>
            </w:r>
          </w:p>
        </w:tc>
        <w:tc>
          <w:tcPr>
            <w:tcW w:w="2532" w:type="dxa"/>
            <w:gridSpan w:val="2"/>
            <w:tcBorders>
              <w:top w:val="nil"/>
              <w:bottom w:val="nil"/>
            </w:tcBorders>
          </w:tcPr>
          <w:p>
            <w:pPr>
              <w:pStyle w:val="nTable"/>
              <w:spacing w:after="40"/>
              <w:rPr>
                <w:sz w:val="19"/>
              </w:rPr>
            </w:pPr>
            <w:r>
              <w:rPr>
                <w:sz w:val="19"/>
              </w:rPr>
              <w:t xml:space="preserve">13 Aug 1999 (see s. 2(2) and </w:t>
            </w:r>
            <w:r>
              <w:rPr>
                <w:i/>
                <w:sz w:val="19"/>
              </w:rPr>
              <w:t>Gazette</w:t>
            </w:r>
            <w:r>
              <w:rPr>
                <w:sz w:val="19"/>
              </w:rPr>
              <w:t xml:space="preserve"> 13 Aug 1999 p. 3823)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Midland Redevelopment Act 1999</w:t>
            </w:r>
            <w:r>
              <w:rPr>
                <w:sz w:val="19"/>
              </w:rPr>
              <w:t xml:space="preserve"> s. 76</w:t>
            </w:r>
          </w:p>
        </w:tc>
        <w:tc>
          <w:tcPr>
            <w:tcW w:w="1134" w:type="dxa"/>
            <w:gridSpan w:val="2"/>
          </w:tcPr>
          <w:p>
            <w:pPr>
              <w:pStyle w:val="nTable"/>
              <w:spacing w:after="40"/>
              <w:rPr>
                <w:sz w:val="19"/>
              </w:rPr>
            </w:pPr>
            <w:r>
              <w:rPr>
                <w:sz w:val="19"/>
              </w:rPr>
              <w:t>38 of 1999</w:t>
            </w:r>
          </w:p>
        </w:tc>
        <w:tc>
          <w:tcPr>
            <w:tcW w:w="1134" w:type="dxa"/>
            <w:gridSpan w:val="2"/>
          </w:tcPr>
          <w:p>
            <w:pPr>
              <w:pStyle w:val="nTable"/>
              <w:spacing w:after="40"/>
              <w:rPr>
                <w:sz w:val="19"/>
              </w:rPr>
            </w:pPr>
            <w:r>
              <w:rPr>
                <w:sz w:val="19"/>
              </w:rPr>
              <w:t>11 Nov 1999</w:t>
            </w:r>
          </w:p>
        </w:tc>
        <w:tc>
          <w:tcPr>
            <w:tcW w:w="2532"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blPrEx>
          <w:tblBorders>
            <w:top w:val="none" w:sz="0" w:space="0" w:color="auto"/>
            <w:bottom w:val="none" w:sz="0" w:space="0" w:color="auto"/>
            <w:insideH w:val="none" w:sz="0" w:space="0" w:color="auto"/>
          </w:tblBorders>
        </w:tblPrEx>
        <w:trPr>
          <w:cantSplit/>
        </w:trPr>
        <w:tc>
          <w:tcPr>
            <w:tcW w:w="7068" w:type="dxa"/>
            <w:gridSpan w:val="7"/>
          </w:tcPr>
          <w:p>
            <w:pPr>
              <w:pStyle w:val="nTable"/>
              <w:spacing w:after="40"/>
              <w:rPr>
                <w:sz w:val="19"/>
              </w:rPr>
            </w:pPr>
            <w:r>
              <w:rPr>
                <w:b/>
                <w:sz w:val="19"/>
              </w:rPr>
              <w:t xml:space="preserve">Reprint of the </w:t>
            </w:r>
            <w:r>
              <w:rPr>
                <w:b/>
                <w:i/>
                <w:sz w:val="19"/>
              </w:rPr>
              <w:t>Statutory Corporations (Liability of Directors) Act 1996</w:t>
            </w:r>
            <w:r>
              <w:rPr>
                <w:b/>
                <w:sz w:val="19"/>
              </w:rPr>
              <w:t xml:space="preserve"> as at 8 Sep 2000</w:t>
            </w:r>
            <w:r>
              <w:rPr>
                <w:b/>
                <w:sz w:val="19"/>
              </w:rPr>
              <w:br/>
            </w:r>
            <w:r>
              <w:rPr>
                <w:sz w:val="19"/>
              </w:rP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smartTag w:uri="urn:schemas-microsoft-com:office:smarttags" w:element="place">
              <w:r>
                <w:rPr>
                  <w:i/>
                  <w:sz w:val="19"/>
                </w:rPr>
                <w:t>Forest</w:t>
              </w:r>
            </w:smartTag>
            <w:r>
              <w:rPr>
                <w:i/>
                <w:sz w:val="19"/>
              </w:rPr>
              <w:t xml:space="preserve"> Products Act 2000 </w:t>
            </w:r>
            <w:r>
              <w:rPr>
                <w:sz w:val="19"/>
              </w:rPr>
              <w:t>s. 72</w:t>
            </w:r>
          </w:p>
        </w:tc>
        <w:tc>
          <w:tcPr>
            <w:tcW w:w="1134" w:type="dxa"/>
            <w:gridSpan w:val="2"/>
          </w:tcPr>
          <w:p>
            <w:pPr>
              <w:pStyle w:val="nTable"/>
              <w:spacing w:after="40"/>
              <w:rPr>
                <w:sz w:val="19"/>
              </w:rPr>
            </w:pPr>
            <w:r>
              <w:rPr>
                <w:sz w:val="19"/>
              </w:rPr>
              <w:t>34 of 2000</w:t>
            </w:r>
          </w:p>
        </w:tc>
        <w:tc>
          <w:tcPr>
            <w:tcW w:w="1134" w:type="dxa"/>
            <w:gridSpan w:val="2"/>
          </w:tcPr>
          <w:p>
            <w:pPr>
              <w:pStyle w:val="nTable"/>
              <w:spacing w:after="40"/>
              <w:rPr>
                <w:sz w:val="19"/>
              </w:rPr>
            </w:pPr>
            <w:r>
              <w:rPr>
                <w:sz w:val="19"/>
              </w:rPr>
              <w:t>10 Oct 2000</w:t>
            </w:r>
          </w:p>
        </w:tc>
        <w:tc>
          <w:tcPr>
            <w:tcW w:w="2532"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65</w:t>
            </w:r>
          </w:p>
        </w:tc>
        <w:tc>
          <w:tcPr>
            <w:tcW w:w="1134" w:type="dxa"/>
            <w:gridSpan w:val="2"/>
          </w:tcPr>
          <w:p>
            <w:pPr>
              <w:pStyle w:val="nTable"/>
              <w:spacing w:after="40"/>
              <w:rPr>
                <w:sz w:val="19"/>
              </w:rPr>
            </w:pPr>
            <w:r>
              <w:rPr>
                <w:sz w:val="19"/>
              </w:rPr>
              <w:t>43 of 2000</w:t>
            </w:r>
          </w:p>
        </w:tc>
        <w:tc>
          <w:tcPr>
            <w:tcW w:w="1134" w:type="dxa"/>
            <w:gridSpan w:val="2"/>
          </w:tcPr>
          <w:p>
            <w:pPr>
              <w:pStyle w:val="nTable"/>
              <w:spacing w:after="40"/>
              <w:rPr>
                <w:sz w:val="19"/>
              </w:rPr>
            </w:pPr>
            <w:r>
              <w:rPr>
                <w:sz w:val="19"/>
              </w:rPr>
              <w:t>2 Nov 2000</w:t>
            </w:r>
          </w:p>
        </w:tc>
        <w:tc>
          <w:tcPr>
            <w:tcW w:w="2532"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3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7068" w:type="dxa"/>
            <w:gridSpan w:val="7"/>
          </w:tcPr>
          <w:p>
            <w:pPr>
              <w:pStyle w:val="nTable"/>
              <w:spacing w:after="40"/>
              <w:rPr>
                <w:spacing w:val="-4"/>
                <w:sz w:val="19"/>
              </w:rPr>
            </w:pPr>
            <w:r>
              <w:rPr>
                <w:b/>
                <w:spacing w:val="-4"/>
                <w:sz w:val="19"/>
              </w:rPr>
              <w:t xml:space="preserve">Reprint of the </w:t>
            </w:r>
            <w:r>
              <w:rPr>
                <w:b/>
                <w:i/>
                <w:spacing w:val="-4"/>
                <w:sz w:val="19"/>
              </w:rPr>
              <w:t>Statutory Corporations (Liability of Directors) Act 1996</w:t>
            </w:r>
            <w:r>
              <w:rPr>
                <w:b/>
                <w:spacing w:val="-4"/>
                <w:sz w:val="19"/>
              </w:rPr>
              <w:t xml:space="preserve"> as at 10 Aug 2001</w:t>
            </w:r>
            <w:r>
              <w:rPr>
                <w:b/>
                <w:spacing w:val="-4"/>
                <w:sz w:val="19"/>
              </w:rPr>
              <w:br/>
            </w:r>
            <w:r>
              <w:rPr>
                <w:spacing w:val="-4"/>
                <w:sz w:val="19"/>
              </w:rPr>
              <w:t>(includes amendments listed above)</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Armadale Redevelopment Act 2001</w:t>
            </w:r>
            <w:r>
              <w:rPr>
                <w:sz w:val="19"/>
              </w:rPr>
              <w:t xml:space="preserve"> s. 69</w:t>
            </w:r>
          </w:p>
        </w:tc>
        <w:tc>
          <w:tcPr>
            <w:tcW w:w="1134" w:type="dxa"/>
            <w:gridSpan w:val="2"/>
          </w:tcPr>
          <w:p>
            <w:pPr>
              <w:pStyle w:val="nTable"/>
              <w:spacing w:after="40"/>
              <w:rPr>
                <w:sz w:val="19"/>
              </w:rPr>
            </w:pPr>
            <w:r>
              <w:rPr>
                <w:sz w:val="19"/>
              </w:rPr>
              <w:t>25 of 2001</w:t>
            </w:r>
          </w:p>
        </w:tc>
        <w:tc>
          <w:tcPr>
            <w:tcW w:w="1134" w:type="dxa"/>
            <w:gridSpan w:val="2"/>
          </w:tcPr>
          <w:p>
            <w:pPr>
              <w:pStyle w:val="nTable"/>
              <w:spacing w:after="40"/>
              <w:rPr>
                <w:sz w:val="19"/>
              </w:rPr>
            </w:pPr>
            <w:r>
              <w:rPr>
                <w:sz w:val="19"/>
              </w:rPr>
              <w:t>26 Nov 2001</w:t>
            </w:r>
          </w:p>
        </w:tc>
        <w:tc>
          <w:tcPr>
            <w:tcW w:w="2532"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Grain Marketing Act 2002</w:t>
            </w:r>
            <w:r>
              <w:rPr>
                <w:sz w:val="19"/>
              </w:rPr>
              <w:t xml:space="preserve"> s. 47</w:t>
            </w:r>
          </w:p>
        </w:tc>
        <w:tc>
          <w:tcPr>
            <w:tcW w:w="1134" w:type="dxa"/>
            <w:gridSpan w:val="2"/>
          </w:tcPr>
          <w:p>
            <w:pPr>
              <w:pStyle w:val="nTable"/>
              <w:spacing w:after="40"/>
              <w:rPr>
                <w:sz w:val="19"/>
              </w:rPr>
            </w:pPr>
            <w:r>
              <w:rPr>
                <w:sz w:val="19"/>
              </w:rPr>
              <w:t>30 of 2002</w:t>
            </w:r>
          </w:p>
        </w:tc>
        <w:tc>
          <w:tcPr>
            <w:tcW w:w="1134" w:type="dxa"/>
            <w:gridSpan w:val="2"/>
          </w:tcPr>
          <w:p>
            <w:pPr>
              <w:pStyle w:val="nTable"/>
              <w:spacing w:after="40"/>
              <w:rPr>
                <w:sz w:val="19"/>
              </w:rPr>
            </w:pPr>
            <w:r>
              <w:rPr>
                <w:sz w:val="19"/>
              </w:rPr>
              <w:t>25 Oct 2002</w:t>
            </w:r>
          </w:p>
        </w:tc>
        <w:tc>
          <w:tcPr>
            <w:tcW w:w="2532" w:type="dxa"/>
            <w:gridSpan w:val="2"/>
          </w:tcPr>
          <w:p>
            <w:pPr>
              <w:pStyle w:val="nTable"/>
              <w:spacing w:after="40"/>
              <w:rPr>
                <w:sz w:val="19"/>
              </w:rPr>
            </w:pPr>
            <w:r>
              <w:rPr>
                <w:sz w:val="19"/>
              </w:rPr>
              <w:t xml:space="preserve">31 Oct 2002 (see s. 2 and </w:t>
            </w:r>
            <w:r>
              <w:rPr>
                <w:i/>
                <w:sz w:val="19"/>
              </w:rPr>
              <w:t>Gazette</w:t>
            </w:r>
            <w:r>
              <w:rPr>
                <w:sz w:val="19"/>
              </w:rPr>
              <w:t xml:space="preserve"> 30 Oct 2002 p. 5351)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Public Transport Authority Act 2003</w:t>
            </w:r>
            <w:r>
              <w:rPr>
                <w:sz w:val="19"/>
              </w:rPr>
              <w:t xml:space="preserve"> s. 208</w:t>
            </w:r>
          </w:p>
        </w:tc>
        <w:tc>
          <w:tcPr>
            <w:tcW w:w="1134" w:type="dxa"/>
            <w:gridSpan w:val="2"/>
          </w:tcPr>
          <w:p>
            <w:pPr>
              <w:pStyle w:val="nTable"/>
              <w:spacing w:after="40"/>
              <w:rPr>
                <w:sz w:val="19"/>
              </w:rPr>
            </w:pPr>
            <w:r>
              <w:rPr>
                <w:sz w:val="19"/>
              </w:rPr>
              <w:t>31 of 2003</w:t>
            </w:r>
          </w:p>
        </w:tc>
        <w:tc>
          <w:tcPr>
            <w:tcW w:w="1134" w:type="dxa"/>
            <w:gridSpan w:val="2"/>
          </w:tcPr>
          <w:p>
            <w:pPr>
              <w:pStyle w:val="nTable"/>
              <w:spacing w:after="40"/>
              <w:rPr>
                <w:sz w:val="19"/>
              </w:rPr>
            </w:pPr>
            <w:r>
              <w:rPr>
                <w:sz w:val="19"/>
              </w:rPr>
              <w:t>26 May 2003</w:t>
            </w:r>
          </w:p>
        </w:tc>
        <w:tc>
          <w:tcPr>
            <w:tcW w:w="2532"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s. 24 and 52</w:t>
            </w:r>
          </w:p>
        </w:tc>
        <w:tc>
          <w:tcPr>
            <w:tcW w:w="1134" w:type="dxa"/>
            <w:gridSpan w:val="2"/>
          </w:tcPr>
          <w:p>
            <w:pPr>
              <w:pStyle w:val="nTable"/>
              <w:spacing w:after="40"/>
              <w:rPr>
                <w:sz w:val="19"/>
              </w:rPr>
            </w:pPr>
            <w:r>
              <w:rPr>
                <w:sz w:val="19"/>
              </w:rPr>
              <w:t>35 of 2003</w:t>
            </w:r>
          </w:p>
        </w:tc>
        <w:tc>
          <w:tcPr>
            <w:tcW w:w="1134" w:type="dxa"/>
            <w:gridSpan w:val="2"/>
          </w:tcPr>
          <w:p>
            <w:pPr>
              <w:pStyle w:val="nTable"/>
              <w:spacing w:after="40"/>
              <w:rPr>
                <w:sz w:val="19"/>
              </w:rPr>
            </w:pPr>
            <w:r>
              <w:rPr>
                <w:sz w:val="19"/>
              </w:rPr>
              <w:t>26 Jun 2003</w:t>
            </w:r>
          </w:p>
        </w:tc>
        <w:tc>
          <w:tcPr>
            <w:tcW w:w="2532" w:type="dxa"/>
            <w:gridSpan w:val="2"/>
          </w:tcPr>
          <w:p>
            <w:pPr>
              <w:pStyle w:val="nTable"/>
              <w:spacing w:after="40"/>
              <w:rPr>
                <w:sz w:val="19"/>
              </w:rPr>
            </w:pPr>
            <w:r>
              <w:rPr>
                <w:sz w:val="19"/>
              </w:rPr>
              <w:t xml:space="preserve">s. 24: 1 Aug 2003 (see s. 2 and </w:t>
            </w:r>
            <w:r>
              <w:rPr>
                <w:i/>
                <w:sz w:val="19"/>
              </w:rPr>
              <w:t>Gazette</w:t>
            </w:r>
            <w:r>
              <w:rPr>
                <w:sz w:val="19"/>
              </w:rPr>
              <w:t xml:space="preserve"> 29 Jul 2003 p. 3259);</w:t>
            </w:r>
            <w:r>
              <w:rPr>
                <w:sz w:val="19"/>
              </w:rPr>
              <w:br/>
              <w:t xml:space="preserve">s. 52: 30 Jan 2004 (see s. 2 and </w:t>
            </w:r>
            <w:r>
              <w:rPr>
                <w:i/>
                <w:sz w:val="19"/>
              </w:rPr>
              <w:t>Gazette</w:t>
            </w:r>
            <w:r>
              <w:rPr>
                <w:sz w:val="19"/>
              </w:rPr>
              <w:t xml:space="preserve"> 30 Jan 2004 p. 397)</w:t>
            </w:r>
          </w:p>
        </w:tc>
      </w:tr>
      <w:tr>
        <w:tblPrEx>
          <w:tblBorders>
            <w:top w:val="none" w:sz="0" w:space="0" w:color="auto"/>
            <w:bottom w:val="none" w:sz="0" w:space="0" w:color="auto"/>
            <w:insideH w:val="none" w:sz="0" w:space="0" w:color="auto"/>
          </w:tblBorders>
        </w:tblPrEx>
        <w:trPr>
          <w:cantSplit/>
        </w:trPr>
        <w:tc>
          <w:tcPr>
            <w:tcW w:w="7068" w:type="dxa"/>
            <w:gridSpan w:val="7"/>
          </w:tcPr>
          <w:p>
            <w:pPr>
              <w:pStyle w:val="nTable"/>
              <w:spacing w:after="40"/>
              <w:rPr>
                <w:sz w:val="19"/>
              </w:rPr>
            </w:pPr>
            <w:r>
              <w:rPr>
                <w:b/>
                <w:spacing w:val="-4"/>
                <w:sz w:val="19"/>
              </w:rPr>
              <w:t xml:space="preserve">Reprint 3: The </w:t>
            </w:r>
            <w:r>
              <w:rPr>
                <w:b/>
                <w:i/>
                <w:spacing w:val="-4"/>
                <w:sz w:val="19"/>
              </w:rPr>
              <w:t>Statutory Corporations (Liability of Directors) Act 1996</w:t>
            </w:r>
            <w:r>
              <w:rPr>
                <w:b/>
                <w:spacing w:val="-4"/>
                <w:sz w:val="19"/>
              </w:rPr>
              <w:t xml:space="preserve"> as at 7 Nov 2003 </w:t>
            </w:r>
            <w:r>
              <w:rPr>
                <w:spacing w:val="-4"/>
                <w:sz w:val="19"/>
              </w:rPr>
              <w:t xml:space="preserve">(includes amendments listed above except those in the </w:t>
            </w:r>
            <w:r>
              <w:rPr>
                <w:i/>
                <w:sz w:val="19"/>
              </w:rPr>
              <w:t>Racing and Gambling Legislation Amendment and Repeal Act 2003</w:t>
            </w:r>
            <w:r>
              <w:rPr>
                <w:sz w:val="19"/>
              </w:rPr>
              <w:t xml:space="preserve"> </w:t>
            </w:r>
            <w:r>
              <w:rPr>
                <w:spacing w:val="-4"/>
                <w:sz w:val="19"/>
              </w:rPr>
              <w:t>s. 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Criminal Code Amendment Act 2004</w:t>
            </w:r>
            <w:r>
              <w:rPr>
                <w:sz w:val="19"/>
              </w:rPr>
              <w:t xml:space="preserve"> s. 58 </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32" w:type="dxa"/>
            <w:gridSpan w:val="2"/>
          </w:tcPr>
          <w:p>
            <w:pPr>
              <w:pStyle w:val="nTable"/>
              <w:spacing w:after="40"/>
              <w:rPr>
                <w:sz w:val="19"/>
              </w:rPr>
            </w:pPr>
            <w:r>
              <w:rPr>
                <w:sz w:val="19"/>
              </w:rP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Marketing of Eggs Amendment Act 2004 </w:t>
            </w:r>
            <w:r>
              <w:rPr>
                <w:sz w:val="19"/>
              </w:rPr>
              <w:t>s. 9</w:t>
            </w:r>
          </w:p>
        </w:tc>
        <w:tc>
          <w:tcPr>
            <w:tcW w:w="1134" w:type="dxa"/>
            <w:gridSpan w:val="2"/>
          </w:tcPr>
          <w:p>
            <w:pPr>
              <w:pStyle w:val="nTable"/>
              <w:spacing w:after="40"/>
              <w:rPr>
                <w:sz w:val="19"/>
              </w:rPr>
            </w:pPr>
            <w:r>
              <w:rPr>
                <w:sz w:val="19"/>
              </w:rPr>
              <w:t>20 of 2004</w:t>
            </w:r>
          </w:p>
        </w:tc>
        <w:tc>
          <w:tcPr>
            <w:tcW w:w="1134" w:type="dxa"/>
            <w:gridSpan w:val="2"/>
          </w:tcPr>
          <w:p>
            <w:pPr>
              <w:pStyle w:val="nTable"/>
              <w:spacing w:after="40"/>
              <w:rPr>
                <w:sz w:val="19"/>
              </w:rPr>
            </w:pPr>
            <w:r>
              <w:rPr>
                <w:sz w:val="19"/>
              </w:rPr>
              <w:t>26 Aug 2004</w:t>
            </w:r>
          </w:p>
        </w:tc>
        <w:tc>
          <w:tcPr>
            <w:tcW w:w="2532" w:type="dxa"/>
            <w:gridSpan w:val="2"/>
          </w:tcPr>
          <w:p>
            <w:pPr>
              <w:pStyle w:val="nTable"/>
              <w:spacing w:after="40"/>
              <w:rPr>
                <w:sz w:val="19"/>
              </w:rPr>
            </w:pPr>
            <w:r>
              <w:rPr>
                <w:sz w:val="19"/>
              </w:rPr>
              <w:t xml:space="preserve">2 Jul 2005 (see s. 2(2) and </w:t>
            </w:r>
            <w:r>
              <w:rPr>
                <w:i/>
                <w:iCs/>
                <w:sz w:val="19"/>
              </w:rPr>
              <w:t>Gazette</w:t>
            </w:r>
            <w:r>
              <w:rPr>
                <w:sz w:val="19"/>
              </w:rPr>
              <w:t xml:space="preserve"> 28 Jun 2005 p. 2895)</w:t>
            </w:r>
          </w:p>
        </w:tc>
      </w:tr>
      <w:tr>
        <w:tblPrEx>
          <w:tblBorders>
            <w:top w:val="none" w:sz="0" w:space="0" w:color="auto"/>
            <w:bottom w:val="none" w:sz="0" w:space="0" w:color="auto"/>
            <w:insideH w:val="none" w:sz="0" w:space="0" w:color="auto"/>
          </w:tblBorders>
        </w:tblPrEx>
        <w:trPr>
          <w:cantSplit/>
        </w:trPr>
        <w:tc>
          <w:tcPr>
            <w:tcW w:w="4536" w:type="dxa"/>
            <w:gridSpan w:val="5"/>
          </w:tcPr>
          <w:p>
            <w:pPr>
              <w:pStyle w:val="nTable"/>
              <w:spacing w:after="40"/>
              <w:rPr>
                <w:sz w:val="19"/>
              </w:rPr>
            </w:pPr>
            <w:r>
              <w:rPr>
                <w:i/>
                <w:sz w:val="19"/>
              </w:rPr>
              <w:t xml:space="preserve">Statutory Corporations (Liability of Directors) (Act Amendment) Regulations 2004 </w:t>
            </w:r>
            <w:r>
              <w:rPr>
                <w:sz w:val="19"/>
              </w:rPr>
              <w:t xml:space="preserve">published in </w:t>
            </w:r>
            <w:r>
              <w:rPr>
                <w:i/>
                <w:sz w:val="19"/>
              </w:rPr>
              <w:t xml:space="preserve">Gazette </w:t>
            </w:r>
            <w:r>
              <w:rPr>
                <w:sz w:val="19"/>
              </w:rPr>
              <w:t>26 Nov 2004 p. 5314</w:t>
            </w:r>
            <w:r>
              <w:rPr>
                <w:sz w:val="19"/>
              </w:rPr>
              <w:noBreakHyphen/>
              <w:t>15</w:t>
            </w:r>
          </w:p>
        </w:tc>
        <w:tc>
          <w:tcPr>
            <w:tcW w:w="2532" w:type="dxa"/>
            <w:gridSpan w:val="2"/>
          </w:tcPr>
          <w:p>
            <w:pPr>
              <w:pStyle w:val="nTable"/>
              <w:spacing w:after="40"/>
              <w:rPr>
                <w:sz w:val="19"/>
              </w:rPr>
            </w:pPr>
            <w:r>
              <w:rPr>
                <w:sz w:val="19"/>
              </w:rPr>
              <w:t xml:space="preserve">1 Dec 2004 (see r. 2 and </w:t>
            </w:r>
            <w:r>
              <w:rPr>
                <w:i/>
                <w:sz w:val="19"/>
              </w:rPr>
              <w:t xml:space="preserve">Gazette </w:t>
            </w:r>
            <w:r>
              <w:rPr>
                <w:sz w:val="19"/>
              </w:rPr>
              <w:t>30 Nov 2004 p. 5515)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6</w:t>
            </w:r>
          </w:p>
        </w:tc>
        <w:tc>
          <w:tcPr>
            <w:tcW w:w="1134" w:type="dxa"/>
            <w:gridSpan w:val="2"/>
          </w:tcPr>
          <w:p>
            <w:pPr>
              <w:pStyle w:val="nTable"/>
              <w:spacing w:after="40"/>
              <w:rPr>
                <w:sz w:val="19"/>
              </w:rPr>
            </w:pPr>
            <w:r>
              <w:rPr>
                <w:sz w:val="19"/>
              </w:rPr>
              <w:t>28 of 2006</w:t>
            </w:r>
          </w:p>
        </w:tc>
        <w:tc>
          <w:tcPr>
            <w:tcW w:w="1134" w:type="dxa"/>
            <w:gridSpan w:val="2"/>
          </w:tcPr>
          <w:p>
            <w:pPr>
              <w:pStyle w:val="nTable"/>
              <w:spacing w:after="40"/>
              <w:rPr>
                <w:sz w:val="19"/>
              </w:rPr>
            </w:pPr>
            <w:r>
              <w:rPr>
                <w:sz w:val="19"/>
              </w:rPr>
              <w:t>26 Jun 2006</w:t>
            </w:r>
          </w:p>
        </w:tc>
        <w:tc>
          <w:tcPr>
            <w:tcW w:w="2532"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rPr>
              <w:t>Land Information Authority Act 2006</w:t>
            </w:r>
            <w:r>
              <w:rPr>
                <w:iCs/>
                <w:snapToGrid w:val="0"/>
                <w:sz w:val="19"/>
              </w:rPr>
              <w:t xml:space="preserve"> s. 188 </w:t>
            </w:r>
          </w:p>
        </w:tc>
        <w:tc>
          <w:tcPr>
            <w:tcW w:w="1134" w:type="dxa"/>
            <w:gridSpan w:val="2"/>
          </w:tcPr>
          <w:p>
            <w:pPr>
              <w:pStyle w:val="nTable"/>
              <w:spacing w:after="40"/>
              <w:rPr>
                <w:sz w:val="19"/>
              </w:rPr>
            </w:pPr>
            <w:r>
              <w:rPr>
                <w:snapToGrid w:val="0"/>
                <w:sz w:val="19"/>
              </w:rPr>
              <w:t>60 of 2006</w:t>
            </w:r>
          </w:p>
        </w:tc>
        <w:tc>
          <w:tcPr>
            <w:tcW w:w="1134" w:type="dxa"/>
            <w:gridSpan w:val="2"/>
          </w:tcPr>
          <w:p>
            <w:pPr>
              <w:pStyle w:val="nTable"/>
              <w:spacing w:after="40"/>
              <w:rPr>
                <w:sz w:val="19"/>
              </w:rPr>
            </w:pPr>
            <w:r>
              <w:rPr>
                <w:snapToGrid w:val="0"/>
                <w:sz w:val="19"/>
              </w:rPr>
              <w:t>16 Nov 2006</w:t>
            </w:r>
          </w:p>
        </w:tc>
        <w:tc>
          <w:tcPr>
            <w:tcW w:w="2532" w:type="dxa"/>
            <w:gridSpan w:val="2"/>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blPrEx>
          <w:tblBorders>
            <w:top w:val="none" w:sz="0" w:space="0" w:color="auto"/>
            <w:bottom w:val="none" w:sz="0" w:space="0" w:color="auto"/>
            <w:insideH w:val="none" w:sz="0" w:space="0" w:color="auto"/>
          </w:tblBorders>
        </w:tblPrEx>
        <w:trPr>
          <w:cantSplit/>
        </w:trPr>
        <w:tc>
          <w:tcPr>
            <w:tcW w:w="7068" w:type="dxa"/>
            <w:gridSpan w:val="7"/>
          </w:tcPr>
          <w:p>
            <w:pPr>
              <w:pStyle w:val="nTable"/>
              <w:spacing w:after="40"/>
              <w:rPr>
                <w:sz w:val="19"/>
              </w:rPr>
            </w:pPr>
            <w:r>
              <w:rPr>
                <w:b/>
                <w:bCs/>
                <w:sz w:val="19"/>
              </w:rPr>
              <w:t xml:space="preserve">Reprint 4:  </w:t>
            </w:r>
            <w:r>
              <w:rPr>
                <w:b/>
                <w:bCs/>
                <w:spacing w:val="-4"/>
                <w:sz w:val="19"/>
              </w:rPr>
              <w:t>The</w:t>
            </w:r>
            <w:r>
              <w:rPr>
                <w:b/>
                <w:spacing w:val="-4"/>
                <w:sz w:val="19"/>
              </w:rPr>
              <w:t xml:space="preserve"> </w:t>
            </w:r>
            <w:r>
              <w:rPr>
                <w:b/>
                <w:i/>
                <w:spacing w:val="-4"/>
                <w:sz w:val="19"/>
              </w:rPr>
              <w:t>Statutory Corporations (Liability of Directors) Act 1996</w:t>
            </w:r>
            <w:r>
              <w:rPr>
                <w:b/>
                <w:spacing w:val="-4"/>
                <w:sz w:val="19"/>
              </w:rPr>
              <w:t xml:space="preserve"> as at 9 Feb 2007 </w:t>
            </w:r>
            <w:r>
              <w:rPr>
                <w:spacing w:val="-4"/>
                <w:sz w:val="19"/>
              </w:rPr>
              <w:t>(includes amendments listed above)</w:t>
            </w:r>
            <w:r>
              <w:rPr>
                <w:sz w:val="19"/>
              </w:rPr>
              <w:t xml:space="preserve">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napToGrid w:val="0"/>
                <w:sz w:val="19"/>
              </w:rPr>
              <w:t>Chemistry Centre (WA) Act 2007</w:t>
            </w:r>
            <w:r>
              <w:rPr>
                <w:iCs/>
                <w:snapToGrid w:val="0"/>
                <w:sz w:val="19"/>
              </w:rPr>
              <w:t xml:space="preserve"> s. 43</w:t>
            </w:r>
          </w:p>
        </w:tc>
        <w:tc>
          <w:tcPr>
            <w:tcW w:w="1134" w:type="dxa"/>
            <w:gridSpan w:val="2"/>
          </w:tcPr>
          <w:p>
            <w:pPr>
              <w:pStyle w:val="nTable"/>
              <w:spacing w:after="40"/>
              <w:rPr>
                <w:sz w:val="19"/>
              </w:rPr>
            </w:pPr>
            <w:r>
              <w:rPr>
                <w:snapToGrid w:val="0"/>
                <w:sz w:val="19"/>
              </w:rPr>
              <w:t>10 of 2007</w:t>
            </w:r>
          </w:p>
        </w:tc>
        <w:tc>
          <w:tcPr>
            <w:tcW w:w="1134" w:type="dxa"/>
            <w:gridSpan w:val="2"/>
          </w:tcPr>
          <w:p>
            <w:pPr>
              <w:pStyle w:val="nTable"/>
              <w:spacing w:after="40"/>
              <w:rPr>
                <w:sz w:val="19"/>
              </w:rPr>
            </w:pPr>
            <w:r>
              <w:rPr>
                <w:snapToGrid w:val="0"/>
                <w:sz w:val="19"/>
              </w:rPr>
              <w:t>29</w:t>
            </w:r>
            <w:r>
              <w:rPr>
                <w:sz w:val="19"/>
              </w:rPr>
              <w:t> Jun 2007</w:t>
            </w:r>
          </w:p>
        </w:tc>
        <w:tc>
          <w:tcPr>
            <w:tcW w:w="2532" w:type="dxa"/>
            <w:gridSpan w:val="2"/>
          </w:tcPr>
          <w:p>
            <w:pPr>
              <w:pStyle w:val="nTable"/>
              <w:spacing w:after="40"/>
              <w:rPr>
                <w:sz w:val="19"/>
              </w:rPr>
            </w:pPr>
            <w:r>
              <w:rPr>
                <w:sz w:val="19"/>
              </w:rPr>
              <w:t xml:space="preserve">1 Aug 2007 (see s. 2 and </w:t>
            </w:r>
            <w:r>
              <w:rPr>
                <w:i/>
                <w:iCs/>
                <w:sz w:val="19"/>
              </w:rPr>
              <w:t>Gazette</w:t>
            </w:r>
            <w:r>
              <w:rPr>
                <w:sz w:val="19"/>
              </w:rPr>
              <w:t xml:space="preserve"> 27 Jul 2007 p. 3735)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sz w:val="19"/>
              </w:rPr>
            </w:pPr>
            <w:r>
              <w:rPr>
                <w:i/>
                <w:snapToGrid w:val="0"/>
                <w:sz w:val="19"/>
              </w:rPr>
              <w:t>Eastern Goldfields Transport Board Repeal Act 2008</w:t>
            </w:r>
            <w:r>
              <w:rPr>
                <w:snapToGrid w:val="0"/>
                <w:sz w:val="19"/>
              </w:rPr>
              <w:t xml:space="preserve"> s. 14 </w:t>
            </w:r>
          </w:p>
        </w:tc>
        <w:tc>
          <w:tcPr>
            <w:tcW w:w="1134" w:type="dxa"/>
            <w:gridSpan w:val="2"/>
          </w:tcPr>
          <w:p>
            <w:pPr>
              <w:pStyle w:val="nTable"/>
              <w:spacing w:after="40"/>
              <w:rPr>
                <w:snapToGrid w:val="0"/>
                <w:sz w:val="19"/>
              </w:rPr>
            </w:pPr>
            <w:r>
              <w:rPr>
                <w:snapToGrid w:val="0"/>
                <w:sz w:val="19"/>
              </w:rPr>
              <w:t>28 of 2008</w:t>
            </w:r>
          </w:p>
        </w:tc>
        <w:tc>
          <w:tcPr>
            <w:tcW w:w="1134" w:type="dxa"/>
            <w:gridSpan w:val="2"/>
          </w:tcPr>
          <w:p>
            <w:pPr>
              <w:pStyle w:val="nTable"/>
              <w:spacing w:after="40"/>
              <w:rPr>
                <w:snapToGrid w:val="0"/>
                <w:sz w:val="19"/>
              </w:rPr>
            </w:pPr>
            <w:r>
              <w:rPr>
                <w:sz w:val="19"/>
              </w:rPr>
              <w:t>1 Jul 2008</w:t>
            </w:r>
          </w:p>
        </w:tc>
        <w:tc>
          <w:tcPr>
            <w:tcW w:w="2532" w:type="dxa"/>
            <w:gridSpan w:val="2"/>
          </w:tcPr>
          <w:p>
            <w:pPr>
              <w:pStyle w:val="nTable"/>
              <w:spacing w:after="40"/>
              <w:rPr>
                <w:sz w:val="19"/>
              </w:rPr>
            </w:pPr>
            <w:r>
              <w:rPr>
                <w:snapToGrid w:val="0"/>
                <w:spacing w:val="-2"/>
                <w:sz w:val="19"/>
              </w:rPr>
              <w:t>29</w:t>
            </w:r>
            <w:r>
              <w:rPr>
                <w:snapToGrid w:val="0"/>
                <w:sz w:val="19"/>
              </w:rPr>
              <w:t> Jul 2008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121</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32" w:type="dxa"/>
            <w:gridSpan w:val="2"/>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4" w:type="dxa"/>
            <w:gridSpan w:val="2"/>
            <w:shd w:val="clear" w:color="auto" w:fill="auto"/>
          </w:tcPr>
          <w:p>
            <w:pPr>
              <w:pStyle w:val="nTable"/>
              <w:spacing w:after="40"/>
              <w:rPr>
                <w:snapToGrid w:val="0"/>
                <w:sz w:val="19"/>
              </w:rPr>
            </w:pPr>
            <w:r>
              <w:rPr>
                <w:snapToGrid w:val="0"/>
                <w:sz w:val="19"/>
              </w:rPr>
              <w:t>19 of 2010</w:t>
            </w:r>
          </w:p>
        </w:tc>
        <w:tc>
          <w:tcPr>
            <w:tcW w:w="1134" w:type="dxa"/>
            <w:gridSpan w:val="2"/>
            <w:shd w:val="clear" w:color="auto" w:fill="auto"/>
          </w:tcPr>
          <w:p>
            <w:pPr>
              <w:pStyle w:val="nTable"/>
              <w:spacing w:after="40"/>
              <w:rPr>
                <w:snapToGrid w:val="0"/>
                <w:sz w:val="19"/>
              </w:rPr>
            </w:pPr>
            <w:r>
              <w:rPr>
                <w:snapToGrid w:val="0"/>
                <w:sz w:val="19"/>
              </w:rPr>
              <w:t>28 Jun 2010</w:t>
            </w:r>
          </w:p>
        </w:tc>
        <w:tc>
          <w:tcPr>
            <w:tcW w:w="2532" w:type="dxa"/>
            <w:gridSpan w:val="2"/>
            <w:shd w:val="clear" w:color="auto" w:fill="auto"/>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blPrEx>
          <w:tblBorders>
            <w:top w:val="none" w:sz="0" w:space="0" w:color="auto"/>
            <w:bottom w:val="none" w:sz="0" w:space="0" w:color="auto"/>
            <w:insideH w:val="none" w:sz="0" w:space="0" w:color="auto"/>
          </w:tblBorders>
        </w:tblPrEx>
        <w:trPr>
          <w:cantSplit/>
        </w:trPr>
        <w:tc>
          <w:tcPr>
            <w:tcW w:w="7068" w:type="dxa"/>
            <w:gridSpan w:val="7"/>
            <w:shd w:val="clear" w:color="auto" w:fill="auto"/>
          </w:tcPr>
          <w:p>
            <w:pPr>
              <w:pStyle w:val="nTable"/>
              <w:spacing w:after="40"/>
              <w:rPr>
                <w:snapToGrid w:val="0"/>
                <w:sz w:val="19"/>
              </w:rPr>
            </w:pPr>
            <w:r>
              <w:rPr>
                <w:b/>
                <w:bCs/>
                <w:sz w:val="19"/>
              </w:rPr>
              <w:t xml:space="preserve">Reprint 5:  </w:t>
            </w:r>
            <w:r>
              <w:rPr>
                <w:b/>
                <w:bCs/>
                <w:spacing w:val="-4"/>
                <w:sz w:val="19"/>
              </w:rPr>
              <w:t>The</w:t>
            </w:r>
            <w:r>
              <w:rPr>
                <w:b/>
                <w:spacing w:val="-4"/>
                <w:sz w:val="19"/>
              </w:rPr>
              <w:t xml:space="preserve"> </w:t>
            </w:r>
            <w:r>
              <w:rPr>
                <w:b/>
                <w:i/>
                <w:spacing w:val="-4"/>
                <w:sz w:val="19"/>
              </w:rPr>
              <w:t>Statutory Corporations (Liability of Directors) Act 1996</w:t>
            </w:r>
            <w:r>
              <w:rPr>
                <w:b/>
                <w:spacing w:val="-4"/>
                <w:sz w:val="19"/>
              </w:rPr>
              <w:t xml:space="preserve"> as at 4 Nov 2011 </w:t>
            </w:r>
            <w:r>
              <w:rPr>
                <w:spacing w:val="-4"/>
                <w:sz w:val="19"/>
              </w:rPr>
              <w:t>(includes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319" w:type="dxa"/>
            <w:gridSpan w:val="2"/>
            <w:tcBorders>
              <w:top w:val="nil"/>
              <w:bottom w:val="nil"/>
            </w:tcBorders>
          </w:tcPr>
          <w:p>
            <w:pPr>
              <w:pStyle w:val="nTable"/>
              <w:spacing w:after="40"/>
              <w:rPr>
                <w:i/>
                <w:snapToGrid w:val="0"/>
                <w:sz w:val="19"/>
              </w:rPr>
            </w:pPr>
            <w:r>
              <w:rPr>
                <w:i/>
                <w:snapToGrid w:val="0"/>
                <w:sz w:val="19"/>
              </w:rPr>
              <w:t xml:space="preserve">Metropolitan Redevelopment Authority Act 2011 </w:t>
            </w:r>
            <w:r>
              <w:rPr>
                <w:snapToGrid w:val="0"/>
                <w:sz w:val="19"/>
              </w:rPr>
              <w:t>s. 143</w:t>
            </w:r>
            <w:r>
              <w:rPr>
                <w:snapToGrid w:val="0"/>
                <w:sz w:val="19"/>
                <w:vertAlign w:val="superscript"/>
              </w:rPr>
              <w:t> </w:t>
            </w:r>
          </w:p>
        </w:tc>
        <w:tc>
          <w:tcPr>
            <w:tcW w:w="1118" w:type="dxa"/>
            <w:gridSpan w:val="2"/>
            <w:tcBorders>
              <w:top w:val="nil"/>
              <w:bottom w:val="nil"/>
            </w:tcBorders>
          </w:tcPr>
          <w:p>
            <w:pPr>
              <w:pStyle w:val="nTable"/>
              <w:spacing w:after="40"/>
              <w:rPr>
                <w:snapToGrid w:val="0"/>
                <w:sz w:val="19"/>
              </w:rPr>
            </w:pPr>
            <w:r>
              <w:rPr>
                <w:snapToGrid w:val="0"/>
                <w:sz w:val="19"/>
              </w:rPr>
              <w:t>45 of 2011</w:t>
            </w:r>
          </w:p>
        </w:tc>
        <w:tc>
          <w:tcPr>
            <w:tcW w:w="1134" w:type="dxa"/>
            <w:gridSpan w:val="2"/>
            <w:tcBorders>
              <w:top w:val="nil"/>
              <w:bottom w:val="nil"/>
            </w:tcBorders>
          </w:tcPr>
          <w:p>
            <w:pPr>
              <w:pStyle w:val="nTable"/>
              <w:spacing w:after="40"/>
              <w:rPr>
                <w:sz w:val="19"/>
              </w:rPr>
            </w:pPr>
            <w:r>
              <w:rPr>
                <w:snapToGrid w:val="0"/>
                <w:sz w:val="19"/>
              </w:rPr>
              <w:t>12 Oct 2011</w:t>
            </w:r>
          </w:p>
        </w:tc>
        <w:tc>
          <w:tcPr>
            <w:tcW w:w="2497" w:type="dxa"/>
            <w:tcBorders>
              <w:top w:val="nil"/>
              <w:bottom w:val="nil"/>
            </w:tcBorders>
          </w:tcPr>
          <w:p>
            <w:pPr>
              <w:pStyle w:val="nTable"/>
              <w:spacing w:after="4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8" w:space="0" w:color="auto"/>
            <w:bottom w:val="single" w:sz="8" w:space="0" w:color="auto"/>
            <w:insideH w:val="single" w:sz="8" w:space="0" w:color="auto"/>
          </w:tblBorders>
          <w:tblCellMar>
            <w:left w:w="57" w:type="dxa"/>
            <w:right w:w="57" w:type="dxa"/>
          </w:tblCellMar>
        </w:tblPrEx>
        <w:tc>
          <w:tcPr>
            <w:tcW w:w="2319" w:type="dxa"/>
            <w:gridSpan w:val="2"/>
            <w:tcBorders>
              <w:top w:val="nil"/>
              <w:bottom w:val="single" w:sz="4" w:space="0" w:color="auto"/>
            </w:tcBorders>
          </w:tcPr>
          <w:p>
            <w:pPr>
              <w:pStyle w:val="nTable"/>
              <w:spacing w:after="40"/>
              <w:rPr>
                <w:i/>
                <w:snapToGrid w:val="0"/>
                <w:sz w:val="19"/>
              </w:rPr>
            </w:pPr>
            <w:r>
              <w:rPr>
                <w:i/>
                <w:snapToGrid w:val="0"/>
                <w:sz w:val="19"/>
              </w:rPr>
              <w:t>Water Services Legislation Amendment and Repeal Act 2012</w:t>
            </w:r>
            <w:r>
              <w:rPr>
                <w:snapToGrid w:val="0"/>
                <w:sz w:val="19"/>
              </w:rPr>
              <w:t xml:space="preserve"> s. 231</w:t>
            </w:r>
          </w:p>
        </w:tc>
        <w:tc>
          <w:tcPr>
            <w:tcW w:w="1118" w:type="dxa"/>
            <w:gridSpan w:val="2"/>
            <w:tcBorders>
              <w:top w:val="nil"/>
              <w:bottom w:val="single" w:sz="4" w:space="0" w:color="auto"/>
            </w:tcBorders>
          </w:tcPr>
          <w:p>
            <w:pPr>
              <w:pStyle w:val="nTable"/>
              <w:spacing w:after="40"/>
              <w:rPr>
                <w:snapToGrid w:val="0"/>
                <w:sz w:val="19"/>
              </w:rPr>
            </w:pPr>
            <w:r>
              <w:rPr>
                <w:snapToGrid w:val="0"/>
                <w:sz w:val="19"/>
              </w:rPr>
              <w:t>25 of 2012</w:t>
            </w:r>
          </w:p>
        </w:tc>
        <w:tc>
          <w:tcPr>
            <w:tcW w:w="1134" w:type="dxa"/>
            <w:gridSpan w:val="2"/>
            <w:tcBorders>
              <w:top w:val="nil"/>
              <w:bottom w:val="single" w:sz="4" w:space="0" w:color="auto"/>
            </w:tcBorders>
          </w:tcPr>
          <w:p>
            <w:pPr>
              <w:pStyle w:val="nTable"/>
              <w:spacing w:after="40"/>
              <w:rPr>
                <w:snapToGrid w:val="0"/>
                <w:sz w:val="19"/>
              </w:rPr>
            </w:pPr>
            <w:r>
              <w:rPr>
                <w:sz w:val="19"/>
              </w:rPr>
              <w:t>3 Sep 2012</w:t>
            </w:r>
          </w:p>
        </w:tc>
        <w:tc>
          <w:tcPr>
            <w:tcW w:w="2497" w:type="dxa"/>
            <w:tcBorders>
              <w:top w:val="nil"/>
              <w:bottom w:val="single" w:sz="4" w:space="0" w:color="auto"/>
            </w:tcBorders>
          </w:tcPr>
          <w:p>
            <w:pPr>
              <w:pStyle w:val="nTable"/>
              <w:spacing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bl>
    <w:p>
      <w:pPr>
        <w:pStyle w:val="nSubsection"/>
        <w:spacing w:before="160"/>
        <w:rPr>
          <w:rFonts w:ascii="Times" w:hAnsi="Times"/>
        </w:rPr>
      </w:pPr>
      <w:r>
        <w:rPr>
          <w:vertAlign w:val="superscript"/>
        </w:rPr>
        <w:t>2</w:t>
      </w:r>
      <w:r>
        <w:tab/>
        <w:t xml:space="preserve">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Part III provides for the establishment of the State Government Insurance Corporation and for a board of directors of the Corporation.  The </w:t>
      </w:r>
      <w:r>
        <w:rPr>
          <w:i/>
        </w:rPr>
        <w:t>Acts Amendment (ICWA) Act 1996</w:t>
      </w:r>
      <w:r>
        <w:t xml:space="preserve"> s. 20, which had not come into operation at the date on which this compilation was prepared, would repeal that Part.</w:t>
      </w:r>
    </w:p>
    <w:p>
      <w:pPr>
        <w:pStyle w:val="nSubsection"/>
      </w:pPr>
      <w:r>
        <w:rPr>
          <w:vertAlign w:val="superscript"/>
        </w:rPr>
        <w:t>3</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Subsection"/>
      </w:pPr>
      <w:r>
        <w:rPr>
          <w:vertAlign w:val="superscript"/>
        </w:rPr>
        <w:t>4</w:t>
      </w:r>
      <w:r>
        <w:tab/>
        <w:t xml:space="preserve">Repealed by the </w:t>
      </w:r>
      <w:r>
        <w:rPr>
          <w:i/>
        </w:rPr>
        <w:t>Meat Industry Legislation (Amendment and Repeal) Act 1993</w:t>
      </w:r>
      <w:r>
        <w:t>.</w:t>
      </w:r>
    </w:p>
    <w:p>
      <w:pPr>
        <w:pStyle w:val="nSubsection"/>
        <w:keepLines/>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87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
      <w:pPr>
        <w:pStyle w:val="nHeading2"/>
        <w:rPr>
          <w:sz w:val="28"/>
        </w:rPr>
      </w:pPr>
      <w:bookmarkStart w:id="36" w:name="_Toc379194623"/>
      <w:r>
        <w:rPr>
          <w:sz w:val="28"/>
        </w:rPr>
        <w:t>Defined terms</w:t>
      </w:r>
      <w:bookmarkEnd w:id="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7" w:name="DefinedTerms"/>
      <w:bookmarkEnd w:id="37"/>
      <w:r>
        <w:t>corporation</w:t>
      </w:r>
      <w:r>
        <w:tab/>
        <w:t>4, 7(1)</w:t>
      </w:r>
    </w:p>
    <w:p>
      <w:pPr>
        <w:pStyle w:val="DefinedTerms"/>
      </w:pPr>
      <w:r>
        <w:t>director</w:t>
      </w:r>
      <w:r>
        <w:tab/>
        <w:t>4, 7(1)</w:t>
      </w:r>
    </w:p>
    <w:p>
      <w:pPr>
        <w:pStyle w:val="DefinedTerms"/>
      </w:pPr>
      <w:r>
        <w:t>governing body</w:t>
      </w:r>
      <w:r>
        <w:tab/>
        <w:t>16(1)</w:t>
      </w:r>
    </w:p>
    <w:p>
      <w:pPr>
        <w:pStyle w:val="DefinedTerms"/>
      </w:pPr>
      <w:r>
        <w:t>responsible Minister</w:t>
      </w:r>
      <w:r>
        <w:tab/>
        <w:t>15(2), 16(1)</w:t>
      </w:r>
    </w:p>
    <w:p>
      <w:pPr>
        <w:pStyle w:val="DefinedTerms"/>
        <w:sectPr>
          <w:headerReference w:type="even" r:id="rId32"/>
          <w:headerReference w:type="default" r:id="rId33"/>
          <w:footerReference w:type="even" r:id="rId34"/>
          <w:footerReference w:type="default" r:id="rId35"/>
          <w:headerReference w:type="first" r:id="rId36"/>
          <w:foot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Statutory Corporations (Liability of Directors) Act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42" w:type="dxa"/>
          <w:vAlign w:val="bottom"/>
        </w:tcPr>
        <w:p>
          <w:pPr>
            <w:pStyle w:val="HeaderTextRight"/>
          </w:pPr>
          <w:r>
            <w:fldChar w:fldCharType="begin"/>
          </w:r>
          <w:r>
            <w:instrText xml:space="preserve"> styleref CharSchText </w:instrText>
          </w:r>
          <w:r>
            <w:rPr>
              <w:noProof/>
            </w:rPr>
            <w:fldChar w:fldCharType="end"/>
          </w:r>
        </w:p>
      </w:tc>
      <w:tc>
        <w:tcPr>
          <w:tcW w:w="1521" w:type="dxa"/>
        </w:tcPr>
        <w:p>
          <w:pPr>
            <w:pStyle w:val="HeaderNumberRight"/>
            <w:ind w:right="17"/>
          </w:pPr>
          <w:r>
            <w:fldChar w:fldCharType="begin"/>
          </w:r>
          <w:r>
            <w:instrText xml:space="preserve"> styleref CharSchno </w:instrText>
          </w:r>
          <w:r>
            <w:rPr>
              <w:noProof/>
            </w:rPr>
            <w:fldChar w:fldCharType="end"/>
          </w:r>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Statutory Corporations (Liability of Directors)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Statutory Corporations (Liability of Directors)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B526BD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1AAF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B7C32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0E6C2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EF438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97A96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B0666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2F074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1E4592"/>
    <w:lvl w:ilvl="0">
      <w:start w:val="1"/>
      <w:numFmt w:val="decimal"/>
      <w:pStyle w:val="ListNumber"/>
      <w:lvlText w:val="%1."/>
      <w:lvlJc w:val="left"/>
      <w:pPr>
        <w:tabs>
          <w:tab w:val="num" w:pos="360"/>
        </w:tabs>
        <w:ind w:left="360" w:hanging="360"/>
      </w:pPr>
    </w:lvl>
  </w:abstractNum>
  <w:abstractNum w:abstractNumId="9">
    <w:nsid w:val="FFFFFF89"/>
    <w:multiLevelType w:val="singleLevel"/>
    <w:tmpl w:val="47EA66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35A64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2EE8E9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3"/>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03123030"/>
    <w:docVar w:name="WAFER_20140203120758" w:val="RemoveTocBookmarks,RemoveUnusedBookmarks,RemoveLanguageTags,UsedStyles,ResetPageSize,UpdateArrangement"/>
    <w:docVar w:name="WAFER_20140203120758_GUID" w:val="86856ca3-5dfc-4ad6-84e1-d1b00b0a5f6f"/>
    <w:docVar w:name="WAFER_20140203123030" w:val="RemoveTocBookmarks,RunningHeaders"/>
    <w:docVar w:name="WAFER_20140203123030_GUID" w:val="c619bc6a-9f78-4ecd-b00d-c168919d1b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1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4233</Words>
  <Characters>19518</Characters>
  <Application>Microsoft Office Word</Application>
  <DocSecurity>0</DocSecurity>
  <Lines>813</Lines>
  <Paragraphs>516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1996 - 05-e0-01</dc:title>
  <dc:subject/>
  <dc:creator/>
  <cp:keywords/>
  <dc:description/>
  <cp:lastModifiedBy>svcMRProcess</cp:lastModifiedBy>
  <cp:revision>4</cp:revision>
  <cp:lastPrinted>2011-11-08T03:55:00Z</cp:lastPrinted>
  <dcterms:created xsi:type="dcterms:W3CDTF">2018-09-08T11:32:00Z</dcterms:created>
  <dcterms:modified xsi:type="dcterms:W3CDTF">2018-09-08T11:32:00Z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CommencementDate">
    <vt:lpwstr>20131118</vt:lpwstr>
  </property>
  <property fmtid="{D5CDD505-2E9C-101B-9397-08002B2CF9AE}" pid="4" name="DocumentType">
    <vt:lpwstr>Act</vt:lpwstr>
  </property>
  <property fmtid="{D5CDD505-2E9C-101B-9397-08002B2CF9AE}" pid="5" name="OwlsUID">
    <vt:i4>790</vt:i4>
  </property>
  <property fmtid="{D5CDD505-2E9C-101B-9397-08002B2CF9AE}" pid="6" name="AsAtDate">
    <vt:lpwstr>18 Nov 2013</vt:lpwstr>
  </property>
  <property fmtid="{D5CDD505-2E9C-101B-9397-08002B2CF9AE}" pid="7" name="Suffix">
    <vt:lpwstr>05-e0-01</vt:lpwstr>
  </property>
  <property fmtid="{D5CDD505-2E9C-101B-9397-08002B2CF9AE}" pid="8" name="ReprintNo">
    <vt:lpwstr>5</vt:lpwstr>
  </property>
  <property fmtid="{D5CDD505-2E9C-101B-9397-08002B2CF9AE}" pid="9" name="ReprintedAsAt">
    <vt:filetime>2011-11-03T16:00:00Z</vt:filetime>
  </property>
</Properties>
</file>