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_Toc418676597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_Toc418676598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_Toc418676599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effect of enabling agreement</w:t>
      </w:r>
      <w:r>
        <w:tab/>
      </w:r>
      <w:r>
        <w:fldChar w:fldCharType="begin"/>
      </w:r>
      <w:r>
        <w:instrText xml:space="preserve"> PAGEREF _Toc418676600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development plan agreement</w:t>
      </w:r>
      <w:r>
        <w:tab/>
      </w:r>
      <w:r>
        <w:fldChar w:fldCharType="begin"/>
      </w:r>
      <w:r>
        <w:instrText xml:space="preserve"> PAGEREF _Toc418676601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Implementation of agreements and authorisation of statutory bodies</w:t>
      </w:r>
      <w:r>
        <w:tab/>
      </w:r>
      <w:r>
        <w:fldChar w:fldCharType="begin"/>
      </w:r>
      <w:r>
        <w:instrText xml:space="preserve"> PAGEREF _Toc418676602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Demolition of Padbury buildings</w:t>
      </w:r>
      <w:r>
        <w:tab/>
      </w:r>
      <w:r>
        <w:fldChar w:fldCharType="begin"/>
      </w:r>
      <w:r>
        <w:instrText xml:space="preserve"> PAGEREF _Toc418676603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may be reserved in strata</w:t>
      </w:r>
      <w:r>
        <w:tab/>
      </w:r>
      <w:r>
        <w:fldChar w:fldCharType="begin"/>
      </w:r>
      <w:r>
        <w:instrText xml:space="preserve"> PAGEREF _Toc418676604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grant easements over reserves</w:t>
      </w:r>
      <w:r>
        <w:tab/>
      </w:r>
      <w:r>
        <w:fldChar w:fldCharType="begin"/>
      </w:r>
      <w:r>
        <w:instrText xml:space="preserve"> PAGEREF _Toc418676605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nature of development</w:t>
      </w:r>
      <w:r>
        <w:tab/>
      </w:r>
      <w:r>
        <w:fldChar w:fldCharType="begin"/>
      </w:r>
      <w:r>
        <w:instrText xml:space="preserve"> PAGEREF _Toc418676606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Street closure</w:t>
      </w:r>
      <w:r>
        <w:tab/>
      </w:r>
      <w:r>
        <w:fldChar w:fldCharType="begin"/>
      </w:r>
      <w:r>
        <w:instrText xml:space="preserve"> PAGEREF _Toc418676607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land taken or acquired to implement agreements</w:t>
      </w:r>
      <w:r>
        <w:tab/>
      </w:r>
      <w:r>
        <w:fldChar w:fldCharType="begin"/>
      </w:r>
      <w:r>
        <w:instrText xml:space="preserve"> PAGEREF _Toc418676608 \h </w:instrText>
      </w:r>
      <w:r>
        <w:fldChar w:fldCharType="separate"/>
      </w:r>
      <w:r>
        <w:t>6</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Rights and obligations in relation to land affected by development plan agreement</w:t>
      </w:r>
      <w:r>
        <w:tab/>
      </w:r>
      <w:r>
        <w:fldChar w:fldCharType="begin"/>
      </w:r>
      <w:r>
        <w:instrText xml:space="preserve"> PAGEREF _Toc418676609 \h </w:instrText>
      </w:r>
      <w:r>
        <w:fldChar w:fldCharType="separate"/>
      </w:r>
      <w:r>
        <w:t>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Endorsements as to rights and obligations</w:t>
      </w:r>
      <w:r>
        <w:tab/>
      </w:r>
      <w:r>
        <w:fldChar w:fldCharType="begin"/>
      </w:r>
      <w:r>
        <w:instrText xml:space="preserve"> PAGEREF _Toc418676610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Reserved land vested in City</w:t>
      </w:r>
      <w:r>
        <w:tab/>
      </w:r>
      <w:r>
        <w:fldChar w:fldCharType="begin"/>
      </w:r>
      <w:r>
        <w:instrText xml:space="preserve"> PAGEREF _Toc418676611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land by City</w:t>
      </w:r>
      <w:r>
        <w:tab/>
      </w:r>
      <w:r>
        <w:fldChar w:fldCharType="begin"/>
      </w:r>
      <w:r>
        <w:instrText xml:space="preserve"> PAGEREF _Toc418676612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and borrowing by City</w:t>
      </w:r>
      <w:r>
        <w:tab/>
      </w:r>
      <w:r>
        <w:fldChar w:fldCharType="begin"/>
      </w:r>
      <w:r>
        <w:instrText xml:space="preserve"> PAGEREF _Toc418676613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City Station complex</w:t>
      </w:r>
      <w:r>
        <w:tab/>
      </w:r>
      <w:r>
        <w:fldChar w:fldCharType="begin"/>
      </w:r>
      <w:r>
        <w:instrText xml:space="preserve"> PAGEREF _Toc418676614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City not required to call tenders</w:t>
      </w:r>
      <w:r>
        <w:tab/>
      </w:r>
      <w:r>
        <w:fldChar w:fldCharType="begin"/>
      </w:r>
      <w:r>
        <w:instrText xml:space="preserve"> PAGEREF _Toc418676615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City to control access to development site</w:t>
      </w:r>
      <w:r>
        <w:tab/>
      </w:r>
      <w:r>
        <w:fldChar w:fldCharType="begin"/>
      </w:r>
      <w:r>
        <w:instrText xml:space="preserve"> PAGEREF _Toc418676616 \h </w:instrText>
      </w:r>
      <w:r>
        <w:fldChar w:fldCharType="separate"/>
      </w:r>
      <w:r>
        <w:t>11</w:t>
      </w:r>
      <w:r>
        <w:fldChar w:fldCharType="end"/>
      </w:r>
    </w:p>
    <w:p>
      <w:pPr>
        <w:pStyle w:val="TOC8"/>
        <w:rPr>
          <w:rFonts w:asciiTheme="minorHAnsi" w:eastAsiaTheme="minorEastAsia" w:hAnsiTheme="minorHAnsi" w:cstheme="minorBidi"/>
          <w:szCs w:val="22"/>
        </w:rPr>
      </w:pPr>
      <w:r>
        <w:t>19.</w:t>
      </w:r>
      <w:r>
        <w:tab/>
        <w:t>Power of Authority relating to leases and easements</w:t>
      </w:r>
      <w:r>
        <w:tab/>
      </w:r>
      <w:r>
        <w:fldChar w:fldCharType="begin"/>
      </w:r>
      <w:r>
        <w:instrText xml:space="preserve"> PAGEREF _Toc418676617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Limits of Government railways extended for certain purposes</w:t>
      </w:r>
      <w:r>
        <w:tab/>
      </w:r>
      <w:r>
        <w:fldChar w:fldCharType="begin"/>
      </w:r>
      <w:r>
        <w:instrText xml:space="preserve"> PAGEREF _Toc418676618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Agreements to be published and laid before Parliament</w:t>
      </w:r>
      <w:r>
        <w:tab/>
      </w:r>
      <w:r>
        <w:fldChar w:fldCharType="begin"/>
      </w:r>
      <w:r>
        <w:instrText xml:space="preserve"> PAGEREF _Toc418676619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 Enabling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_Toc418676622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3" w:name="_Toc381873376"/>
      <w:bookmarkStart w:id="4" w:name="_Toc41867659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5" w:name="_Toc381873377"/>
      <w:bookmarkStart w:id="6" w:name="_Toc41867659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7" w:name="_Toc381873378"/>
      <w:bookmarkStart w:id="8" w:name="_Toc418676599"/>
      <w:r>
        <w:rPr>
          <w:rStyle w:val="CharSectno"/>
        </w:rPr>
        <w:t>3</w:t>
      </w:r>
      <w:r>
        <w:rPr>
          <w:snapToGrid w:val="0"/>
        </w:rPr>
        <w:t>.</w:t>
      </w:r>
      <w:r>
        <w:rPr>
          <w:snapToGrid w:val="0"/>
        </w:rPr>
        <w:tab/>
        <w:t>Terms used</w:t>
      </w:r>
      <w:bookmarkEnd w:id="7"/>
      <w:bookmarkEnd w:id="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No. 14 of 1996 s. 4; No. 31 of 1997 s. 29(1); No. 31 of 2003 s. 205(2).] </w:t>
      </w:r>
    </w:p>
    <w:p>
      <w:pPr>
        <w:pStyle w:val="Heading5"/>
        <w:rPr>
          <w:snapToGrid w:val="0"/>
        </w:rPr>
      </w:pPr>
      <w:bookmarkStart w:id="9" w:name="_Toc381873379"/>
      <w:bookmarkStart w:id="10" w:name="_Toc418676600"/>
      <w:r>
        <w:rPr>
          <w:rStyle w:val="CharSectno"/>
        </w:rPr>
        <w:t>4</w:t>
      </w:r>
      <w:r>
        <w:rPr>
          <w:snapToGrid w:val="0"/>
        </w:rPr>
        <w:t>.</w:t>
      </w:r>
      <w:r>
        <w:rPr>
          <w:snapToGrid w:val="0"/>
        </w:rPr>
        <w:tab/>
        <w:t>Ratification and effect of enabling agreement</w:t>
      </w:r>
      <w:bookmarkEnd w:id="9"/>
      <w:bookmarkEnd w:id="10"/>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11" w:name="_Toc381873380"/>
      <w:bookmarkStart w:id="12" w:name="_Toc418676601"/>
      <w:r>
        <w:rPr>
          <w:rStyle w:val="CharSectno"/>
        </w:rPr>
        <w:t>5</w:t>
      </w:r>
      <w:r>
        <w:rPr>
          <w:snapToGrid w:val="0"/>
        </w:rPr>
        <w:t>.</w:t>
      </w:r>
      <w:r>
        <w:rPr>
          <w:snapToGrid w:val="0"/>
        </w:rPr>
        <w:tab/>
        <w:t>Effect of development plan agreement</w:t>
      </w:r>
      <w:bookmarkEnd w:id="11"/>
      <w:bookmarkEnd w:id="12"/>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No. 66 of 1986 s. 4.] </w:t>
      </w:r>
    </w:p>
    <w:p>
      <w:pPr>
        <w:pStyle w:val="Heading5"/>
        <w:rPr>
          <w:snapToGrid w:val="0"/>
        </w:rPr>
      </w:pPr>
      <w:bookmarkStart w:id="13" w:name="_Toc381873381"/>
      <w:bookmarkStart w:id="14" w:name="_Toc418676602"/>
      <w:r>
        <w:rPr>
          <w:rStyle w:val="CharSectno"/>
        </w:rPr>
        <w:t>6</w:t>
      </w:r>
      <w:r>
        <w:rPr>
          <w:snapToGrid w:val="0"/>
        </w:rPr>
        <w:t>.</w:t>
      </w:r>
      <w:r>
        <w:rPr>
          <w:snapToGrid w:val="0"/>
        </w:rPr>
        <w:tab/>
        <w:t>Implementation of agreements and authorisation of statutory bodies</w:t>
      </w:r>
      <w:bookmarkEnd w:id="13"/>
      <w:bookmarkEnd w:id="14"/>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No. 31 of 2003 s. 205(3) and (4).]</w:t>
      </w:r>
    </w:p>
    <w:p>
      <w:pPr>
        <w:pStyle w:val="Heading5"/>
        <w:rPr>
          <w:snapToGrid w:val="0"/>
        </w:rPr>
      </w:pPr>
      <w:bookmarkStart w:id="15" w:name="_Toc381873382"/>
      <w:bookmarkStart w:id="16" w:name="_Toc418676603"/>
      <w:r>
        <w:rPr>
          <w:rStyle w:val="CharSectno"/>
        </w:rPr>
        <w:t>7</w:t>
      </w:r>
      <w:r>
        <w:rPr>
          <w:snapToGrid w:val="0"/>
        </w:rPr>
        <w:t>.</w:t>
      </w:r>
      <w:r>
        <w:rPr>
          <w:snapToGrid w:val="0"/>
        </w:rPr>
        <w:tab/>
        <w:t>Demolition of Padbury buildings</w:t>
      </w:r>
      <w:bookmarkEnd w:id="15"/>
      <w:bookmarkEnd w:id="16"/>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17" w:name="_Toc381873383"/>
      <w:bookmarkStart w:id="18" w:name="_Toc418676604"/>
      <w:r>
        <w:rPr>
          <w:rStyle w:val="CharSectno"/>
        </w:rPr>
        <w:t>8</w:t>
      </w:r>
      <w:r>
        <w:rPr>
          <w:snapToGrid w:val="0"/>
        </w:rPr>
        <w:t>.</w:t>
      </w:r>
      <w:r>
        <w:rPr>
          <w:snapToGrid w:val="0"/>
        </w:rPr>
        <w:tab/>
        <w:t>Land may be reserved in strata</w:t>
      </w:r>
      <w:bookmarkEnd w:id="17"/>
      <w:bookmarkEnd w:id="18"/>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No. 31 of 1997 s. 29(2).]</w:t>
      </w:r>
    </w:p>
    <w:p>
      <w:pPr>
        <w:pStyle w:val="Heading5"/>
        <w:rPr>
          <w:snapToGrid w:val="0"/>
        </w:rPr>
      </w:pPr>
      <w:bookmarkStart w:id="19" w:name="_Toc381873384"/>
      <w:bookmarkStart w:id="20" w:name="_Toc418676605"/>
      <w:r>
        <w:rPr>
          <w:rStyle w:val="CharSectno"/>
        </w:rPr>
        <w:t>9</w:t>
      </w:r>
      <w:r>
        <w:rPr>
          <w:snapToGrid w:val="0"/>
        </w:rPr>
        <w:t>.</w:t>
      </w:r>
      <w:r>
        <w:rPr>
          <w:snapToGrid w:val="0"/>
        </w:rPr>
        <w:tab/>
        <w:t>Power to grant easements over reserves</w:t>
      </w:r>
      <w:bookmarkEnd w:id="19"/>
      <w:bookmarkEnd w:id="20"/>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No. 31 of 1997 s. 29(3) and (4).]</w:t>
      </w:r>
    </w:p>
    <w:p>
      <w:pPr>
        <w:pStyle w:val="Heading5"/>
        <w:rPr>
          <w:snapToGrid w:val="0"/>
        </w:rPr>
      </w:pPr>
      <w:bookmarkStart w:id="21" w:name="_Toc381873385"/>
      <w:bookmarkStart w:id="22" w:name="_Toc418676606"/>
      <w:r>
        <w:rPr>
          <w:rStyle w:val="CharSectno"/>
        </w:rPr>
        <w:t>10</w:t>
      </w:r>
      <w:r>
        <w:rPr>
          <w:snapToGrid w:val="0"/>
        </w:rPr>
        <w:t>.</w:t>
      </w:r>
      <w:r>
        <w:rPr>
          <w:snapToGrid w:val="0"/>
        </w:rPr>
        <w:tab/>
        <w:t>Public nature of development</w:t>
      </w:r>
      <w:bookmarkEnd w:id="21"/>
      <w:bookmarkEnd w:id="22"/>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23" w:name="_Toc381873386"/>
      <w:bookmarkStart w:id="24" w:name="_Toc418676607"/>
      <w:r>
        <w:rPr>
          <w:rStyle w:val="CharSectno"/>
        </w:rPr>
        <w:t>11</w:t>
      </w:r>
      <w:r>
        <w:rPr>
          <w:snapToGrid w:val="0"/>
        </w:rPr>
        <w:t>.</w:t>
      </w:r>
      <w:r>
        <w:rPr>
          <w:snapToGrid w:val="0"/>
        </w:rPr>
        <w:tab/>
        <w:t>Street closure</w:t>
      </w:r>
      <w:bookmarkEnd w:id="23"/>
      <w:bookmarkEnd w:id="24"/>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No. 14 of 1996 s. 4; No. 31 of 1997 s. 29(5)</w:t>
      </w:r>
      <w:r>
        <w:noBreakHyphen/>
        <w:t xml:space="preserve">(7).] </w:t>
      </w:r>
    </w:p>
    <w:p>
      <w:pPr>
        <w:pStyle w:val="Heading5"/>
        <w:rPr>
          <w:snapToGrid w:val="0"/>
        </w:rPr>
      </w:pPr>
      <w:bookmarkStart w:id="25" w:name="_Toc381873387"/>
      <w:bookmarkStart w:id="26" w:name="_Toc418676608"/>
      <w:r>
        <w:rPr>
          <w:rStyle w:val="CharSectno"/>
        </w:rPr>
        <w:t>12</w:t>
      </w:r>
      <w:r>
        <w:rPr>
          <w:snapToGrid w:val="0"/>
        </w:rPr>
        <w:t>.</w:t>
      </w:r>
      <w:r>
        <w:rPr>
          <w:snapToGrid w:val="0"/>
        </w:rPr>
        <w:tab/>
        <w:t>Provisions as to land taken or acquired to implement agreements</w:t>
      </w:r>
      <w:bookmarkEnd w:id="25"/>
      <w:bookmarkEnd w:id="26"/>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No. 66 of 1986 s. 5; No. 31 of 1997 s. 29(8)</w:t>
      </w:r>
      <w:r>
        <w:noBreakHyphen/>
        <w:t xml:space="preserve">(11); No. 38 of 2005 s. 15.] </w:t>
      </w:r>
    </w:p>
    <w:p>
      <w:pPr>
        <w:pStyle w:val="Heading5"/>
        <w:rPr>
          <w:snapToGrid w:val="0"/>
        </w:rPr>
      </w:pPr>
      <w:bookmarkStart w:id="27" w:name="_Toc381873388"/>
      <w:bookmarkStart w:id="28" w:name="_Toc418676609"/>
      <w:r>
        <w:rPr>
          <w:rStyle w:val="CharSectno"/>
        </w:rPr>
        <w:t>12A</w:t>
      </w:r>
      <w:r>
        <w:rPr>
          <w:snapToGrid w:val="0"/>
        </w:rPr>
        <w:t>.</w:t>
      </w:r>
      <w:r>
        <w:rPr>
          <w:snapToGrid w:val="0"/>
        </w:rPr>
        <w:tab/>
        <w:t>Rights and obligations in relation to land affected by development plan agreement</w:t>
      </w:r>
      <w:bookmarkEnd w:id="27"/>
      <w:bookmarkEnd w:id="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 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No. 66 of 1986 s. 6.] </w:t>
      </w:r>
    </w:p>
    <w:p>
      <w:pPr>
        <w:pStyle w:val="Heading5"/>
        <w:pageBreakBefore/>
        <w:rPr>
          <w:snapToGrid w:val="0"/>
        </w:rPr>
      </w:pPr>
      <w:bookmarkStart w:id="29" w:name="_Toc381873389"/>
      <w:bookmarkStart w:id="30" w:name="_Toc418676610"/>
      <w:r>
        <w:rPr>
          <w:rStyle w:val="CharSectno"/>
        </w:rPr>
        <w:t>12B</w:t>
      </w:r>
      <w:r>
        <w:rPr>
          <w:snapToGrid w:val="0"/>
        </w:rPr>
        <w:t>.</w:t>
      </w:r>
      <w:r>
        <w:rPr>
          <w:snapToGrid w:val="0"/>
        </w:rPr>
        <w:tab/>
        <w:t>Endorsements as to rights and obligations</w:t>
      </w:r>
      <w:bookmarkEnd w:id="29"/>
      <w:bookmarkEnd w:id="30"/>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vertAlign w:val="superscript"/>
        </w:rPr>
        <w:t> 1</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No. 66 of 1986 s. 7.] </w:t>
      </w:r>
    </w:p>
    <w:p>
      <w:pPr>
        <w:pStyle w:val="Heading5"/>
        <w:rPr>
          <w:snapToGrid w:val="0"/>
        </w:rPr>
      </w:pPr>
      <w:bookmarkStart w:id="31" w:name="_Toc381873390"/>
      <w:bookmarkStart w:id="32" w:name="_Toc418676611"/>
      <w:r>
        <w:rPr>
          <w:rStyle w:val="CharSectno"/>
        </w:rPr>
        <w:t>13</w:t>
      </w:r>
      <w:r>
        <w:rPr>
          <w:snapToGrid w:val="0"/>
        </w:rPr>
        <w:t>.</w:t>
      </w:r>
      <w:r>
        <w:rPr>
          <w:snapToGrid w:val="0"/>
        </w:rPr>
        <w:tab/>
        <w:t>Reserved land vested in City</w:t>
      </w:r>
      <w:bookmarkEnd w:id="31"/>
      <w:bookmarkEnd w:id="32"/>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No. 31 of 1997 s. 29(12).]</w:t>
      </w:r>
    </w:p>
    <w:p>
      <w:pPr>
        <w:pStyle w:val="Heading5"/>
        <w:rPr>
          <w:snapToGrid w:val="0"/>
        </w:rPr>
      </w:pPr>
      <w:bookmarkStart w:id="33" w:name="_Toc381873391"/>
      <w:bookmarkStart w:id="34" w:name="_Toc418676612"/>
      <w:r>
        <w:rPr>
          <w:rStyle w:val="CharSectno"/>
        </w:rPr>
        <w:t>14</w:t>
      </w:r>
      <w:r>
        <w:rPr>
          <w:snapToGrid w:val="0"/>
        </w:rPr>
        <w:t>.</w:t>
      </w:r>
      <w:r>
        <w:rPr>
          <w:snapToGrid w:val="0"/>
        </w:rPr>
        <w:tab/>
        <w:t>Disposal of land by City</w:t>
      </w:r>
      <w:bookmarkEnd w:id="33"/>
      <w:bookmarkEnd w:id="34"/>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No. 14 of 1996 s. 4.] </w:t>
      </w:r>
    </w:p>
    <w:p>
      <w:pPr>
        <w:pStyle w:val="Heading5"/>
        <w:spacing w:before="180"/>
        <w:rPr>
          <w:snapToGrid w:val="0"/>
        </w:rPr>
      </w:pPr>
      <w:bookmarkStart w:id="35" w:name="_Toc381873392"/>
      <w:bookmarkStart w:id="36" w:name="_Toc418676613"/>
      <w:r>
        <w:rPr>
          <w:rStyle w:val="CharSectno"/>
        </w:rPr>
        <w:t>15</w:t>
      </w:r>
      <w:r>
        <w:rPr>
          <w:snapToGrid w:val="0"/>
        </w:rPr>
        <w:t>.</w:t>
      </w:r>
      <w:r>
        <w:rPr>
          <w:snapToGrid w:val="0"/>
        </w:rPr>
        <w:tab/>
        <w:t>Expenditure and borrowing by City</w:t>
      </w:r>
      <w:bookmarkEnd w:id="35"/>
      <w:bookmarkEnd w:id="36"/>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No. 14 of 1996 s. 4; No. 31 of 1997 s. 29(13).] </w:t>
      </w:r>
    </w:p>
    <w:p>
      <w:pPr>
        <w:pStyle w:val="Heading5"/>
        <w:spacing w:before="180"/>
        <w:rPr>
          <w:snapToGrid w:val="0"/>
        </w:rPr>
      </w:pPr>
      <w:bookmarkStart w:id="37" w:name="_Toc381873393"/>
      <w:bookmarkStart w:id="38" w:name="_Toc418676614"/>
      <w:r>
        <w:rPr>
          <w:rStyle w:val="CharSectno"/>
        </w:rPr>
        <w:t>16</w:t>
      </w:r>
      <w:r>
        <w:rPr>
          <w:snapToGrid w:val="0"/>
        </w:rPr>
        <w:t>.</w:t>
      </w:r>
      <w:r>
        <w:rPr>
          <w:snapToGrid w:val="0"/>
        </w:rPr>
        <w:tab/>
        <w:t>City Station complex</w:t>
      </w:r>
      <w:bookmarkEnd w:id="37"/>
      <w:bookmarkEnd w:id="38"/>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No. 31 of 1997 s. 141; No. 16 of 1999 s. 7(2); No. 38 of 2005 s. 15.]</w:t>
      </w:r>
    </w:p>
    <w:p>
      <w:pPr>
        <w:pStyle w:val="Heading5"/>
        <w:rPr>
          <w:snapToGrid w:val="0"/>
        </w:rPr>
      </w:pPr>
      <w:bookmarkStart w:id="39" w:name="_Toc381873394"/>
      <w:bookmarkStart w:id="40" w:name="_Toc418676615"/>
      <w:r>
        <w:rPr>
          <w:rStyle w:val="CharSectno"/>
        </w:rPr>
        <w:t>17</w:t>
      </w:r>
      <w:r>
        <w:rPr>
          <w:snapToGrid w:val="0"/>
        </w:rPr>
        <w:t>.</w:t>
      </w:r>
      <w:r>
        <w:rPr>
          <w:snapToGrid w:val="0"/>
        </w:rPr>
        <w:tab/>
        <w:t>City not required to call tenders</w:t>
      </w:r>
      <w:bookmarkEnd w:id="39"/>
      <w:bookmarkEnd w:id="40"/>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No. 14 of 1996 s. 4.] </w:t>
      </w:r>
    </w:p>
    <w:p>
      <w:pPr>
        <w:pStyle w:val="Heading5"/>
        <w:rPr>
          <w:snapToGrid w:val="0"/>
        </w:rPr>
      </w:pPr>
      <w:bookmarkStart w:id="41" w:name="_Toc381873395"/>
      <w:bookmarkStart w:id="42" w:name="_Toc418676616"/>
      <w:r>
        <w:rPr>
          <w:rStyle w:val="CharSectno"/>
        </w:rPr>
        <w:t>18</w:t>
      </w:r>
      <w:r>
        <w:rPr>
          <w:snapToGrid w:val="0"/>
        </w:rPr>
        <w:t>.</w:t>
      </w:r>
      <w:r>
        <w:rPr>
          <w:snapToGrid w:val="0"/>
        </w:rPr>
        <w:tab/>
        <w:t>Power of City to control access to development site</w:t>
      </w:r>
      <w:bookmarkEnd w:id="41"/>
      <w:bookmarkEnd w:id="42"/>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No. 14 of 1996 s. 4; No. 31 of 1997 s. 29(14); No. 70 of 2004 s. 82.] </w:t>
      </w:r>
    </w:p>
    <w:p>
      <w:pPr>
        <w:pStyle w:val="Heading5"/>
      </w:pPr>
      <w:bookmarkStart w:id="43" w:name="_Toc381873396"/>
      <w:bookmarkStart w:id="44" w:name="_Toc418676617"/>
      <w:r>
        <w:rPr>
          <w:rStyle w:val="CharSectno"/>
        </w:rPr>
        <w:t>19</w:t>
      </w:r>
      <w:r>
        <w:t>.</w:t>
      </w:r>
      <w:r>
        <w:tab/>
        <w:t>Power of Authority relating to leases and easements</w:t>
      </w:r>
      <w:bookmarkEnd w:id="43"/>
      <w:bookmarkEnd w:id="44"/>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No. 31 of 2003 s. 205(5).]</w:t>
      </w:r>
    </w:p>
    <w:p>
      <w:pPr>
        <w:pStyle w:val="Heading5"/>
        <w:rPr>
          <w:snapToGrid w:val="0"/>
        </w:rPr>
      </w:pPr>
      <w:bookmarkStart w:id="45" w:name="_Toc381873397"/>
      <w:bookmarkStart w:id="46" w:name="_Toc418676618"/>
      <w:r>
        <w:rPr>
          <w:rStyle w:val="CharSectno"/>
        </w:rPr>
        <w:t>19A</w:t>
      </w:r>
      <w:r>
        <w:rPr>
          <w:snapToGrid w:val="0"/>
        </w:rPr>
        <w:t>.</w:t>
      </w:r>
      <w:r>
        <w:rPr>
          <w:snapToGrid w:val="0"/>
        </w:rPr>
        <w:tab/>
        <w:t>Limits of Government railways extended for certain purposes</w:t>
      </w:r>
      <w:bookmarkEnd w:id="45"/>
      <w:bookmarkEnd w:id="46"/>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No. 6 of 1995 s. 3.] </w:t>
      </w:r>
    </w:p>
    <w:p>
      <w:pPr>
        <w:pStyle w:val="Heading5"/>
        <w:rPr>
          <w:snapToGrid w:val="0"/>
        </w:rPr>
      </w:pPr>
      <w:bookmarkStart w:id="47" w:name="_Toc381873398"/>
      <w:bookmarkStart w:id="48" w:name="_Toc418676619"/>
      <w:r>
        <w:rPr>
          <w:rStyle w:val="CharSectno"/>
        </w:rPr>
        <w:t>20</w:t>
      </w:r>
      <w:r>
        <w:rPr>
          <w:snapToGrid w:val="0"/>
        </w:rPr>
        <w:t>.</w:t>
      </w:r>
      <w:r>
        <w:rPr>
          <w:snapToGrid w:val="0"/>
        </w:rPr>
        <w:tab/>
        <w:t>Agreements to be published and laid before Parliament</w:t>
      </w:r>
      <w:bookmarkEnd w:id="47"/>
      <w:bookmarkEnd w:id="48"/>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381872979"/>
      <w:bookmarkStart w:id="50" w:name="_Toc381873399"/>
      <w:bookmarkStart w:id="51" w:name="_Toc418676526"/>
      <w:bookmarkStart w:id="52" w:name="_Toc418676620"/>
      <w:r>
        <w:rPr>
          <w:rStyle w:val="CharSchNo"/>
        </w:rPr>
        <w:t>Schedule</w:t>
      </w:r>
      <w:r>
        <w:t> — </w:t>
      </w:r>
      <w:r>
        <w:rPr>
          <w:rStyle w:val="CharSchText"/>
        </w:rPr>
        <w:t>Enabling agreement</w:t>
      </w:r>
      <w:bookmarkEnd w:id="49"/>
      <w:bookmarkEnd w:id="50"/>
      <w:bookmarkEnd w:id="51"/>
      <w:bookmarkEnd w:id="52"/>
    </w:p>
    <w:p>
      <w:pPr>
        <w:pStyle w:val="yShoulderClause"/>
      </w:pPr>
      <w:r>
        <w:t>[s. 3]</w:t>
      </w:r>
    </w:p>
    <w:p>
      <w:pPr>
        <w:pStyle w:val="yFootnoteheading"/>
      </w:pPr>
      <w:r>
        <w:tab/>
        <w:t>[Heading amended: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53" w:name="endcomma"/>
      <w:bookmarkEnd w:id="53"/>
      <w:r>
        <w:rPr>
          <w:sz w:val="20"/>
        </w:rPr>
        <w:t xml:space="preserve">Westrail Timetable” </w:t>
      </w:r>
      <w:bookmarkStart w:id="54" w:name="comma"/>
      <w:bookmarkEnd w:id="54"/>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rPr>
          <w:sz w:val="20"/>
        </w:rPr>
      </w:pPr>
      <w:r>
        <w:tab/>
        <w:t>[Schedule amended in Gazette 11 Apr 1986 p. 1407</w:t>
      </w:r>
      <w:r>
        <w:noBreakHyphen/>
        <w:t>8; 1 Aug 1986 p. 2756</w:t>
      </w:r>
      <w:r>
        <w:noBreakHyphen/>
        <w:t>7.]</w:t>
      </w:r>
    </w:p>
    <w:p>
      <w:pPr>
        <w:pStyle w:val="CentredBaseLine"/>
        <w:jc w:val="cente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56" w:name="_Toc381872980"/>
      <w:bookmarkStart w:id="57" w:name="_Toc381873400"/>
      <w:bookmarkStart w:id="58" w:name="_Toc418676527"/>
      <w:bookmarkStart w:id="59" w:name="_Toc418676621"/>
      <w:r>
        <w:t>Notes</w:t>
      </w:r>
      <w:bookmarkEnd w:id="56"/>
      <w:bookmarkEnd w:id="57"/>
      <w:bookmarkEnd w:id="58"/>
      <w:bookmarkEnd w:id="59"/>
    </w:p>
    <w:p>
      <w:pPr>
        <w:pStyle w:val="nSubsection"/>
        <w:rPr>
          <w:snapToGrid w:val="0"/>
        </w:rPr>
      </w:pPr>
      <w:r>
        <w:rPr>
          <w:snapToGrid w:val="0"/>
          <w:vertAlign w:val="superscript"/>
        </w:rPr>
        <w:t>1</w:t>
      </w:r>
      <w:r>
        <w:rPr>
          <w:snapToGrid w:val="0"/>
        </w:rPr>
        <w:tab/>
        <w:t xml:space="preserve">This reprint is a compilation as at 15 November 2013 of the </w:t>
      </w:r>
      <w:r>
        <w:rPr>
          <w:i/>
          <w:noProof/>
          <w:snapToGrid w:val="0"/>
        </w:rPr>
        <w:t>Forrest Place and City Station Development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381873401"/>
      <w:bookmarkStart w:id="61" w:name="_Toc418676622"/>
      <w:r>
        <w:rPr>
          <w:snapToGrid w:val="0"/>
        </w:rPr>
        <w:t>Compilation table</w:t>
      </w:r>
      <w:bookmarkEnd w:id="60"/>
      <w:bookmarkEnd w:id="61"/>
    </w:p>
    <w:tbl>
      <w:tblPr>
        <w:tblW w:w="7087" w:type="dxa"/>
        <w:tblInd w:w="36" w:type="dxa"/>
        <w:tblLayout w:type="fixed"/>
        <w:tblCellMar>
          <w:left w:w="56" w:type="dxa"/>
          <w:right w:w="56" w:type="dxa"/>
        </w:tblCellMar>
        <w:tblLook w:val="0000" w:firstRow="0" w:lastRow="0" w:firstColumn="0" w:lastColumn="0" w:noHBand="0" w:noVBand="0"/>
      </w:tblPr>
      <w:tblGrid>
        <w:gridCol w:w="2268"/>
        <w:gridCol w:w="1134"/>
        <w:gridCol w:w="1154"/>
        <w:gridCol w:w="253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57"/>
              <w:rPr>
                <w:b/>
              </w:rPr>
            </w:pPr>
            <w:r>
              <w:rPr>
                <w:b/>
              </w:rPr>
              <w:t>Number and year</w:t>
            </w:r>
          </w:p>
        </w:tc>
        <w:tc>
          <w:tcPr>
            <w:tcW w:w="1154" w:type="dxa"/>
            <w:tcBorders>
              <w:top w:val="single" w:sz="8" w:space="0" w:color="auto"/>
              <w:bottom w:val="single" w:sz="8" w:space="0" w:color="auto"/>
            </w:tcBorders>
            <w:shd w:val="clear" w:color="auto" w:fill="auto"/>
          </w:tcPr>
          <w:p>
            <w:pPr>
              <w:pStyle w:val="nTable"/>
              <w:spacing w:after="40"/>
              <w:ind w:left="57"/>
              <w:rPr>
                <w:b/>
              </w:rPr>
            </w:pPr>
            <w:r>
              <w:rPr>
                <w:b/>
              </w:rPr>
              <w:t>Assent</w:t>
            </w:r>
          </w:p>
        </w:tc>
        <w:tc>
          <w:tcPr>
            <w:tcW w:w="253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54" w:type="dxa"/>
            <w:tcBorders>
              <w:top w:val="single" w:sz="8" w:space="0" w:color="auto"/>
            </w:tcBorders>
            <w:tcMar>
              <w:left w:w="28" w:type="dxa"/>
              <w:right w:w="28" w:type="dxa"/>
            </w:tcMar>
          </w:tcPr>
          <w:p>
            <w:pPr>
              <w:pStyle w:val="nTable"/>
              <w:spacing w:after="40"/>
              <w:ind w:left="57"/>
            </w:pPr>
            <w:r>
              <w:t>17 Dec 1985</w:t>
            </w:r>
          </w:p>
        </w:tc>
        <w:tc>
          <w:tcPr>
            <w:tcW w:w="2531" w:type="dxa"/>
            <w:tcBorders>
              <w:top w:val="single" w:sz="8" w:space="0" w:color="auto"/>
            </w:tcBorders>
          </w:tcPr>
          <w:p>
            <w:pPr>
              <w:pStyle w:val="nTable"/>
              <w:spacing w:after="40"/>
              <w:ind w:left="57"/>
            </w:pPr>
            <w:r>
              <w:t>17 Dec 1985 (see s. 2)</w:t>
            </w:r>
          </w:p>
        </w:tc>
      </w:tr>
      <w:tr>
        <w:trPr>
          <w:cantSplit/>
        </w:trPr>
        <w:tc>
          <w:tcPr>
            <w:tcW w:w="4556" w:type="dxa"/>
            <w:gridSpan w:val="3"/>
          </w:tcPr>
          <w:p>
            <w:pPr>
              <w:pStyle w:val="nTable"/>
              <w:spacing w:after="40"/>
            </w:pPr>
            <w:r>
              <w:t xml:space="preserve">Amendment to Enabling Agreement (see </w:t>
            </w:r>
            <w:r>
              <w:rPr>
                <w:i/>
              </w:rPr>
              <w:t>Gazette</w:t>
            </w:r>
            <w:r>
              <w:t xml:space="preserve"> 11 Apr 1986 p. 1407-8)</w:t>
            </w:r>
          </w:p>
        </w:tc>
        <w:tc>
          <w:tcPr>
            <w:tcW w:w="2531" w:type="dxa"/>
          </w:tcPr>
          <w:p>
            <w:pPr>
              <w:pStyle w:val="nTable"/>
              <w:spacing w:after="40"/>
              <w:ind w:left="57"/>
            </w:pPr>
            <w:r>
              <w:t>11 Apr 1986</w:t>
            </w:r>
          </w:p>
        </w:tc>
      </w:tr>
      <w:tr>
        <w:trPr>
          <w:cantSplit/>
        </w:trPr>
        <w:tc>
          <w:tcPr>
            <w:tcW w:w="4556" w:type="dxa"/>
            <w:gridSpan w:val="3"/>
          </w:tcPr>
          <w:p>
            <w:pPr>
              <w:pStyle w:val="nTable"/>
              <w:spacing w:after="40"/>
            </w:pPr>
            <w:r>
              <w:t xml:space="preserve">Amendment to Enabling Agreement (see </w:t>
            </w:r>
            <w:r>
              <w:rPr>
                <w:i/>
              </w:rPr>
              <w:t>Gazette</w:t>
            </w:r>
            <w:r>
              <w:t xml:space="preserve"> 1 Aug 1986 p. 2756-7)</w:t>
            </w:r>
          </w:p>
        </w:tc>
        <w:tc>
          <w:tcPr>
            <w:tcW w:w="2531" w:type="dxa"/>
          </w:tcPr>
          <w:p>
            <w:pPr>
              <w:pStyle w:val="nTable"/>
              <w:spacing w:after="40"/>
              <w:ind w:left="57"/>
            </w:pPr>
            <w:r>
              <w:t>1 Aug 1986</w:t>
            </w:r>
          </w:p>
        </w:tc>
      </w:tr>
      <w:tr>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54" w:type="dxa"/>
            <w:tcMar>
              <w:left w:w="28" w:type="dxa"/>
              <w:right w:w="28" w:type="dxa"/>
            </w:tcMar>
          </w:tcPr>
          <w:p>
            <w:pPr>
              <w:pStyle w:val="nTable"/>
              <w:spacing w:after="40"/>
              <w:ind w:left="57"/>
            </w:pPr>
            <w:r>
              <w:t>28 Nov 1986</w:t>
            </w:r>
          </w:p>
        </w:tc>
        <w:tc>
          <w:tcPr>
            <w:tcW w:w="2531" w:type="dxa"/>
          </w:tcPr>
          <w:p>
            <w:pPr>
              <w:pStyle w:val="nTable"/>
              <w:spacing w:after="40"/>
              <w:ind w:left="57"/>
            </w:pPr>
            <w:r>
              <w:t xml:space="preserve">s. 4: 17 Dec 1985 (see s. 2(2)); </w:t>
            </w:r>
            <w:r>
              <w:br/>
              <w:t xml:space="preserve">s. 5 and 6: 9 Aug 1986 (see s. 2(3)); </w:t>
            </w:r>
            <w:r>
              <w:br/>
              <w:t>Act other than s. 4-6: 28 Nov 1986 (see s. 2(1))</w:t>
            </w:r>
          </w:p>
        </w:tc>
      </w:tr>
      <w:tr>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54" w:type="dxa"/>
            <w:tcMar>
              <w:left w:w="28" w:type="dxa"/>
              <w:right w:w="28" w:type="dxa"/>
            </w:tcMar>
          </w:tcPr>
          <w:p>
            <w:pPr>
              <w:pStyle w:val="nTable"/>
              <w:spacing w:after="40"/>
              <w:ind w:left="57"/>
            </w:pPr>
            <w:r>
              <w:t>24 May 1995</w:t>
            </w:r>
          </w:p>
        </w:tc>
        <w:tc>
          <w:tcPr>
            <w:tcW w:w="2531" w:type="dxa"/>
          </w:tcPr>
          <w:p>
            <w:pPr>
              <w:pStyle w:val="nTable"/>
              <w:spacing w:after="40"/>
              <w:ind w:left="57"/>
            </w:pPr>
            <w:r>
              <w:t>24 May 1995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54" w:type="dxa"/>
            <w:tcMar>
              <w:left w:w="28" w:type="dxa"/>
              <w:right w:w="28" w:type="dxa"/>
            </w:tcMar>
          </w:tcPr>
          <w:p>
            <w:pPr>
              <w:pStyle w:val="nTable"/>
              <w:spacing w:after="40"/>
              <w:ind w:left="57"/>
            </w:pPr>
            <w:r>
              <w:t>28 Jun 1996</w:t>
            </w:r>
          </w:p>
        </w:tc>
        <w:tc>
          <w:tcPr>
            <w:tcW w:w="2531" w:type="dxa"/>
          </w:tcPr>
          <w:p>
            <w:pPr>
              <w:pStyle w:val="nTable"/>
              <w:spacing w:after="40"/>
              <w:ind w:left="57"/>
            </w:pPr>
            <w:r>
              <w:t>1 Jul 1996 (see s. 2)</w:t>
            </w:r>
          </w:p>
        </w:tc>
      </w:tr>
      <w:tr>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54" w:type="dxa"/>
            <w:tcMar>
              <w:left w:w="28" w:type="dxa"/>
              <w:right w:w="28" w:type="dxa"/>
            </w:tcMar>
          </w:tcPr>
          <w:p>
            <w:pPr>
              <w:pStyle w:val="nTable"/>
              <w:spacing w:after="40"/>
              <w:ind w:left="57"/>
            </w:pPr>
            <w:r>
              <w:t>3 Oct 1997</w:t>
            </w:r>
          </w:p>
        </w:tc>
        <w:tc>
          <w:tcPr>
            <w:tcW w:w="2531" w:type="dxa"/>
          </w:tcPr>
          <w:p>
            <w:pPr>
              <w:pStyle w:val="nTable"/>
              <w:spacing w:after="40"/>
              <w:ind w:left="57"/>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54" w:type="dxa"/>
            <w:tcMar>
              <w:left w:w="28" w:type="dxa"/>
              <w:right w:w="28" w:type="dxa"/>
            </w:tcMar>
          </w:tcPr>
          <w:p>
            <w:pPr>
              <w:pStyle w:val="nTable"/>
              <w:spacing w:after="40"/>
              <w:ind w:left="57"/>
            </w:pPr>
            <w:r>
              <w:t>19 May 1999</w:t>
            </w:r>
          </w:p>
        </w:tc>
        <w:tc>
          <w:tcPr>
            <w:tcW w:w="2531" w:type="dxa"/>
          </w:tcPr>
          <w:p>
            <w:pPr>
              <w:pStyle w:val="nTable"/>
              <w:spacing w:after="40"/>
              <w:ind w:left="57"/>
            </w:pPr>
            <w:r>
              <w:t xml:space="preserve">7 Aug 1999 (see s. 2 and </w:t>
            </w:r>
            <w:r>
              <w:rPr>
                <w:i/>
              </w:rPr>
              <w:t>Gazette</w:t>
            </w:r>
            <w:r>
              <w:t xml:space="preserve"> 6 Aug 1999 p. 3727)</w:t>
            </w:r>
          </w:p>
        </w:tc>
      </w:tr>
      <w:tr>
        <w:trPr>
          <w:cantSplit/>
        </w:trPr>
        <w:tc>
          <w:tcPr>
            <w:tcW w:w="7087"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54" w:type="dxa"/>
          </w:tcPr>
          <w:p>
            <w:pPr>
              <w:pStyle w:val="nTable"/>
              <w:spacing w:after="40"/>
            </w:pPr>
            <w:r>
              <w:t>26 May 2003</w:t>
            </w:r>
          </w:p>
        </w:tc>
        <w:tc>
          <w:tcPr>
            <w:tcW w:w="253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ind w:right="113"/>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54" w:type="dxa"/>
            <w:tcMar>
              <w:left w:w="28" w:type="dxa"/>
              <w:right w:w="28" w:type="dxa"/>
            </w:tcMar>
          </w:tcPr>
          <w:p>
            <w:pPr>
              <w:pStyle w:val="nTable"/>
              <w:spacing w:after="40"/>
            </w:pPr>
            <w:r>
              <w:rPr>
                <w:snapToGrid w:val="0"/>
              </w:rPr>
              <w:t>8 Dec 2004</w:t>
            </w:r>
          </w:p>
        </w:tc>
        <w:tc>
          <w:tcPr>
            <w:tcW w:w="253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54" w:type="dxa"/>
            <w:tcMar>
              <w:left w:w="28" w:type="dxa"/>
              <w:right w:w="28" w:type="dxa"/>
            </w:tcMar>
          </w:tcPr>
          <w:p>
            <w:pPr>
              <w:pStyle w:val="nTable"/>
              <w:spacing w:after="40"/>
              <w:rPr>
                <w:snapToGrid w:val="0"/>
              </w:rPr>
            </w:pPr>
            <w:r>
              <w:rPr>
                <w:snapToGrid w:val="0"/>
              </w:rPr>
              <w:t>12 Dec 2005</w:t>
            </w:r>
          </w:p>
        </w:tc>
        <w:tc>
          <w:tcPr>
            <w:tcW w:w="253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54" w:type="dxa"/>
            <w:shd w:val="clear" w:color="auto" w:fill="auto"/>
            <w:tcMar>
              <w:left w:w="28" w:type="dxa"/>
              <w:right w:w="28" w:type="dxa"/>
            </w:tcMar>
          </w:tcPr>
          <w:p>
            <w:pPr>
              <w:pStyle w:val="nTable"/>
              <w:spacing w:after="40"/>
              <w:rPr>
                <w:snapToGrid w:val="0"/>
              </w:rPr>
            </w:pPr>
            <w:r>
              <w:rPr>
                <w:snapToGrid w:val="0"/>
              </w:rPr>
              <w:t>28 Jun 2010</w:t>
            </w:r>
          </w:p>
        </w:tc>
        <w:tc>
          <w:tcPr>
            <w:tcW w:w="253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p>
        </w:tc>
      </w:tr>
    </w:tbl>
    <w:p>
      <w:pPr>
        <w:pStyle w:val="nSubsection"/>
        <w:spacing w:before="160"/>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8"/>
          <w:headerReference w:type="default" r:id="rId29"/>
          <w:type w:val="continuous"/>
          <w:pgSz w:w="11907" w:h="16840" w:code="9"/>
          <w:pgMar w:top="2381" w:right="2410" w:bottom="3544" w:left="2410" w:header="720" w:footer="3380" w:gutter="0"/>
          <w:cols w:space="720"/>
          <w:noEndnote/>
          <w:docGrid w:linePitch="326"/>
        </w:sectPr>
      </w:pPr>
    </w:p>
    <w:p>
      <w:pPr>
        <w:pStyle w:val="nHeading2"/>
        <w:rPr>
          <w:sz w:val="28"/>
        </w:rPr>
      </w:pPr>
      <w:bookmarkStart w:id="63" w:name="_Toc418676623"/>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w:t>
      </w:r>
      <w:r>
        <w:tab/>
        <w:t>3</w:t>
      </w:r>
    </w:p>
    <w:p>
      <w:pPr>
        <w:pStyle w:val="DefinedTerms"/>
      </w:pPr>
      <w:r>
        <w:t>Authority</w:t>
      </w:r>
      <w:r>
        <w:tab/>
        <w:t>3</w:t>
      </w:r>
    </w:p>
    <w:p>
      <w:pPr>
        <w:pStyle w:val="DefinedTerms"/>
      </w:pPr>
      <w:r>
        <w:t>City</w:t>
      </w:r>
      <w:r>
        <w:tab/>
        <w:t>3</w:t>
      </w:r>
    </w:p>
    <w:p>
      <w:pPr>
        <w:pStyle w:val="DefinedTerms"/>
      </w:pPr>
      <w:r>
        <w:t>concourse area</w:t>
      </w:r>
      <w:r>
        <w:tab/>
        <w:t>19A(1)</w:t>
      </w:r>
    </w:p>
    <w:p>
      <w:pPr>
        <w:pStyle w:val="DefinedTerms"/>
      </w:pPr>
      <w:r>
        <w:t>development plan agreement</w:t>
      </w:r>
      <w:r>
        <w:tab/>
        <w:t>3</w:t>
      </w:r>
    </w:p>
    <w:p>
      <w:pPr>
        <w:pStyle w:val="DefinedTerms"/>
      </w:pPr>
      <w:r>
        <w:t>enabling agreement</w:t>
      </w:r>
      <w:r>
        <w:tab/>
        <w:t>3</w:t>
      </w:r>
    </w:p>
    <w:p>
      <w:pPr>
        <w:pStyle w:val="DefinedTerms"/>
      </w:pPr>
      <w:r>
        <w:t>future agreement</w:t>
      </w:r>
      <w:r>
        <w:tab/>
        <w:t>20(1)</w:t>
      </w:r>
    </w:p>
    <w:p>
      <w:pPr>
        <w:pStyle w:val="DefinedTerms"/>
      </w:pPr>
      <w:r>
        <w:t>law</w:t>
      </w:r>
      <w:r>
        <w:tab/>
        <w:t>3</w:t>
      </w:r>
    </w:p>
    <w:p>
      <w:pPr>
        <w:pStyle w:val="DefinedTerms"/>
      </w:pPr>
      <w:r>
        <w:t>party</w:t>
      </w:r>
      <w:r>
        <w:tab/>
        <w:t>12A(1)</w:t>
      </w:r>
    </w:p>
    <w:p>
      <w:pPr>
        <w:pStyle w:val="DefinedTerms"/>
      </w:pPr>
      <w:r>
        <w:t>public place</w:t>
      </w:r>
      <w:r>
        <w:tab/>
        <w:t>11(4)</w:t>
      </w:r>
    </w:p>
    <w:p>
      <w:pPr>
        <w:pStyle w:val="DefinedTerms"/>
      </w:pPr>
      <w:r>
        <w:t>reserved land</w:t>
      </w:r>
      <w:r>
        <w:tab/>
        <w:t>3</w:t>
      </w:r>
    </w:p>
    <w:p>
      <w:pPr>
        <w:pStyle w:val="DefinedTerms"/>
      </w:pPr>
      <w:r>
        <w:t>street</w:t>
      </w:r>
      <w:r>
        <w:tab/>
        <w:t>11(4)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tcBorders>
            <w:bottom w:val="single" w:sz="4" w:space="0" w:color="auto"/>
          </w:tcBorders>
          <w:vAlign w:val="bottom"/>
        </w:tcPr>
        <w:p>
          <w:pPr>
            <w:pStyle w:val="Header"/>
            <w:spacing w:before="40"/>
            <w:ind w:right="17"/>
            <w:jc w:val="right"/>
          </w:pPr>
        </w:p>
      </w:tc>
    </w:tr>
  </w:tbl>
  <w:p>
    <w:pPr>
      <w:pStyle w:val="Heade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lvlText w:val="%1."/>
      <w:lvlJc w:val="left"/>
      <w:pPr>
        <w:tabs>
          <w:tab w:val="num" w:pos="1800"/>
        </w:tabs>
        <w:ind w:left="1800" w:hanging="360"/>
      </w:pPr>
    </w:lvl>
  </w:abstractNum>
  <w:abstractNum w:abstractNumId="1">
    <w:nsid w:val="FFFFFF7D"/>
    <w:multiLevelType w:val="singleLevel"/>
    <w:tmpl w:val="D48A4730"/>
    <w:lvl w:ilvl="0">
      <w:start w:val="1"/>
      <w:numFmt w:val="decimal"/>
      <w:lvlText w:val="%1."/>
      <w:lvlJc w:val="left"/>
      <w:pPr>
        <w:tabs>
          <w:tab w:val="num" w:pos="1440"/>
        </w:tabs>
        <w:ind w:left="1440" w:hanging="360"/>
      </w:pPr>
    </w:lvl>
  </w:abstractNum>
  <w:abstractNum w:abstractNumId="2">
    <w:nsid w:val="FFFFFF7E"/>
    <w:multiLevelType w:val="singleLevel"/>
    <w:tmpl w:val="A14C5448"/>
    <w:lvl w:ilvl="0">
      <w:start w:val="1"/>
      <w:numFmt w:val="decimal"/>
      <w:lvlText w:val="%1."/>
      <w:lvlJc w:val="left"/>
      <w:pPr>
        <w:tabs>
          <w:tab w:val="num" w:pos="1080"/>
        </w:tabs>
        <w:ind w:left="1080" w:hanging="360"/>
      </w:pPr>
    </w:lvl>
  </w:abstractNum>
  <w:abstractNum w:abstractNumId="3">
    <w:nsid w:val="FFFFFF7F"/>
    <w:multiLevelType w:val="singleLevel"/>
    <w:tmpl w:val="86A00D10"/>
    <w:lvl w:ilvl="0">
      <w:start w:val="1"/>
      <w:numFmt w:val="decimal"/>
      <w:lvlText w:val="%1."/>
      <w:lvlJc w:val="left"/>
      <w:pPr>
        <w:tabs>
          <w:tab w:val="num" w:pos="720"/>
        </w:tabs>
        <w:ind w:left="720" w:hanging="360"/>
      </w:pPr>
    </w:lvl>
  </w:abstractNum>
  <w:abstractNum w:abstractNumId="4">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lvlText w:val="%1."/>
      <w:lvlJc w:val="left"/>
      <w:pPr>
        <w:tabs>
          <w:tab w:val="num" w:pos="360"/>
        </w:tabs>
        <w:ind w:left="360" w:hanging="360"/>
      </w:pPr>
    </w:lvl>
  </w:abstractNum>
  <w:abstractNum w:abstractNumId="9">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22"/>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46B96-F59D-4DB7-B1CC-E8E48511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14467</Words>
  <Characters>69880</Characters>
  <Application>Microsoft Office Word</Application>
  <DocSecurity>0</DocSecurity>
  <Lines>1791</Lines>
  <Paragraphs>916</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1985 - 02-a0-06</dc:title>
  <dc:subject/>
  <dc:creator/>
  <cp:keywords/>
  <dc:description/>
  <cp:lastModifiedBy>svcMRProcess</cp:lastModifiedBy>
  <cp:revision>4</cp:revision>
  <cp:lastPrinted>2013-11-27T01:58:00Z</cp:lastPrinted>
  <dcterms:created xsi:type="dcterms:W3CDTF">2019-01-21T04:56:00Z</dcterms:created>
  <dcterms:modified xsi:type="dcterms:W3CDTF">2019-01-21T04:56:00Z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288</vt:i4>
  </property>
  <property fmtid="{D5CDD505-2E9C-101B-9397-08002B2CF9AE}" pid="6" name="ReprintNo">
    <vt:lpwstr>2</vt:lpwstr>
  </property>
  <property fmtid="{D5CDD505-2E9C-101B-9397-08002B2CF9AE}" pid="7" name="ReprintedAsAt">
    <vt:filetime>2013-11-14T16:00:00Z</vt:filetime>
  </property>
  <property fmtid="{D5CDD505-2E9C-101B-9397-08002B2CF9AE}" pid="8" name="AsAtDate">
    <vt:lpwstr>15 Nov 2013</vt:lpwstr>
  </property>
  <property fmtid="{D5CDD505-2E9C-101B-9397-08002B2CF9AE}" pid="9" name="Suffix">
    <vt:lpwstr>02-a0-06</vt:lpwstr>
  </property>
</Properties>
</file>