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(Super 66) Rules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_Toc421106089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_Toc421106090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rules</w:t>
      </w:r>
      <w:r>
        <w:tab/>
      </w:r>
      <w:r>
        <w:fldChar w:fldCharType="begin"/>
      </w:r>
      <w:r>
        <w:instrText xml:space="preserve"> PAGEREF _Toc421106091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w:t>
      </w:r>
      <w:r>
        <w:tab/>
      </w:r>
      <w:r>
        <w:fldChar w:fldCharType="begin"/>
      </w:r>
      <w:r>
        <w:instrText xml:space="preserve"> PAGEREF _Toc421106093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_Toc421106094 \h </w:instrText>
      </w:r>
      <w:r>
        <w:fldChar w:fldCharType="separate"/>
      </w:r>
      <w:r>
        <w:t>5</w:t>
      </w:r>
      <w:r>
        <w:fldChar w:fldCharType="end"/>
      </w:r>
    </w:p>
    <w:p>
      <w:pPr>
        <w:pStyle w:val="TOC8"/>
        <w:rPr>
          <w:rFonts w:asciiTheme="minorHAnsi" w:eastAsiaTheme="minorEastAsia" w:hAnsiTheme="minorHAnsi" w:cstheme="minorBidi"/>
          <w:szCs w:val="22"/>
        </w:rPr>
      </w:pPr>
      <w:r>
        <w:t>5A.</w:t>
      </w:r>
      <w:r>
        <w:tab/>
        <w:t>Ticket repeat</w:t>
      </w:r>
      <w:r>
        <w:tab/>
      </w:r>
      <w:r>
        <w:fldChar w:fldCharType="begin"/>
      </w:r>
      <w:r>
        <w:instrText xml:space="preserve"> PAGEREF _Toc421106095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Receipted tickets</w:t>
      </w:r>
      <w:r>
        <w:tab/>
      </w:r>
      <w:r>
        <w:fldChar w:fldCharType="begin"/>
      </w:r>
      <w:r>
        <w:instrText xml:space="preserve"> PAGEREF _Toc421106096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Surrender of receipted ticket</w:t>
      </w:r>
      <w:r>
        <w:tab/>
      </w:r>
      <w:r>
        <w:fldChar w:fldCharType="begin"/>
      </w:r>
      <w:r>
        <w:instrText xml:space="preserve"> PAGEREF _Toc421106097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Accuracy of receipted ticket</w:t>
      </w:r>
      <w:r>
        <w:tab/>
      </w:r>
      <w:r>
        <w:fldChar w:fldCharType="begin"/>
      </w:r>
      <w:r>
        <w:instrText xml:space="preserve"> PAGEREF _Toc421106098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of receipted ticket</w:t>
      </w:r>
      <w:r>
        <w:tab/>
      </w:r>
      <w:r>
        <w:fldChar w:fldCharType="begin"/>
      </w:r>
      <w:r>
        <w:instrText xml:space="preserve"> PAGEREF _Toc421106099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10</w:t>
      </w:r>
      <w:r>
        <w:rPr>
          <w:snapToGrid w:val="0"/>
        </w:rPr>
        <w:t>.</w:t>
      </w:r>
      <w:r>
        <w:rPr>
          <w:snapToGrid w:val="0"/>
        </w:rPr>
        <w:tab/>
        <w:t>Super 66 draws to be numbered</w:t>
      </w:r>
      <w:r>
        <w:tab/>
      </w:r>
      <w:r>
        <w:fldChar w:fldCharType="begin"/>
      </w:r>
      <w:r>
        <w:instrText xml:space="preserve"> PAGEREF _Toc421106101 \h </w:instrText>
      </w:r>
      <w:r>
        <w:fldChar w:fldCharType="separate"/>
      </w:r>
      <w:r>
        <w:t>10</w:t>
      </w:r>
      <w:r>
        <w:fldChar w:fldCharType="end"/>
      </w:r>
    </w:p>
    <w:p>
      <w:pPr>
        <w:pStyle w:val="TOC8"/>
        <w:rPr>
          <w:rFonts w:asciiTheme="minorHAnsi" w:eastAsiaTheme="minorEastAsia" w:hAnsiTheme="minorHAnsi" w:cstheme="minorBidi"/>
          <w:szCs w:val="22"/>
        </w:rPr>
      </w:pPr>
      <w:r>
        <w:t>11.</w:t>
      </w:r>
      <w:r>
        <w:tab/>
        <w:t>Super 66 draws to be supervised</w:t>
      </w:r>
      <w:r>
        <w:tab/>
      </w:r>
      <w:r>
        <w:fldChar w:fldCharType="begin"/>
      </w:r>
      <w:r>
        <w:instrText xml:space="preserve"> PAGEREF _Toc421106102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Publication of results</w:t>
      </w:r>
      <w:r>
        <w:tab/>
      </w:r>
      <w:r>
        <w:fldChar w:fldCharType="begin"/>
      </w:r>
      <w:r>
        <w:instrText xml:space="preserve"> PAGEREF _Toc421106103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Super 66 prize pool and prize reserve fund</w:t>
      </w:r>
      <w:r>
        <w:tab/>
      </w:r>
      <w:r>
        <w:fldChar w:fldCharType="begin"/>
      </w:r>
      <w:r>
        <w:instrText xml:space="preserve"> PAGEREF _Toc421106104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Super 66 draw</w:t>
      </w:r>
    </w:p>
    <w:p>
      <w:pPr>
        <w:pStyle w:val="TOC8"/>
        <w:rPr>
          <w:rFonts w:asciiTheme="minorHAnsi" w:eastAsiaTheme="minorEastAsia" w:hAnsiTheme="minorHAnsi" w:cstheme="minorBidi"/>
          <w:szCs w:val="22"/>
        </w:rPr>
      </w:pPr>
      <w:r>
        <w:t>14</w:t>
      </w:r>
      <w:r>
        <w:rPr>
          <w:snapToGrid w:val="0"/>
        </w:rPr>
        <w:t>.</w:t>
      </w:r>
      <w:r>
        <w:rPr>
          <w:snapToGrid w:val="0"/>
        </w:rPr>
        <w:tab/>
        <w:t>Super 66 draw</w:t>
      </w:r>
      <w:r>
        <w:tab/>
      </w:r>
      <w:r>
        <w:fldChar w:fldCharType="begin"/>
      </w:r>
      <w:r>
        <w:instrText xml:space="preserve"> PAGEREF _Toc421106106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Criteria for super 66 prizes</w:t>
      </w:r>
      <w:r>
        <w:tab/>
      </w:r>
      <w:r>
        <w:fldChar w:fldCharType="begin"/>
      </w:r>
      <w:r>
        <w:instrText xml:space="preserve"> PAGEREF _Toc421106107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Distribution of prize pool</w:t>
      </w:r>
      <w:r>
        <w:tab/>
      </w:r>
      <w:r>
        <w:fldChar w:fldCharType="begin"/>
      </w:r>
      <w:r>
        <w:instrText xml:space="preserve"> PAGEREF _Toc421106108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Division 1 jackpot</w:t>
      </w:r>
      <w:r>
        <w:tab/>
      </w:r>
      <w:r>
        <w:fldChar w:fldCharType="begin"/>
      </w:r>
      <w:r>
        <w:instrText xml:space="preserve"> PAGEREF _Toc421106109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Bonus draws and guaranteed prize pools</w:t>
      </w:r>
      <w:r>
        <w:tab/>
      </w:r>
      <w:r>
        <w:fldChar w:fldCharType="begin"/>
      </w:r>
      <w:r>
        <w:instrText xml:space="preserve"> PAGEREF _Toc421106110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Division 1 prizes</w:t>
      </w:r>
      <w:r>
        <w:tab/>
      </w:r>
      <w:r>
        <w:fldChar w:fldCharType="begin"/>
      </w:r>
      <w:r>
        <w:instrText xml:space="preserve"> PAGEREF _Toc421106111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Division 2 prizes</w:t>
      </w:r>
      <w:r>
        <w:tab/>
      </w:r>
      <w:r>
        <w:fldChar w:fldCharType="begin"/>
      </w:r>
      <w:r>
        <w:instrText xml:space="preserve"> PAGEREF _Toc421106112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Division 3, 4 and 5 prizes</w:t>
      </w:r>
      <w:r>
        <w:tab/>
      </w:r>
      <w:r>
        <w:fldChar w:fldCharType="begin"/>
      </w:r>
      <w:r>
        <w:instrText xml:space="preserve"> PAGEREF _Toc421106113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Commission may require a statutory declaration</w:t>
      </w:r>
      <w:r>
        <w:tab/>
      </w:r>
      <w:r>
        <w:fldChar w:fldCharType="begin"/>
      </w:r>
      <w:r>
        <w:instrText xml:space="preserve"> PAGEREF _Toc421106114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Publication of names and addresses of prize winners</w:t>
      </w:r>
      <w:r>
        <w:tab/>
      </w:r>
      <w:r>
        <w:fldChar w:fldCharType="begin"/>
      </w:r>
      <w:r>
        <w:instrText xml:space="preserve"> PAGEREF _Toc421106115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Player Registration Service</w:t>
      </w:r>
      <w:r>
        <w:tab/>
      </w:r>
      <w:r>
        <w:fldChar w:fldCharType="begin"/>
      </w:r>
      <w:r>
        <w:instrText xml:space="preserve"> PAGEREF _Toc421106116 \h </w:instrText>
      </w:r>
      <w:r>
        <w:fldChar w:fldCharType="separate"/>
      </w:r>
      <w:r>
        <w:t>18</w:t>
      </w:r>
      <w:r>
        <w:fldChar w:fldCharType="end"/>
      </w:r>
    </w:p>
    <w:p>
      <w:pPr>
        <w:pStyle w:val="TOC8"/>
        <w:rPr>
          <w:rFonts w:asciiTheme="minorHAnsi" w:eastAsiaTheme="minorEastAsia" w:hAnsiTheme="minorHAnsi" w:cstheme="minorBidi"/>
          <w:szCs w:val="22"/>
        </w:rPr>
      </w:pPr>
      <w:r>
        <w:t>24A.</w:t>
      </w:r>
      <w:r>
        <w:tab/>
        <w:t>Player’s card holders may request direct credit of prizes</w:t>
      </w:r>
      <w:r>
        <w:tab/>
      </w:r>
      <w:r>
        <w:fldChar w:fldCharType="begin"/>
      </w:r>
      <w:r>
        <w:instrText xml:space="preserve"> PAGEREF _Toc421106117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rPr>
          <w:snapToGrid w:val="0"/>
        </w:rPr>
        <w:t>.</w:t>
      </w:r>
      <w:r>
        <w:rPr>
          <w:snapToGrid w:val="0"/>
        </w:rPr>
        <w:tab/>
        <w:t>Instructions</w:t>
      </w:r>
      <w:r>
        <w:tab/>
      </w:r>
      <w:r>
        <w:fldChar w:fldCharType="begin"/>
      </w:r>
      <w:r>
        <w:instrText xml:space="preserve"> PAGEREF _Toc421106119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Rules to be made available</w:t>
      </w:r>
      <w:r>
        <w:tab/>
      </w:r>
      <w:r>
        <w:fldChar w:fldCharType="begin"/>
      </w:r>
      <w:r>
        <w:instrText xml:space="preserve"> PAGEREF _Toc421106120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Decisions of Commission final</w:t>
      </w:r>
      <w:r>
        <w:tab/>
      </w:r>
      <w:r>
        <w:fldChar w:fldCharType="begin"/>
      </w:r>
      <w:r>
        <w:instrText xml:space="preserve"> PAGEREF _Toc421106121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Summary of parameters within which Super 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_Toc421106124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3" w:name="_Toc377389081"/>
      <w:bookmarkStart w:id="4" w:name="_Toc380143988"/>
      <w:bookmarkStart w:id="5" w:name="_Toc421106051"/>
      <w:bookmarkStart w:id="6" w:name="_Toc4211060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80143989"/>
      <w:bookmarkStart w:id="8" w:name="_Toc421106089"/>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9" w:name="_Toc380143990"/>
      <w:bookmarkStart w:id="10" w:name="_Toc42110609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1" w:name="_Toc380143991"/>
      <w:bookmarkStart w:id="12" w:name="_Toc421106091"/>
      <w:r>
        <w:rPr>
          <w:rStyle w:val="CharSectno"/>
        </w:rPr>
        <w:t>3</w:t>
      </w:r>
      <w:r>
        <w:rPr>
          <w:snapToGrid w:val="0"/>
        </w:rPr>
        <w:t>.</w:t>
      </w:r>
      <w:r>
        <w:rPr>
          <w:snapToGrid w:val="0"/>
        </w:rPr>
        <w:tab/>
        <w:t>Terms used in these rules</w:t>
      </w:r>
      <w:bookmarkEnd w:id="11"/>
      <w:bookmarkEnd w:id="12"/>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lastRenderedPageBreak/>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lastRenderedPageBreak/>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13" w:name="_Toc377389085"/>
      <w:bookmarkStart w:id="14" w:name="_Toc380143992"/>
      <w:bookmarkStart w:id="15" w:name="_Toc421106055"/>
      <w:bookmarkStart w:id="16" w:name="_Toc421106092"/>
      <w:r>
        <w:rPr>
          <w:rStyle w:val="CharPartNo"/>
        </w:rPr>
        <w:t>Part 2</w:t>
      </w:r>
      <w:r>
        <w:rPr>
          <w:rStyle w:val="CharDivNo"/>
        </w:rPr>
        <w:t> </w:t>
      </w:r>
      <w:r>
        <w:t>—</w:t>
      </w:r>
      <w:r>
        <w:rPr>
          <w:rStyle w:val="CharDivText"/>
        </w:rPr>
        <w:t> </w:t>
      </w:r>
      <w:r>
        <w:rPr>
          <w:rStyle w:val="CharPartText"/>
        </w:rPr>
        <w:t>Requirements for entry</w:t>
      </w:r>
      <w:bookmarkEnd w:id="13"/>
      <w:bookmarkEnd w:id="14"/>
      <w:bookmarkEnd w:id="15"/>
      <w:bookmarkEnd w:id="16"/>
      <w:r>
        <w:rPr>
          <w:rStyle w:val="CharPartText"/>
        </w:rPr>
        <w:t xml:space="preserve"> </w:t>
      </w:r>
    </w:p>
    <w:p>
      <w:pPr>
        <w:pStyle w:val="Heading5"/>
        <w:rPr>
          <w:snapToGrid w:val="0"/>
        </w:rPr>
      </w:pPr>
      <w:bookmarkStart w:id="17" w:name="_Toc380143993"/>
      <w:bookmarkStart w:id="18" w:name="_Toc421106093"/>
      <w:r>
        <w:rPr>
          <w:rStyle w:val="CharSectno"/>
        </w:rPr>
        <w:t>4</w:t>
      </w:r>
      <w:r>
        <w:rPr>
          <w:snapToGrid w:val="0"/>
        </w:rPr>
        <w:t>.</w:t>
      </w:r>
      <w:r>
        <w:rPr>
          <w:snapToGrid w:val="0"/>
        </w:rPr>
        <w:tab/>
        <w:t>Playslip</w:t>
      </w:r>
      <w:bookmarkEnd w:id="17"/>
      <w:bookmarkEnd w:id="18"/>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19" w:name="_Toc380143994"/>
      <w:bookmarkStart w:id="20" w:name="_Toc421106094"/>
      <w:r>
        <w:rPr>
          <w:rStyle w:val="CharSectno"/>
        </w:rPr>
        <w:t>5</w:t>
      </w:r>
      <w:r>
        <w:rPr>
          <w:snapToGrid w:val="0"/>
        </w:rPr>
        <w:t>.</w:t>
      </w:r>
      <w:r>
        <w:rPr>
          <w:snapToGrid w:val="0"/>
        </w:rPr>
        <w:tab/>
        <w:t>Methods of entry</w:t>
      </w:r>
      <w:bookmarkEnd w:id="19"/>
      <w:bookmarkEnd w:id="20"/>
      <w:r>
        <w:rPr>
          <w:snapToGrid w:val="0"/>
        </w:rPr>
        <w:t xml:space="preserve"> </w:t>
      </w:r>
    </w:p>
    <w:p>
      <w:pPr>
        <w:pStyle w:val="Subsection"/>
      </w:pPr>
      <w:r>
        <w:tab/>
        <w:t>(1)</w:t>
      </w:r>
      <w:r>
        <w:tab/>
        <w:t>A person may request an entry in a super 66 draw in conjunction with an entry in a game of lotto or in Soccer Pools.</w:t>
      </w:r>
    </w:p>
    <w:p>
      <w:pPr>
        <w:pStyle w:val="Ednotesubsection"/>
      </w:pPr>
      <w:r>
        <w:tab/>
        <w:t>[(1a), (1b)</w:t>
      </w:r>
      <w:r>
        <w:tab/>
        <w:t>deleted]</w:t>
      </w:r>
    </w:p>
    <w:p>
      <w:pPr>
        <w:pStyle w:val="Subsection"/>
      </w:pPr>
      <w:r>
        <w:tab/>
        <w:t>(2)</w:t>
      </w:r>
      <w:r>
        <w:tab/>
        <w:t>A person may orally request an entry in the super 66 draw to be held on a particular Saturday without entering a game of lotto or Soccer Pools.</w:t>
      </w:r>
    </w:p>
    <w:p>
      <w:pPr>
        <w:pStyle w:val="Subsection"/>
        <w:rPr>
          <w:snapToGrid w:val="0"/>
        </w:rPr>
      </w:pPr>
      <w:r>
        <w:rPr>
          <w:snapToGrid w:val="0"/>
        </w:rPr>
        <w:tab/>
        <w:t>(3)</w:t>
      </w:r>
      <w:r>
        <w:rPr>
          <w:snapToGrid w:val="0"/>
        </w:rPr>
        <w:tab/>
        <w:t xml:space="preserve">A subscriber may choose to enter </w:t>
      </w:r>
      <w:r>
        <w:t xml:space="preserve">a maximum of 50 </w:t>
      </w:r>
      <w:r>
        <w:rPr>
          <w:snapToGrid w:val="0"/>
        </w:rPr>
        <w:t xml:space="preserve">super 66 games as part of each </w:t>
      </w:r>
      <w:r>
        <w:t xml:space="preserve">oral request for an </w:t>
      </w:r>
      <w:r>
        <w:rPr>
          <w:snapToGrid w:val="0"/>
        </w:rPr>
        <w:t>entry in</w:t>
      </w:r>
      <w:r>
        <w:t xml:space="preserve"> super 66 in conjunction with a game of lotto or Soccer Pools.</w:t>
      </w:r>
      <w:r>
        <w:rPr>
          <w:snapToGrid w:val="0"/>
        </w:rPr>
        <w:t xml:space="preserve">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pPr>
      <w:r>
        <w:tab/>
        <w:t>(4)</w:t>
      </w:r>
      <w:r>
        <w:tab/>
        <w:t xml:space="preserve">A subscriber may enter a super 66 draw — </w:t>
      </w:r>
    </w:p>
    <w:p>
      <w:pPr>
        <w:pStyle w:val="Indenta"/>
      </w:pPr>
      <w:r>
        <w:tab/>
        <w:t>(a)</w:t>
      </w:r>
      <w:r>
        <w:tab/>
        <w:t xml:space="preserve">if the entry is made in conjunction with a game of lotto or Soccer Pools, by — </w:t>
      </w:r>
    </w:p>
    <w:p>
      <w:pPr>
        <w:pStyle w:val="Indenti"/>
      </w:pPr>
      <w:r>
        <w:tab/>
        <w:t>(i)</w:t>
      </w:r>
      <w:r>
        <w:tab/>
        <w:t>marking the appropriate box on a playslip for Saturday lotto, Monday lotto, Wednesday lotto, Oz lotto, powerball or Soccer Pools; or</w:t>
      </w:r>
    </w:p>
    <w:p>
      <w:pPr>
        <w:pStyle w:val="Indenti"/>
      </w:pPr>
      <w:r>
        <w:tab/>
        <w:t>(ii)</w:t>
      </w:r>
      <w:r>
        <w:tab/>
        <w:t xml:space="preserve">requesting the required number of super 66 games when making an oral request for entry in Saturday lotto, Monday lotto, Wednesday lotto, Oz lotto, powerball or Soccer Pools; </w:t>
      </w:r>
    </w:p>
    <w:p>
      <w:pPr>
        <w:pStyle w:val="Indenta"/>
      </w:pPr>
      <w:r>
        <w:tab/>
      </w:r>
      <w:r>
        <w:tab/>
        <w:t>or</w:t>
      </w:r>
    </w:p>
    <w:p>
      <w:pPr>
        <w:pStyle w:val="Indenta"/>
      </w:pPr>
      <w:r>
        <w:tab/>
        <w:t>(b)</w:t>
      </w:r>
      <w:r>
        <w:tab/>
        <w:t>if the entry is made without being in conjunction with a game of lotto or Soccer Pools — by making an oral request; or</w:t>
      </w:r>
    </w:p>
    <w:p>
      <w:pPr>
        <w:pStyle w:val="Indenta"/>
      </w:pPr>
      <w:r>
        <w:tab/>
        <w:t>(c)</w:t>
      </w:r>
      <w:r>
        <w:tab/>
        <w:t>in either case — using the “ticket repeat” method set out in rule 5A,</w:t>
      </w:r>
    </w:p>
    <w:p>
      <w:pPr>
        <w:pStyle w:val="Subsection"/>
      </w:pPr>
      <w:r>
        <w:tab/>
      </w:r>
      <w: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 15 May 2009 p. 1632-3; 6 Dec 2013 p. 5753.]</w:t>
      </w:r>
    </w:p>
    <w:p>
      <w:pPr>
        <w:pStyle w:val="Heading5"/>
      </w:pPr>
      <w:bookmarkStart w:id="21" w:name="_Toc380143995"/>
      <w:bookmarkStart w:id="22" w:name="_Toc421106095"/>
      <w:r>
        <w:rPr>
          <w:rStyle w:val="CharSectno"/>
        </w:rPr>
        <w:t>5A</w:t>
      </w:r>
      <w:r>
        <w:t>.</w:t>
      </w:r>
      <w:r>
        <w:tab/>
        <w:t>Ticket repeat</w:t>
      </w:r>
      <w:bookmarkEnd w:id="21"/>
      <w:bookmarkEnd w:id="22"/>
    </w:p>
    <w:p>
      <w:pPr>
        <w:pStyle w:val="Subsection"/>
      </w:pPr>
      <w:r>
        <w:tab/>
        <w:t>(1)</w:t>
      </w:r>
      <w:r>
        <w:tab/>
        <w:t>A person may enter a super 66 draw by presenting an existing receipted ticket and requesting the same type of super 66 entry.</w:t>
      </w:r>
    </w:p>
    <w:p>
      <w:pPr>
        <w:pStyle w:val="Subsection"/>
      </w:pPr>
      <w:r>
        <w:tab/>
        <w:t>(2)</w:t>
      </w:r>
      <w:r>
        <w:tab/>
        <w:t>If a receipted ticket linked to a player’s card number is used to generate a repeat entry under subrule (1), that ticket does not continue to be linked to the number unless the subscriber’s player’s card is presented as well.</w:t>
      </w:r>
    </w:p>
    <w:p>
      <w:pPr>
        <w:pStyle w:val="Footnotesection"/>
      </w:pPr>
      <w:r>
        <w:tab/>
        <w:t>[Rule 5A inserted in Gazette 15 May 2009 p. 1633.]</w:t>
      </w:r>
    </w:p>
    <w:p>
      <w:pPr>
        <w:pStyle w:val="Heading5"/>
        <w:rPr>
          <w:snapToGrid w:val="0"/>
        </w:rPr>
      </w:pPr>
      <w:bookmarkStart w:id="23" w:name="_Toc380143996"/>
      <w:bookmarkStart w:id="24" w:name="_Toc421106096"/>
      <w:r>
        <w:rPr>
          <w:rStyle w:val="CharSectno"/>
        </w:rPr>
        <w:t>6</w:t>
      </w:r>
      <w:r>
        <w:rPr>
          <w:snapToGrid w:val="0"/>
        </w:rPr>
        <w:t>.</w:t>
      </w:r>
      <w:r>
        <w:rPr>
          <w:snapToGrid w:val="0"/>
        </w:rPr>
        <w:tab/>
        <w:t>Receipted tickets</w:t>
      </w:r>
      <w:bookmarkEnd w:id="23"/>
      <w:bookmarkEnd w:id="24"/>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(1B)</w:t>
      </w:r>
      <w:r>
        <w:tab/>
        <w:t>Where a subscriber makes a ticket repeat request, or an oral request for a super 66 entry, without a request for entry into a lotto or pools draw, and pays the relevant subscription, the agent must generate a receipted ticket or tickets accordingly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 15 May 2009 p. 1633.]</w:t>
      </w:r>
    </w:p>
    <w:p>
      <w:pPr>
        <w:pStyle w:val="Heading5"/>
        <w:rPr>
          <w:snapToGrid w:val="0"/>
        </w:rPr>
      </w:pPr>
      <w:bookmarkStart w:id="25" w:name="_Toc380143997"/>
      <w:bookmarkStart w:id="26" w:name="_Toc421106097"/>
      <w:r>
        <w:rPr>
          <w:rStyle w:val="CharSectno"/>
        </w:rPr>
        <w:t>7</w:t>
      </w:r>
      <w:r>
        <w:rPr>
          <w:snapToGrid w:val="0"/>
        </w:rPr>
        <w:t>.</w:t>
      </w:r>
      <w:r>
        <w:rPr>
          <w:snapToGrid w:val="0"/>
        </w:rPr>
        <w:tab/>
        <w:t>Surrender of receipted ticket</w:t>
      </w:r>
      <w:bookmarkEnd w:id="25"/>
      <w:bookmarkEnd w:id="26"/>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entered in conjunction with the receipted ticket are being surrendered;</w:t>
      </w:r>
    </w:p>
    <w:p>
      <w:pPr>
        <w:pStyle w:val="Indenta"/>
        <w:spacing w:before="60"/>
      </w:pPr>
      <w:r>
        <w:tab/>
        <w:t>(b)</w:t>
      </w:r>
      <w:r>
        <w:tab/>
        <w:t>only the super 66 game (or games) on the receipted ticket is being surrendered, and that any lotto/pools games entered in conjunction are to continue to be valid; or</w:t>
      </w:r>
    </w:p>
    <w:p>
      <w:pPr>
        <w:pStyle w:val="Indenta"/>
        <w:spacing w:before="60"/>
      </w:pPr>
      <w:r>
        <w:tab/>
        <w:t>(c)</w:t>
      </w:r>
      <w:r>
        <w:tab/>
        <w:t>only the lotto/pools games on the receipted ticket are being surrendered, and that any super 66 game entered in conjunction 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 15 May 2009 p. 1634.]</w:t>
      </w:r>
    </w:p>
    <w:p>
      <w:pPr>
        <w:pStyle w:val="Heading5"/>
        <w:rPr>
          <w:snapToGrid w:val="0"/>
        </w:rPr>
      </w:pPr>
      <w:bookmarkStart w:id="27" w:name="_Toc380143998"/>
      <w:bookmarkStart w:id="28" w:name="_Toc421106098"/>
      <w:r>
        <w:rPr>
          <w:rStyle w:val="CharSectno"/>
        </w:rPr>
        <w:t>8</w:t>
      </w:r>
      <w:r>
        <w:rPr>
          <w:snapToGrid w:val="0"/>
        </w:rPr>
        <w:t>.</w:t>
      </w:r>
      <w:r>
        <w:rPr>
          <w:snapToGrid w:val="0"/>
        </w:rPr>
        <w:tab/>
        <w:t>Accuracy of receipted ticket</w:t>
      </w:r>
      <w:bookmarkEnd w:id="27"/>
      <w:bookmarkEnd w:id="28"/>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29" w:name="_Toc380143999"/>
      <w:bookmarkStart w:id="30" w:name="_Toc421106099"/>
      <w:r>
        <w:rPr>
          <w:rStyle w:val="CharSectno"/>
        </w:rPr>
        <w:t>9</w:t>
      </w:r>
      <w:r>
        <w:rPr>
          <w:snapToGrid w:val="0"/>
        </w:rPr>
        <w:t>.</w:t>
      </w:r>
      <w:r>
        <w:rPr>
          <w:snapToGrid w:val="0"/>
        </w:rPr>
        <w:tab/>
        <w:t>Validity of receipted ticket</w:t>
      </w:r>
      <w:bookmarkEnd w:id="29"/>
      <w:bookmarkEnd w:id="30"/>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31" w:name="_Toc377389093"/>
      <w:bookmarkStart w:id="32" w:name="_Toc380144000"/>
      <w:bookmarkStart w:id="33" w:name="_Toc421106063"/>
      <w:bookmarkStart w:id="34" w:name="_Toc421106100"/>
      <w:r>
        <w:rPr>
          <w:rStyle w:val="CharPartNo"/>
        </w:rPr>
        <w:t>Part 3</w:t>
      </w:r>
      <w:r>
        <w:rPr>
          <w:rStyle w:val="CharDivNo"/>
        </w:rPr>
        <w:t> </w:t>
      </w:r>
      <w:r>
        <w:t>—</w:t>
      </w:r>
      <w:r>
        <w:rPr>
          <w:rStyle w:val="CharDivText"/>
        </w:rPr>
        <w:t> </w:t>
      </w:r>
      <w:r>
        <w:rPr>
          <w:rStyle w:val="CharPartText"/>
        </w:rPr>
        <w:t>General duties of Commission</w:t>
      </w:r>
      <w:bookmarkEnd w:id="31"/>
      <w:bookmarkEnd w:id="32"/>
      <w:bookmarkEnd w:id="33"/>
      <w:bookmarkEnd w:id="34"/>
      <w:r>
        <w:rPr>
          <w:rStyle w:val="CharPartText"/>
        </w:rPr>
        <w:t xml:space="preserve"> </w:t>
      </w:r>
    </w:p>
    <w:p>
      <w:pPr>
        <w:pStyle w:val="Heading5"/>
        <w:rPr>
          <w:snapToGrid w:val="0"/>
        </w:rPr>
      </w:pPr>
      <w:bookmarkStart w:id="35" w:name="_Toc380144001"/>
      <w:bookmarkStart w:id="36" w:name="_Toc421106101"/>
      <w:r>
        <w:rPr>
          <w:rStyle w:val="CharSectno"/>
        </w:rPr>
        <w:t>10</w:t>
      </w:r>
      <w:r>
        <w:rPr>
          <w:snapToGrid w:val="0"/>
        </w:rPr>
        <w:t>.</w:t>
      </w:r>
      <w:r>
        <w:rPr>
          <w:snapToGrid w:val="0"/>
        </w:rPr>
        <w:tab/>
        <w:t>Super 66 draws to be numbered</w:t>
      </w:r>
      <w:bookmarkEnd w:id="35"/>
      <w:bookmarkEnd w:id="36"/>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37" w:name="_Toc380144002"/>
      <w:bookmarkStart w:id="38" w:name="_Toc421106102"/>
      <w:r>
        <w:rPr>
          <w:rStyle w:val="CharSectno"/>
        </w:rPr>
        <w:t>11</w:t>
      </w:r>
      <w:r>
        <w:t>.</w:t>
      </w:r>
      <w:r>
        <w:tab/>
        <w:t>Super 66 draws to be supervised</w:t>
      </w:r>
      <w:bookmarkEnd w:id="37"/>
      <w:bookmarkEnd w:id="38"/>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39" w:name="_Toc380144003"/>
      <w:bookmarkStart w:id="40" w:name="_Toc421106103"/>
      <w:r>
        <w:rPr>
          <w:rStyle w:val="CharSectno"/>
        </w:rPr>
        <w:t>12</w:t>
      </w:r>
      <w:r>
        <w:rPr>
          <w:snapToGrid w:val="0"/>
        </w:rPr>
        <w:t>.</w:t>
      </w:r>
      <w:r>
        <w:rPr>
          <w:snapToGrid w:val="0"/>
        </w:rPr>
        <w:tab/>
        <w:t>Publication of results</w:t>
      </w:r>
      <w:bookmarkEnd w:id="39"/>
      <w:bookmarkEnd w:id="40"/>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41" w:name="_Toc380144004"/>
      <w:bookmarkStart w:id="42" w:name="_Toc421106104"/>
      <w:r>
        <w:rPr>
          <w:rStyle w:val="CharSectno"/>
        </w:rPr>
        <w:t>13</w:t>
      </w:r>
      <w:r>
        <w:rPr>
          <w:snapToGrid w:val="0"/>
        </w:rPr>
        <w:t>.</w:t>
      </w:r>
      <w:r>
        <w:rPr>
          <w:snapToGrid w:val="0"/>
        </w:rPr>
        <w:tab/>
        <w:t>Super 66 prize pool and prize reserve fund</w:t>
      </w:r>
      <w:bookmarkEnd w:id="41"/>
      <w:bookmarkEnd w:id="42"/>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 15 May 2009 p. 1634.]</w:t>
      </w:r>
    </w:p>
    <w:p>
      <w:pPr>
        <w:pStyle w:val="Heading2"/>
      </w:pPr>
      <w:bookmarkStart w:id="43" w:name="_Toc377389098"/>
      <w:bookmarkStart w:id="44" w:name="_Toc380144005"/>
      <w:bookmarkStart w:id="45" w:name="_Toc421106068"/>
      <w:bookmarkStart w:id="46" w:name="_Toc421106105"/>
      <w:r>
        <w:rPr>
          <w:rStyle w:val="CharPartNo"/>
        </w:rPr>
        <w:t>Part 4</w:t>
      </w:r>
      <w:r>
        <w:rPr>
          <w:rStyle w:val="CharDivNo"/>
        </w:rPr>
        <w:t> </w:t>
      </w:r>
      <w:r>
        <w:t>—</w:t>
      </w:r>
      <w:r>
        <w:rPr>
          <w:rStyle w:val="CharDivText"/>
        </w:rPr>
        <w:t> </w:t>
      </w:r>
      <w:r>
        <w:rPr>
          <w:rStyle w:val="CharPartText"/>
        </w:rPr>
        <w:t>Super 66 draw</w:t>
      </w:r>
      <w:bookmarkEnd w:id="43"/>
      <w:bookmarkEnd w:id="44"/>
      <w:bookmarkEnd w:id="45"/>
      <w:bookmarkEnd w:id="46"/>
      <w:r>
        <w:rPr>
          <w:rStyle w:val="CharPartText"/>
        </w:rPr>
        <w:t xml:space="preserve"> </w:t>
      </w:r>
    </w:p>
    <w:p>
      <w:pPr>
        <w:pStyle w:val="Heading5"/>
        <w:rPr>
          <w:snapToGrid w:val="0"/>
        </w:rPr>
      </w:pPr>
      <w:bookmarkStart w:id="47" w:name="_Toc380144006"/>
      <w:bookmarkStart w:id="48" w:name="_Toc421106106"/>
      <w:r>
        <w:rPr>
          <w:rStyle w:val="CharSectno"/>
        </w:rPr>
        <w:t>14</w:t>
      </w:r>
      <w:r>
        <w:rPr>
          <w:snapToGrid w:val="0"/>
        </w:rPr>
        <w:t>.</w:t>
      </w:r>
      <w:r>
        <w:rPr>
          <w:snapToGrid w:val="0"/>
        </w:rPr>
        <w:tab/>
        <w:t>Super 66 draw</w:t>
      </w:r>
      <w:bookmarkEnd w:id="47"/>
      <w:bookmarkEnd w:id="48"/>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49" w:name="_Toc380144007"/>
      <w:bookmarkStart w:id="50" w:name="_Toc421106107"/>
      <w:r>
        <w:rPr>
          <w:rStyle w:val="CharSectno"/>
        </w:rPr>
        <w:t>15</w:t>
      </w:r>
      <w:r>
        <w:rPr>
          <w:snapToGrid w:val="0"/>
        </w:rPr>
        <w:t>.</w:t>
      </w:r>
      <w:r>
        <w:rPr>
          <w:snapToGrid w:val="0"/>
        </w:rPr>
        <w:tab/>
        <w:t>Criteria for super 66 prizes</w:t>
      </w:r>
      <w:bookmarkEnd w:id="49"/>
      <w:bookmarkEnd w:id="50"/>
      <w:r>
        <w:rPr>
          <w:snapToGrid w:val="0"/>
        </w:rPr>
        <w:t xml:space="preserve"> </w:t>
      </w:r>
    </w:p>
    <w:p>
      <w:pPr>
        <w:pStyle w:val="Subsection"/>
        <w:rPr>
          <w:snapToGrid w:val="0"/>
        </w:rPr>
      </w:pPr>
      <w:r>
        <w:rPr>
          <w:snapToGrid w:val="0"/>
        </w:rPr>
        <w:tab/>
        <w:t>(1)</w:t>
      </w:r>
      <w:r>
        <w:rPr>
          <w:snapToGrid w:val="0"/>
        </w:rPr>
        <w:tab/>
        <w:t xml:space="preserve">Subject to subrule (2), in a super 66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Footnotesection"/>
      </w:pPr>
      <w:r>
        <w:tab/>
        <w:t>[Rule 15 amended in Gazette 19 Nov 2010 p. 5733.]</w:t>
      </w:r>
    </w:p>
    <w:p>
      <w:pPr>
        <w:pStyle w:val="Heading5"/>
        <w:rPr>
          <w:snapToGrid w:val="0"/>
        </w:rPr>
      </w:pPr>
      <w:bookmarkStart w:id="51" w:name="_Toc380144008"/>
      <w:bookmarkStart w:id="52" w:name="_Toc421106108"/>
      <w:r>
        <w:rPr>
          <w:rStyle w:val="CharSectno"/>
        </w:rPr>
        <w:t>16</w:t>
      </w:r>
      <w:r>
        <w:rPr>
          <w:snapToGrid w:val="0"/>
        </w:rPr>
        <w:t>.</w:t>
      </w:r>
      <w:r>
        <w:rPr>
          <w:snapToGrid w:val="0"/>
        </w:rPr>
        <w:tab/>
        <w:t>Distribution of prize pool</w:t>
      </w:r>
      <w:bookmarkEnd w:id="51"/>
      <w:bookmarkEnd w:id="52"/>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53" w:name="_Toc380144009"/>
      <w:bookmarkStart w:id="54" w:name="_Toc421106109"/>
      <w:r>
        <w:rPr>
          <w:rStyle w:val="CharSectno"/>
        </w:rPr>
        <w:t>17</w:t>
      </w:r>
      <w:r>
        <w:rPr>
          <w:snapToGrid w:val="0"/>
        </w:rPr>
        <w:t>.</w:t>
      </w:r>
      <w:r>
        <w:rPr>
          <w:snapToGrid w:val="0"/>
        </w:rPr>
        <w:tab/>
        <w:t>Division 1 jackpot</w:t>
      </w:r>
      <w:bookmarkEnd w:id="53"/>
      <w:bookmarkEnd w:id="54"/>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w:t>
      </w:r>
      <w:r>
        <w:rPr>
          <w:vertAlign w:val="superscript"/>
        </w:rPr>
        <w:t>th</w:t>
      </w:r>
      <w:r>
        <w:t xml:space="preserve">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55" w:name="_Toc380144010"/>
      <w:bookmarkStart w:id="56" w:name="_Toc421106110"/>
      <w:r>
        <w:rPr>
          <w:rStyle w:val="CharSectno"/>
        </w:rPr>
        <w:t>18</w:t>
      </w:r>
      <w:r>
        <w:rPr>
          <w:snapToGrid w:val="0"/>
        </w:rPr>
        <w:t>.</w:t>
      </w:r>
      <w:r>
        <w:rPr>
          <w:snapToGrid w:val="0"/>
        </w:rPr>
        <w:tab/>
        <w:t>Bonus draws and guaranteed prize pools</w:t>
      </w:r>
      <w:bookmarkEnd w:id="55"/>
      <w:bookmarkEnd w:id="56"/>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57" w:name="_Toc380144011"/>
      <w:bookmarkStart w:id="58" w:name="_Toc421106111"/>
      <w:r>
        <w:rPr>
          <w:rStyle w:val="CharSectno"/>
        </w:rPr>
        <w:t>19</w:t>
      </w:r>
      <w:r>
        <w:rPr>
          <w:snapToGrid w:val="0"/>
        </w:rPr>
        <w:t>.</w:t>
      </w:r>
      <w:r>
        <w:rPr>
          <w:snapToGrid w:val="0"/>
        </w:rPr>
        <w:tab/>
        <w:t>Division 1 prizes</w:t>
      </w:r>
      <w:bookmarkEnd w:id="57"/>
      <w:bookmarkEnd w:id="58"/>
      <w:r>
        <w:rPr>
          <w:snapToGrid w:val="0"/>
        </w:rPr>
        <w:t xml:space="preserve"> </w:t>
      </w:r>
    </w:p>
    <w:p>
      <w:pPr>
        <w:pStyle w:val="Subsection"/>
      </w:pPr>
      <w:r>
        <w:tab/>
        <w:t>(1A)</w:t>
      </w:r>
      <w:r>
        <w:tab/>
      </w:r>
      <w:r>
        <w:rPr>
          <w:snapToGrid w:val="0"/>
        </w:rPr>
        <w:t xml:space="preserve">A division 1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super 66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 19 Nov 2010 p. 5733.]</w:t>
      </w:r>
    </w:p>
    <w:p>
      <w:pPr>
        <w:pStyle w:val="Heading5"/>
        <w:rPr>
          <w:snapToGrid w:val="0"/>
        </w:rPr>
      </w:pPr>
      <w:bookmarkStart w:id="59" w:name="_Toc380144012"/>
      <w:bookmarkStart w:id="60" w:name="_Toc421106112"/>
      <w:r>
        <w:rPr>
          <w:rStyle w:val="CharSectno"/>
        </w:rPr>
        <w:t>20</w:t>
      </w:r>
      <w:r>
        <w:rPr>
          <w:snapToGrid w:val="0"/>
        </w:rPr>
        <w:t>.</w:t>
      </w:r>
      <w:r>
        <w:rPr>
          <w:snapToGrid w:val="0"/>
        </w:rPr>
        <w:tab/>
        <w:t>Division 2 prizes</w:t>
      </w:r>
      <w:bookmarkEnd w:id="59"/>
      <w:bookmarkEnd w:id="60"/>
      <w:r>
        <w:rPr>
          <w:snapToGrid w:val="0"/>
        </w:rPr>
        <w:t xml:space="preserve"> </w:t>
      </w:r>
    </w:p>
    <w:p>
      <w:pPr>
        <w:pStyle w:val="Subsection"/>
      </w:pPr>
      <w:r>
        <w:tab/>
        <w:t>(1A)</w:t>
      </w:r>
      <w:r>
        <w:tab/>
      </w:r>
      <w:r>
        <w:rPr>
          <w:snapToGrid w:val="0"/>
        </w:rPr>
        <w:t xml:space="preserve">A division 2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20 amended in Gazette 6 Jun 2008 p. 2352; 19 Nov 2010 p. 5733.]</w:t>
      </w:r>
    </w:p>
    <w:p>
      <w:pPr>
        <w:pStyle w:val="Heading5"/>
        <w:rPr>
          <w:snapToGrid w:val="0"/>
        </w:rPr>
      </w:pPr>
      <w:bookmarkStart w:id="61" w:name="_Toc380144013"/>
      <w:bookmarkStart w:id="62" w:name="_Toc421106113"/>
      <w:r>
        <w:rPr>
          <w:rStyle w:val="CharSectno"/>
        </w:rPr>
        <w:t>21</w:t>
      </w:r>
      <w:r>
        <w:rPr>
          <w:snapToGrid w:val="0"/>
        </w:rPr>
        <w:t>.</w:t>
      </w:r>
      <w:r>
        <w:rPr>
          <w:snapToGrid w:val="0"/>
        </w:rPr>
        <w:tab/>
        <w:t>Division 3, 4 and 5 prizes</w:t>
      </w:r>
      <w:bookmarkEnd w:id="61"/>
      <w:bookmarkEnd w:id="62"/>
      <w:r>
        <w:rPr>
          <w:snapToGrid w:val="0"/>
        </w:rPr>
        <w:t xml:space="preserve"> </w:t>
      </w:r>
    </w:p>
    <w:p>
      <w:pPr>
        <w:pStyle w:val="Subsection"/>
      </w:pPr>
      <w:r>
        <w:tab/>
        <w:t>(1A)</w:t>
      </w:r>
      <w:r>
        <w:tab/>
      </w:r>
      <w:r>
        <w:rPr>
          <w:snapToGrid w:val="0"/>
        </w:rPr>
        <w:t xml:space="preserve">A division 3, 4 or 5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21 amended in Gazette 6 Jun 2008 p. 2352; 19 Nov 2010 p. 5734.]</w:t>
      </w:r>
    </w:p>
    <w:p>
      <w:pPr>
        <w:pStyle w:val="Heading5"/>
        <w:rPr>
          <w:snapToGrid w:val="0"/>
        </w:rPr>
      </w:pPr>
      <w:bookmarkStart w:id="63" w:name="_Toc380144014"/>
      <w:bookmarkStart w:id="64" w:name="_Toc421106114"/>
      <w:r>
        <w:rPr>
          <w:rStyle w:val="CharSectno"/>
        </w:rPr>
        <w:t>22</w:t>
      </w:r>
      <w:r>
        <w:rPr>
          <w:snapToGrid w:val="0"/>
        </w:rPr>
        <w:t>.</w:t>
      </w:r>
      <w:r>
        <w:rPr>
          <w:snapToGrid w:val="0"/>
        </w:rPr>
        <w:tab/>
        <w:t>Commission may require a statutory declaration</w:t>
      </w:r>
      <w:bookmarkEnd w:id="63"/>
      <w:bookmarkEnd w:id="64"/>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65" w:name="_Toc380144015"/>
      <w:bookmarkStart w:id="66" w:name="_Toc421106115"/>
      <w:r>
        <w:rPr>
          <w:rStyle w:val="CharSectno"/>
        </w:rPr>
        <w:t>23</w:t>
      </w:r>
      <w:r>
        <w:rPr>
          <w:snapToGrid w:val="0"/>
        </w:rPr>
        <w:t>.</w:t>
      </w:r>
      <w:r>
        <w:rPr>
          <w:snapToGrid w:val="0"/>
        </w:rPr>
        <w:tab/>
        <w:t>Publication of names and addresses of prize winners</w:t>
      </w:r>
      <w:bookmarkEnd w:id="65"/>
      <w:bookmarkEnd w:id="6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67" w:name="_Toc380144016"/>
      <w:bookmarkStart w:id="68" w:name="_Toc421106116"/>
      <w:r>
        <w:rPr>
          <w:rStyle w:val="CharSectno"/>
        </w:rPr>
        <w:t>24</w:t>
      </w:r>
      <w:r>
        <w:rPr>
          <w:snapToGrid w:val="0"/>
        </w:rPr>
        <w:t>.</w:t>
      </w:r>
      <w:r>
        <w:rPr>
          <w:snapToGrid w:val="0"/>
        </w:rPr>
        <w:tab/>
        <w:t>Player Registration Service</w:t>
      </w:r>
      <w:bookmarkEnd w:id="67"/>
      <w:bookmarkEnd w:id="68"/>
      <w:r>
        <w:rPr>
          <w:snapToGrid w:val="0"/>
        </w:rPr>
        <w:t xml:space="preserve"> </w:t>
      </w:r>
    </w:p>
    <w:p>
      <w:pPr>
        <w:pStyle w:val="Ednotesubsection"/>
      </w:pPr>
      <w:r>
        <w:tab/>
        <w:t>[(1)</w:t>
      </w:r>
      <w:r>
        <w:tab/>
        <w:t>deleted]</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69" w:name="_Toc380144017"/>
      <w:bookmarkStart w:id="70" w:name="_Toc421106117"/>
      <w:r>
        <w:rPr>
          <w:rStyle w:val="CharSectno"/>
        </w:rPr>
        <w:t>24A</w:t>
      </w:r>
      <w:r>
        <w:t>.</w:t>
      </w:r>
      <w:r>
        <w:tab/>
        <w:t>Player’s card holders may request direct credit of prizes</w:t>
      </w:r>
      <w:bookmarkEnd w:id="69"/>
      <w:bookmarkEnd w:id="7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71" w:name="_Toc377389111"/>
      <w:bookmarkStart w:id="72" w:name="_Toc380144018"/>
      <w:bookmarkStart w:id="73" w:name="_Toc421106081"/>
      <w:bookmarkStart w:id="74" w:name="_Toc421106118"/>
      <w:r>
        <w:rPr>
          <w:rStyle w:val="CharPartNo"/>
        </w:rPr>
        <w:t>Part 5</w:t>
      </w:r>
      <w:r>
        <w:rPr>
          <w:rStyle w:val="CharDivNo"/>
        </w:rPr>
        <w:t> </w:t>
      </w:r>
      <w:r>
        <w:t>—</w:t>
      </w:r>
      <w:r>
        <w:rPr>
          <w:rStyle w:val="CharDivText"/>
        </w:rPr>
        <w:t> </w:t>
      </w:r>
      <w:r>
        <w:rPr>
          <w:rStyle w:val="CharPartText"/>
        </w:rPr>
        <w:t>Miscellaneous</w:t>
      </w:r>
      <w:bookmarkEnd w:id="71"/>
      <w:bookmarkEnd w:id="72"/>
      <w:bookmarkEnd w:id="73"/>
      <w:bookmarkEnd w:id="74"/>
      <w:r>
        <w:rPr>
          <w:rStyle w:val="CharPartText"/>
        </w:rPr>
        <w:t xml:space="preserve"> </w:t>
      </w:r>
    </w:p>
    <w:p>
      <w:pPr>
        <w:pStyle w:val="Heading5"/>
        <w:rPr>
          <w:snapToGrid w:val="0"/>
        </w:rPr>
      </w:pPr>
      <w:bookmarkStart w:id="75" w:name="_Toc380144019"/>
      <w:bookmarkStart w:id="76" w:name="_Toc421106119"/>
      <w:r>
        <w:rPr>
          <w:rStyle w:val="CharSectno"/>
        </w:rPr>
        <w:t>25</w:t>
      </w:r>
      <w:r>
        <w:rPr>
          <w:snapToGrid w:val="0"/>
        </w:rPr>
        <w:t>.</w:t>
      </w:r>
      <w:r>
        <w:rPr>
          <w:snapToGrid w:val="0"/>
        </w:rPr>
        <w:tab/>
        <w:t>Instructions</w:t>
      </w:r>
      <w:bookmarkEnd w:id="75"/>
      <w:bookmarkEnd w:id="76"/>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r>
        <w:tab/>
        <w:t>[Rule 25 amended in Gazette 6 Jun 2008 p. 2354.]</w:t>
      </w:r>
    </w:p>
    <w:p>
      <w:pPr>
        <w:pStyle w:val="Heading5"/>
        <w:rPr>
          <w:snapToGrid w:val="0"/>
        </w:rPr>
      </w:pPr>
      <w:bookmarkStart w:id="77" w:name="_Toc380144020"/>
      <w:bookmarkStart w:id="78" w:name="_Toc421106120"/>
      <w:r>
        <w:rPr>
          <w:rStyle w:val="CharSectno"/>
        </w:rPr>
        <w:t>26</w:t>
      </w:r>
      <w:r>
        <w:rPr>
          <w:snapToGrid w:val="0"/>
        </w:rPr>
        <w:t>.</w:t>
      </w:r>
      <w:r>
        <w:rPr>
          <w:snapToGrid w:val="0"/>
        </w:rPr>
        <w:tab/>
        <w:t>Rules to be made available</w:t>
      </w:r>
      <w:bookmarkEnd w:id="77"/>
      <w:bookmarkEnd w:id="78"/>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79" w:name="_Toc380144021"/>
      <w:bookmarkStart w:id="80" w:name="_Toc421106121"/>
      <w:r>
        <w:rPr>
          <w:rStyle w:val="CharSectno"/>
        </w:rPr>
        <w:t>27</w:t>
      </w:r>
      <w:r>
        <w:rPr>
          <w:snapToGrid w:val="0"/>
        </w:rPr>
        <w:t>.</w:t>
      </w:r>
      <w:r>
        <w:rPr>
          <w:snapToGrid w:val="0"/>
        </w:rPr>
        <w:tab/>
        <w:t>Decisions of Commission final</w:t>
      </w:r>
      <w:bookmarkEnd w:id="79"/>
      <w:bookmarkEnd w:id="80"/>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r>
        <w:t>[Part 7 deleted in Gazette 3 Nov 2006 p. 4661.]</w:t>
      </w:r>
    </w:p>
    <w:p>
      <w:pPr>
        <w:pStyle w:val="yScheduleHeading"/>
      </w:pPr>
      <w:bookmarkStart w:id="81" w:name="_Toc377389115"/>
      <w:bookmarkStart w:id="82" w:name="_Toc380144022"/>
      <w:bookmarkStart w:id="83" w:name="_Toc421106085"/>
      <w:bookmarkStart w:id="84" w:name="_Toc421106122"/>
      <w:r>
        <w:rPr>
          <w:rStyle w:val="CharSchNo"/>
        </w:rPr>
        <w:t>Schedule 1</w:t>
      </w:r>
      <w:r>
        <w:t> — </w:t>
      </w:r>
      <w:r>
        <w:rPr>
          <w:rStyle w:val="CharSchText"/>
        </w:rPr>
        <w:t>Summary of parameters within which Super 66 is conducted</w:t>
      </w:r>
      <w:bookmarkEnd w:id="81"/>
      <w:bookmarkEnd w:id="82"/>
      <w:bookmarkEnd w:id="83"/>
      <w:bookmarkEnd w:id="84"/>
      <w:r>
        <w:t xml:space="preserve"> </w:t>
      </w:r>
    </w:p>
    <w:tbl>
      <w:tblPr>
        <w:tblW w:w="7371" w:type="dxa"/>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(maximum) (may depend on the coupon used)</w:t>
            </w:r>
          </w:p>
        </w:tc>
        <w:tc>
          <w:tcPr>
            <w:tcW w:w="3118" w:type="dxa"/>
          </w:tcPr>
          <w:p>
            <w:pPr>
              <w:pStyle w:val="yTable"/>
              <w:tabs>
                <w:tab w:val="right" w:pos="2835"/>
              </w:tabs>
              <w:spacing w:before="0"/>
            </w:pPr>
            <w:r>
              <w:tab/>
              <w:t>50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 6 Dec 2013 p. 5754.]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6" w:name="_Toc377389116"/>
      <w:bookmarkStart w:id="87" w:name="_Toc380144023"/>
      <w:bookmarkStart w:id="88" w:name="_Toc421106086"/>
      <w:bookmarkStart w:id="89" w:name="_Toc421106123"/>
      <w:r>
        <w:t>Notes</w:t>
      </w:r>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90" w:name="_Toc380144024"/>
      <w:bookmarkStart w:id="91" w:name="_Toc421106124"/>
      <w: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Lotteries Commission (Super 66) Rules 1996</w:t>
            </w:r>
          </w:p>
        </w:tc>
        <w:tc>
          <w:tcPr>
            <w:tcW w:w="1276" w:type="dxa"/>
          </w:tcPr>
          <w:p>
            <w:pPr>
              <w:pStyle w:val="nTable"/>
              <w:spacing w:after="40"/>
            </w:pPr>
            <w:r>
              <w:t>15 Nov 1996 p. 6509-28</w:t>
            </w:r>
          </w:p>
        </w:tc>
        <w:tc>
          <w:tcPr>
            <w:tcW w:w="2693" w:type="dxa"/>
          </w:tcPr>
          <w:p>
            <w:pPr>
              <w:pStyle w:val="nTable"/>
              <w:spacing w:after="40"/>
            </w:pPr>
            <w:r>
              <w:t>18 Nov 1996 (see r. 2)</w:t>
            </w:r>
          </w:p>
        </w:tc>
      </w:tr>
      <w:tr>
        <w:tc>
          <w:tcPr>
            <w:tcW w:w="3118" w:type="dxa"/>
          </w:tcPr>
          <w:p>
            <w:pPr>
              <w:pStyle w:val="nTable"/>
              <w:spacing w:after="40"/>
            </w:pPr>
            <w:r>
              <w:rPr>
                <w:i/>
              </w:rPr>
              <w:t>Lotteries Commission (Super 66) Amendment Rules 1997</w:t>
            </w:r>
          </w:p>
        </w:tc>
        <w:tc>
          <w:tcPr>
            <w:tcW w:w="1276" w:type="dxa"/>
          </w:tcPr>
          <w:p>
            <w:pPr>
              <w:pStyle w:val="nTable"/>
              <w:spacing w:after="40"/>
            </w:pPr>
            <w:r>
              <w:t>5 Dec 1997 p. 7131</w:t>
            </w:r>
          </w:p>
        </w:tc>
        <w:tc>
          <w:tcPr>
            <w:tcW w:w="2693" w:type="dxa"/>
          </w:tcPr>
          <w:p>
            <w:pPr>
              <w:pStyle w:val="nTable"/>
              <w:spacing w:after="40"/>
            </w:pPr>
            <w:r>
              <w:t>5 Dec 1997</w:t>
            </w:r>
          </w:p>
        </w:tc>
      </w:tr>
      <w:tr>
        <w:tc>
          <w:tcPr>
            <w:tcW w:w="3118" w:type="dxa"/>
          </w:tcPr>
          <w:p>
            <w:pPr>
              <w:pStyle w:val="nTable"/>
              <w:spacing w:after="40"/>
              <w:rPr>
                <w:i/>
              </w:rPr>
            </w:pPr>
            <w:r>
              <w:rPr>
                <w:i/>
              </w:rPr>
              <w:t>Lotteries Commission (Super 66) Amendment Rules 2001</w:t>
            </w:r>
          </w:p>
        </w:tc>
        <w:tc>
          <w:tcPr>
            <w:tcW w:w="1276" w:type="dxa"/>
          </w:tcPr>
          <w:p>
            <w:pPr>
              <w:pStyle w:val="nTable"/>
              <w:spacing w:after="40"/>
            </w:pPr>
            <w:r>
              <w:t>9 Mar 2001 p. 1329-31</w:t>
            </w:r>
          </w:p>
        </w:tc>
        <w:tc>
          <w:tcPr>
            <w:tcW w:w="2693" w:type="dxa"/>
          </w:tcPr>
          <w:p>
            <w:pPr>
              <w:pStyle w:val="nTable"/>
              <w:spacing w:after="40"/>
            </w:pPr>
            <w:r>
              <w:t>11 Mar 2001 (see r. 2)</w:t>
            </w:r>
          </w:p>
        </w:tc>
      </w:tr>
      <w:tr>
        <w:tc>
          <w:tcPr>
            <w:tcW w:w="3118" w:type="dxa"/>
          </w:tcPr>
          <w:p>
            <w:pPr>
              <w:pStyle w:val="nTable"/>
              <w:spacing w:after="40"/>
              <w:rPr>
                <w:i/>
              </w:rPr>
            </w:pPr>
            <w:r>
              <w:rPr>
                <w:i/>
              </w:rPr>
              <w:t>Lotteries Commission (Super 66) Amendment Rules 2002</w:t>
            </w:r>
          </w:p>
        </w:tc>
        <w:tc>
          <w:tcPr>
            <w:tcW w:w="1276" w:type="dxa"/>
          </w:tcPr>
          <w:p>
            <w:pPr>
              <w:pStyle w:val="nTable"/>
              <w:spacing w:after="40"/>
            </w:pPr>
            <w:r>
              <w:t>28 Mar 2002 p. 1766</w:t>
            </w:r>
          </w:p>
        </w:tc>
        <w:tc>
          <w:tcPr>
            <w:tcW w:w="2693" w:type="dxa"/>
          </w:tcPr>
          <w:p>
            <w:pPr>
              <w:pStyle w:val="nTable"/>
              <w:spacing w:after="40"/>
            </w:pPr>
            <w:r>
              <w:t>2 Apr 2002 (see r. 2)</w:t>
            </w:r>
          </w:p>
        </w:tc>
      </w:tr>
      <w:tr>
        <w:trPr>
          <w:cantSplit/>
        </w:trPr>
        <w:tc>
          <w:tcPr>
            <w:tcW w:w="7087" w:type="dxa"/>
            <w:gridSpan w:val="3"/>
          </w:tcPr>
          <w:p>
            <w:pPr>
              <w:pStyle w:val="nTable"/>
              <w:spacing w:after="40"/>
            </w:pPr>
            <w:r>
              <w:rPr>
                <w:b/>
              </w:rPr>
              <w:t>Reprint 1: The</w:t>
            </w:r>
            <w:r>
              <w:rPr>
                <w:b/>
                <w:i/>
              </w:rPr>
              <w:t xml:space="preserve"> Lotteries Commission (Super 66) Rules 1996 </w:t>
            </w:r>
            <w:r>
              <w:rPr>
                <w:b/>
              </w:rPr>
              <w:t>as at 4 Jul 2003</w:t>
            </w:r>
            <w:r>
              <w:br/>
              <w:t>(includes amendments listed above)</w:t>
            </w:r>
          </w:p>
        </w:tc>
      </w:tr>
      <w:tr>
        <w:tc>
          <w:tcPr>
            <w:tcW w:w="3118" w:type="dxa"/>
          </w:tcPr>
          <w:p>
            <w:pPr>
              <w:pStyle w:val="nTable"/>
              <w:spacing w:after="40"/>
              <w:rPr>
                <w:i/>
              </w:rPr>
            </w:pPr>
            <w:r>
              <w:rPr>
                <w:i/>
              </w:rPr>
              <w:t>Lotteries Commission (Super 66) Amendment Rules 2004</w:t>
            </w:r>
          </w:p>
        </w:tc>
        <w:tc>
          <w:tcPr>
            <w:tcW w:w="1276" w:type="dxa"/>
          </w:tcPr>
          <w:p>
            <w:pPr>
              <w:pStyle w:val="nTable"/>
              <w:spacing w:after="40"/>
            </w:pPr>
            <w:r>
              <w:t>16 Nov 2004 p. 5066-7</w:t>
            </w:r>
          </w:p>
        </w:tc>
        <w:tc>
          <w:tcPr>
            <w:tcW w:w="2693" w:type="dxa"/>
          </w:tcPr>
          <w:p>
            <w:pPr>
              <w:pStyle w:val="nTable"/>
              <w:spacing w:after="40"/>
            </w:pPr>
            <w:r>
              <w:t>16 Nov 2004 (see r. 2)</w:t>
            </w:r>
          </w:p>
        </w:tc>
      </w:tr>
      <w:tr>
        <w:tc>
          <w:tcPr>
            <w:tcW w:w="3118" w:type="dxa"/>
          </w:tcPr>
          <w:p>
            <w:pPr>
              <w:pStyle w:val="nTable"/>
              <w:spacing w:after="40"/>
              <w:rPr>
                <w:i/>
              </w:rPr>
            </w:pPr>
            <w:r>
              <w:rPr>
                <w:i/>
              </w:rPr>
              <w:t>Lotteries Commission (Super 66) Amendment Rules 2006</w:t>
            </w:r>
          </w:p>
        </w:tc>
        <w:tc>
          <w:tcPr>
            <w:tcW w:w="1276" w:type="dxa"/>
          </w:tcPr>
          <w:p>
            <w:pPr>
              <w:pStyle w:val="nTable"/>
              <w:spacing w:after="40"/>
            </w:pPr>
            <w:r>
              <w:t>21 Apr 2006 p. 1605-10</w:t>
            </w:r>
          </w:p>
        </w:tc>
        <w:tc>
          <w:tcPr>
            <w:tcW w:w="2693" w:type="dxa"/>
          </w:tcPr>
          <w:p>
            <w:pPr>
              <w:pStyle w:val="nTable"/>
              <w:spacing w:after="40"/>
            </w:pPr>
            <w:r>
              <w:t xml:space="preserve">27 Apr 2006 (see r. 2 and </w:t>
            </w:r>
            <w:r>
              <w:rPr>
                <w:i/>
              </w:rPr>
              <w:t>Gazette</w:t>
            </w:r>
            <w:r>
              <w:t xml:space="preserve"> 21 Apr 2006 p. 1617)</w:t>
            </w:r>
          </w:p>
        </w:tc>
      </w:tr>
      <w:tr>
        <w:tc>
          <w:tcPr>
            <w:tcW w:w="3118" w:type="dxa"/>
          </w:tcPr>
          <w:p>
            <w:pPr>
              <w:pStyle w:val="nTable"/>
              <w:spacing w:after="40"/>
              <w:rPr>
                <w:i/>
              </w:rPr>
            </w:pPr>
            <w:r>
              <w:rPr>
                <w:i/>
              </w:rPr>
              <w:t>Lotteries Commission (Super 66) Amendment Rules (No. 2) 2006</w:t>
            </w:r>
          </w:p>
        </w:tc>
        <w:tc>
          <w:tcPr>
            <w:tcW w:w="1276" w:type="dxa"/>
          </w:tcPr>
          <w:p>
            <w:pPr>
              <w:pStyle w:val="nTable"/>
              <w:spacing w:after="40"/>
            </w:pPr>
            <w:r>
              <w:t>29 Sep 2006 p. 4269-70</w:t>
            </w:r>
          </w:p>
        </w:tc>
        <w:tc>
          <w:tcPr>
            <w:tcW w:w="2693" w:type="dxa"/>
          </w:tcPr>
          <w:p>
            <w:pPr>
              <w:pStyle w:val="nTable"/>
              <w:spacing w:after="40"/>
            </w:pPr>
            <w:r>
              <w:t>29 Sep 2006</w:t>
            </w:r>
          </w:p>
        </w:tc>
      </w:tr>
      <w:tr>
        <w:tc>
          <w:tcPr>
            <w:tcW w:w="3118" w:type="dxa"/>
          </w:tcPr>
          <w:p>
            <w:pPr>
              <w:pStyle w:val="nTable"/>
              <w:spacing w:after="40"/>
            </w:pPr>
            <w:r>
              <w:rPr>
                <w:i/>
              </w:rPr>
              <w:t>Lotteries Commission (Super 66) Amendment Rules (No. 3) 2006</w:t>
            </w:r>
            <w:r>
              <w:t xml:space="preserve"> </w:t>
            </w:r>
          </w:p>
        </w:tc>
        <w:tc>
          <w:tcPr>
            <w:tcW w:w="1276" w:type="dxa"/>
          </w:tcPr>
          <w:p>
            <w:pPr>
              <w:pStyle w:val="nTable"/>
              <w:spacing w:after="40"/>
            </w:pPr>
            <w:r>
              <w:t>3 Nov 2006 p. 4661</w:t>
            </w:r>
          </w:p>
        </w:tc>
        <w:tc>
          <w:tcPr>
            <w:tcW w:w="2693" w:type="dxa"/>
          </w:tcPr>
          <w:p>
            <w:pPr>
              <w:pStyle w:val="nTable"/>
              <w:spacing w:after="40"/>
            </w:pPr>
            <w:r>
              <w:t>21 Jan 2007 (see r. 2)</w:t>
            </w:r>
          </w:p>
        </w:tc>
      </w:tr>
      <w:tr>
        <w:trPr>
          <w:cantSplit/>
        </w:trPr>
        <w:tc>
          <w:tcPr>
            <w:tcW w:w="7087" w:type="dxa"/>
            <w:gridSpan w:val="3"/>
          </w:tcPr>
          <w:p>
            <w:pPr>
              <w:pStyle w:val="nTable"/>
              <w:spacing w:after="40"/>
            </w:pPr>
            <w:r>
              <w:rPr>
                <w:b/>
              </w:rPr>
              <w:t>Reprint 2: The</w:t>
            </w:r>
            <w:r>
              <w:rPr>
                <w:b/>
                <w:i/>
              </w:rPr>
              <w:t xml:space="preserve"> Lotteries Commission (Super 66) Rules 1996 </w:t>
            </w:r>
            <w:r>
              <w:rPr>
                <w:b/>
              </w:rPr>
              <w:t>as at 9 Feb 2007</w:t>
            </w:r>
            <w:r>
              <w:br/>
              <w:t>(includes amendments listed above)</w:t>
            </w:r>
          </w:p>
        </w:tc>
      </w:tr>
      <w:tr>
        <w:tc>
          <w:tcPr>
            <w:tcW w:w="3118" w:type="dxa"/>
          </w:tcPr>
          <w:p>
            <w:pPr>
              <w:pStyle w:val="nTable"/>
              <w:spacing w:after="40"/>
            </w:pPr>
            <w:r>
              <w:rPr>
                <w:i/>
              </w:rPr>
              <w:t>Lotteries Commission (Super 66) Amendment Rules 2008</w:t>
            </w:r>
            <w:r>
              <w:t xml:space="preserve"> </w:t>
            </w:r>
          </w:p>
        </w:tc>
        <w:tc>
          <w:tcPr>
            <w:tcW w:w="1276" w:type="dxa"/>
          </w:tcPr>
          <w:p>
            <w:pPr>
              <w:pStyle w:val="nTable"/>
              <w:spacing w:after="40"/>
            </w:pPr>
            <w:r>
              <w:t>6 Jun 2008 p. 2347-54</w:t>
            </w:r>
          </w:p>
        </w:tc>
        <w:tc>
          <w:tcPr>
            <w:tcW w:w="2693" w:type="dxa"/>
          </w:tcPr>
          <w:p>
            <w:pPr>
              <w:pStyle w:val="nTable"/>
              <w:spacing w:after="40"/>
            </w:pPr>
            <w:r>
              <w:t>r. 1 and 2: 6 Jun 2008 (see r. 2(a));</w:t>
            </w:r>
            <w:r>
              <w:br/>
              <w:t>Rules other than r. 1 and 2: 8 Jun 2008 (see r. 2(b))</w:t>
            </w:r>
          </w:p>
        </w:tc>
      </w:tr>
      <w:tr>
        <w:tc>
          <w:tcPr>
            <w:tcW w:w="3118" w:type="dxa"/>
          </w:tcPr>
          <w:p>
            <w:pPr>
              <w:pStyle w:val="nTable"/>
              <w:spacing w:after="40"/>
              <w:rPr>
                <w:iCs/>
              </w:rPr>
            </w:pPr>
            <w:r>
              <w:rPr>
                <w:i/>
              </w:rPr>
              <w:t>Lotteries Commission Amendment Rules 2009</w:t>
            </w:r>
            <w:r>
              <w:rPr>
                <w:iCs/>
              </w:rPr>
              <w:t xml:space="preserve"> Pt. 2</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8" w:type="dxa"/>
          </w:tcPr>
          <w:p>
            <w:pPr>
              <w:pStyle w:val="nTable"/>
              <w:spacing w:after="40"/>
              <w:rPr>
                <w:i/>
              </w:rPr>
            </w:pPr>
            <w:r>
              <w:rPr>
                <w:i/>
              </w:rPr>
              <w:t>Lotteries Commission (Super 66) Amendment Rules 2010</w:t>
            </w:r>
          </w:p>
        </w:tc>
        <w:tc>
          <w:tcPr>
            <w:tcW w:w="1276" w:type="dxa"/>
          </w:tcPr>
          <w:p>
            <w:pPr>
              <w:pStyle w:val="nTable"/>
              <w:spacing w:after="40"/>
            </w:pPr>
            <w:r>
              <w:t>19 Nov 2010 p. 5732-4</w:t>
            </w:r>
          </w:p>
        </w:tc>
        <w:tc>
          <w:tcPr>
            <w:tcW w:w="2693" w:type="dxa"/>
          </w:tcPr>
          <w:p>
            <w:pPr>
              <w:pStyle w:val="nTable"/>
              <w:spacing w:after="40"/>
            </w:pPr>
            <w:r>
              <w:rPr>
                <w:snapToGrid w:val="0"/>
                <w:spacing w:val="-2"/>
              </w:rPr>
              <w:t>r. 1 and 2: 19 Nov 2010 (see r. 2(a));</w:t>
            </w:r>
            <w:r>
              <w:rPr>
                <w:snapToGrid w:val="0"/>
                <w:spacing w:val="-2"/>
              </w:rPr>
              <w:br/>
              <w:t>Rules other than r. 1 and 2: 20 Nov 2010 (see r. 2(b))</w:t>
            </w:r>
          </w:p>
        </w:tc>
      </w:tr>
      <w:tr>
        <w:tc>
          <w:tcPr>
            <w:tcW w:w="3118" w:type="dxa"/>
            <w:tcBorders>
              <w:bottom w:val="single" w:sz="4" w:space="0" w:color="auto"/>
            </w:tcBorders>
          </w:tcPr>
          <w:p>
            <w:pPr>
              <w:pStyle w:val="nTable"/>
              <w:keepNext/>
              <w:keepLines/>
              <w:spacing w:after="40"/>
              <w:rPr>
                <w:i/>
              </w:rPr>
            </w:pPr>
            <w:r>
              <w:rPr>
                <w:i/>
              </w:rPr>
              <w:t>Lotteries Commission (Super 66) Amendment Rules 2013</w:t>
            </w:r>
          </w:p>
        </w:tc>
        <w:tc>
          <w:tcPr>
            <w:tcW w:w="1276" w:type="dxa"/>
            <w:tcBorders>
              <w:bottom w:val="single" w:sz="4" w:space="0" w:color="auto"/>
            </w:tcBorders>
          </w:tcPr>
          <w:p>
            <w:pPr>
              <w:pStyle w:val="nTable"/>
              <w:keepNext/>
              <w:keepLines/>
              <w:spacing w:after="40"/>
            </w:pPr>
            <w:r>
              <w:t>6 Dec 2013 p. 5753-4</w:t>
            </w:r>
          </w:p>
        </w:tc>
        <w:tc>
          <w:tcPr>
            <w:tcW w:w="2693" w:type="dxa"/>
            <w:tcBorders>
              <w:bottom w:val="single" w:sz="4" w:space="0" w:color="auto"/>
            </w:tcBorders>
          </w:tcPr>
          <w:p>
            <w:pPr>
              <w:pStyle w:val="nTable"/>
              <w:keepNext/>
              <w:keepLines/>
              <w:spacing w:after="40"/>
              <w:rPr>
                <w:rFonts w:ascii="Arial" w:hAnsi="Arial"/>
                <w:b/>
                <w:snapToGrid w:val="0"/>
                <w:spacing w:val="-2"/>
              </w:rPr>
            </w:pPr>
            <w:r>
              <w:rPr>
                <w:snapToGrid w:val="0"/>
                <w:spacing w:val="-2"/>
              </w:rPr>
              <w:t>r. 1 and 2: 6 Dec 2013 (see r. 2(a));</w:t>
            </w:r>
            <w:r>
              <w:rPr>
                <w:snapToGrid w:val="0"/>
                <w:spacing w:val="-2"/>
              </w:rPr>
              <w:br/>
              <w:t>Rules other than r. 1 and 2: 7 Dec 2013 (see r. 2(b))</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93" w:name="_Toc421106125"/>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Oz Lotto Rules</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powerball</w:t>
      </w:r>
      <w:r>
        <w:tab/>
        <w:t>3</w:t>
      </w:r>
    </w:p>
    <w:p>
      <w:pPr>
        <w:pStyle w:val="DefinedTerms"/>
      </w:pPr>
      <w:r>
        <w:t>Powerball Rules</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Rules</w:t>
      </w:r>
      <w:r>
        <w:tab/>
        <w:t>3</w:t>
      </w:r>
    </w:p>
    <w:p>
      <w:pPr>
        <w:pStyle w:val="DefinedTerms"/>
      </w:pPr>
      <w:r>
        <w:t>selected digits</w:t>
      </w:r>
      <w:r>
        <w:tab/>
        <w:t>3</w:t>
      </w:r>
    </w:p>
    <w:p>
      <w:pPr>
        <w:pStyle w:val="DefinedTerms"/>
      </w:pPr>
      <w:r>
        <w:t>selling period</w:t>
      </w:r>
      <w:r>
        <w:tab/>
        <w:t>3</w:t>
      </w:r>
    </w:p>
    <w:p>
      <w:pPr>
        <w:pStyle w:val="DefinedTerms"/>
      </w:pPr>
      <w:r>
        <w:t>Soccer Pools</w:t>
      </w:r>
      <w:r>
        <w:tab/>
        <w:t>3</w:t>
      </w:r>
    </w:p>
    <w:p>
      <w:pPr>
        <w:pStyle w:val="DefinedTerms"/>
      </w:pPr>
      <w:r>
        <w:t>Soccer Pools Rules</w:t>
      </w:r>
      <w:r>
        <w:tab/>
        <w:t>3</w:t>
      </w:r>
    </w:p>
    <w:p>
      <w:pPr>
        <w:pStyle w:val="DefinedTerms"/>
      </w:pPr>
      <w:r>
        <w:t>super 66</w:t>
      </w:r>
      <w:r>
        <w:tab/>
        <w:t>3</w:t>
      </w:r>
    </w:p>
    <w:p>
      <w:pPr>
        <w:pStyle w:val="DefinedTerms"/>
      </w:pPr>
      <w:r>
        <w:t>super 66 draw</w:t>
      </w:r>
      <w:r>
        <w:tab/>
        <w:t>3</w:t>
      </w:r>
    </w:p>
    <w:p>
      <w:pPr>
        <w:pStyle w:val="DefinedTerms"/>
      </w:pPr>
      <w:r>
        <w:t>total prize pool</w:t>
      </w:r>
      <w:r>
        <w:tab/>
        <w:t>3</w:t>
      </w:r>
    </w:p>
    <w:p>
      <w:pPr>
        <w:pStyle w:val="DefinedTerms"/>
      </w:pPr>
      <w:r>
        <w:t>validation period</w:t>
      </w:r>
      <w:r>
        <w:tab/>
        <w:t>3</w:t>
      </w:r>
    </w:p>
    <w:p>
      <w:pPr>
        <w:pStyle w:val="DefinedTerms"/>
      </w:pPr>
      <w:r>
        <w:t>Wednesday lotto</w:t>
      </w:r>
      <w:r>
        <w:tab/>
        <w:t>3</w:t>
      </w:r>
    </w:p>
    <w:p>
      <w:pPr>
        <w:pStyle w:val="DefinedTerms"/>
      </w:pPr>
      <w:r>
        <w:t>winning digits</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(Super 66)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(Super 66)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(Super 66)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A2A6E2"/>
    <w:lvl w:ilvl="0">
      <w:start w:val="1"/>
      <w:numFmt w:val="decimal"/>
      <w:lvlText w:val="%1."/>
      <w:lvlJc w:val="left"/>
      <w:pPr>
        <w:tabs>
          <w:tab w:val="num" w:pos="1492"/>
        </w:tabs>
        <w:ind w:left="1492" w:hanging="360"/>
      </w:pPr>
    </w:lvl>
  </w:abstractNum>
  <w:abstractNum w:abstractNumId="1">
    <w:nsid w:val="FFFFFF7D"/>
    <w:multiLevelType w:val="singleLevel"/>
    <w:tmpl w:val="0D12DC08"/>
    <w:lvl w:ilvl="0">
      <w:start w:val="1"/>
      <w:numFmt w:val="decimal"/>
      <w:lvlText w:val="%1."/>
      <w:lvlJc w:val="left"/>
      <w:pPr>
        <w:tabs>
          <w:tab w:val="num" w:pos="1209"/>
        </w:tabs>
        <w:ind w:left="1209" w:hanging="360"/>
      </w:pPr>
    </w:lvl>
  </w:abstractNum>
  <w:abstractNum w:abstractNumId="2">
    <w:nsid w:val="FFFFFF7E"/>
    <w:multiLevelType w:val="singleLevel"/>
    <w:tmpl w:val="45E8515E"/>
    <w:lvl w:ilvl="0">
      <w:start w:val="1"/>
      <w:numFmt w:val="decimal"/>
      <w:lvlText w:val="%1."/>
      <w:lvlJc w:val="left"/>
      <w:pPr>
        <w:tabs>
          <w:tab w:val="num" w:pos="926"/>
        </w:tabs>
        <w:ind w:left="926" w:hanging="360"/>
      </w:pPr>
    </w:lvl>
  </w:abstractNum>
  <w:abstractNum w:abstractNumId="3">
    <w:nsid w:val="FFFFFF7F"/>
    <w:multiLevelType w:val="singleLevel"/>
    <w:tmpl w:val="BC14D7EE"/>
    <w:lvl w:ilvl="0">
      <w:start w:val="1"/>
      <w:numFmt w:val="decimal"/>
      <w:lvlText w:val="%1."/>
      <w:lvlJc w:val="left"/>
      <w:pPr>
        <w:tabs>
          <w:tab w:val="num" w:pos="643"/>
        </w:tabs>
        <w:ind w:left="643" w:hanging="360"/>
      </w:pPr>
    </w:lvl>
  </w:abstractNum>
  <w:abstractNum w:abstractNumId="4">
    <w:nsid w:val="FFFFFF80"/>
    <w:multiLevelType w:val="singleLevel"/>
    <w:tmpl w:val="C33C74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5832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762415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9CAD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A23B2"/>
    <w:lvl w:ilvl="0">
      <w:start w:val="1"/>
      <w:numFmt w:val="decimal"/>
      <w:lvlText w:val="%1."/>
      <w:lvlJc w:val="left"/>
      <w:pPr>
        <w:tabs>
          <w:tab w:val="num" w:pos="360"/>
        </w:tabs>
        <w:ind w:left="360" w:hanging="360"/>
      </w:pPr>
    </w:lvl>
  </w:abstractNum>
  <w:abstractNum w:abstractNumId="9">
    <w:nsid w:val="FFFFFF89"/>
    <w:multiLevelType w:val="singleLevel"/>
    <w:tmpl w:val="032271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8E0FD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18"/>
    <w:docVar w:name="WAFER_20140113145532" w:val="RemoveTocBookmarks,RemoveUnusedBookmarks,RemoveLanguageTags,UsedStyles,ResetPageSize,UpdateArrangement"/>
    <w:docVar w:name="WAFER_20140113145532_GUID" w:val="03a86298-502e-44d5-985d-e3bc04156d13"/>
    <w:docVar w:name="WAFER_20140113145538" w:val="RemoveTocBookmarks,RunningHeaders"/>
    <w:docVar w:name="WAFER_20140113145538_GUID" w:val="a8916e58-9ec0-4425-8a2b-61031cfd1a22"/>
    <w:docVar w:name="WAFER_20140214120243" w:val="ResetStyles"/>
    <w:docVar w:name="WAFER_20140214120243_GUID" w:val="58d6dcf3-e147-4e54-99de-768d2d061bb1"/>
    <w:docVar w:name="WAFER_20150603143505" w:val="ResetPageSize,UpdateArrangement,UpdateNTable"/>
    <w:docVar w:name="WAFER_20150603143505_GUID" w:val="fb414e28-713c-4220-abf9-d29bb9e63b89"/>
    <w:docVar w:name="WAFER_20151106100640" w:val="UpdateStyles,UsedStyles"/>
    <w:docVar w:name="WAFER_20151106100640_GUID" w:val="587fba01-cfea-48ab-ac7f-187815f64418"/>
    <w:docVar w:name="WAFER_20151130164918" w:val="RemoveTrackChanges"/>
    <w:docVar w:name="WAFER_20151130164918_GUID" w:val="b8427727-4a7e-4c34-9f6c-ca115d2238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5734</Words>
  <Characters>25751</Characters>
  <Application>Microsoft Office Word</Application>
  <DocSecurity>0</DocSecurity>
  <Lines>804</Lines>
  <Paragraphs>516</Paragraphs>
  <ScaleCrop>false</ScaleCrop>
  <HeadingPairs>
    <vt:vector size="2" baseType="variant">
      <vt:variant>
        <vt:lpstr>Title</vt:lpstr>
      </vt:variant>
      <vt:variant>
        <vt:i4>1</vt:i4>
      </vt:variant>
    </vt:vector>
  </HeadingPairs>
  <TitlesOfParts>
    <vt:vector size="1" baseType="lpstr">
      <vt:lpstr>Lotteries Commission (Super 66) Rules 1996</vt:lpstr>
    </vt:vector>
  </TitlesOfParts>
  <Manager/>
  <Company/>
  <LinksUpToDate>false</LinksUpToDate>
  <CharactersWithSpaces>30969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1996 - 02-e0-05</dc:title>
  <dc:subject/>
  <dc:creator/>
  <cp:keywords/>
  <dc:description/>
  <cp:lastModifiedBy>svcMRProcess</cp:lastModifiedBy>
  <cp:revision>4</cp:revision>
  <cp:lastPrinted>2007-02-05T04:52:00Z</cp:lastPrinted>
  <dcterms:created xsi:type="dcterms:W3CDTF">2015-11-30T09:09:00Z</dcterms:created>
  <dcterms:modified xsi:type="dcterms:W3CDTF">2015-11-30T09:09:00Z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20131207</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AsAtDate">
    <vt:lpwstr>07 Dec 2013</vt:lpwstr>
  </property>
  <property fmtid="{D5CDD505-2E9C-101B-9397-08002B2CF9AE}" pid="8" name="Suffix">
    <vt:lpwstr>02-e0-05</vt:lpwstr>
  </property>
</Properties>
</file>