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Vocational Education and Training Act 1996</w:t>
      </w:r>
    </w:p>
    <w:p>
      <w:pPr>
        <w:pStyle w:val="NameofActRegPage1"/>
        <w:spacing w:before="1960" w:after="4200"/>
        <w:ind w:left="340" w:right="3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_Toc375145355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_Toc375145356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_Toc375145357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_Toc375145359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Classification of courses and units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_Toc375145361 \h </w:instrText>
      </w:r>
      <w:r>
        <w:fldChar w:fldCharType="separate"/>
      </w:r>
      <w:r>
        <w:t>4</w:t>
      </w:r>
      <w:r>
        <w:fldChar w:fldCharType="end"/>
      </w:r>
    </w:p>
    <w:p>
      <w:pPr>
        <w:pStyle w:val="TOC8"/>
        <w:rPr>
          <w:rFonts w:asciiTheme="minorHAnsi" w:eastAsiaTheme="minorEastAsia" w:hAnsiTheme="minorHAnsi" w:cstheme="minorBidi"/>
          <w:szCs w:val="22"/>
        </w:rPr>
      </w:pPr>
      <w:r>
        <w:t>4A.</w:t>
      </w:r>
      <w:r>
        <w:tab/>
        <w:t>Classification of units</w:t>
      </w:r>
      <w:r>
        <w:tab/>
      </w:r>
      <w:r>
        <w:fldChar w:fldCharType="begin"/>
      </w:r>
      <w:r>
        <w:instrText xml:space="preserve"> PAGEREF _Toc375145362 \h </w:instrText>
      </w:r>
      <w:r>
        <w:fldChar w:fldCharType="separate"/>
      </w:r>
      <w:r>
        <w:t>4</w:t>
      </w:r>
      <w:r>
        <w:fldChar w:fldCharType="end"/>
      </w:r>
    </w:p>
    <w:p>
      <w:pPr>
        <w:pStyle w:val="TOC8"/>
        <w:rPr>
          <w:rFonts w:asciiTheme="minorHAnsi" w:eastAsiaTheme="minorEastAsia" w:hAnsiTheme="minorHAnsi" w:cstheme="minorBidi"/>
          <w:szCs w:val="22"/>
        </w:rPr>
      </w:pPr>
      <w:r>
        <w:t>4B.</w:t>
      </w:r>
      <w:r>
        <w:tab/>
        <w:t>Nominal duration of courses and units</w:t>
      </w:r>
      <w:r>
        <w:tab/>
      </w:r>
      <w:r>
        <w:fldChar w:fldCharType="begin"/>
      </w:r>
      <w:r>
        <w:instrText xml:space="preserve"> PAGEREF _Toc375145363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Selection and fees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Selection for category A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_Toc375145366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_Toc375145367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_Toc375145368 \h </w:instrText>
      </w:r>
      <w:r>
        <w:fldChar w:fldCharType="separate"/>
      </w:r>
      <w:r>
        <w:t>6</w:t>
      </w:r>
      <w:r>
        <w:fldChar w:fldCharType="end"/>
      </w:r>
    </w:p>
    <w:p>
      <w:pPr>
        <w:pStyle w:val="TOC8"/>
        <w:rPr>
          <w:rFonts w:asciiTheme="minorHAnsi" w:eastAsiaTheme="minorEastAsia" w:hAnsiTheme="minorHAnsi" w:cstheme="minorBidi"/>
          <w:szCs w:val="22"/>
        </w:rPr>
      </w:pPr>
      <w:r>
        <w:t>8.</w:t>
      </w:r>
      <w:r>
        <w:tab/>
        <w:t>Application for selection for course at a college</w:t>
      </w:r>
      <w:r>
        <w:tab/>
      </w:r>
      <w:r>
        <w:fldChar w:fldCharType="begin"/>
      </w:r>
      <w:r>
        <w:instrText xml:space="preserve"> PAGEREF _Toc375145369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_Toc375145370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_Toc375145371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12.</w:t>
      </w:r>
      <w:r>
        <w:tab/>
        <w:t>Course and unit fees</w:t>
      </w:r>
      <w:r>
        <w:tab/>
      </w:r>
      <w:r>
        <w:fldChar w:fldCharType="begin"/>
      </w:r>
      <w:r>
        <w:instrText xml:space="preserve"> PAGEREF _Toc375145373 \h </w:instrText>
      </w:r>
      <w:r>
        <w:fldChar w:fldCharType="separate"/>
      </w:r>
      <w:r>
        <w:t>8</w:t>
      </w:r>
      <w:r>
        <w:fldChar w:fldCharType="end"/>
      </w:r>
    </w:p>
    <w:p>
      <w:pPr>
        <w:pStyle w:val="TOC8"/>
        <w:rPr>
          <w:rFonts w:asciiTheme="minorHAnsi" w:eastAsiaTheme="minorEastAsia" w:hAnsiTheme="minorHAnsi" w:cstheme="minorBidi"/>
          <w:szCs w:val="22"/>
        </w:rPr>
      </w:pPr>
      <w:r>
        <w:t>13A.</w:t>
      </w:r>
      <w:r>
        <w:tab/>
        <w:t>Payment methods for category A course</w:t>
      </w:r>
      <w:r>
        <w:tab/>
      </w:r>
      <w:r>
        <w:fldChar w:fldCharType="begin"/>
      </w:r>
      <w:r>
        <w:instrText xml:space="preserve"> PAGEREF _Toc375145374 \h </w:instrText>
      </w:r>
      <w:r>
        <w:fldChar w:fldCharType="separate"/>
      </w:r>
      <w:r>
        <w:t>8</w:t>
      </w:r>
      <w:r>
        <w:fldChar w:fldCharType="end"/>
      </w:r>
    </w:p>
    <w:p>
      <w:pPr>
        <w:pStyle w:val="TOC8"/>
        <w:rPr>
          <w:rFonts w:asciiTheme="minorHAnsi" w:eastAsiaTheme="minorEastAsia" w:hAnsiTheme="minorHAnsi" w:cstheme="minorBidi"/>
          <w:szCs w:val="22"/>
        </w:rPr>
      </w:pPr>
      <w:r>
        <w:t>13B.</w:t>
      </w:r>
      <w:r>
        <w:tab/>
        <w:t>Course fee for category A course if payment is by semester</w:t>
      </w:r>
      <w:r>
        <w:tab/>
      </w:r>
      <w:r>
        <w:fldChar w:fldCharType="begin"/>
      </w:r>
      <w:r>
        <w:instrText xml:space="preserve"> PAGEREF _Toc375145375 \h </w:instrText>
      </w:r>
      <w:r>
        <w:fldChar w:fldCharType="separate"/>
      </w:r>
      <w:r>
        <w:t>8</w:t>
      </w:r>
      <w:r>
        <w:fldChar w:fldCharType="end"/>
      </w:r>
    </w:p>
    <w:p>
      <w:pPr>
        <w:pStyle w:val="TOC8"/>
        <w:rPr>
          <w:rFonts w:asciiTheme="minorHAnsi" w:eastAsiaTheme="minorEastAsia" w:hAnsiTheme="minorHAnsi" w:cstheme="minorBidi"/>
          <w:szCs w:val="22"/>
        </w:rPr>
      </w:pPr>
      <w:r>
        <w:t>13C.</w:t>
      </w:r>
      <w:r>
        <w:tab/>
        <w:t>Course fee for category A course if payment is for whole of course</w:t>
      </w:r>
      <w:r>
        <w:tab/>
      </w:r>
      <w:r>
        <w:fldChar w:fldCharType="begin"/>
      </w:r>
      <w:r>
        <w:instrText xml:space="preserve"> PAGEREF _Toc375145376 \h </w:instrText>
      </w:r>
      <w:r>
        <w:fldChar w:fldCharType="separate"/>
      </w:r>
      <w:r>
        <w:t>9</w:t>
      </w:r>
      <w:r>
        <w:fldChar w:fldCharType="end"/>
      </w:r>
    </w:p>
    <w:p>
      <w:pPr>
        <w:pStyle w:val="TOC8"/>
        <w:rPr>
          <w:rFonts w:asciiTheme="minorHAnsi" w:eastAsiaTheme="minorEastAsia" w:hAnsiTheme="minorHAnsi" w:cstheme="minorBidi"/>
          <w:szCs w:val="22"/>
        </w:rPr>
      </w:pPr>
      <w:r>
        <w:t>13D.</w:t>
      </w:r>
      <w:r>
        <w:tab/>
        <w:t>Payment for category B and category C courses</w:t>
      </w:r>
      <w:r>
        <w:tab/>
      </w:r>
      <w:r>
        <w:fldChar w:fldCharType="begin"/>
      </w:r>
      <w:r>
        <w:instrText xml:space="preserve"> PAGEREF _Toc375145377 \h </w:instrText>
      </w:r>
      <w:r>
        <w:fldChar w:fldCharType="separate"/>
      </w:r>
      <w:r>
        <w:t>10</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_Toc375145378 \h </w:instrText>
      </w:r>
      <w:r>
        <w:fldChar w:fldCharType="separate"/>
      </w:r>
      <w:r>
        <w:t>10</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_Toc375145379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_Toc375145381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a college</w:t>
      </w:r>
      <w:r>
        <w:tab/>
      </w:r>
      <w:r>
        <w:fldChar w:fldCharType="begin"/>
      </w:r>
      <w:r>
        <w:instrText xml:space="preserve"> PAGEREF _Toc375145383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a college may be refused</w:t>
      </w:r>
      <w:r>
        <w:tab/>
      </w:r>
      <w:r>
        <w:fldChar w:fldCharType="begin"/>
      </w:r>
      <w:r>
        <w:instrText xml:space="preserve"> PAGEREF _Toc375145384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_Toc375145387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may be allowed for category A course if financial hardship</w:t>
      </w:r>
      <w:r>
        <w:tab/>
      </w:r>
      <w:r>
        <w:fldChar w:fldCharType="begin"/>
      </w:r>
      <w:r>
        <w:instrText xml:space="preserve"> PAGEREF _Toc375145388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Other fee relief</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 may be allowed if financial hardship</w:t>
      </w:r>
      <w:r>
        <w:tab/>
      </w:r>
      <w:r>
        <w:fldChar w:fldCharType="begin"/>
      </w:r>
      <w:r>
        <w:instrText xml:space="preserve"> PAGEREF _Toc375145390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_Toc375145391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_Toc375145393 \h </w:instrText>
      </w:r>
      <w:r>
        <w:fldChar w:fldCharType="separate"/>
      </w:r>
      <w:r>
        <w:t>18</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_Toc375145394 \h </w:instrText>
      </w:r>
      <w:r>
        <w:fldChar w:fldCharType="separate"/>
      </w:r>
      <w:r>
        <w:t>19</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_Toc375145395 \h </w:instrText>
      </w:r>
      <w:r>
        <w:fldChar w:fldCharType="separate"/>
      </w:r>
      <w:r>
        <w:t>19</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_Toc375145396 \h </w:instrText>
      </w:r>
      <w:r>
        <w:fldChar w:fldCharType="separate"/>
      </w:r>
      <w:r>
        <w:t>19</w:t>
      </w:r>
      <w:r>
        <w:fldChar w:fldCharType="end"/>
      </w:r>
    </w:p>
    <w:p>
      <w:pPr>
        <w:pStyle w:val="TOC8"/>
        <w:rPr>
          <w:rFonts w:asciiTheme="minorHAnsi" w:eastAsiaTheme="minorEastAsia" w:hAnsiTheme="minorHAnsi" w:cstheme="minorBidi"/>
          <w:szCs w:val="22"/>
        </w:rPr>
      </w:pPr>
      <w:r>
        <w:t>26.</w:t>
      </w:r>
      <w:r>
        <w:tab/>
        <w:t>Pro rata refund of fees for category A units etc. if withdrawal after allowed period</w:t>
      </w:r>
      <w:r>
        <w:tab/>
      </w:r>
      <w:r>
        <w:fldChar w:fldCharType="begin"/>
      </w:r>
      <w:r>
        <w:instrText xml:space="preserve"> PAGEREF _Toc375145397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_Toc375145399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_Toc375145400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_Toc375145401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_Toc375145402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_Toc375145403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_Toc375145406 \h </w:instrText>
      </w:r>
      <w:r>
        <w:fldChar w:fldCharType="separate"/>
      </w:r>
      <w:r>
        <w:t>23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_Toc375145407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 w:name="_Toc375145354"/>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5145355"/>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3" w:name="_Toc375145356"/>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4" w:name="_Toc375145357"/>
      <w:r>
        <w:rPr>
          <w:rStyle w:val="CharSectno"/>
        </w:rPr>
        <w:t>3</w:t>
      </w:r>
      <w:r>
        <w:rPr>
          <w:snapToGrid w:val="0"/>
        </w:rPr>
        <w:t>.</w:t>
      </w:r>
      <w:r>
        <w:rPr>
          <w:snapToGrid w:val="0"/>
        </w:rPr>
        <w:tab/>
        <w:t>Terms used</w:t>
      </w:r>
      <w:bookmarkEnd w:id="4"/>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assessment of skills and competency</w:t>
      </w:r>
      <w:r>
        <w:t xml:space="preserve"> means an assessment of whether a person who has not undertaken or successfully completed a unit nevertheless has the skills and competency required for successful completion of the unit;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 18 Dec 2009 p. 5172.]</w:t>
      </w:r>
    </w:p>
    <w:p>
      <w:pPr>
        <w:pStyle w:val="Heading2"/>
      </w:pPr>
      <w:bookmarkStart w:id="5" w:name="_Toc375145358"/>
      <w:r>
        <w:rPr>
          <w:rStyle w:val="CharPartNo"/>
        </w:rPr>
        <w:t>Part 2A</w:t>
      </w:r>
      <w:r>
        <w:rPr>
          <w:b w:val="0"/>
        </w:rPr>
        <w:t> </w:t>
      </w:r>
      <w:r>
        <w:t>—</w:t>
      </w:r>
      <w:r>
        <w:rPr>
          <w:b w:val="0"/>
        </w:rPr>
        <w:t> </w:t>
      </w:r>
      <w:r>
        <w:rPr>
          <w:rStyle w:val="CharPartText"/>
        </w:rPr>
        <w:t>Management of colleges</w:t>
      </w:r>
      <w:bookmarkEnd w:id="5"/>
    </w:p>
    <w:p>
      <w:pPr>
        <w:pStyle w:val="Footnoteheading"/>
      </w:pPr>
      <w:r>
        <w:tab/>
        <w:t>[Heading inserted in Gazette 22 May 2009 p. 1694.]</w:t>
      </w:r>
    </w:p>
    <w:p>
      <w:pPr>
        <w:pStyle w:val="Heading5"/>
      </w:pPr>
      <w:bookmarkStart w:id="6" w:name="_Toc375145359"/>
      <w:r>
        <w:rPr>
          <w:rStyle w:val="CharSectno"/>
        </w:rPr>
        <w:t>3A</w:t>
      </w:r>
      <w:r>
        <w:t>.</w:t>
      </w:r>
      <w:r>
        <w:tab/>
        <w:t>Period prescribed for strategic plans (Act s. 43(1))</w:t>
      </w:r>
      <w:bookmarkEnd w:id="6"/>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7" w:name="_Toc375145360"/>
      <w:r>
        <w:rPr>
          <w:rStyle w:val="CharPartNo"/>
        </w:rPr>
        <w:t>Part 2</w:t>
      </w:r>
      <w:r>
        <w:rPr>
          <w:rStyle w:val="CharDivNo"/>
        </w:rPr>
        <w:t> </w:t>
      </w:r>
      <w:r>
        <w:t>—</w:t>
      </w:r>
      <w:r>
        <w:rPr>
          <w:rStyle w:val="CharDivText"/>
        </w:rPr>
        <w:t> </w:t>
      </w:r>
      <w:r>
        <w:rPr>
          <w:rStyle w:val="CharPartText"/>
        </w:rPr>
        <w:t>Classification of courses and units</w:t>
      </w:r>
      <w:bookmarkEnd w:id="7"/>
    </w:p>
    <w:p>
      <w:pPr>
        <w:pStyle w:val="Footnoteheading"/>
      </w:pPr>
      <w:r>
        <w:tab/>
        <w:t>[Heading amended in Gazette 9 Nov 2007 p. 5606.]</w:t>
      </w:r>
    </w:p>
    <w:p>
      <w:pPr>
        <w:pStyle w:val="Heading5"/>
        <w:rPr>
          <w:snapToGrid w:val="0"/>
        </w:rPr>
      </w:pPr>
      <w:bookmarkStart w:id="8" w:name="_Toc375145361"/>
      <w:r>
        <w:rPr>
          <w:rStyle w:val="CharSectno"/>
        </w:rPr>
        <w:t>4</w:t>
      </w:r>
      <w:r>
        <w:rPr>
          <w:snapToGrid w:val="0"/>
        </w:rPr>
        <w:t>.</w:t>
      </w:r>
      <w:r>
        <w:rPr>
          <w:snapToGrid w:val="0"/>
        </w:rPr>
        <w:tab/>
        <w:t>Classification of courses</w:t>
      </w:r>
      <w:bookmarkEnd w:id="8"/>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 xml:space="preserve">category C is to consist of courses that the Minister determines are intended for persons engaged, or seeking to be engaged, in small business </w:t>
      </w:r>
      <w:r>
        <w:t>undertakings.</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p>
    <w:p>
      <w:pPr>
        <w:pStyle w:val="Heading5"/>
      </w:pPr>
      <w:bookmarkStart w:id="9" w:name="_Toc375145362"/>
      <w:r>
        <w:rPr>
          <w:rStyle w:val="CharSectno"/>
        </w:rPr>
        <w:t>4A</w:t>
      </w:r>
      <w:r>
        <w:t>.</w:t>
      </w:r>
      <w:r>
        <w:tab/>
        <w:t>Classification of units</w:t>
      </w:r>
      <w:bookmarkEnd w:id="9"/>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10" w:name="_Toc375145363"/>
      <w:r>
        <w:rPr>
          <w:rStyle w:val="CharSectno"/>
        </w:rPr>
        <w:t>4B</w:t>
      </w:r>
      <w:r>
        <w:t>.</w:t>
      </w:r>
      <w:r>
        <w:tab/>
        <w:t>Nominal duration of courses and units</w:t>
      </w:r>
      <w:bookmarkEnd w:id="10"/>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4B inserted in Gazette 22 May 2009 p. 1694.]</w:t>
      </w:r>
    </w:p>
    <w:p>
      <w:pPr>
        <w:pStyle w:val="Heading2"/>
      </w:pPr>
      <w:bookmarkStart w:id="11" w:name="_Toc375145364"/>
      <w:r>
        <w:rPr>
          <w:rStyle w:val="CharPartNo"/>
        </w:rPr>
        <w:t>Part 3</w:t>
      </w:r>
      <w:r>
        <w:t> — </w:t>
      </w:r>
      <w:r>
        <w:rPr>
          <w:rStyle w:val="CharPartText"/>
        </w:rPr>
        <w:t>Selection and fees</w:t>
      </w:r>
      <w:bookmarkEnd w:id="11"/>
    </w:p>
    <w:p>
      <w:pPr>
        <w:pStyle w:val="Heading3"/>
      </w:pPr>
      <w:bookmarkStart w:id="12" w:name="_Toc375145365"/>
      <w:r>
        <w:rPr>
          <w:rStyle w:val="CharDivNo"/>
        </w:rPr>
        <w:t>Division 1</w:t>
      </w:r>
      <w:r>
        <w:rPr>
          <w:snapToGrid w:val="0"/>
        </w:rPr>
        <w:t> — </w:t>
      </w:r>
      <w:r>
        <w:rPr>
          <w:rStyle w:val="CharDivText"/>
        </w:rPr>
        <w:t>Selection for category A courses, and fees</w:t>
      </w:r>
      <w:bookmarkEnd w:id="12"/>
    </w:p>
    <w:p>
      <w:pPr>
        <w:pStyle w:val="Heading5"/>
        <w:rPr>
          <w:snapToGrid w:val="0"/>
        </w:rPr>
      </w:pPr>
      <w:bookmarkStart w:id="13" w:name="_Toc375145366"/>
      <w:r>
        <w:rPr>
          <w:rStyle w:val="CharSectno"/>
        </w:rPr>
        <w:t>5</w:t>
      </w:r>
      <w:r>
        <w:rPr>
          <w:snapToGrid w:val="0"/>
        </w:rPr>
        <w:t>.</w:t>
      </w:r>
      <w:r>
        <w:rPr>
          <w:snapToGrid w:val="0"/>
        </w:rPr>
        <w:tab/>
        <w:t>Terms used</w:t>
      </w:r>
      <w:bookmarkEnd w:id="13"/>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4" w:name="_Toc375145367"/>
      <w:r>
        <w:rPr>
          <w:rStyle w:val="CharSectno"/>
        </w:rPr>
        <w:t>6</w:t>
      </w:r>
      <w:r>
        <w:rPr>
          <w:snapToGrid w:val="0"/>
        </w:rPr>
        <w:t>.</w:t>
      </w:r>
      <w:r>
        <w:rPr>
          <w:snapToGrid w:val="0"/>
        </w:rPr>
        <w:tab/>
        <w:t>Application of this Division</w:t>
      </w:r>
      <w:bookmarkEnd w:id="14"/>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5" w:name="_Toc375145368"/>
      <w:r>
        <w:rPr>
          <w:rStyle w:val="CharSectno"/>
        </w:rPr>
        <w:t>7</w:t>
      </w:r>
      <w:r>
        <w:rPr>
          <w:snapToGrid w:val="0"/>
        </w:rPr>
        <w:t>.</w:t>
      </w:r>
      <w:r>
        <w:rPr>
          <w:snapToGrid w:val="0"/>
        </w:rPr>
        <w:tab/>
        <w:t>Admissions Manager, designation and functions of</w:t>
      </w:r>
      <w:bookmarkEnd w:id="15"/>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r>
        <w:tab/>
        <w:t>[Regulation 7 amended in Gazette 9 Nov 2007 p. 5607.]</w:t>
      </w:r>
    </w:p>
    <w:p>
      <w:pPr>
        <w:pStyle w:val="Heading5"/>
      </w:pPr>
      <w:bookmarkStart w:id="16" w:name="_Toc375145369"/>
      <w:r>
        <w:rPr>
          <w:rStyle w:val="CharSectno"/>
        </w:rPr>
        <w:t>8</w:t>
      </w:r>
      <w:r>
        <w:t>.</w:t>
      </w:r>
      <w:r>
        <w:tab/>
        <w:t>Application for selection for course at a college</w:t>
      </w:r>
      <w:bookmarkEnd w:id="1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7" w:name="_Toc375145370"/>
      <w:r>
        <w:rPr>
          <w:rStyle w:val="CharSectno"/>
        </w:rPr>
        <w:t>9</w:t>
      </w:r>
      <w:r>
        <w:rPr>
          <w:snapToGrid w:val="0"/>
        </w:rPr>
        <w:t>.</w:t>
      </w:r>
      <w:r>
        <w:rPr>
          <w:snapToGrid w:val="0"/>
        </w:rPr>
        <w:tab/>
        <w:t>Late applications</w:t>
      </w:r>
      <w:bookmarkEnd w:id="17"/>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8" w:name="_Toc375145371"/>
      <w:r>
        <w:rPr>
          <w:rStyle w:val="CharSectno"/>
        </w:rPr>
        <w:t>10</w:t>
      </w:r>
      <w:r>
        <w:rPr>
          <w:snapToGrid w:val="0"/>
        </w:rPr>
        <w:t>.</w:t>
      </w:r>
      <w:r>
        <w:rPr>
          <w:snapToGrid w:val="0"/>
        </w:rPr>
        <w:tab/>
        <w:t>Assessing applicant on basis of experience, fee for</w:t>
      </w:r>
      <w:bookmarkEnd w:id="18"/>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pPr>
      <w:r>
        <w:tab/>
        <w:t>[Regulation 10 amended in Gazette 9 Nov 2007 p. 5607.]</w:t>
      </w:r>
    </w:p>
    <w:p>
      <w:pPr>
        <w:pStyle w:val="Ednotesection"/>
      </w:pPr>
      <w:r>
        <w:t>[</w:t>
      </w:r>
      <w:r>
        <w:rPr>
          <w:b/>
          <w:bCs/>
        </w:rPr>
        <w:t>11.</w:t>
      </w:r>
      <w:r>
        <w:tab/>
        <w:t>Deleted in Gazette 9 Nov 2007 p. 5608.]</w:t>
      </w:r>
    </w:p>
    <w:p>
      <w:pPr>
        <w:pStyle w:val="Heading3"/>
        <w:keepLines/>
      </w:pPr>
      <w:bookmarkStart w:id="19" w:name="_Toc375145372"/>
      <w:r>
        <w:rPr>
          <w:rStyle w:val="CharDivNo"/>
        </w:rPr>
        <w:t>Division 2</w:t>
      </w:r>
      <w:r>
        <w:t> — </w:t>
      </w:r>
      <w:r>
        <w:rPr>
          <w:rStyle w:val="CharDivText"/>
        </w:rPr>
        <w:t>Course fees</w:t>
      </w:r>
      <w:bookmarkEnd w:id="19"/>
    </w:p>
    <w:p>
      <w:pPr>
        <w:pStyle w:val="Footnoteheading"/>
        <w:keepNext/>
        <w:keepLines/>
      </w:pPr>
      <w:r>
        <w:tab/>
        <w:t>[Heading inserted in Gazette 23 Dec 2005 p. 6247.]</w:t>
      </w:r>
    </w:p>
    <w:p>
      <w:pPr>
        <w:pStyle w:val="Heading5"/>
        <w:spacing w:before="160"/>
      </w:pPr>
      <w:bookmarkStart w:id="20" w:name="_Toc375145373"/>
      <w:r>
        <w:rPr>
          <w:rStyle w:val="CharSectno"/>
        </w:rPr>
        <w:t>12</w:t>
      </w:r>
      <w:r>
        <w:t>.</w:t>
      </w:r>
      <w:r>
        <w:tab/>
        <w:t>Course and unit fees</w:t>
      </w:r>
      <w:bookmarkEnd w:id="20"/>
    </w:p>
    <w:p>
      <w:pPr>
        <w:pStyle w:val="Subsection"/>
        <w:spacing w:before="100"/>
      </w:pPr>
      <w:r>
        <w:tab/>
        <w:t>(1)</w:t>
      </w:r>
      <w:r>
        <w:tab/>
        <w:t>Subject to regulations 13, 14 and 15A the course fee for a course is as follows —</w:t>
      </w:r>
    </w:p>
    <w:p>
      <w:pPr>
        <w:pStyle w:val="Indenta"/>
      </w:pPr>
      <w:r>
        <w:tab/>
        <w:t>(a)</w:t>
      </w:r>
      <w:r>
        <w:tab/>
        <w:t>for a category A course — the fee determined in accordance with regulation 13B(1) or 13C(2);</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Subsection"/>
        <w:spacing w:before="100"/>
      </w:pPr>
      <w:r>
        <w:tab/>
        <w:t>(2)</w:t>
      </w:r>
      <w:r>
        <w:tab/>
        <w:t>The unit fee for a unit that is a component of a category A course is the fee determined in accordance with Schedule 1 item 2.</w:t>
      </w:r>
    </w:p>
    <w:p>
      <w:pPr>
        <w:pStyle w:val="Footnotesection"/>
      </w:pPr>
      <w:r>
        <w:tab/>
        <w:t>[Regulation 12 inserted in Gazette 23 Dec 2005 p. 6247-8; amended in Gazette 9 Nov 2007 p. 5608; 21 Nov 2008 p. 4921; 31 Dec 2008 p. 5681; 26 Jun 2009 p. 2566; 18 Dec 2009 p. 5173; 19 Jan 2010 p. 141-2.]</w:t>
      </w:r>
    </w:p>
    <w:p>
      <w:pPr>
        <w:pStyle w:val="Heading5"/>
        <w:spacing w:before="160"/>
      </w:pPr>
      <w:bookmarkStart w:id="21" w:name="_Toc375145374"/>
      <w:r>
        <w:rPr>
          <w:rStyle w:val="CharSectno"/>
        </w:rPr>
        <w:t>13A</w:t>
      </w:r>
      <w:r>
        <w:t>.</w:t>
      </w:r>
      <w:r>
        <w:tab/>
        <w:t>Payment methods for category A course</w:t>
      </w:r>
      <w:bookmarkEnd w:id="21"/>
    </w:p>
    <w:p>
      <w:pPr>
        <w:pStyle w:val="Subsection"/>
        <w:spacing w:before="100"/>
      </w:pPr>
      <w:r>
        <w:tab/>
      </w:r>
      <w:r>
        <w:tab/>
        <w:t xml:space="preserve">The course fee for a category A course may be paid — </w:t>
      </w:r>
    </w:p>
    <w:p>
      <w:pPr>
        <w:pStyle w:val="Indenta"/>
      </w:pPr>
      <w:r>
        <w:tab/>
        <w:t>(a)</w:t>
      </w:r>
      <w:r>
        <w:tab/>
        <w:t>by semester; or</w:t>
      </w:r>
    </w:p>
    <w:p>
      <w:pPr>
        <w:pStyle w:val="Indenta"/>
      </w:pPr>
      <w:r>
        <w:tab/>
        <w:t>(b)</w:t>
      </w:r>
      <w:r>
        <w:tab/>
        <w:t>by paying the whole course fee by instalments.</w:t>
      </w:r>
    </w:p>
    <w:p>
      <w:pPr>
        <w:pStyle w:val="Footnotesection"/>
      </w:pPr>
      <w:r>
        <w:tab/>
        <w:t>[Regulation 13A inserted in Gazette 19 Jan 2010 p. 142.]</w:t>
      </w:r>
    </w:p>
    <w:p>
      <w:pPr>
        <w:pStyle w:val="Heading5"/>
        <w:spacing w:before="160"/>
      </w:pPr>
      <w:bookmarkStart w:id="22" w:name="_Toc375145375"/>
      <w:r>
        <w:rPr>
          <w:rStyle w:val="CharSectno"/>
        </w:rPr>
        <w:t>13B</w:t>
      </w:r>
      <w:r>
        <w:t>.</w:t>
      </w:r>
      <w:r>
        <w:tab/>
        <w:t>Course fee for category A course if payment is by semester</w:t>
      </w:r>
      <w:bookmarkEnd w:id="22"/>
    </w:p>
    <w:p>
      <w:pPr>
        <w:pStyle w:val="Subsection"/>
        <w:spacing w:before="100"/>
      </w:pPr>
      <w:r>
        <w:tab/>
        <w:t>(1)</w:t>
      </w:r>
      <w:r>
        <w:tab/>
        <w:t xml:space="preserve">The course fee for a category A course for a person who pays by semester is the sum of the unit fees payable at the time the person enrols in a unit for each unit that is a component of the course. </w:t>
      </w:r>
    </w:p>
    <w:p>
      <w:pPr>
        <w:pStyle w:val="Subsection"/>
        <w:spacing w:before="100"/>
      </w:pPr>
      <w:r>
        <w:tab/>
        <w:t>(2)</w:t>
      </w:r>
      <w:r>
        <w:tab/>
        <w:t>Subject to subregulation (3), the amount of the course fee payable for a semester by a person enrolled for a category A course who pays by semester is the sum of the unit fees payable for each unit that the person is enrolled in for the semester.</w:t>
      </w:r>
    </w:p>
    <w:p>
      <w:pPr>
        <w:pStyle w:val="Subsection"/>
      </w:pPr>
      <w:r>
        <w:tab/>
        <w:t>(3)</w:t>
      </w:r>
      <w:r>
        <w:tab/>
        <w:t xml:space="preserve">The maximum amount of the course fee payable by a person for a semester is — </w:t>
      </w:r>
    </w:p>
    <w:p>
      <w:pPr>
        <w:pStyle w:val="Indenta"/>
      </w:pPr>
      <w:r>
        <w:tab/>
        <w:t>(a)</w:t>
      </w:r>
      <w:r>
        <w:tab/>
        <w:t>if the person is a concessional student — $313;</w:t>
      </w:r>
    </w:p>
    <w:p>
      <w:pPr>
        <w:pStyle w:val="Indenta"/>
      </w:pPr>
      <w:r>
        <w:tab/>
        <w:t>(b)</w:t>
      </w:r>
      <w:r>
        <w:tab/>
        <w:t>if the person is not a concessional student — $626.</w:t>
      </w:r>
    </w:p>
    <w:p>
      <w:pPr>
        <w:pStyle w:val="Subsection"/>
      </w:pPr>
      <w:r>
        <w:tab/>
        <w:t>(4)</w:t>
      </w:r>
      <w:r>
        <w:tab/>
        <w:t>The course fee payable by a person enrolled for a category A course who pays by semester is due before the commencement of study in the semester.</w:t>
      </w:r>
    </w:p>
    <w:p>
      <w:pPr>
        <w:pStyle w:val="Footnotesection"/>
      </w:pPr>
      <w:r>
        <w:tab/>
        <w:t>[Regulation 13B inserted in Gazette 19 Jan 2010 p. 142; amended in Gazette 26 Nov 2010 p. 5956-7; 27 Oct 2011 p. 4558; 12 Oct 2012 p. 4853.]</w:t>
      </w:r>
    </w:p>
    <w:p>
      <w:pPr>
        <w:pStyle w:val="Heading5"/>
      </w:pPr>
      <w:bookmarkStart w:id="23" w:name="_Toc375145376"/>
      <w:r>
        <w:rPr>
          <w:rStyle w:val="CharSectno"/>
        </w:rPr>
        <w:t>13C</w:t>
      </w:r>
      <w:r>
        <w:t>.</w:t>
      </w:r>
      <w:r>
        <w:tab/>
        <w:t>Course fee for category A course if payment is for whole of course</w:t>
      </w:r>
      <w:bookmarkEnd w:id="23"/>
    </w:p>
    <w:p>
      <w:pPr>
        <w:pStyle w:val="Subsection"/>
      </w:pPr>
      <w:r>
        <w:tab/>
        <w:t>(1)</w:t>
      </w:r>
      <w:r>
        <w:tab/>
        <w:t xml:space="preserve">In this regulation — </w:t>
      </w:r>
    </w:p>
    <w:p>
      <w:pPr>
        <w:pStyle w:val="Defstart"/>
      </w:pPr>
      <w:r>
        <w:tab/>
      </w:r>
      <w:r>
        <w:rPr>
          <w:rStyle w:val="CharDefText"/>
        </w:rPr>
        <w:t>payment plan</w:t>
      </w:r>
      <w:r>
        <w:t xml:space="preserve"> means a plan determined by the college at which a person is enrolled for the payment of the whole course fee by instalments.</w:t>
      </w:r>
    </w:p>
    <w:p>
      <w:pPr>
        <w:pStyle w:val="Subsection"/>
      </w:pPr>
      <w:r>
        <w:tab/>
        <w:t>(2)</w:t>
      </w:r>
      <w:r>
        <w:tab/>
        <w:t xml:space="preserve">The course fee for a category A course for a person who pays the whole course fee by instalments is the sum of — </w:t>
      </w:r>
    </w:p>
    <w:p>
      <w:pPr>
        <w:pStyle w:val="Indenta"/>
      </w:pPr>
      <w:r>
        <w:tab/>
        <w:t>(a)</w:t>
      </w:r>
      <w:r>
        <w:tab/>
        <w:t>the unit fees payable at the time the person enrols in the course for each unit that is a component of the course; and</w:t>
      </w:r>
    </w:p>
    <w:p>
      <w:pPr>
        <w:pStyle w:val="Indenta"/>
      </w:pPr>
      <w:r>
        <w:tab/>
        <w:t>(b)</w:t>
      </w:r>
      <w:r>
        <w:tab/>
        <w:t>if the person repeats a unit — the unit fee payable for that unit at the time the person enrols to repeat the unit.</w:t>
      </w:r>
    </w:p>
    <w:p>
      <w:pPr>
        <w:pStyle w:val="Subsection"/>
      </w:pPr>
      <w:r>
        <w:tab/>
        <w:t>(3)</w:t>
      </w:r>
      <w:r>
        <w:tab/>
        <w:t>Subject to subregulations (4) and (5), a person who pays the whole course fee by instalment for a category A course is to make payments in accordance with a payment plan provided to the person by the college at which the person is enrolled.</w:t>
      </w:r>
    </w:p>
    <w:p>
      <w:pPr>
        <w:pStyle w:val="Subsection"/>
      </w:pPr>
      <w:r>
        <w:tab/>
        <w:t>(4)</w:t>
      </w:r>
      <w:r>
        <w:tab/>
        <w:t xml:space="preserve">The maximum amount of the course fee payable in any period of 6 months by a person who pays the whole course fee by instalments is — </w:t>
      </w:r>
    </w:p>
    <w:p>
      <w:pPr>
        <w:pStyle w:val="Indenta"/>
      </w:pPr>
      <w:r>
        <w:tab/>
        <w:t>(a)</w:t>
      </w:r>
      <w:r>
        <w:tab/>
        <w:t>if the person is a concessional student — $313;</w:t>
      </w:r>
    </w:p>
    <w:p>
      <w:pPr>
        <w:pStyle w:val="Indenta"/>
      </w:pPr>
      <w:r>
        <w:tab/>
        <w:t>(b)</w:t>
      </w:r>
      <w:r>
        <w:tab/>
        <w:t>if the person is not a concessional student — $626.</w:t>
      </w:r>
    </w:p>
    <w:p>
      <w:pPr>
        <w:pStyle w:val="Subsection"/>
      </w:pPr>
      <w:r>
        <w:tab/>
        <w:t>(5)</w:t>
      </w:r>
      <w:r>
        <w:tab/>
        <w:t xml:space="preserve">A person is not required to make a payment under a payment plan if the person has withdrawn from the course before the payment becomes due. </w:t>
      </w:r>
    </w:p>
    <w:p>
      <w:pPr>
        <w:pStyle w:val="Subsection"/>
      </w:pPr>
      <w:r>
        <w:tab/>
        <w:t>(6)</w:t>
      </w:r>
      <w:r>
        <w:tab/>
        <w:t xml:space="preserve">The governing council of a college may cancel the enrolment of a person if — </w:t>
      </w:r>
    </w:p>
    <w:p>
      <w:pPr>
        <w:pStyle w:val="Indenta"/>
      </w:pPr>
      <w:r>
        <w:tab/>
        <w:t>(a)</w:t>
      </w:r>
      <w:r>
        <w:tab/>
        <w:t>the person fails to make a payment in accordance with a payment plan when it becomes due; and</w:t>
      </w:r>
    </w:p>
    <w:p>
      <w:pPr>
        <w:pStyle w:val="Indenta"/>
      </w:pPr>
      <w:r>
        <w:tab/>
        <w:t>(b)</w:t>
      </w:r>
      <w:r>
        <w:tab/>
        <w:t>the council has given the person 21 days written notice of its intention to cancel the enrolment; and</w:t>
      </w:r>
    </w:p>
    <w:p>
      <w:pPr>
        <w:pStyle w:val="Indenta"/>
      </w:pPr>
      <w:r>
        <w:tab/>
        <w:t>(c)</w:t>
      </w:r>
      <w:r>
        <w:tab/>
        <w:t>the payment remains unpaid at the expiry of those 21 days.</w:t>
      </w:r>
    </w:p>
    <w:p>
      <w:pPr>
        <w:pStyle w:val="Subsection"/>
      </w:pPr>
      <w:r>
        <w:tab/>
        <w:t>(7)</w:t>
      </w:r>
      <w:r>
        <w:tab/>
        <w:t>If a person fails to make a payment in accordance with a payment plan when it becomes due, the governing council of the college may recover the amount in a court of competent jurisdiction as a debt due to the college.</w:t>
      </w:r>
    </w:p>
    <w:p>
      <w:pPr>
        <w:pStyle w:val="Footnotesection"/>
      </w:pPr>
      <w:r>
        <w:tab/>
        <w:t>[Regulation 13C inserted in Gazette 19 Jan 2010 p. 143; amended in Gazette 26 Nov 2010 p. 5957; 27 Oct 2011 p. 4558; 12 Oct 2012 p. 4853.]</w:t>
      </w:r>
    </w:p>
    <w:p>
      <w:pPr>
        <w:pStyle w:val="Heading5"/>
      </w:pPr>
      <w:bookmarkStart w:id="24" w:name="_Toc375145377"/>
      <w:r>
        <w:rPr>
          <w:rStyle w:val="CharSectno"/>
        </w:rPr>
        <w:t>13D</w:t>
      </w:r>
      <w:r>
        <w:t>.</w:t>
      </w:r>
      <w:r>
        <w:tab/>
        <w:t>Payment for category B and category C courses</w:t>
      </w:r>
      <w:bookmarkEnd w:id="24"/>
    </w:p>
    <w:p>
      <w:pPr>
        <w:pStyle w:val="Subsection"/>
      </w:pPr>
      <w:r>
        <w:tab/>
      </w:r>
      <w:r>
        <w:tab/>
        <w:t>A person enrolled for a category B or category C course is to pay the course fee at the time the person enrols for the course.</w:t>
      </w:r>
    </w:p>
    <w:p>
      <w:pPr>
        <w:pStyle w:val="Footnotesection"/>
      </w:pPr>
      <w:r>
        <w:tab/>
        <w:t>[Regulation 13D inserted in Gazette 19 Jan 2010 p. 144.]</w:t>
      </w:r>
    </w:p>
    <w:p>
      <w:pPr>
        <w:pStyle w:val="Heading5"/>
      </w:pPr>
      <w:bookmarkStart w:id="25" w:name="_Toc375145378"/>
      <w:r>
        <w:rPr>
          <w:rStyle w:val="CharSectno"/>
        </w:rPr>
        <w:t>13</w:t>
      </w:r>
      <w:r>
        <w:t>.</w:t>
      </w:r>
      <w:r>
        <w:tab/>
        <w:t>Courses exempt from course fees</w:t>
      </w:r>
      <w:bookmarkEnd w:id="25"/>
    </w:p>
    <w:p>
      <w:pPr>
        <w:pStyle w:val="Subsection"/>
      </w:pPr>
      <w:r>
        <w:tab/>
        <w:t>(1)</w:t>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Subsection"/>
        <w:keepNext/>
      </w:pPr>
      <w:r>
        <w:tab/>
        <w:t>(2)</w:t>
      </w:r>
      <w:r>
        <w:tab/>
        <w:t xml:space="preserve">No course fee is payable by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 inserted in Gazette 31 Dec 2008 p. 5682; amended in Gazette 18 Dec 2009 p. 5173.]</w:t>
      </w:r>
    </w:p>
    <w:p>
      <w:pPr>
        <w:pStyle w:val="Ednotesection"/>
        <w:spacing w:before="180"/>
        <w:ind w:left="890" w:hanging="890"/>
      </w:pPr>
      <w:r>
        <w:t>[</w:t>
      </w:r>
      <w:r>
        <w:rPr>
          <w:b/>
          <w:bCs/>
        </w:rPr>
        <w:t>14.</w:t>
      </w:r>
      <w:r>
        <w:rPr>
          <w:b/>
          <w:bCs/>
        </w:rPr>
        <w:tab/>
      </w:r>
      <w:r>
        <w:t>Deleted in Gazette 12 Oct 2012 p. 4853.]</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6" w:name="_Toc375145379"/>
      <w:r>
        <w:rPr>
          <w:rStyle w:val="CharSectno"/>
        </w:rPr>
        <w:t>15A</w:t>
      </w:r>
      <w:r>
        <w:t>.</w:t>
      </w:r>
      <w:r>
        <w:tab/>
        <w:t>Course fees for overseas students</w:t>
      </w:r>
      <w:bookmarkEnd w:id="26"/>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college provides the course;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keepNext/>
        <w:spacing w:before="120"/>
      </w:pPr>
      <w:r>
        <w:tab/>
        <w:t>(4)</w:t>
      </w:r>
      <w:r>
        <w:tab/>
        <w:t>In this regulation —</w:t>
      </w:r>
    </w:p>
    <w:p>
      <w:pPr>
        <w:pStyle w:val="Defstart"/>
        <w:keepNex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[Regulation 15A inserted in Gazette 13 Apr 1999 p. 1547</w:t>
      </w:r>
      <w:r>
        <w:noBreakHyphen/>
        <w:t>8; amended in Gazette 5 Nov 1999 p. 5635; 8 Oct 2002 p. 5097; 23 Dec 2005 p. 6248; 30 May 2008 p. 2068-9; 27 Oct 2011 p. 4558.]</w:t>
      </w:r>
    </w:p>
    <w:p>
      <w:pPr>
        <w:pStyle w:val="Heading3"/>
        <w:spacing w:before="120"/>
      </w:pPr>
      <w:bookmarkStart w:id="27" w:name="_Toc375145380"/>
      <w:r>
        <w:rPr>
          <w:rStyle w:val="CharDivNo"/>
        </w:rPr>
        <w:t>Division 3</w:t>
      </w:r>
      <w:r>
        <w:rPr>
          <w:snapToGrid w:val="0"/>
        </w:rPr>
        <w:t> — </w:t>
      </w:r>
      <w:r>
        <w:rPr>
          <w:rStyle w:val="CharDivText"/>
        </w:rPr>
        <w:t>Other fees</w:t>
      </w:r>
      <w:bookmarkEnd w:id="27"/>
    </w:p>
    <w:p>
      <w:pPr>
        <w:pStyle w:val="Heading5"/>
        <w:spacing w:before="120"/>
        <w:rPr>
          <w:snapToGrid w:val="0"/>
        </w:rPr>
      </w:pPr>
      <w:bookmarkStart w:id="28" w:name="_Toc375145381"/>
      <w:r>
        <w:rPr>
          <w:rStyle w:val="CharSectno"/>
        </w:rPr>
        <w:t>16</w:t>
      </w:r>
      <w:r>
        <w:rPr>
          <w:snapToGrid w:val="0"/>
        </w:rPr>
        <w:t>.</w:t>
      </w:r>
      <w:r>
        <w:rPr>
          <w:snapToGrid w:val="0"/>
        </w:rPr>
        <w:tab/>
        <w:t>Colleges may determine other fees</w:t>
      </w:r>
      <w:bookmarkEnd w:id="28"/>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9" w:name="_Toc375145382"/>
      <w:r>
        <w:rPr>
          <w:rStyle w:val="CharPartNo"/>
        </w:rPr>
        <w:t>Part 4</w:t>
      </w:r>
      <w:r>
        <w:rPr>
          <w:rStyle w:val="CharDivNo"/>
        </w:rPr>
        <w:t> </w:t>
      </w:r>
      <w:r>
        <w:t>—</w:t>
      </w:r>
      <w:r>
        <w:rPr>
          <w:rStyle w:val="CharDivText"/>
        </w:rPr>
        <w:t> </w:t>
      </w:r>
      <w:r>
        <w:rPr>
          <w:rStyle w:val="CharPartText"/>
        </w:rPr>
        <w:t>Enrolment</w:t>
      </w:r>
      <w:bookmarkEnd w:id="29"/>
    </w:p>
    <w:p>
      <w:pPr>
        <w:pStyle w:val="Heading5"/>
        <w:spacing w:before="120"/>
        <w:rPr>
          <w:snapToGrid w:val="0"/>
        </w:rPr>
      </w:pPr>
      <w:bookmarkStart w:id="30" w:name="_Toc375145383"/>
      <w:r>
        <w:rPr>
          <w:rStyle w:val="CharSectno"/>
        </w:rPr>
        <w:t>17</w:t>
      </w:r>
      <w:r>
        <w:rPr>
          <w:snapToGrid w:val="0"/>
        </w:rPr>
        <w:t>.</w:t>
      </w:r>
      <w:r>
        <w:rPr>
          <w:snapToGrid w:val="0"/>
        </w:rPr>
        <w:tab/>
        <w:t>Enrolment as student at a college</w:t>
      </w:r>
      <w:bookmarkEnd w:id="30"/>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a course with the college; and</w:t>
      </w:r>
    </w:p>
    <w:p>
      <w:pPr>
        <w:pStyle w:val="Indenta"/>
      </w:pPr>
      <w:r>
        <w:tab/>
        <w:t>(b)</w:t>
      </w:r>
      <w:r>
        <w:tab/>
        <w:t xml:space="preserve">subject to regulations 22 and 23, he or she pays — </w:t>
      </w:r>
    </w:p>
    <w:p>
      <w:pPr>
        <w:pStyle w:val="Indenti"/>
      </w:pPr>
      <w:r>
        <w:tab/>
        <w:t>(i)</w:t>
      </w:r>
      <w:r>
        <w:tab/>
        <w:t>any amount payable in respect of the course fee for the course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p>
    <w:p>
      <w:pPr>
        <w:pStyle w:val="Heading5"/>
        <w:rPr>
          <w:snapToGrid w:val="0"/>
        </w:rPr>
      </w:pPr>
      <w:bookmarkStart w:id="31" w:name="_Toc375145384"/>
      <w:r>
        <w:rPr>
          <w:rStyle w:val="CharSectno"/>
        </w:rPr>
        <w:t>18</w:t>
      </w:r>
      <w:r>
        <w:rPr>
          <w:snapToGrid w:val="0"/>
        </w:rPr>
        <w:t>.</w:t>
      </w:r>
      <w:r>
        <w:rPr>
          <w:snapToGrid w:val="0"/>
        </w:rPr>
        <w:tab/>
        <w:t>When enrolment at a college may be refused</w:t>
      </w:r>
      <w:bookmarkEnd w:id="31"/>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r>
        <w:t>[</w:t>
      </w:r>
      <w:r>
        <w:rPr>
          <w:b/>
          <w:bCs/>
        </w:rPr>
        <w:t>19.</w:t>
      </w:r>
      <w:r>
        <w:tab/>
        <w:t>Deleted in Gazette 9 Nov 2007 p. 5608.]</w:t>
      </w:r>
    </w:p>
    <w:p>
      <w:pPr>
        <w:pStyle w:val="Heading2"/>
      </w:pPr>
      <w:bookmarkStart w:id="32" w:name="_Toc375145385"/>
      <w:r>
        <w:rPr>
          <w:rStyle w:val="CharPartNo"/>
        </w:rPr>
        <w:t>Part 5</w:t>
      </w:r>
      <w:r>
        <w:rPr>
          <w:b w:val="0"/>
        </w:rPr>
        <w:t> </w:t>
      </w:r>
      <w:r>
        <w:t>—</w:t>
      </w:r>
      <w:r>
        <w:rPr>
          <w:b w:val="0"/>
        </w:rPr>
        <w:t> </w:t>
      </w:r>
      <w:r>
        <w:rPr>
          <w:rStyle w:val="CharPartText"/>
        </w:rPr>
        <w:t>Fee concessions, exemptions and refunds</w:t>
      </w:r>
      <w:bookmarkEnd w:id="32"/>
    </w:p>
    <w:p>
      <w:pPr>
        <w:pStyle w:val="Footnoteheading"/>
      </w:pPr>
      <w:r>
        <w:tab/>
        <w:t>[Heading inserted in Gazette 18 Dec 2009 p. 5174.]</w:t>
      </w:r>
    </w:p>
    <w:p>
      <w:pPr>
        <w:pStyle w:val="Heading3"/>
      </w:pPr>
      <w:bookmarkStart w:id="33" w:name="_Toc375145386"/>
      <w:r>
        <w:rPr>
          <w:rStyle w:val="CharDivNo"/>
        </w:rPr>
        <w:t>Division 1</w:t>
      </w:r>
      <w:r>
        <w:rPr>
          <w:snapToGrid w:val="0"/>
        </w:rPr>
        <w:t> — </w:t>
      </w:r>
      <w:r>
        <w:rPr>
          <w:rStyle w:val="CharDivText"/>
        </w:rPr>
        <w:t>Concessional rates of fees</w:t>
      </w:r>
      <w:bookmarkEnd w:id="33"/>
    </w:p>
    <w:p>
      <w:pPr>
        <w:pStyle w:val="Heading5"/>
        <w:rPr>
          <w:snapToGrid w:val="0"/>
        </w:rPr>
      </w:pPr>
      <w:bookmarkStart w:id="34" w:name="_Toc375145387"/>
      <w:r>
        <w:rPr>
          <w:rStyle w:val="CharSectno"/>
        </w:rPr>
        <w:t>20</w:t>
      </w:r>
      <w:r>
        <w:rPr>
          <w:snapToGrid w:val="0"/>
        </w:rPr>
        <w:t>.</w:t>
      </w:r>
      <w:r>
        <w:rPr>
          <w:snapToGrid w:val="0"/>
        </w:rPr>
        <w:tab/>
        <w:t>Persons entitled to concessional rate of course fee</w:t>
      </w:r>
      <w:bookmarkEnd w:id="3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p>
    <w:p>
      <w:pPr>
        <w:pStyle w:val="Heading5"/>
        <w:rPr>
          <w:snapToGrid w:val="0"/>
        </w:rPr>
      </w:pPr>
      <w:bookmarkStart w:id="35" w:name="_Toc375145388"/>
      <w:r>
        <w:rPr>
          <w:rStyle w:val="CharSectno"/>
        </w:rPr>
        <w:t>21</w:t>
      </w:r>
      <w:r>
        <w:rPr>
          <w:snapToGrid w:val="0"/>
        </w:rPr>
        <w:t>.</w:t>
      </w:r>
      <w:r>
        <w:rPr>
          <w:snapToGrid w:val="0"/>
        </w:rPr>
        <w:tab/>
        <w:t>Concessional rate may be allowed for category A course if financial hardship</w:t>
      </w:r>
      <w:bookmarkEnd w:id="35"/>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36" w:name="_Toc375145389"/>
      <w:r>
        <w:rPr>
          <w:rStyle w:val="CharDivNo"/>
        </w:rPr>
        <w:t>Division 2</w:t>
      </w:r>
      <w:r>
        <w:rPr>
          <w:snapToGrid w:val="0"/>
        </w:rPr>
        <w:t> — </w:t>
      </w:r>
      <w:r>
        <w:rPr>
          <w:rStyle w:val="CharDivText"/>
        </w:rPr>
        <w:t>Other fee relief</w:t>
      </w:r>
      <w:bookmarkEnd w:id="36"/>
    </w:p>
    <w:p>
      <w:pPr>
        <w:pStyle w:val="Heading5"/>
        <w:rPr>
          <w:snapToGrid w:val="0"/>
        </w:rPr>
      </w:pPr>
      <w:bookmarkStart w:id="37" w:name="_Toc375145390"/>
      <w:r>
        <w:rPr>
          <w:rStyle w:val="CharSectno"/>
        </w:rPr>
        <w:t>22</w:t>
      </w:r>
      <w:r>
        <w:rPr>
          <w:snapToGrid w:val="0"/>
        </w:rPr>
        <w:t>.</w:t>
      </w:r>
      <w:r>
        <w:rPr>
          <w:snapToGrid w:val="0"/>
        </w:rPr>
        <w:tab/>
        <w:t>Payment of certain fees by instalments may be allowed if financial hardship</w:t>
      </w:r>
      <w:bookmarkEnd w:id="37"/>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38" w:name="_Toc375145391"/>
      <w:r>
        <w:rPr>
          <w:rStyle w:val="CharSectno"/>
        </w:rPr>
        <w:t>23</w:t>
      </w:r>
      <w:r>
        <w:rPr>
          <w:snapToGrid w:val="0"/>
        </w:rPr>
        <w:t>.</w:t>
      </w:r>
      <w:r>
        <w:rPr>
          <w:snapToGrid w:val="0"/>
        </w:rPr>
        <w:tab/>
        <w:t>Exemption from fees if severe financial hardship</w:t>
      </w:r>
      <w:bookmarkEnd w:id="38"/>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3"/>
      </w:pPr>
      <w:bookmarkStart w:id="39" w:name="_Toc375145392"/>
      <w:r>
        <w:rPr>
          <w:rStyle w:val="CharDivNo"/>
        </w:rPr>
        <w:t>Division 3</w:t>
      </w:r>
      <w:r>
        <w:t> — </w:t>
      </w:r>
      <w:r>
        <w:rPr>
          <w:rStyle w:val="CharDivText"/>
        </w:rPr>
        <w:t>Refund of fees</w:t>
      </w:r>
      <w:bookmarkEnd w:id="39"/>
    </w:p>
    <w:p>
      <w:pPr>
        <w:pStyle w:val="Footnoteheading"/>
      </w:pPr>
      <w:r>
        <w:tab/>
        <w:t>[Heading inserted in Gazette 19 Jan 2010 p. 144.]</w:t>
      </w:r>
    </w:p>
    <w:p>
      <w:pPr>
        <w:pStyle w:val="Heading5"/>
      </w:pPr>
      <w:bookmarkStart w:id="40" w:name="_Toc375145393"/>
      <w:r>
        <w:rPr>
          <w:rStyle w:val="CharSectno"/>
        </w:rPr>
        <w:t>24A</w:t>
      </w:r>
      <w:r>
        <w:t>.</w:t>
      </w:r>
      <w:r>
        <w:tab/>
        <w:t>Terms used</w:t>
      </w:r>
      <w:bookmarkEnd w:id="40"/>
    </w:p>
    <w:p>
      <w:pPr>
        <w:pStyle w:val="Subsection"/>
      </w:pPr>
      <w:r>
        <w:tab/>
      </w:r>
      <w:r>
        <w:tab/>
        <w:t xml:space="preserve">In this Division — </w:t>
      </w:r>
    </w:p>
    <w:p>
      <w:pPr>
        <w:pStyle w:val="Defstart"/>
      </w:pPr>
      <w:r>
        <w:tab/>
      </w:r>
      <w:r>
        <w:rPr>
          <w:rStyle w:val="CharDefText"/>
        </w:rPr>
        <w:t>payment period</w:t>
      </w:r>
      <w:r>
        <w:t xml:space="preserve">, in relation to the payment of the whole course fee by instalments for a category A course, means a period of 6 months commencing on the date the payment is due under the payment plan; </w:t>
      </w:r>
    </w:p>
    <w:p>
      <w:pPr>
        <w:pStyle w:val="Defstart"/>
      </w:pPr>
      <w:r>
        <w:tab/>
      </w:r>
      <w:r>
        <w:rPr>
          <w:rStyle w:val="CharDefText"/>
        </w:rPr>
        <w:t>pro rata refund</w:t>
      </w:r>
      <w:r>
        <w:t xml:space="preserve"> means — </w:t>
      </w:r>
    </w:p>
    <w:p>
      <w:pPr>
        <w:pStyle w:val="Defpara"/>
      </w:pPr>
      <w:r>
        <w:tab/>
        <w:t>(a)</w:t>
      </w:r>
      <w:r>
        <w:tab/>
        <w:t>for a category A unit where fees are paid by semester — a refund of the same proportion of the fee paid by a person for the unit as the proportion of the unit that had not been delivered at the time the person withdrew from the unit;</w:t>
      </w:r>
    </w:p>
    <w:p>
      <w:pPr>
        <w:pStyle w:val="Defpara"/>
      </w:pPr>
      <w:r>
        <w:tab/>
        <w:t>(b)</w:t>
      </w:r>
      <w:r>
        <w:tab/>
        <w:t>for a category A course where the whole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144-5.]</w:t>
      </w:r>
    </w:p>
    <w:p>
      <w:pPr>
        <w:pStyle w:val="Heading5"/>
      </w:pPr>
      <w:bookmarkStart w:id="41" w:name="_Toc375145394"/>
      <w:r>
        <w:rPr>
          <w:rStyle w:val="CharSectno"/>
        </w:rPr>
        <w:t>24B</w:t>
      </w:r>
      <w:r>
        <w:t>.</w:t>
      </w:r>
      <w:r>
        <w:tab/>
        <w:t>Withdrawing from course or unit, manner of</w:t>
      </w:r>
      <w:bookmarkEnd w:id="41"/>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42" w:name="_Toc375145395"/>
      <w:r>
        <w:rPr>
          <w:rStyle w:val="CharSectno"/>
        </w:rPr>
        <w:t>24</w:t>
      </w:r>
      <w:r>
        <w:t>.</w:t>
      </w:r>
      <w:r>
        <w:tab/>
        <w:t>Refund of fees on cancellation etc. of course or unit</w:t>
      </w:r>
      <w:bookmarkEnd w:id="42"/>
    </w:p>
    <w:p>
      <w:pPr>
        <w:pStyle w:val="Subsection"/>
      </w:pPr>
      <w:r>
        <w:tab/>
      </w:r>
      <w:r>
        <w:tab/>
        <w:t xml:space="preserve">A person enrolled for a course or a unit that is a component of a course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w:t>
      </w:r>
    </w:p>
    <w:p>
      <w:pPr>
        <w:pStyle w:val="Heading5"/>
      </w:pPr>
      <w:bookmarkStart w:id="43" w:name="_Toc375145396"/>
      <w:r>
        <w:rPr>
          <w:rStyle w:val="CharSectno"/>
        </w:rPr>
        <w:t>25</w:t>
      </w:r>
      <w:r>
        <w:t>.</w:t>
      </w:r>
      <w:r>
        <w:tab/>
        <w:t>Full refund of certain fees if withdrawal within allowed period</w:t>
      </w:r>
      <w:bookmarkEnd w:id="43"/>
    </w:p>
    <w:p>
      <w:pPr>
        <w:pStyle w:val="Subsection"/>
      </w:pPr>
      <w:r>
        <w:tab/>
        <w:t>(1)</w:t>
      </w:r>
      <w:r>
        <w:tab/>
        <w:t>A person enrolled for a course or for a unit that is a component of a course is entitled to a full refund of all fees paid in respect of a semester or a payment period for that course or unit if within the allowed period the person withdraws from the course.</w:t>
      </w:r>
    </w:p>
    <w:p>
      <w:pPr>
        <w:pStyle w:val="Subsection"/>
      </w:pPr>
      <w:r>
        <w:tab/>
        <w:t>(2)</w:t>
      </w:r>
      <w:r>
        <w:tab/>
        <w:t xml:space="preserve">For the purpose of subregulation (1) the allowed period is the period ending — </w:t>
      </w:r>
    </w:p>
    <w:p>
      <w:pPr>
        <w:pStyle w:val="Indenta"/>
      </w:pPr>
      <w:r>
        <w:tab/>
        <w:t>(a)</w:t>
      </w:r>
      <w:r>
        <w:tab/>
        <w:t>4 weeks after the commencement of delivery of the course or the unit in that semester or payment period; or</w:t>
      </w:r>
    </w:p>
    <w:p>
      <w:pPr>
        <w:pStyle w:val="Indenta"/>
      </w:pPr>
      <w:r>
        <w:tab/>
        <w:t>(b)</w:t>
      </w:r>
      <w:r>
        <w:tab/>
        <w:t>when 25% of the course or unit has been delivered in that semester or payment period,</w:t>
      </w:r>
    </w:p>
    <w:p>
      <w:pPr>
        <w:pStyle w:val="Subsection"/>
      </w:pPr>
      <w:r>
        <w:tab/>
      </w:r>
      <w:r>
        <w:tab/>
        <w:t>whichever is the sooner.</w:t>
      </w:r>
    </w:p>
    <w:p>
      <w:pPr>
        <w:pStyle w:val="Footnotesection"/>
      </w:pPr>
      <w:r>
        <w:tab/>
        <w:t>[Regulation 25 inserted in Gazette 19 Jan 2010 p. 145.]</w:t>
      </w:r>
    </w:p>
    <w:p>
      <w:pPr>
        <w:pStyle w:val="Heading5"/>
      </w:pPr>
      <w:bookmarkStart w:id="44" w:name="_Toc375145397"/>
      <w:r>
        <w:rPr>
          <w:rStyle w:val="CharSectno"/>
        </w:rPr>
        <w:t>26</w:t>
      </w:r>
      <w:r>
        <w:t>.</w:t>
      </w:r>
      <w:r>
        <w:tab/>
        <w:t>Pro rata refund of fees for category A units etc. if withdrawal after allowed period</w:t>
      </w:r>
      <w:bookmarkEnd w:id="44"/>
    </w:p>
    <w:p>
      <w:pPr>
        <w:pStyle w:val="Subsection"/>
      </w:pPr>
      <w:r>
        <w:tab/>
        <w:t>(1)</w:t>
      </w:r>
      <w:r>
        <w:tab/>
        <w:t xml:space="preserve">A person enrolled for a category A unit who pays fees by semester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category A course who pays the whole course fee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course;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w:t>
      </w:r>
    </w:p>
    <w:p>
      <w:pPr>
        <w:pStyle w:val="Ednotesection"/>
      </w:pPr>
      <w:r>
        <w:t>[</w:t>
      </w:r>
      <w:r>
        <w:rPr>
          <w:b/>
          <w:bCs/>
        </w:rPr>
        <w:t>26A.</w:t>
      </w:r>
      <w:r>
        <w:tab/>
        <w:t>Deleted in Gazette 18 Dec 2009 p. 5174.]</w:t>
      </w:r>
    </w:p>
    <w:p>
      <w:pPr>
        <w:pStyle w:val="Heading2"/>
      </w:pPr>
      <w:bookmarkStart w:id="45" w:name="_Toc375145398"/>
      <w:r>
        <w:rPr>
          <w:rStyle w:val="CharPartNo"/>
        </w:rPr>
        <w:t>Part 6</w:t>
      </w:r>
      <w:r>
        <w:rPr>
          <w:rStyle w:val="CharDivNo"/>
        </w:rPr>
        <w:t> </w:t>
      </w:r>
      <w:r>
        <w:t>—</w:t>
      </w:r>
      <w:r>
        <w:rPr>
          <w:rStyle w:val="CharDivText"/>
        </w:rPr>
        <w:t> </w:t>
      </w:r>
      <w:r>
        <w:rPr>
          <w:rStyle w:val="CharPartText"/>
        </w:rPr>
        <w:t>Common seals of colleges</w:t>
      </w:r>
      <w:bookmarkEnd w:id="45"/>
    </w:p>
    <w:p>
      <w:pPr>
        <w:pStyle w:val="Heading5"/>
        <w:spacing w:before="180"/>
        <w:rPr>
          <w:snapToGrid w:val="0"/>
        </w:rPr>
      </w:pPr>
      <w:bookmarkStart w:id="46" w:name="_Toc375145399"/>
      <w:r>
        <w:rPr>
          <w:rStyle w:val="CharSectno"/>
        </w:rPr>
        <w:t>27</w:t>
      </w:r>
      <w:r>
        <w:rPr>
          <w:snapToGrid w:val="0"/>
        </w:rPr>
        <w:t>.</w:t>
      </w:r>
      <w:r>
        <w:rPr>
          <w:snapToGrid w:val="0"/>
        </w:rPr>
        <w:tab/>
        <w:t>Form</w:t>
      </w:r>
      <w:bookmarkEnd w:id="4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47" w:name="_Toc375145400"/>
      <w:r>
        <w:rPr>
          <w:rStyle w:val="CharSectno"/>
        </w:rPr>
        <w:t>28</w:t>
      </w:r>
      <w:r>
        <w:rPr>
          <w:snapToGrid w:val="0"/>
        </w:rPr>
        <w:t>.</w:t>
      </w:r>
      <w:r>
        <w:rPr>
          <w:snapToGrid w:val="0"/>
        </w:rPr>
        <w:tab/>
        <w:t>Custody</w:t>
      </w:r>
      <w:bookmarkEnd w:id="4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48" w:name="_Toc375145401"/>
      <w:r>
        <w:rPr>
          <w:rStyle w:val="CharSectno"/>
        </w:rPr>
        <w:t>29</w:t>
      </w:r>
      <w:r>
        <w:rPr>
          <w:snapToGrid w:val="0"/>
        </w:rPr>
        <w:t>.</w:t>
      </w:r>
      <w:r>
        <w:rPr>
          <w:snapToGrid w:val="0"/>
        </w:rPr>
        <w:tab/>
        <w:t>Use</w:t>
      </w:r>
      <w:bookmarkEnd w:id="4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49" w:name="_Toc375145402"/>
      <w:r>
        <w:rPr>
          <w:rStyle w:val="CharSectno"/>
        </w:rPr>
        <w:t>30</w:t>
      </w:r>
      <w:r>
        <w:rPr>
          <w:snapToGrid w:val="0"/>
        </w:rPr>
        <w:t>.</w:t>
      </w:r>
      <w:r>
        <w:rPr>
          <w:snapToGrid w:val="0"/>
        </w:rPr>
        <w:tab/>
        <w:t>Attestation</w:t>
      </w:r>
      <w:bookmarkEnd w:id="4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50" w:name="_Toc375145403"/>
      <w:r>
        <w:rPr>
          <w:rStyle w:val="CharSectno"/>
        </w:rPr>
        <w:t>31</w:t>
      </w:r>
      <w:r>
        <w:rPr>
          <w:snapToGrid w:val="0"/>
        </w:rPr>
        <w:t>.</w:t>
      </w:r>
      <w:r>
        <w:rPr>
          <w:snapToGrid w:val="0"/>
        </w:rPr>
        <w:tab/>
        <w:t>Seal book</w:t>
      </w:r>
      <w:bookmarkEnd w:id="5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1" w:name="_Toc375145404"/>
      <w:r>
        <w:rPr>
          <w:rStyle w:val="CharSchNo"/>
        </w:rPr>
        <w:t>Schedule 1</w:t>
      </w:r>
      <w:r>
        <w:rPr>
          <w:rStyle w:val="CharSDivNo"/>
        </w:rPr>
        <w:t> </w:t>
      </w:r>
      <w:r>
        <w:t>—</w:t>
      </w:r>
      <w:r>
        <w:rPr>
          <w:rStyle w:val="CharSDivText"/>
        </w:rPr>
        <w:t> </w:t>
      </w:r>
      <w:r>
        <w:rPr>
          <w:rStyle w:val="CharSchText"/>
        </w:rPr>
        <w:t>Fees</w:t>
      </w:r>
      <w:bookmarkEnd w:id="51"/>
    </w:p>
    <w:p>
      <w:pPr>
        <w:pStyle w:val="yShoulderClause"/>
      </w:pPr>
      <w:r>
        <w:t>[r. 9 and 12]</w:t>
      </w:r>
    </w:p>
    <w:p>
      <w:pPr>
        <w:pStyle w:val="yFootnoteheading"/>
        <w:spacing w:after="120"/>
      </w:pPr>
      <w:r>
        <w:tab/>
        <w:t>[Heading inserted in Gazette 19 Jan 2010 p. 146.]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9"/>
        <w:gridCol w:w="4985"/>
        <w:gridCol w:w="1114"/>
      </w:tblGrid>
      <w:tr>
        <w:trPr>
          <w:tblHeader/>
        </w:trPr>
        <w:tc>
          <w:tcPr>
            <w:tcW w:w="969"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4985" w:type="dxa"/>
            <w:tcBorders>
              <w:top w:val="single" w:sz="4" w:space="0" w:color="auto"/>
              <w:left w:val="single" w:sz="4" w:space="0" w:color="auto"/>
              <w:bottom w:val="single" w:sz="4" w:space="0" w:color="auto"/>
              <w:right w:val="single" w:sz="4" w:space="0" w:color="auto"/>
            </w:tcBorders>
          </w:tcPr>
          <w:p>
            <w:pPr>
              <w:pStyle w:val="yTableNAm"/>
              <w:rPr>
                <w:b/>
              </w:rPr>
            </w:pPr>
            <w:r>
              <w:rPr>
                <w:b/>
              </w:rPr>
              <w:t>Fee for</w:t>
            </w:r>
          </w:p>
        </w:tc>
        <w:tc>
          <w:tcPr>
            <w:tcW w:w="1114" w:type="dxa"/>
            <w:tcBorders>
              <w:top w:val="single" w:sz="4" w:space="0" w:color="auto"/>
              <w:left w:val="single" w:sz="4" w:space="0" w:color="auto"/>
              <w:bottom w:val="single" w:sz="4" w:space="0" w:color="auto"/>
              <w:right w:val="single" w:sz="4" w:space="0" w:color="auto"/>
            </w:tcBorders>
          </w:tcPr>
          <w:p>
            <w:pPr>
              <w:pStyle w:val="yTableNAm"/>
              <w:rPr>
                <w:b/>
              </w:rPr>
            </w:pPr>
            <w:r>
              <w:rPr>
                <w:b/>
              </w:rPr>
              <w:t>Fee ($)</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1.</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760"/>
              </w:tabs>
            </w:pPr>
            <w:r>
              <w:t xml:space="preserve">Late application (r. 9(2))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75.00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2.</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990"/>
              </w:tabs>
            </w:pPr>
            <w:r>
              <w:t xml:space="preserve">Unit fee for unit that is a component of a category A course (r. 12(2)) — </w:t>
            </w:r>
          </w:p>
        </w:tc>
        <w:tc>
          <w:tcPr>
            <w:tcW w:w="1114" w:type="dxa"/>
            <w:tcBorders>
              <w:top w:val="single" w:sz="4" w:space="0" w:color="auto"/>
              <w:left w:val="single" w:sz="4" w:space="0" w:color="auto"/>
              <w:bottom w:val="single" w:sz="4" w:space="0" w:color="auto"/>
              <w:right w:val="single" w:sz="4" w:space="0" w:color="auto"/>
            </w:tcBorders>
          </w:tcPr>
          <w:p>
            <w:pPr>
              <w:pStyle w:val="yTableNAm"/>
            </w:pPr>
          </w:p>
        </w:tc>
      </w:tr>
      <w:tr>
        <w:tc>
          <w:tcPr>
            <w:tcW w:w="969" w:type="dxa"/>
            <w:tcBorders>
              <w:top w:val="single" w:sz="4" w:space="0" w:color="auto"/>
              <w:left w:val="single" w:sz="4" w:space="0" w:color="auto"/>
              <w:bottom w:val="single" w:sz="4" w:space="0" w:color="auto"/>
              <w:right w:val="single" w:sz="4" w:space="0" w:color="auto"/>
            </w:tcBorders>
          </w:tcPr>
          <w:p>
            <w:pPr>
              <w:pStyle w:val="yTableNAm"/>
            </w:pPr>
          </w:p>
        </w:tc>
        <w:tc>
          <w:tcPr>
            <w:tcW w:w="4985" w:type="dxa"/>
            <w:tcBorders>
              <w:top w:val="single" w:sz="4" w:space="0" w:color="auto"/>
              <w:left w:val="single" w:sz="4" w:space="0" w:color="auto"/>
              <w:bottom w:val="single" w:sz="4" w:space="0" w:color="auto"/>
              <w:right w:val="single" w:sz="4" w:space="0" w:color="auto"/>
            </w:tcBorders>
          </w:tcPr>
          <w:p>
            <w:pPr>
              <w:pStyle w:val="yTableNAm"/>
              <w:ind w:left="567" w:hanging="567"/>
            </w:pPr>
            <w:r>
              <w:t>(a)</w:t>
            </w:r>
            <w:r>
              <w:tab/>
              <w:t>For a person who is not a concessional student and is enrolled to undertake the unit —</w:t>
            </w:r>
          </w:p>
          <w:p>
            <w:pPr>
              <w:pStyle w:val="yTableNAm"/>
              <w:tabs>
                <w:tab w:val="left" w:pos="1070"/>
                <w:tab w:val="left" w:leader="dot" w:pos="4760"/>
              </w:tabs>
            </w:pPr>
            <w:r>
              <w:tab/>
              <w:t>(i)</w:t>
            </w:r>
            <w:r>
              <w:tab/>
              <w:t xml:space="preserve">for a band 1 unit </w:t>
            </w:r>
            <w:r>
              <w:tab/>
            </w:r>
          </w:p>
          <w:p>
            <w:pPr>
              <w:pStyle w:val="yTableNAm"/>
              <w:tabs>
                <w:tab w:val="left" w:pos="1070"/>
                <w:tab w:val="left" w:leader="dot" w:pos="4737"/>
              </w:tabs>
            </w:pPr>
            <w:r>
              <w:tab/>
              <w:t>(ii)</w:t>
            </w:r>
            <w:r>
              <w:tab/>
              <w:t xml:space="preserve">for a band 2 unit </w:t>
            </w:r>
            <w:r>
              <w:tab/>
            </w:r>
          </w:p>
          <w:p>
            <w:pPr>
              <w:pStyle w:val="yTableNAm"/>
              <w:tabs>
                <w:tab w:val="left" w:pos="1070"/>
                <w:tab w:val="left" w:leader="dot" w:pos="4737"/>
              </w:tabs>
            </w:pPr>
            <w:r>
              <w:tab/>
              <w:t>(iii)</w:t>
            </w:r>
            <w:r>
              <w:tab/>
              <w:t xml:space="preserve">for a band 3 unit </w:t>
            </w:r>
            <w:r>
              <w:tab/>
            </w:r>
          </w:p>
          <w:p>
            <w:pPr>
              <w:pStyle w:val="yTableNAm"/>
              <w:tabs>
                <w:tab w:val="left" w:pos="1070"/>
                <w:tab w:val="left" w:leader="dot" w:pos="4737"/>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r>
          </w:p>
          <w:p>
            <w:pPr>
              <w:pStyle w:val="yTableNAm"/>
            </w:pPr>
            <w:r>
              <w:t>16.00</w:t>
            </w:r>
          </w:p>
          <w:p>
            <w:pPr>
              <w:pStyle w:val="yTableNAm"/>
            </w:pPr>
            <w:r>
              <w:rPr>
                <w:szCs w:val="22"/>
              </w:rPr>
              <w:t>36.00</w:t>
            </w:r>
          </w:p>
          <w:p>
            <w:pPr>
              <w:pStyle w:val="yTableNAm"/>
            </w:pPr>
            <w:r>
              <w:rPr>
                <w:szCs w:val="22"/>
              </w:rPr>
              <w:t>68.00</w:t>
            </w:r>
          </w:p>
          <w:p>
            <w:pPr>
              <w:pStyle w:val="yTableNAm"/>
            </w:pPr>
            <w:r>
              <w:rPr>
                <w:szCs w:val="22"/>
              </w:rPr>
              <w:t>132.00</w:t>
            </w:r>
          </w:p>
        </w:tc>
      </w:tr>
      <w:tr>
        <w:tc>
          <w:tcPr>
            <w:tcW w:w="969" w:type="dxa"/>
            <w:tcBorders>
              <w:top w:val="single" w:sz="4" w:space="0" w:color="auto"/>
              <w:left w:val="single" w:sz="4" w:space="0" w:color="auto"/>
              <w:bottom w:val="single" w:sz="4" w:space="0" w:color="auto"/>
              <w:right w:val="single" w:sz="4" w:space="0" w:color="auto"/>
            </w:tcBorders>
          </w:tcPr>
          <w:p>
            <w:pPr>
              <w:pStyle w:val="yTableNAm"/>
              <w:keepNext/>
            </w:pPr>
          </w:p>
        </w:tc>
        <w:tc>
          <w:tcPr>
            <w:tcW w:w="4985" w:type="dxa"/>
            <w:tcBorders>
              <w:top w:val="single" w:sz="4" w:space="0" w:color="auto"/>
              <w:left w:val="single" w:sz="4" w:space="0" w:color="auto"/>
              <w:bottom w:val="single" w:sz="4" w:space="0" w:color="auto"/>
              <w:right w:val="single" w:sz="4" w:space="0" w:color="auto"/>
            </w:tcBorders>
          </w:tcPr>
          <w:p>
            <w:pPr>
              <w:pStyle w:val="yTableNAm"/>
              <w:keepNext/>
              <w:ind w:left="567" w:hanging="567"/>
            </w:pPr>
            <w:r>
              <w:t>(b)</w:t>
            </w:r>
            <w:r>
              <w:tab/>
              <w:t xml:space="preserve">For a person who is a concessional student and is enrolled to undertake the unit — </w:t>
            </w:r>
          </w:p>
          <w:p>
            <w:pPr>
              <w:pStyle w:val="yTableNAm"/>
              <w:tabs>
                <w:tab w:val="left" w:pos="1070"/>
                <w:tab w:val="left" w:leader="dot" w:pos="4769"/>
              </w:tabs>
            </w:pPr>
            <w:r>
              <w:tab/>
              <w:t>(i)</w:t>
            </w:r>
            <w:r>
              <w:tab/>
              <w:t xml:space="preserve">for a band 1 unit </w:t>
            </w:r>
            <w:r>
              <w:tab/>
            </w:r>
          </w:p>
          <w:p>
            <w:pPr>
              <w:pStyle w:val="yTableNAm"/>
              <w:tabs>
                <w:tab w:val="left" w:pos="1070"/>
                <w:tab w:val="left" w:leader="dot" w:pos="4769"/>
              </w:tabs>
            </w:pPr>
            <w:r>
              <w:tab/>
              <w:t>(ii)</w:t>
            </w:r>
            <w:r>
              <w:tab/>
              <w:t xml:space="preserve">for a band 2 unit </w:t>
            </w:r>
            <w:r>
              <w:tab/>
            </w:r>
          </w:p>
          <w:p>
            <w:pPr>
              <w:pStyle w:val="yTableNAm"/>
              <w:tabs>
                <w:tab w:val="left" w:pos="1070"/>
                <w:tab w:val="left" w:leader="dot" w:pos="4769"/>
              </w:tabs>
            </w:pPr>
            <w:r>
              <w:tab/>
              <w:t>(iii)</w:t>
            </w:r>
            <w:r>
              <w:tab/>
              <w:t xml:space="preserve">for a band 3 unit </w:t>
            </w:r>
            <w:r>
              <w:tab/>
            </w:r>
          </w:p>
          <w:p>
            <w:pPr>
              <w:pStyle w:val="yTableNAm"/>
              <w:tabs>
                <w:tab w:val="left" w:pos="1070"/>
                <w:tab w:val="left" w:leader="dot" w:pos="4769"/>
              </w:tabs>
            </w:pPr>
            <w:r>
              <w:tab/>
              <w:t>(iv)</w:t>
            </w:r>
            <w:r>
              <w:tab/>
              <w:t xml:space="preserve">for a band 4 unit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keepNext/>
            </w:pPr>
            <w:r>
              <w:br/>
            </w:r>
          </w:p>
          <w:p>
            <w:pPr>
              <w:pStyle w:val="yTableNAm"/>
              <w:keepNext/>
            </w:pPr>
            <w:r>
              <w:t>8.00</w:t>
            </w:r>
          </w:p>
          <w:p>
            <w:pPr>
              <w:pStyle w:val="yTableNAm"/>
              <w:keepNext/>
            </w:pPr>
            <w:r>
              <w:rPr>
                <w:szCs w:val="22"/>
              </w:rPr>
              <w:t>18.00</w:t>
            </w:r>
          </w:p>
          <w:p>
            <w:pPr>
              <w:pStyle w:val="yTableNAm"/>
              <w:keepNext/>
            </w:pPr>
            <w:r>
              <w:rPr>
                <w:szCs w:val="22"/>
              </w:rPr>
              <w:t>34.00</w:t>
            </w:r>
          </w:p>
          <w:p>
            <w:pPr>
              <w:pStyle w:val="yTableNAm"/>
              <w:keepNext/>
            </w:pPr>
            <w:r>
              <w:rPr>
                <w:szCs w:val="22"/>
              </w:rPr>
              <w:t>66.00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3.</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60"/>
              </w:tabs>
            </w:pPr>
            <w:r>
              <w:t xml:space="preserve">Category B course, per semester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t>25.00</w:t>
            </w:r>
          </w:p>
        </w:tc>
      </w:tr>
      <w:tr>
        <w:tc>
          <w:tcPr>
            <w:tcW w:w="969" w:type="dxa"/>
            <w:tcBorders>
              <w:top w:val="single" w:sz="4" w:space="0" w:color="auto"/>
              <w:left w:val="single" w:sz="4" w:space="0" w:color="auto"/>
              <w:bottom w:val="single" w:sz="4" w:space="0" w:color="auto"/>
              <w:right w:val="single" w:sz="4" w:space="0" w:color="auto"/>
            </w:tcBorders>
          </w:tcPr>
          <w:p>
            <w:pPr>
              <w:pStyle w:val="yTableNAm"/>
            </w:pPr>
            <w:r>
              <w:t>4.</w:t>
            </w:r>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37"/>
                <w:tab w:val="left" w:leader="dot" w:pos="4769"/>
              </w:tabs>
            </w:pPr>
            <w:r>
              <w:t xml:space="preserve">Category C course, per hour or part of an hour, for the course (r. 12(1)) </w:t>
            </w:r>
            <w:r>
              <w:tab/>
            </w:r>
          </w:p>
        </w:tc>
        <w:tc>
          <w:tcPr>
            <w:tcW w:w="1114" w:type="dxa"/>
            <w:tcBorders>
              <w:top w:val="single" w:sz="4" w:space="0" w:color="auto"/>
              <w:left w:val="single" w:sz="4" w:space="0" w:color="auto"/>
              <w:bottom w:val="single" w:sz="4" w:space="0" w:color="auto"/>
              <w:right w:val="single" w:sz="4" w:space="0" w:color="auto"/>
            </w:tcBorders>
          </w:tcPr>
          <w:p>
            <w:pPr>
              <w:pStyle w:val="yTableNAm"/>
            </w:pPr>
            <w:r>
              <w:br/>
              <w:t>4.15</w:t>
            </w:r>
          </w:p>
        </w:tc>
      </w:tr>
    </w:tbl>
    <w:p>
      <w:pPr>
        <w:pStyle w:val="yFootnotesection"/>
      </w:pPr>
      <w:r>
        <w:tab/>
        <w:t>[Schedule 1 amended in Gazette 27 Oct 2011 p. 4558</w:t>
      </w:r>
      <w:r>
        <w:noBreakHyphen/>
        <w:t>9; 12 Oct 2012 p. 4853</w:t>
      </w:r>
      <w:r>
        <w:noBreakHyphen/>
        <w:t>4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2" w:name="_Toc375145405"/>
      <w:r>
        <w:t>Notes</w:t>
      </w:r>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3" w:name="_Toc375145406"/>
      <w:r>
        <w:t>Compilation table</w:t>
      </w:r>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rPr>
              <w:t>r. 1 and 2: 30 May 2008 (see r. 2(a));</w:t>
            </w:r>
            <w:r>
              <w:rPr>
                <w:snapToGrid w:val="0"/>
                <w:sz w:val="19"/>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rPr>
            </w:pPr>
            <w:r>
              <w:rPr>
                <w:snapToGrid w:val="0"/>
                <w:sz w:val="19"/>
              </w:rPr>
              <w:t>r. 1 and 2: 31 Dec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26 Jun 2009 (see r. 2(a));</w:t>
            </w:r>
            <w:r>
              <w:rPr>
                <w:rFonts w:ascii="Times" w:hAnsi="Times"/>
                <w:snapToGrid w:val="0"/>
                <w:sz w:val="19"/>
              </w:rPr>
              <w:br/>
              <w:t>Regulations other than r. 1 and 2: 1 Jul 2009 (see r. 2(b))</w:t>
            </w:r>
          </w:p>
        </w:tc>
      </w:tr>
      <w:tr>
        <w:trPr>
          <w:cantSplit/>
        </w:trPr>
        <w:tc>
          <w:tcPr>
            <w:tcW w:w="7088" w:type="dxa"/>
            <w:gridSpan w:val="3"/>
          </w:tcPr>
          <w:p>
            <w:pPr>
              <w:pStyle w:val="nTable"/>
              <w:spacing w:after="40"/>
              <w:rPr>
                <w:rFonts w:ascii="Times" w:hAnsi="Times"/>
                <w:snapToGrid w:val="0"/>
                <w:sz w:val="19"/>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rPr>
            </w:pPr>
            <w:r>
              <w:rPr>
                <w:rFonts w:ascii="Times" w:hAnsi="Times"/>
                <w:snapToGrid w:val="0"/>
                <w:sz w:val="19"/>
              </w:rPr>
              <w:t>r. 1 and 2: 18 Dec 2009 (see r. 2(a));</w:t>
            </w:r>
            <w:r>
              <w:rPr>
                <w:rFonts w:ascii="Times" w:hAnsi="Times"/>
                <w:snapToGrid w:val="0"/>
                <w:sz w:val="19"/>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rPr>
            </w:pPr>
            <w:r>
              <w:rPr>
                <w:snapToGrid w:val="0"/>
                <w:spacing w:val="-2"/>
                <w:sz w:val="19"/>
              </w:rPr>
              <w:t>r. 1 and 2: 19 Jan 2010 (see r. 2(a));</w:t>
            </w:r>
            <w:r>
              <w:rPr>
                <w:snapToGrid w:val="0"/>
                <w:spacing w:val="-2"/>
                <w:sz w:val="19"/>
              </w:rPr>
              <w:br/>
              <w:t>Regulations other than r. 1 and 2: 20 Jan 2010 (see r. 2(b))</w:t>
            </w:r>
          </w:p>
        </w:tc>
      </w:tr>
      <w:tr>
        <w:trPr>
          <w:cantSplit/>
        </w:trPr>
        <w:tc>
          <w:tcPr>
            <w:tcW w:w="3119"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rPr>
          <w:cantSplit/>
        </w:trPr>
        <w:tc>
          <w:tcPr>
            <w:tcW w:w="3119"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pacing w:val="-2"/>
                <w:sz w:val="19"/>
              </w:rPr>
            </w:pPr>
            <w:r>
              <w:rPr>
                <w:snapToGrid w:val="0"/>
                <w:spacing w:val="-2"/>
                <w:sz w:val="19"/>
              </w:rPr>
              <w:t>r. 1 and 2: 27 Oct 2011 (see r. 2(a));</w:t>
            </w:r>
            <w:r>
              <w:rPr>
                <w:snapToGrid w:val="0"/>
                <w:spacing w:val="-2"/>
                <w:sz w:val="19"/>
              </w:rPr>
              <w:br/>
              <w:t>Regulations other than r. 1 and 2: 28 Oct 2011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(Colleges) Amendment Regulations (No. 2) 2012</w:t>
            </w:r>
          </w:p>
        </w:tc>
        <w:tc>
          <w:tcPr>
            <w:tcW w:w="1276" w:type="dxa"/>
            <w:tcBorders>
              <w:bottom w:val="single" w:sz="4" w:space="0" w:color="auto"/>
            </w:tcBorders>
          </w:tcPr>
          <w:p>
            <w:pPr>
              <w:pStyle w:val="nTable"/>
              <w:spacing w:after="40"/>
              <w:rPr>
                <w:sz w:val="19"/>
              </w:rPr>
            </w:pPr>
            <w:r>
              <w:rPr>
                <w:sz w:val="19"/>
              </w:rPr>
              <w:t>12 Oct 2012 p. 4852</w:t>
            </w:r>
            <w:r>
              <w:rPr>
                <w:sz w:val="19"/>
              </w:rPr>
              <w:noBreakHyphen/>
              <w:t>4</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12 Oct 2012 (see r. 2(a));</w:t>
            </w:r>
            <w:r>
              <w:rPr>
                <w:snapToGrid w:val="0"/>
                <w:spacing w:val="-2"/>
                <w:sz w:val="19"/>
              </w:rPr>
              <w:br/>
              <w:t>Regulations other than r. 1 and 2: 13 Oct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 w:name="_Toc375145407"/>
      <w:r>
        <w:t>Provisions that have not come into operation</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szCs w:val="19"/>
                <w:vertAlign w:val="superscript"/>
              </w:rPr>
            </w:pPr>
            <w:r>
              <w:rPr>
                <w:i/>
                <w:sz w:val="19"/>
                <w:szCs w:val="19"/>
              </w:rPr>
              <w:t>Vocational Education and Training (Colleges) Amendment Regulations 2013</w:t>
            </w:r>
            <w:r>
              <w:rPr>
                <w:sz w:val="19"/>
                <w:szCs w:val="19"/>
              </w:rPr>
              <w:t xml:space="preserve"> r. 3</w:t>
            </w:r>
            <w:r>
              <w:rPr>
                <w:sz w:val="19"/>
                <w:szCs w:val="19"/>
              </w:rPr>
              <w:noBreakHyphen/>
              <w:t>26 </w:t>
            </w:r>
            <w:r>
              <w:rPr>
                <w:sz w:val="19"/>
                <w:szCs w:val="19"/>
                <w:vertAlign w:val="superscript"/>
              </w:rPr>
              <w:t>7</w:t>
            </w:r>
          </w:p>
        </w:tc>
        <w:tc>
          <w:tcPr>
            <w:tcW w:w="1276" w:type="dxa"/>
            <w:tcBorders>
              <w:top w:val="single" w:sz="8" w:space="0" w:color="auto"/>
              <w:bottom w:val="single" w:sz="4" w:space="0" w:color="auto"/>
            </w:tcBorders>
          </w:tcPr>
          <w:p>
            <w:pPr>
              <w:pStyle w:val="nTable"/>
              <w:spacing w:after="40"/>
              <w:rPr>
                <w:rFonts w:ascii="Arial" w:hAnsi="Arial"/>
                <w:b/>
                <w:sz w:val="19"/>
              </w:rPr>
            </w:pPr>
            <w:r>
              <w:rPr>
                <w:sz w:val="19"/>
              </w:rPr>
              <w:t>17 Dec  2013 p. 6255</w:t>
            </w:r>
            <w:r>
              <w:rPr>
                <w:sz w:val="19"/>
              </w:rPr>
              <w:noBreakHyphen/>
              <w:t>71</w:t>
            </w:r>
          </w:p>
        </w:tc>
        <w:tc>
          <w:tcPr>
            <w:tcW w:w="2693" w:type="dxa"/>
            <w:tcBorders>
              <w:top w:val="single" w:sz="8" w:space="0" w:color="auto"/>
              <w:bottom w:val="single" w:sz="4" w:space="0" w:color="auto"/>
            </w:tcBorders>
          </w:tcPr>
          <w:p>
            <w:pPr>
              <w:pStyle w:val="nTable"/>
              <w:spacing w:after="40"/>
              <w:rPr>
                <w:sz w:val="19"/>
              </w:rPr>
            </w:pPr>
            <w:r>
              <w:rPr>
                <w:sz w:val="19"/>
              </w:rPr>
              <w:t>1 Jan 2014 (see r. 2(b))</w:t>
            </w:r>
          </w:p>
        </w:tc>
      </w:tr>
    </w:tbl>
    <w:p>
      <w:pPr>
        <w:pStyle w:val="nSubsection"/>
        <w:rPr>
          <w:vertAlign w:val="superscript"/>
        </w:rPr>
      </w:pPr>
    </w:p>
    <w:p>
      <w:pPr>
        <w:pStyle w:val="nSubsection"/>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pStyle w:val="nSubsection"/>
        <w:rPr>
          <w:snapToGrid w:val="0"/>
        </w:rPr>
      </w:pPr>
      <w:r>
        <w:rPr>
          <w:snapToGrid w:val="0"/>
          <w:vertAlign w:val="superscript"/>
        </w:rPr>
        <w:t>7</w:t>
      </w:r>
      <w:r>
        <w:rPr>
          <w:snapToGrid w:val="0"/>
        </w:rPr>
        <w:tab/>
        <w:t xml:space="preserve">On the date as at which this compilation was prepared, the </w:t>
      </w:r>
      <w:r>
        <w:rPr>
          <w:i/>
        </w:rPr>
        <w:t>Vocational Education and Training (Colleges) Amendment Regulations 2013</w:t>
      </w:r>
      <w:r>
        <w:t xml:space="preserve"> r. 3</w:t>
      </w:r>
      <w:r>
        <w:noBreakHyphen/>
        <w:t>26</w:t>
      </w:r>
      <w:r>
        <w:rPr>
          <w:snapToGrid w:val="0"/>
        </w:rPr>
        <w:t xml:space="preserve">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Vocational Education and Training (Colleges) Regulations 1996</w:t>
      </w:r>
      <w:r>
        <w:t>.</w:t>
      </w:r>
    </w:p>
    <w:p>
      <w:pPr>
        <w:pStyle w:val="nzHeading5"/>
      </w:pPr>
      <w:r>
        <w:rPr>
          <w:rStyle w:val="CharSectno"/>
        </w:rPr>
        <w:t>4</w:t>
      </w:r>
      <w:r>
        <w:t>.</w:t>
      </w:r>
      <w:r>
        <w:tab/>
        <w:t>Regulation 3 amended</w:t>
      </w:r>
    </w:p>
    <w:p>
      <w:pPr>
        <w:pStyle w:val="nzSubsection"/>
      </w:pPr>
      <w:r>
        <w:tab/>
        <w:t>(1)</w:t>
      </w:r>
      <w:r>
        <w:tab/>
        <w:t>In regulation 3(1) delete the definitions of:</w:t>
      </w:r>
    </w:p>
    <w:p>
      <w:pPr>
        <w:pStyle w:val="DeleteListSub"/>
        <w:ind w:left="1456"/>
        <w:rPr>
          <w:b/>
          <w:i/>
          <w:sz w:val="20"/>
        </w:rPr>
      </w:pPr>
      <w:r>
        <w:rPr>
          <w:b/>
          <w:i/>
          <w:sz w:val="20"/>
        </w:rPr>
        <w:t>Act</w:t>
      </w:r>
    </w:p>
    <w:p>
      <w:pPr>
        <w:pStyle w:val="DeleteListSub"/>
        <w:ind w:left="1456"/>
        <w:rPr>
          <w:b/>
          <w:i/>
          <w:sz w:val="20"/>
        </w:rPr>
      </w:pPr>
      <w:r>
        <w:rPr>
          <w:b/>
          <w:i/>
          <w:sz w:val="20"/>
        </w:rPr>
        <w:t>assessment of skills and competency</w:t>
      </w:r>
    </w:p>
    <w:p>
      <w:pPr>
        <w:pStyle w:val="DeleteListSub"/>
        <w:ind w:left="1456"/>
        <w:rPr>
          <w:b/>
          <w:i/>
          <w:sz w:val="20"/>
        </w:rPr>
      </w:pPr>
      <w:r>
        <w:rPr>
          <w:b/>
          <w:i/>
          <w:sz w:val="20"/>
        </w:rPr>
        <w:t>band</w:t>
      </w:r>
    </w:p>
    <w:p>
      <w:pPr>
        <w:pStyle w:val="DeleteListSub"/>
        <w:ind w:left="1456"/>
        <w:rPr>
          <w:b/>
          <w:i/>
          <w:sz w:val="20"/>
        </w:rPr>
      </w:pPr>
      <w:r>
        <w:rPr>
          <w:b/>
          <w:i/>
          <w:sz w:val="20"/>
        </w:rPr>
        <w:t>Centrelink</w:t>
      </w:r>
    </w:p>
    <w:p>
      <w:pPr>
        <w:pStyle w:val="DeleteListSub"/>
        <w:ind w:left="1456"/>
        <w:rPr>
          <w:b/>
          <w:i/>
        </w:rPr>
      </w:pPr>
      <w:r>
        <w:rPr>
          <w:b/>
          <w:i/>
          <w:sz w:val="20"/>
        </w:rPr>
        <w:t>hours</w:t>
      </w:r>
    </w:p>
    <w:p>
      <w:pPr>
        <w:pStyle w:val="nzSubsection"/>
      </w:pPr>
      <w:r>
        <w:tab/>
        <w:t>(2)</w:t>
      </w:r>
      <w:r>
        <w:tab/>
        <w:t>In regulation 3(1) insert in alphabetical order:</w:t>
      </w:r>
    </w:p>
    <w:p>
      <w:pPr>
        <w:pStyle w:val="BlankOpen"/>
      </w:pPr>
    </w:p>
    <w:p>
      <w:pPr>
        <w:pStyle w:val="nzDefstart"/>
      </w:pPr>
      <w:r>
        <w:tab/>
      </w:r>
      <w:r>
        <w:rPr>
          <w:rStyle w:val="CharDefText"/>
        </w:rPr>
        <w:t>course fee</w:t>
      </w:r>
      <w:r>
        <w:t>, in relation to a person, means the fee to be paid under regulation 17 by the person when enrolling as a student at a college;</w:t>
      </w:r>
    </w:p>
    <w:p>
      <w:pPr>
        <w:pStyle w:val="nzDefstart"/>
      </w:pPr>
      <w:r>
        <w:tab/>
      </w:r>
      <w:r>
        <w:rPr>
          <w:rStyle w:val="CharDefText"/>
        </w:rPr>
        <w:t>hours</w:t>
      </w:r>
      <w:r>
        <w:t xml:space="preserve"> for a unit of a course, means the nominal hours for the unit determined under regulation 3AA;</w:t>
      </w:r>
    </w:p>
    <w:p>
      <w:pPr>
        <w:pStyle w:val="nzDefstart"/>
      </w:pPr>
      <w:r>
        <w:tab/>
      </w:r>
      <w:r>
        <w:rPr>
          <w:rStyle w:val="CharDefText"/>
        </w:rPr>
        <w:t>secondary school aged person</w:t>
      </w:r>
      <w:r>
        <w:t xml:space="preserve"> means a person who has reached 15 years of age but has not reached the end of their compulsory education period, as defined in the </w:t>
      </w:r>
      <w:r>
        <w:rPr>
          <w:i/>
        </w:rPr>
        <w:t>School Education Act 1999</w:t>
      </w:r>
      <w:r>
        <w:t xml:space="preserve"> section 4;</w:t>
      </w:r>
    </w:p>
    <w:p>
      <w:pPr>
        <w:pStyle w:val="BlankClose"/>
      </w:pPr>
    </w:p>
    <w:p>
      <w:pPr>
        <w:pStyle w:val="nzSubsection"/>
      </w:pPr>
      <w:r>
        <w:tab/>
        <w:t>(3)</w:t>
      </w:r>
      <w:r>
        <w:tab/>
        <w:t xml:space="preserve">In regulation 3(1) in the definition of </w:t>
      </w:r>
      <w:r>
        <w:rPr>
          <w:b/>
          <w:i/>
        </w:rPr>
        <w:t>course</w:t>
      </w:r>
      <w:r>
        <w:t xml:space="preserve"> delete “course, whether an approved VET course or not;” and insert:</w:t>
      </w:r>
    </w:p>
    <w:p>
      <w:pPr>
        <w:pStyle w:val="BlankOpen"/>
      </w:pPr>
    </w:p>
    <w:p>
      <w:pPr>
        <w:pStyle w:val="nzSubsection"/>
      </w:pPr>
      <w:r>
        <w:tab/>
      </w:r>
      <w:r>
        <w:tab/>
        <w:t>course;</w:t>
      </w:r>
    </w:p>
    <w:p>
      <w:pPr>
        <w:pStyle w:val="BlankClose"/>
      </w:pPr>
    </w:p>
    <w:p>
      <w:pPr>
        <w:pStyle w:val="nzSubsection"/>
      </w:pPr>
      <w:r>
        <w:tab/>
        <w:t>(4)</w:t>
      </w:r>
      <w:r>
        <w:tab/>
        <w:t>Delete regulation 3(3).</w:t>
      </w:r>
    </w:p>
    <w:p>
      <w:pPr>
        <w:pStyle w:val="nzHeading5"/>
      </w:pPr>
      <w:r>
        <w:rPr>
          <w:rStyle w:val="CharSectno"/>
        </w:rPr>
        <w:t>5</w:t>
      </w:r>
      <w:r>
        <w:t>.</w:t>
      </w:r>
      <w:r>
        <w:tab/>
        <w:t>Regulation 3AA inserted</w:t>
      </w:r>
    </w:p>
    <w:p>
      <w:pPr>
        <w:pStyle w:val="nzSubsection"/>
      </w:pPr>
      <w:r>
        <w:tab/>
      </w:r>
      <w:r>
        <w:tab/>
        <w:t>At the end of Part 1 insert:</w:t>
      </w:r>
    </w:p>
    <w:p>
      <w:pPr>
        <w:pStyle w:val="BlankOpen"/>
      </w:pPr>
    </w:p>
    <w:p>
      <w:pPr>
        <w:pStyle w:val="nzHeading5"/>
      </w:pPr>
      <w:r>
        <w:t>3AA.</w:t>
      </w:r>
      <w:r>
        <w:tab/>
        <w:t>Nominal hours</w:t>
      </w:r>
    </w:p>
    <w:p>
      <w:pPr>
        <w:pStyle w:val="nzSubsection"/>
      </w:pPr>
      <w:r>
        <w:tab/>
        <w:t>(1)</w:t>
      </w:r>
      <w:r>
        <w:tab/>
        <w:t xml:space="preserve">The </w:t>
      </w:r>
      <w:r>
        <w:rPr>
          <w:rStyle w:val="CharDefText"/>
        </w:rPr>
        <w:t>nominal hours</w:t>
      </w:r>
      <w:r>
        <w:t xml:space="preserve"> for a unit of a course means — </w:t>
      </w:r>
    </w:p>
    <w:p>
      <w:pPr>
        <w:pStyle w:val="nz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nz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nz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nz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BlankClose"/>
      </w:pPr>
    </w:p>
    <w:p>
      <w:pPr>
        <w:pStyle w:val="nzHeading5"/>
      </w:pPr>
      <w:r>
        <w:rPr>
          <w:rStyle w:val="CharSectno"/>
        </w:rPr>
        <w:t>6</w:t>
      </w:r>
      <w:r>
        <w:t>.</w:t>
      </w:r>
      <w:r>
        <w:tab/>
        <w:t>Part 2 heading amended</w:t>
      </w:r>
    </w:p>
    <w:p>
      <w:pPr>
        <w:pStyle w:val="nzSubsection"/>
      </w:pPr>
      <w:r>
        <w:tab/>
      </w:r>
      <w:r>
        <w:tab/>
        <w:t>In the heading to Part 2 delete “</w:t>
      </w:r>
      <w:r>
        <w:rPr>
          <w:b/>
          <w:sz w:val="24"/>
          <w:szCs w:val="24"/>
        </w:rPr>
        <w:t>and units</w:t>
      </w:r>
      <w:r>
        <w:t>”.</w:t>
      </w:r>
    </w:p>
    <w:p>
      <w:pPr>
        <w:pStyle w:val="nzHeading5"/>
      </w:pPr>
      <w:r>
        <w:rPr>
          <w:rStyle w:val="CharSectno"/>
        </w:rPr>
        <w:t>7</w:t>
      </w:r>
      <w:r>
        <w:t>.</w:t>
      </w:r>
      <w:r>
        <w:tab/>
        <w:t>Regulation 4 amended</w:t>
      </w:r>
    </w:p>
    <w:p>
      <w:pPr>
        <w:pStyle w:val="nzSubsection"/>
        <w:keepNext/>
      </w:pPr>
      <w:r>
        <w:tab/>
        <w:t>(1)</w:t>
      </w:r>
      <w:r>
        <w:tab/>
        <w:t>Delete regulation 4(2)(a), (b) and (c) and insert:</w:t>
      </w:r>
    </w:p>
    <w:p>
      <w:pPr>
        <w:pStyle w:val="BlankOpen"/>
      </w:pPr>
    </w:p>
    <w:p>
      <w:pPr>
        <w:pStyle w:val="nzIndenta"/>
      </w:pPr>
      <w:r>
        <w:tab/>
        <w:t>(a)</w:t>
      </w:r>
      <w:r>
        <w:tab/>
        <w:t xml:space="preserve">category 1 is to consist of courses that — </w:t>
      </w:r>
    </w:p>
    <w:p>
      <w:pPr>
        <w:pStyle w:val="nzIndenti"/>
      </w:pPr>
      <w:r>
        <w:tab/>
        <w:t>(i)</w:t>
      </w:r>
      <w:r>
        <w:tab/>
        <w:t>are approved VET courses or result in the conferral of a prescribed VET qualification of one of the following types — Diploma or Advanced Diploma; and</w:t>
      </w:r>
    </w:p>
    <w:p>
      <w:pPr>
        <w:pStyle w:val="nzIndenti"/>
      </w:pPr>
      <w:r>
        <w:tab/>
        <w:t>(ii)</w:t>
      </w:r>
      <w:r>
        <w:tab/>
        <w:t>the Minister determines are priorities for industry training, apprenticeships or traineeships or are for general industry training;</w:t>
      </w:r>
    </w:p>
    <w:p>
      <w:pPr>
        <w:pStyle w:val="nzIndenta"/>
      </w:pPr>
      <w:r>
        <w:tab/>
        <w:t>(b)</w:t>
      </w:r>
      <w:r>
        <w:tab/>
        <w:t xml:space="preserve">category 2 is to consist of courses that — </w:t>
      </w:r>
    </w:p>
    <w:p>
      <w:pPr>
        <w:pStyle w:val="nzIndenti"/>
      </w:pPr>
      <w:r>
        <w:tab/>
        <w:t>(i)</w:t>
      </w:r>
      <w:r>
        <w:tab/>
        <w:t>are approved VET courses or result in the conferral of a prescribed VET qualification of one of the following types — Certificate I, II, III or IV; and</w:t>
      </w:r>
    </w:p>
    <w:p>
      <w:pPr>
        <w:pStyle w:val="nzIndenti"/>
      </w:pPr>
      <w:r>
        <w:tab/>
        <w:t>(ii)</w:t>
      </w:r>
      <w:r>
        <w:tab/>
        <w:t>the Minister determines are priorities for industry training, apprenticeships or traineeships;</w:t>
      </w:r>
    </w:p>
    <w:p>
      <w:pPr>
        <w:pStyle w:val="nzIndenta"/>
      </w:pPr>
      <w:r>
        <w:tab/>
        <w:t>(c)</w:t>
      </w:r>
      <w:r>
        <w:tab/>
        <w:t xml:space="preserve">category 3 is to consist of courses that — </w:t>
      </w:r>
    </w:p>
    <w:p>
      <w:pPr>
        <w:pStyle w:val="nzIndenti"/>
      </w:pPr>
      <w:r>
        <w:tab/>
        <w:t>(i)</w:t>
      </w:r>
      <w:r>
        <w:tab/>
        <w:t>are approved VET courses or result in the conferral of a prescribed VET qualification of one of the following types — Certificate I, II, III or IV; and</w:t>
      </w:r>
    </w:p>
    <w:p>
      <w:pPr>
        <w:pStyle w:val="nzIndenti"/>
      </w:pPr>
      <w:r>
        <w:tab/>
        <w:t>(ii)</w:t>
      </w:r>
      <w:r>
        <w:tab/>
        <w:t>the Minister determines are for general industry training;</w:t>
      </w:r>
    </w:p>
    <w:p>
      <w:pPr>
        <w:pStyle w:val="nzIndenta"/>
      </w:pPr>
      <w:r>
        <w:tab/>
        <w:t>(d)</w:t>
      </w:r>
      <w:r>
        <w:tab/>
        <w:t xml:space="preserve">category 4 is to consist of courses that the Minister determines are — </w:t>
      </w:r>
    </w:p>
    <w:p>
      <w:pPr>
        <w:pStyle w:val="nzIndenti"/>
      </w:pPr>
      <w:r>
        <w:tab/>
        <w:t>(i)</w:t>
      </w:r>
      <w:r>
        <w:tab/>
        <w:t>foundation skills training; or</w:t>
      </w:r>
    </w:p>
    <w:p>
      <w:pPr>
        <w:pStyle w:val="nzIndenti"/>
      </w:pPr>
      <w:r>
        <w:tab/>
        <w:t>(ii)</w:t>
      </w:r>
      <w:r>
        <w:tab/>
        <w:t>intended to promote equality of opportunity in gaining access to vocational education and training or employment.</w:t>
      </w:r>
    </w:p>
    <w:p>
      <w:pPr>
        <w:pStyle w:val="BlankClose"/>
      </w:pPr>
    </w:p>
    <w:p>
      <w:pPr>
        <w:pStyle w:val="nzSubsection"/>
      </w:pPr>
      <w:r>
        <w:tab/>
        <w:t>(2)</w:t>
      </w:r>
      <w:r>
        <w:tab/>
        <w:t>After regulation 4(2) insert:</w:t>
      </w:r>
    </w:p>
    <w:p>
      <w:pPr>
        <w:pStyle w:val="BlankOpen"/>
      </w:pPr>
    </w:p>
    <w:p>
      <w:pPr>
        <w:pStyle w:val="nz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BlankClose"/>
      </w:pPr>
    </w:p>
    <w:p>
      <w:pPr>
        <w:pStyle w:val="nzHeading5"/>
      </w:pPr>
      <w:r>
        <w:rPr>
          <w:rStyle w:val="CharSectno"/>
        </w:rPr>
        <w:t>8</w:t>
      </w:r>
      <w:r>
        <w:t>.</w:t>
      </w:r>
      <w:r>
        <w:tab/>
        <w:t>Regulations 4A and 4B deleted</w:t>
      </w:r>
    </w:p>
    <w:p>
      <w:pPr>
        <w:pStyle w:val="nzSubsection"/>
      </w:pPr>
      <w:r>
        <w:tab/>
      </w:r>
      <w:r>
        <w:tab/>
        <w:t>Delete regulations 4A and 4B.</w:t>
      </w:r>
    </w:p>
    <w:p>
      <w:pPr>
        <w:pStyle w:val="nzHeading5"/>
      </w:pPr>
      <w:r>
        <w:rPr>
          <w:rStyle w:val="CharSectno"/>
        </w:rPr>
        <w:t>9</w:t>
      </w:r>
      <w:r>
        <w:t>.</w:t>
      </w:r>
      <w:r>
        <w:tab/>
        <w:t>Part 3 Division 1 heading amended</w:t>
      </w:r>
    </w:p>
    <w:p>
      <w:pPr>
        <w:pStyle w:val="nzSubsection"/>
      </w:pPr>
      <w:r>
        <w:tab/>
      </w:r>
      <w:r>
        <w:tab/>
        <w:t>In the heading to Part 3 Division 1 delete “</w:t>
      </w:r>
      <w:r>
        <w:rPr>
          <w:b/>
          <w:sz w:val="22"/>
          <w:szCs w:val="22"/>
        </w:rPr>
        <w:t>category A</w:t>
      </w:r>
      <w:r>
        <w:t>” and insert:</w:t>
      </w:r>
    </w:p>
    <w:p>
      <w:pPr>
        <w:pStyle w:val="BlankOpen"/>
      </w:pPr>
    </w:p>
    <w:p>
      <w:pPr>
        <w:pStyle w:val="nzSubsection"/>
        <w:rPr>
          <w:sz w:val="22"/>
          <w:szCs w:val="22"/>
        </w:rPr>
      </w:pPr>
      <w:r>
        <w:tab/>
      </w:r>
      <w:r>
        <w:tab/>
      </w:r>
      <w:r>
        <w:rPr>
          <w:b/>
          <w:sz w:val="22"/>
          <w:szCs w:val="22"/>
        </w:rPr>
        <w:t>certain</w:t>
      </w:r>
    </w:p>
    <w:p>
      <w:pPr>
        <w:pStyle w:val="BlankClose"/>
      </w:pPr>
    </w:p>
    <w:p>
      <w:pPr>
        <w:pStyle w:val="nzHeading5"/>
      </w:pPr>
      <w:r>
        <w:rPr>
          <w:rStyle w:val="CharSectno"/>
        </w:rPr>
        <w:t>10</w:t>
      </w:r>
      <w:r>
        <w:t>.</w:t>
      </w:r>
      <w:r>
        <w:tab/>
        <w:t>Regulation 5 amended</w:t>
      </w:r>
    </w:p>
    <w:p>
      <w:pPr>
        <w:pStyle w:val="nzSubsection"/>
      </w:pPr>
      <w:r>
        <w:tab/>
      </w:r>
      <w:r>
        <w:tab/>
        <w:t xml:space="preserve">In regulation 5 delete the definition of </w:t>
      </w:r>
      <w:r>
        <w:rPr>
          <w:b/>
          <w:i/>
        </w:rPr>
        <w:t>course</w:t>
      </w:r>
      <w:r>
        <w:t xml:space="preserve"> and insert:</w:t>
      </w:r>
    </w:p>
    <w:p>
      <w:pPr>
        <w:pStyle w:val="BlankOpen"/>
      </w:pPr>
    </w:p>
    <w:p>
      <w:pPr>
        <w:pStyle w:val="nzDefstart"/>
      </w:pPr>
      <w:r>
        <w:tab/>
      </w:r>
      <w:r>
        <w:rPr>
          <w:rStyle w:val="CharDefText"/>
        </w:rPr>
        <w:t>course</w:t>
      </w:r>
      <w:r>
        <w:t xml:space="preserve"> means — </w:t>
      </w:r>
    </w:p>
    <w:p>
      <w:pPr>
        <w:pStyle w:val="nzDefpara"/>
      </w:pPr>
      <w:r>
        <w:tab/>
        <w:t>(a)</w:t>
      </w:r>
      <w:r>
        <w:tab/>
        <w:t>a category 1, 2 or 3 course; or</w:t>
      </w:r>
    </w:p>
    <w:p>
      <w:pPr>
        <w:pStyle w:val="nzDefpara"/>
      </w:pPr>
      <w:r>
        <w:tab/>
        <w:t>(b)</w:t>
      </w:r>
      <w:r>
        <w:tab/>
        <w:t>in relation to an eligible student who, under regulation 13A is to pay the course fee for a category A course for 2014 under the transitional fee arrangements, that category A course.</w:t>
      </w:r>
    </w:p>
    <w:p>
      <w:pPr>
        <w:pStyle w:val="BlankClose"/>
        <w:rPr>
          <w:rStyle w:val="DraftersNotes"/>
        </w:rPr>
      </w:pPr>
    </w:p>
    <w:p>
      <w:pPr>
        <w:pStyle w:val="nzHeading5"/>
      </w:pPr>
      <w:r>
        <w:rPr>
          <w:rStyle w:val="CharSectno"/>
        </w:rPr>
        <w:t>11</w:t>
      </w:r>
      <w:r>
        <w:t>.</w:t>
      </w:r>
      <w:r>
        <w:tab/>
        <w:t>Regulation 7 amended</w:t>
      </w:r>
    </w:p>
    <w:p>
      <w:pPr>
        <w:pStyle w:val="nzSubsection"/>
      </w:pPr>
      <w:r>
        <w:tab/>
      </w:r>
      <w:r>
        <w:tab/>
        <w:t>In regulation 7 delete “category A”.</w:t>
      </w:r>
    </w:p>
    <w:p>
      <w:pPr>
        <w:pStyle w:val="nzHeading5"/>
      </w:pPr>
      <w:r>
        <w:rPr>
          <w:rStyle w:val="CharSectno"/>
        </w:rPr>
        <w:t>12</w:t>
      </w:r>
      <w:r>
        <w:t>.</w:t>
      </w:r>
      <w:r>
        <w:tab/>
        <w:t>Regulation 9 amended</w:t>
      </w:r>
    </w:p>
    <w:p>
      <w:pPr>
        <w:pStyle w:val="nzSubsection"/>
      </w:pPr>
      <w:r>
        <w:tab/>
      </w:r>
      <w:r>
        <w:tab/>
        <w:t>In regulation 9(2) delete “fee in Schedule 1 item 1.” and insert:</w:t>
      </w:r>
    </w:p>
    <w:p>
      <w:pPr>
        <w:pStyle w:val="BlankOpen"/>
      </w:pPr>
    </w:p>
    <w:p>
      <w:pPr>
        <w:pStyle w:val="nzSubsection"/>
      </w:pPr>
      <w:r>
        <w:tab/>
      </w:r>
      <w:r>
        <w:tab/>
        <w:t>late application fee set out in Schedule 1 Division 2 item 1.</w:t>
      </w:r>
    </w:p>
    <w:p>
      <w:pPr>
        <w:pStyle w:val="BlankClose"/>
      </w:pPr>
    </w:p>
    <w:p>
      <w:pPr>
        <w:pStyle w:val="nzHeading5"/>
      </w:pPr>
      <w:r>
        <w:rPr>
          <w:rStyle w:val="CharSectno"/>
        </w:rPr>
        <w:t>13</w:t>
      </w:r>
      <w:r>
        <w:t>.</w:t>
      </w:r>
      <w:r>
        <w:tab/>
        <w:t>Regulations 12 to 13D deleted and Part 3 Division 2 Subdivisions 1 and 2 inserted</w:t>
      </w:r>
    </w:p>
    <w:p>
      <w:pPr>
        <w:pStyle w:val="nzSubsection"/>
      </w:pPr>
      <w:r>
        <w:tab/>
      </w:r>
      <w:r>
        <w:tab/>
        <w:t>Delete regulations 12 to 13D and insert:</w:t>
      </w:r>
    </w:p>
    <w:p>
      <w:pPr>
        <w:pStyle w:val="BlankOpen"/>
      </w:pPr>
    </w:p>
    <w:p>
      <w:pPr>
        <w:pStyle w:val="nzHeading4"/>
      </w:pPr>
      <w:r>
        <w:t>Subdivision 1 — 2014 transitional fee arrangements for eligible students</w:t>
      </w:r>
    </w:p>
    <w:p>
      <w:pPr>
        <w:pStyle w:val="nzHeading5"/>
      </w:pPr>
      <w:r>
        <w:t>11.</w:t>
      </w:r>
      <w:r>
        <w:tab/>
        <w:t>Terms used</w:t>
      </w:r>
    </w:p>
    <w:p>
      <w:pPr>
        <w:pStyle w:val="nzSubsection"/>
      </w:pPr>
      <w:r>
        <w:tab/>
      </w:r>
      <w:r>
        <w:tab/>
        <w:t xml:space="preserve">In this Subdivision — </w:t>
      </w:r>
    </w:p>
    <w:p>
      <w:pPr>
        <w:pStyle w:val="nzDefstart"/>
      </w:pPr>
      <w:r>
        <w:tab/>
      </w:r>
      <w:r>
        <w:rPr>
          <w:rStyle w:val="CharDefText"/>
        </w:rPr>
        <w:t>band</w:t>
      </w:r>
      <w:r>
        <w:t>, in relation to a unit, means the band into which the unit was classified under regulation 4A immediately before 1 January 2014;</w:t>
      </w:r>
    </w:p>
    <w:p>
      <w:pPr>
        <w:pStyle w:val="nzDefstart"/>
      </w:pPr>
      <w:r>
        <w:tab/>
      </w:r>
      <w:r>
        <w:rPr>
          <w:rStyle w:val="CharDefText"/>
        </w:rPr>
        <w:t>category A course</w:t>
      </w:r>
      <w:r>
        <w:t xml:space="preserve"> means a course so classified under regulation 4 immediately before 1 January 2014;</w:t>
      </w:r>
    </w:p>
    <w:p>
      <w:pPr>
        <w:pStyle w:val="nzDefstart"/>
      </w:pPr>
      <w:r>
        <w:tab/>
      </w:r>
      <w:r>
        <w:rPr>
          <w:rStyle w:val="CharDefText"/>
        </w:rPr>
        <w:t>category B course</w:t>
      </w:r>
      <w:r>
        <w:t xml:space="preserve"> means a course so classified under regulation 4 immediately before 1 January 2014;</w:t>
      </w:r>
    </w:p>
    <w:p>
      <w:pPr>
        <w:pStyle w:val="nzDefstart"/>
      </w:pPr>
      <w:r>
        <w:tab/>
      </w:r>
      <w:r>
        <w:rPr>
          <w:rStyle w:val="CharDefText"/>
        </w:rPr>
        <w:t>concessional student</w:t>
      </w:r>
      <w:r>
        <w:t xml:space="preserve"> means an eligible student enrolling for a category A course — </w:t>
      </w:r>
    </w:p>
    <w:p>
      <w:pPr>
        <w:pStyle w:val="nzDefpara"/>
      </w:pPr>
      <w:r>
        <w:tab/>
        <w:t>(a)</w:t>
      </w:r>
      <w:r>
        <w:tab/>
        <w:t>who would be entitled to the concessional rate of fee under regulation 20(2) if the course were a category 2 or 3 course; or</w:t>
      </w:r>
    </w:p>
    <w:p>
      <w:pPr>
        <w:pStyle w:val="nzDefpara"/>
      </w:pPr>
      <w:r>
        <w:tab/>
        <w:t>(b)</w:t>
      </w:r>
      <w:r>
        <w:tab/>
        <w:t>in respect of whom the governing council of a college determines, under regulation 13A(3), that the concessional rate of fee is to apply;</w:t>
      </w:r>
    </w:p>
    <w:p>
      <w:pPr>
        <w:pStyle w:val="nzDefstart"/>
      </w:pPr>
      <w:r>
        <w:tab/>
      </w:r>
      <w:r>
        <w:rPr>
          <w:rStyle w:val="CharDefText"/>
        </w:rPr>
        <w:t>eligible student</w:t>
      </w:r>
      <w:r>
        <w:t xml:space="preserve">, in relation to a course, means a person who — </w:t>
      </w:r>
    </w:p>
    <w:p>
      <w:pPr>
        <w:pStyle w:val="nzDefpara"/>
      </w:pPr>
      <w:r>
        <w:tab/>
        <w:t>(a)</w:t>
      </w:r>
      <w:r>
        <w:tab/>
        <w:t>was enrolled in the course before 22 August 2013 and undertook study in that course in 2013; and</w:t>
      </w:r>
    </w:p>
    <w:p>
      <w:pPr>
        <w:pStyle w:val="nzDefpara"/>
      </w:pPr>
      <w:r>
        <w:tab/>
        <w:t>(b)</w:t>
      </w:r>
      <w:r>
        <w:tab/>
        <w:t>enrols in the same course, or a course that is replacing that course, in 2014.</w:t>
      </w:r>
    </w:p>
    <w:p>
      <w:pPr>
        <w:pStyle w:val="nzHeading5"/>
      </w:pPr>
      <w:r>
        <w:t>12.</w:t>
      </w:r>
      <w:r>
        <w:tab/>
        <w:t>Eligible students in 2014 may choose old fee structure</w:t>
      </w:r>
    </w:p>
    <w:p>
      <w:pPr>
        <w:pStyle w:val="nzSubsection"/>
      </w:pPr>
      <w:r>
        <w:tab/>
        <w:t>(1)</w:t>
      </w:r>
      <w:r>
        <w:tab/>
        <w:t xml:space="preserve">An eligible student may choose to pay the course fee for a course for 2014 — </w:t>
      </w:r>
    </w:p>
    <w:p>
      <w:pPr>
        <w:pStyle w:val="nzIndenta"/>
      </w:pPr>
      <w:r>
        <w:tab/>
        <w:t>(a)</w:t>
      </w:r>
      <w:r>
        <w:tab/>
        <w:t>under the new fee arrangements set out in these regulations; or</w:t>
      </w:r>
    </w:p>
    <w:p>
      <w:pPr>
        <w:pStyle w:val="nzIndenta"/>
      </w:pPr>
      <w:r>
        <w:tab/>
        <w:t>(b)</w:t>
      </w:r>
      <w:r>
        <w:tab/>
        <w:t>under the transitional fee arrangements.</w:t>
      </w:r>
    </w:p>
    <w:p>
      <w:pPr>
        <w:pStyle w:val="nzSubsection"/>
      </w:pPr>
      <w:r>
        <w:tab/>
        <w:t>(2)</w:t>
      </w:r>
      <w:r>
        <w:tab/>
        <w:t xml:space="preserve">If an eligible student chooses under subregulation (1)(b) to pay the course fee for a course for 2014 under the transitional fee arrangements then — </w:t>
      </w:r>
    </w:p>
    <w:p>
      <w:pPr>
        <w:pStyle w:val="nzIndenta"/>
      </w:pPr>
      <w:r>
        <w:tab/>
        <w:t>(a)</w:t>
      </w:r>
      <w:r>
        <w:tab/>
        <w:t>regulation 13A applies to, and in respect of the student; and</w:t>
      </w:r>
    </w:p>
    <w:p>
      <w:pPr>
        <w:pStyle w:val="nzIndenta"/>
      </w:pPr>
      <w:r>
        <w:tab/>
        <w:t>(b)</w:t>
      </w:r>
      <w:r>
        <w:tab/>
        <w:t>regulation 13B does not apply to, or in respect of, the student.</w:t>
      </w:r>
    </w:p>
    <w:p>
      <w:pPr>
        <w:pStyle w:val="nzHeading5"/>
      </w:pPr>
      <w:r>
        <w:t>13A.</w:t>
      </w:r>
      <w:r>
        <w:tab/>
        <w:t>2014 transitional fee arrangements — Schedule 1 Division 1</w:t>
      </w:r>
    </w:p>
    <w:p>
      <w:pPr>
        <w:pStyle w:val="nzSubsection"/>
      </w:pPr>
      <w:r>
        <w:tab/>
        <w:t>(1)</w:t>
      </w:r>
      <w:r>
        <w:tab/>
        <w:t xml:space="preserve">The course fee for a unit of a category A course, or a category B course, to be commenced in 2014 by an eligible student who chooses to pay the course fee under the transitional fee arrangements is as follows — </w:t>
      </w:r>
    </w:p>
    <w:p>
      <w:pPr>
        <w:pStyle w:val="nzDefpara"/>
      </w:pPr>
      <w:r>
        <w:tab/>
        <w:t>(a)</w:t>
      </w:r>
      <w:r>
        <w:tab/>
        <w:t xml:space="preserve">for a unit of a category A course — the relevant fee set out in Schedule 1 Division 1 item 1 (the </w:t>
      </w:r>
      <w:r>
        <w:rPr>
          <w:rStyle w:val="CharDefText"/>
        </w:rPr>
        <w:t>unit fee</w:t>
      </w:r>
      <w:r>
        <w:t>);</w:t>
      </w:r>
    </w:p>
    <w:p>
      <w:pPr>
        <w:pStyle w:val="nzIndenta"/>
      </w:pPr>
      <w:r>
        <w:tab/>
        <w:t>(b)</w:t>
      </w:r>
      <w:r>
        <w:tab/>
        <w:t>if more than one unit of a category A course is to be commenced — the sum of the unit fees for each unit to be commenced;</w:t>
      </w:r>
    </w:p>
    <w:p>
      <w:pPr>
        <w:pStyle w:val="nzIndenta"/>
      </w:pPr>
      <w:r>
        <w:tab/>
        <w:t>(c)</w:t>
      </w:r>
      <w:r>
        <w:tab/>
        <w:t>for a category B course — the relevant fee set out in Schedule 1 Division 1 item 2.</w:t>
      </w:r>
    </w:p>
    <w:p>
      <w:pPr>
        <w:pStyle w:val="nzSubsection"/>
      </w:pPr>
      <w:r>
        <w:tab/>
        <w:t>(2)</w:t>
      </w:r>
      <w:r>
        <w:tab/>
        <w:t xml:space="preserve">Despite subregulation (1), the maximum amount of course fee payable by an eligible student for a semester is — </w:t>
      </w:r>
    </w:p>
    <w:p>
      <w:pPr>
        <w:pStyle w:val="nzDefpara"/>
      </w:pPr>
      <w:r>
        <w:tab/>
        <w:t>(a)</w:t>
      </w:r>
      <w:r>
        <w:tab/>
        <w:t>if the student is a concessional student — $321;</w:t>
      </w:r>
    </w:p>
    <w:p>
      <w:pPr>
        <w:pStyle w:val="nzDefpara"/>
      </w:pPr>
      <w:r>
        <w:tab/>
        <w:t>(b)</w:t>
      </w:r>
      <w:r>
        <w:tab/>
        <w:t>if the student is not a concessional student — $642.</w:t>
      </w:r>
    </w:p>
    <w:p>
      <w:pPr>
        <w:pStyle w:val="nzSubsection"/>
      </w:pPr>
      <w:r>
        <w:tab/>
        <w:t>(3)</w:t>
      </w:r>
      <w:r>
        <w:tab/>
        <w:t>Despite subregulation (1), if the governing council of a college is satisfied, on application by a person who wishes to enrol at the college in a unit, or more than one unit, of a category A course, that payment of the course fee would cause financial hardship to the person, the council may determine that the concessional rate is to apply to that person for that unit or course as if he or she were a person to whom regulation 20(2) applies.</w:t>
      </w:r>
    </w:p>
    <w:p>
      <w:pPr>
        <w:pStyle w:val="nzSubsection"/>
      </w:pPr>
      <w:r>
        <w:tab/>
        <w:t>(4)</w:t>
      </w:r>
      <w:r>
        <w:tab/>
        <w:t xml:space="preserve">Despite subregulation (1), no course fee is payable for a person for a category B course if — </w:t>
      </w:r>
    </w:p>
    <w:p>
      <w:pPr>
        <w:pStyle w:val="nzIndenta"/>
      </w:pPr>
      <w:r>
        <w:tab/>
        <w:t>(a)</w:t>
      </w:r>
      <w:r>
        <w:tab/>
        <w:t>the person is also enrolled for a category A course; and</w:t>
      </w:r>
    </w:p>
    <w:p>
      <w:pPr>
        <w:pStyle w:val="nzIndenta"/>
      </w:pPr>
      <w:r>
        <w:tab/>
        <w:t>(b)</w:t>
      </w:r>
      <w:r>
        <w:tab/>
        <w:t>the category B course relates to, or is a component of, the category A course.</w:t>
      </w:r>
    </w:p>
    <w:p>
      <w:pPr>
        <w:pStyle w:val="nzHeading4"/>
      </w:pPr>
      <w:r>
        <w:t>Subdivision 2 — Course fees for 2014</w:t>
      </w:r>
    </w:p>
    <w:p>
      <w:pPr>
        <w:pStyle w:val="nzHeading5"/>
      </w:pPr>
      <w:r>
        <w:t>13B.</w:t>
      </w:r>
      <w:r>
        <w:tab/>
        <w:t>Course fees for 2014 — Schedule 1 Division 2</w:t>
      </w:r>
    </w:p>
    <w:p>
      <w:pPr>
        <w:pStyle w:val="nzSubsection"/>
      </w:pPr>
      <w:r>
        <w:tab/>
        <w:t>(1)</w:t>
      </w:r>
      <w:r>
        <w:tab/>
        <w:t xml:space="preserve">The course fee for a unit of a course to be commenced by a student in 2014 is as follows — </w:t>
      </w:r>
    </w:p>
    <w:p>
      <w:pPr>
        <w:pStyle w:val="nzDefpara"/>
      </w:pPr>
      <w:r>
        <w:tab/>
        <w:t>(a)</w:t>
      </w:r>
      <w:r>
        <w:tab/>
        <w:t xml:space="preserve">the relevant fee determined in accordance with Schedule 1 Division 2 item 2, 3, 4 or 5 (the </w:t>
      </w:r>
      <w:r>
        <w:rPr>
          <w:rStyle w:val="CharDefText"/>
        </w:rPr>
        <w:t>unit fee</w:t>
      </w:r>
      <w:r>
        <w:t>);</w:t>
      </w:r>
    </w:p>
    <w:p>
      <w:pPr>
        <w:pStyle w:val="nzIndenta"/>
      </w:pPr>
      <w:r>
        <w:tab/>
        <w:t>(b)</w:t>
      </w:r>
      <w:r>
        <w:tab/>
        <w:t>if more than one unit is to be commenced — the sum of the unit fees for each unit to be commenced.</w:t>
      </w:r>
    </w:p>
    <w:p>
      <w:pPr>
        <w:pStyle w:val="nzSubsection"/>
      </w:pPr>
      <w:r>
        <w:tab/>
        <w:t>(2)</w:t>
      </w:r>
      <w:r>
        <w:tab/>
        <w:t>Subregulation (1) does not apply to a course or unit for which there is a determination in force under regulation 15A.</w:t>
      </w:r>
    </w:p>
    <w:p>
      <w:pPr>
        <w:pStyle w:val="nzSubsection"/>
      </w:pPr>
      <w:r>
        <w:tab/>
        <w:t>(3)</w:t>
      </w:r>
      <w:r>
        <w:tab/>
        <w:t xml:space="preserve">Despite subregulation (1), the maximum amount of course fee payable for 2014 by a student who is not a secondary school aged person is — </w:t>
      </w:r>
    </w:p>
    <w:p>
      <w:pPr>
        <w:pStyle w:val="nzIndenta"/>
      </w:pPr>
      <w:r>
        <w:tab/>
        <w:t>(a)</w:t>
      </w:r>
      <w:r>
        <w:tab/>
        <w:t xml:space="preserve">$2 500 for each of the following courses, that the student is enrolled in one or more than one unit of — </w:t>
      </w:r>
    </w:p>
    <w:p>
      <w:pPr>
        <w:pStyle w:val="nzIndenti"/>
      </w:pPr>
      <w:r>
        <w:tab/>
        <w:t>(i)</w:t>
      </w:r>
      <w:r>
        <w:tab/>
        <w:t>an approved VET course;</w:t>
      </w:r>
    </w:p>
    <w:p>
      <w:pPr>
        <w:pStyle w:val="nzIndenti"/>
      </w:pPr>
      <w:r>
        <w:tab/>
        <w:t>(ii)</w:t>
      </w:r>
      <w:r>
        <w:tab/>
        <w:t>a course that, if successfully completed, would result in the conferral of a prescribed VET qualification of a Certificate I, II, III or IV;</w:t>
      </w:r>
    </w:p>
    <w:p>
      <w:pPr>
        <w:pStyle w:val="nzIndenta"/>
      </w:pPr>
      <w:r>
        <w:tab/>
        <w:t>(b)</w:t>
      </w:r>
      <w:r>
        <w:tab/>
        <w:t>$7 500 for each course, that the student is enrolled in one or more than one unit of, that, if successfully completed, would result in the conferral of a prescribed VET qualification of a Diploma or Advanced Diploma.</w:t>
      </w:r>
    </w:p>
    <w:p>
      <w:pPr>
        <w:pStyle w:val="nzSubsection"/>
      </w:pPr>
      <w:r>
        <w:tab/>
        <w:t>(4)</w:t>
      </w:r>
      <w:r>
        <w:tab/>
        <w:t>Despite subregulation (1), the maximum amount of course fee payable for 2014 by a student who is a secondary school aged person is $400.</w:t>
      </w:r>
    </w:p>
    <w:p>
      <w:pPr>
        <w:pStyle w:val="BlankClose"/>
      </w:pPr>
    </w:p>
    <w:p>
      <w:pPr>
        <w:pStyle w:val="nzHeading5"/>
      </w:pPr>
      <w:r>
        <w:rPr>
          <w:rStyle w:val="CharSectno"/>
        </w:rPr>
        <w:t>14</w:t>
      </w:r>
      <w:r>
        <w:t>.</w:t>
      </w:r>
      <w:r>
        <w:tab/>
        <w:t>Regulation 13 amended</w:t>
      </w:r>
    </w:p>
    <w:p>
      <w:pPr>
        <w:pStyle w:val="nzSubsection"/>
      </w:pPr>
      <w:r>
        <w:tab/>
        <w:t>(1)</w:t>
      </w:r>
      <w:r>
        <w:tab/>
        <w:t>Delete regulation 13(1)(a) and (b) and insert:</w:t>
      </w:r>
    </w:p>
    <w:p>
      <w:pPr>
        <w:pStyle w:val="BlankOpen"/>
      </w:pPr>
    </w:p>
    <w:p>
      <w:pPr>
        <w:pStyle w:val="nzIndenta"/>
      </w:pPr>
      <w:r>
        <w:tab/>
        <w:t>(a)</w:t>
      </w:r>
      <w:r>
        <w:tab/>
        <w:t>CHC50302 Diploma of Children Services;</w:t>
      </w:r>
    </w:p>
    <w:p>
      <w:pPr>
        <w:pStyle w:val="nzIndenta"/>
      </w:pPr>
      <w:r>
        <w:tab/>
        <w:t>(b)</w:t>
      </w:r>
      <w:r>
        <w:tab/>
        <w:t>CHC60202 and CHC60208 Advanced Diploma of Children Services;</w:t>
      </w:r>
    </w:p>
    <w:p>
      <w:pPr>
        <w:pStyle w:val="nzIndenta"/>
      </w:pPr>
      <w:r>
        <w:tab/>
        <w:t>(c)</w:t>
      </w:r>
      <w:r>
        <w:tab/>
        <w:t>CHC50113 Diploma of Early Childhood Education and Care;</w:t>
      </w:r>
    </w:p>
    <w:p>
      <w:pPr>
        <w:pStyle w:val="nzIndenta"/>
      </w:pPr>
      <w:r>
        <w:tab/>
        <w:t>(d)</w:t>
      </w:r>
      <w:r>
        <w:tab/>
        <w:t>CHC50908 Diploma of Children’s Services (Early Childhood Education and Care).</w:t>
      </w:r>
    </w:p>
    <w:p>
      <w:pPr>
        <w:pStyle w:val="BlankClose"/>
      </w:pPr>
    </w:p>
    <w:p>
      <w:pPr>
        <w:pStyle w:val="nzSubsection"/>
      </w:pPr>
      <w:r>
        <w:tab/>
        <w:t>(2)</w:t>
      </w:r>
      <w:r>
        <w:tab/>
        <w:t>Delete regulation 13(2) and insert:</w:t>
      </w:r>
    </w:p>
    <w:p>
      <w:pPr>
        <w:pStyle w:val="BlankOpen"/>
      </w:pPr>
    </w:p>
    <w:p>
      <w:pPr>
        <w:pStyle w:val="nzSubsection"/>
      </w:pPr>
      <w:r>
        <w:tab/>
        <w:t>(2)</w:t>
      </w:r>
      <w:r>
        <w:tab/>
        <w:t xml:space="preserve">No course fee is payable for the following category 4 courses if the person enrolling in the course is also enrolled for a category 1, 2 or 3 course — </w:t>
      </w:r>
    </w:p>
    <w:p>
      <w:pPr>
        <w:pStyle w:val="nzIndenta"/>
      </w:pPr>
      <w:r>
        <w:tab/>
        <w:t>(a)</w:t>
      </w:r>
      <w:r>
        <w:tab/>
        <w:t>52626WA Course in Applied Vocational Study Skills (CAVSS);</w:t>
      </w:r>
    </w:p>
    <w:p>
      <w:pPr>
        <w:pStyle w:val="nzIndenta"/>
      </w:pPr>
      <w:r>
        <w:tab/>
        <w:t>(b)</w:t>
      </w:r>
      <w:r>
        <w:tab/>
        <w:t>52379 Course in Underpinning Skills for Industry Qualifications (USIQ).</w:t>
      </w:r>
    </w:p>
    <w:p>
      <w:pPr>
        <w:pStyle w:val="nzSubsection"/>
      </w:pPr>
      <w:r>
        <w:tab/>
        <w:t>(3)</w:t>
      </w:r>
      <w:r>
        <w:tab/>
        <w:t xml:space="preserve">No course fee is payable for a course undertaken — </w:t>
      </w:r>
    </w:p>
    <w:p>
      <w:pPr>
        <w:pStyle w:val="nzIndenta"/>
      </w:pPr>
      <w:r>
        <w:tab/>
        <w:t>(a)</w:t>
      </w:r>
      <w:r>
        <w:tab/>
        <w:t xml:space="preserve">by a person enrolled at a school, as defined in the </w:t>
      </w:r>
      <w:r>
        <w:rPr>
          <w:i/>
        </w:rPr>
        <w:t>School Education Act 1999</w:t>
      </w:r>
      <w:r>
        <w:t xml:space="preserve"> section 4; and</w:t>
      </w:r>
    </w:p>
    <w:p>
      <w:pPr>
        <w:pStyle w:val="nzIndenta"/>
      </w:pPr>
      <w:r>
        <w:tab/>
        <w:t>(b)</w:t>
      </w:r>
      <w:r>
        <w:tab/>
        <w:t xml:space="preserve">as part of a requirement for graduation from secondary school and the issue of a certificate of student achievement under the </w:t>
      </w:r>
      <w:r>
        <w:rPr>
          <w:i/>
        </w:rPr>
        <w:t>School Curriculum and Standards Authority Act 1997</w:t>
      </w:r>
      <w:r>
        <w:t>.</w:t>
      </w:r>
    </w:p>
    <w:p>
      <w:pPr>
        <w:pStyle w:val="BlankClose"/>
      </w:pPr>
    </w:p>
    <w:p>
      <w:pPr>
        <w:pStyle w:val="nzHeading5"/>
      </w:pPr>
      <w:r>
        <w:rPr>
          <w:rStyle w:val="CharSectno"/>
        </w:rPr>
        <w:t>15</w:t>
      </w:r>
      <w:r>
        <w:t>.</w:t>
      </w:r>
      <w:r>
        <w:tab/>
        <w:t>Regulation 15A amended</w:t>
      </w:r>
    </w:p>
    <w:p>
      <w:pPr>
        <w:pStyle w:val="nzSubsection"/>
      </w:pPr>
      <w:r>
        <w:tab/>
        <w:t>(1)</w:t>
      </w:r>
      <w:r>
        <w:tab/>
        <w:t>In regulation 15A(1)(b) delete “regulation 12.” and insert:</w:t>
      </w:r>
    </w:p>
    <w:p>
      <w:pPr>
        <w:pStyle w:val="BlankOpen"/>
      </w:pPr>
    </w:p>
    <w:p>
      <w:pPr>
        <w:pStyle w:val="nzSubsection"/>
      </w:pPr>
      <w:r>
        <w:tab/>
      </w:r>
      <w:r>
        <w:tab/>
        <w:t>regulation 13B.</w:t>
      </w:r>
    </w:p>
    <w:p>
      <w:pPr>
        <w:pStyle w:val="BlankClose"/>
      </w:pPr>
    </w:p>
    <w:p>
      <w:pPr>
        <w:pStyle w:val="nzSubsection"/>
        <w:keepNext/>
      </w:pPr>
      <w:r>
        <w:tab/>
        <w:t>(2)</w:t>
      </w:r>
      <w:r>
        <w:tab/>
        <w:t>In regulation 15A(2) delete “a student who is not an Australian resident.” and insert:</w:t>
      </w:r>
    </w:p>
    <w:p>
      <w:pPr>
        <w:pStyle w:val="BlankOpen"/>
      </w:pPr>
    </w:p>
    <w:p>
      <w:pPr>
        <w:pStyle w:val="nzSubsection"/>
      </w:pPr>
      <w:r>
        <w:tab/>
      </w:r>
      <w:r>
        <w:tab/>
        <w:t>students who are not Australian residents.</w:t>
      </w:r>
    </w:p>
    <w:p>
      <w:pPr>
        <w:pStyle w:val="BlankClose"/>
      </w:pPr>
    </w:p>
    <w:p>
      <w:pPr>
        <w:pStyle w:val="nzSubsection"/>
      </w:pPr>
      <w:r>
        <w:tab/>
        <w:t>(3)</w:t>
      </w:r>
      <w:r>
        <w:tab/>
        <w:t>In regulation 15A(3):</w:t>
      </w:r>
    </w:p>
    <w:p>
      <w:pPr>
        <w:pStyle w:val="nzIndenta"/>
      </w:pPr>
      <w:r>
        <w:tab/>
        <w:t>(a)</w:t>
      </w:r>
      <w:r>
        <w:tab/>
        <w:t>delete “different courses or” and insert:</w:t>
      </w:r>
    </w:p>
    <w:p>
      <w:pPr>
        <w:pStyle w:val="BlankOpen"/>
        <w:widowControl w:val="0"/>
      </w:pPr>
    </w:p>
    <w:p>
      <w:pPr>
        <w:pStyle w:val="nzIndenta"/>
      </w:pPr>
      <w:r>
        <w:tab/>
      </w:r>
      <w:r>
        <w:tab/>
        <w:t>different courses, different units or</w:t>
      </w:r>
    </w:p>
    <w:p>
      <w:pPr>
        <w:pStyle w:val="BlankClose"/>
        <w:keepNext/>
        <w:widowControl w:val="0"/>
      </w:pPr>
    </w:p>
    <w:p>
      <w:pPr>
        <w:pStyle w:val="nzIndenta"/>
      </w:pPr>
      <w:r>
        <w:tab/>
        <w:t>(b)</w:t>
      </w:r>
      <w:r>
        <w:tab/>
        <w:t>in paragraphs (b) and (c) delete “course; or” and insert:</w:t>
      </w:r>
    </w:p>
    <w:p>
      <w:pPr>
        <w:pStyle w:val="BlankOpen"/>
        <w:widowControl w:val="0"/>
      </w:pPr>
    </w:p>
    <w:p>
      <w:pPr>
        <w:pStyle w:val="nzIndenta"/>
      </w:pPr>
      <w:r>
        <w:tab/>
      </w:r>
      <w:r>
        <w:tab/>
        <w:t>course or unit; or</w:t>
      </w:r>
    </w:p>
    <w:p>
      <w:pPr>
        <w:pStyle w:val="BlankClose"/>
        <w:keepNext/>
        <w:widowControl w:val="0"/>
      </w:pPr>
    </w:p>
    <w:p>
      <w:pPr>
        <w:pStyle w:val="nzHeading5"/>
      </w:pPr>
      <w:r>
        <w:rPr>
          <w:rStyle w:val="CharSectno"/>
        </w:rPr>
        <w:t>16</w:t>
      </w:r>
      <w:r>
        <w:t>.</w:t>
      </w:r>
      <w:r>
        <w:tab/>
        <w:t>Regulation 17 amended</w:t>
      </w:r>
    </w:p>
    <w:p>
      <w:pPr>
        <w:pStyle w:val="nzSubsection"/>
      </w:pPr>
      <w:r>
        <w:tab/>
        <w:t>(1)</w:t>
      </w:r>
      <w:r>
        <w:tab/>
        <w:t>In regulation 17(1) delete “course” and insert:</w:t>
      </w:r>
    </w:p>
    <w:p>
      <w:pPr>
        <w:pStyle w:val="BlankOpen"/>
      </w:pPr>
    </w:p>
    <w:p>
      <w:pPr>
        <w:pStyle w:val="nzSubsection"/>
      </w:pPr>
      <w:r>
        <w:tab/>
      </w:r>
      <w:r>
        <w:tab/>
        <w:t>course or unit</w:t>
      </w:r>
    </w:p>
    <w:p>
      <w:pPr>
        <w:pStyle w:val="BlankClose"/>
      </w:pPr>
    </w:p>
    <w:p>
      <w:pPr>
        <w:pStyle w:val="nzSubsection"/>
      </w:pPr>
      <w:r>
        <w:tab/>
        <w:t>(2)</w:t>
      </w:r>
      <w:r>
        <w:tab/>
        <w:t>In regulation 17(2):</w:t>
      </w:r>
    </w:p>
    <w:p>
      <w:pPr>
        <w:pStyle w:val="nzIndenta"/>
      </w:pPr>
      <w:r>
        <w:tab/>
        <w:t>(a)</w:t>
      </w:r>
      <w:r>
        <w:tab/>
        <w:t>in paragraph (a) after “form for” insert:</w:t>
      </w:r>
    </w:p>
    <w:p>
      <w:pPr>
        <w:pStyle w:val="BlankOpen"/>
      </w:pPr>
    </w:p>
    <w:p>
      <w:pPr>
        <w:pStyle w:val="nzIndenta"/>
      </w:pPr>
      <w:r>
        <w:tab/>
      </w:r>
      <w:r>
        <w:tab/>
        <w:t>one, or more than one, unit of</w:t>
      </w:r>
    </w:p>
    <w:p>
      <w:pPr>
        <w:pStyle w:val="BlankClose"/>
      </w:pPr>
    </w:p>
    <w:p>
      <w:pPr>
        <w:pStyle w:val="nzIndenta"/>
      </w:pPr>
      <w:r>
        <w:tab/>
        <w:t>(b)</w:t>
      </w:r>
      <w:r>
        <w:tab/>
        <w:t>in paragraph (b) delete “pays —” and insert:</w:t>
      </w:r>
    </w:p>
    <w:p>
      <w:pPr>
        <w:pStyle w:val="BlankOpen"/>
      </w:pPr>
    </w:p>
    <w:p>
      <w:pPr>
        <w:pStyle w:val="nzIndenta"/>
      </w:pPr>
      <w:r>
        <w:tab/>
      </w:r>
      <w:r>
        <w:tab/>
        <w:t xml:space="preserve">pays, or has arranged to the satisfaction of the college for the payment of — </w:t>
      </w:r>
    </w:p>
    <w:p>
      <w:pPr>
        <w:pStyle w:val="BlankClose"/>
      </w:pPr>
    </w:p>
    <w:p>
      <w:pPr>
        <w:pStyle w:val="nzIndenta"/>
      </w:pPr>
      <w:r>
        <w:tab/>
        <w:t>(c)</w:t>
      </w:r>
      <w:r>
        <w:tab/>
        <w:t>in paragraph (b)(i) delete “any amount payable in respect of the course fee for the course” and insert:</w:t>
      </w:r>
    </w:p>
    <w:p>
      <w:pPr>
        <w:pStyle w:val="BlankOpen"/>
      </w:pPr>
    </w:p>
    <w:p>
      <w:pPr>
        <w:pStyle w:val="nzIndenta"/>
      </w:pPr>
      <w:r>
        <w:tab/>
      </w:r>
      <w:r>
        <w:tab/>
        <w:t>the course fee for the unit or units</w:t>
      </w:r>
    </w:p>
    <w:p>
      <w:pPr>
        <w:pStyle w:val="BlankClose"/>
      </w:pPr>
    </w:p>
    <w:p>
      <w:pPr>
        <w:pStyle w:val="nzHeading5"/>
      </w:pPr>
      <w:r>
        <w:rPr>
          <w:rStyle w:val="CharSectno"/>
        </w:rPr>
        <w:t>17</w:t>
      </w:r>
      <w:r>
        <w:t>.</w:t>
      </w:r>
      <w:r>
        <w:tab/>
        <w:t>Regulation 20 amended</w:t>
      </w:r>
    </w:p>
    <w:p>
      <w:pPr>
        <w:pStyle w:val="nzSubsection"/>
        <w:keepNext/>
      </w:pPr>
      <w:r>
        <w:tab/>
      </w:r>
      <w:r>
        <w:tab/>
        <w:t>In regulation 20(2):</w:t>
      </w:r>
    </w:p>
    <w:p>
      <w:pPr>
        <w:pStyle w:val="nzIndenta"/>
        <w:keepNext/>
      </w:pPr>
      <w:r>
        <w:tab/>
        <w:t>(a)</w:t>
      </w:r>
      <w:r>
        <w:tab/>
        <w:t>delete “category A course —” and insert:</w:t>
      </w:r>
    </w:p>
    <w:p>
      <w:pPr>
        <w:pStyle w:val="BlankOpen"/>
      </w:pPr>
    </w:p>
    <w:p>
      <w:pPr>
        <w:pStyle w:val="nzIndenta"/>
      </w:pPr>
      <w:r>
        <w:tab/>
      </w:r>
      <w:r>
        <w:tab/>
        <w:t xml:space="preserve">category 2 or 3 course — </w:t>
      </w:r>
    </w:p>
    <w:p>
      <w:pPr>
        <w:pStyle w:val="BlankClose"/>
      </w:pPr>
    </w:p>
    <w:p>
      <w:pPr>
        <w:pStyle w:val="nzIndenta"/>
      </w:pPr>
      <w:r>
        <w:tab/>
        <w:t>(b)</w:t>
      </w:r>
      <w:r>
        <w:tab/>
        <w:t>delete paragraph (eb) and insert:</w:t>
      </w:r>
    </w:p>
    <w:p>
      <w:pPr>
        <w:pStyle w:val="BlankOpen"/>
      </w:pPr>
    </w:p>
    <w:p>
      <w:pPr>
        <w:pStyle w:val="nzIndenta"/>
      </w:pPr>
      <w:r>
        <w:tab/>
        <w:t>(eb)</w:t>
      </w:r>
      <w:r>
        <w:tab/>
        <w:t>secondary school aged person;</w:t>
      </w:r>
    </w:p>
    <w:p>
      <w:pPr>
        <w:pStyle w:val="BlankClose"/>
      </w:pPr>
    </w:p>
    <w:p>
      <w:pPr>
        <w:pStyle w:val="nzHeading5"/>
      </w:pPr>
      <w:r>
        <w:rPr>
          <w:rStyle w:val="CharSectno"/>
        </w:rPr>
        <w:t>18</w:t>
      </w:r>
      <w:r>
        <w:t>.</w:t>
      </w:r>
      <w:r>
        <w:tab/>
        <w:t>Regulation 21 amended</w:t>
      </w:r>
    </w:p>
    <w:p>
      <w:pPr>
        <w:pStyle w:val="nzSubsection"/>
      </w:pPr>
      <w:r>
        <w:tab/>
      </w:r>
      <w:r>
        <w:tab/>
        <w:t>In regulation 21:</w:t>
      </w:r>
    </w:p>
    <w:p>
      <w:pPr>
        <w:pStyle w:val="nzIndenta"/>
      </w:pPr>
      <w:r>
        <w:tab/>
        <w:t>(a)</w:t>
      </w:r>
      <w:r>
        <w:tab/>
        <w:t>delete “category A course, that payment of the full course fee for the course” and insert:</w:t>
      </w:r>
    </w:p>
    <w:p>
      <w:pPr>
        <w:pStyle w:val="BlankOpen"/>
      </w:pPr>
    </w:p>
    <w:p>
      <w:pPr>
        <w:pStyle w:val="nzIndenta"/>
      </w:pPr>
      <w:r>
        <w:tab/>
      </w:r>
      <w:r>
        <w:tab/>
        <w:t>unit, or more than one unit, of a category 2 or 3 course, that payment of the course fee provided for by Part 3 Division 2</w:t>
      </w:r>
    </w:p>
    <w:p>
      <w:pPr>
        <w:pStyle w:val="BlankClose"/>
      </w:pPr>
    </w:p>
    <w:p>
      <w:pPr>
        <w:pStyle w:val="nzIndenta"/>
      </w:pPr>
      <w:r>
        <w:tab/>
        <w:t>(b)</w:t>
      </w:r>
      <w:r>
        <w:tab/>
        <w:t>delete “course as if he or she were a person to whom regulation 20(1) applies.” and insert:</w:t>
      </w:r>
    </w:p>
    <w:p>
      <w:pPr>
        <w:pStyle w:val="BlankOpen"/>
      </w:pPr>
    </w:p>
    <w:p>
      <w:pPr>
        <w:pStyle w:val="nzIndenta"/>
      </w:pPr>
      <w:r>
        <w:tab/>
      </w:r>
      <w:r>
        <w:tab/>
        <w:t>unit, or those units, as if the person were a person to whom regulation 20(2) applies.</w:t>
      </w:r>
    </w:p>
    <w:p>
      <w:pPr>
        <w:pStyle w:val="BlankClose"/>
      </w:pPr>
    </w:p>
    <w:p>
      <w:pPr>
        <w:pStyle w:val="nzNotesPerm"/>
      </w:pPr>
      <w:r>
        <w:tab/>
        <w:t>Note:</w:t>
      </w:r>
      <w:r>
        <w:tab/>
        <w:t>The heading to amended regulation 21 is to read:</w:t>
      </w:r>
    </w:p>
    <w:p>
      <w:pPr>
        <w:pStyle w:val="nzNotesPerm"/>
        <w:ind w:left="2160" w:hanging="1593"/>
        <w:rPr>
          <w:b/>
        </w:rPr>
      </w:pPr>
      <w:r>
        <w:rPr>
          <w:b/>
        </w:rPr>
        <w:tab/>
      </w:r>
      <w:r>
        <w:rPr>
          <w:b/>
        </w:rPr>
        <w:tab/>
        <w:t>Concessional rate for category 2 or 3 course where there is financial hardship</w:t>
      </w:r>
    </w:p>
    <w:p>
      <w:pPr>
        <w:pStyle w:val="nzHeading5"/>
      </w:pPr>
      <w:r>
        <w:rPr>
          <w:rStyle w:val="CharSectno"/>
        </w:rPr>
        <w:t>19</w:t>
      </w:r>
      <w:r>
        <w:t>.</w:t>
      </w:r>
      <w:r>
        <w:tab/>
        <w:t>Part 5 Division 2 heading replaced</w:t>
      </w:r>
    </w:p>
    <w:p>
      <w:pPr>
        <w:pStyle w:val="nzSubsection"/>
      </w:pPr>
      <w:r>
        <w:tab/>
      </w:r>
      <w:r>
        <w:tab/>
        <w:t>Delete the heading to Part 5 Division 2 and insert:</w:t>
      </w:r>
    </w:p>
    <w:p>
      <w:pPr>
        <w:pStyle w:val="BlankOpen"/>
      </w:pPr>
    </w:p>
    <w:p>
      <w:pPr>
        <w:pStyle w:val="nzHeading3"/>
      </w:pPr>
      <w:r>
        <w:t>Division 2 — Payment by instalment and exemption for severe financial hardship</w:t>
      </w:r>
    </w:p>
    <w:p>
      <w:pPr>
        <w:pStyle w:val="BlankClose"/>
        <w:keepNext/>
      </w:pPr>
    </w:p>
    <w:p>
      <w:pPr>
        <w:pStyle w:val="nzHeading5"/>
      </w:pPr>
      <w:r>
        <w:rPr>
          <w:rStyle w:val="CharSectno"/>
        </w:rPr>
        <w:t>20</w:t>
      </w:r>
      <w:r>
        <w:t>.</w:t>
      </w:r>
      <w:r>
        <w:tab/>
        <w:t>Regulation 22 amended</w:t>
      </w:r>
    </w:p>
    <w:p>
      <w:pPr>
        <w:pStyle w:val="nzSubsection"/>
        <w:keepNext/>
      </w:pPr>
      <w:r>
        <w:tab/>
      </w:r>
      <w:r>
        <w:tab/>
        <w:t>Delete regulation 22(1) and (2) and insert:</w:t>
      </w:r>
    </w:p>
    <w:p>
      <w:pPr>
        <w:pStyle w:val="BlankOpen"/>
      </w:pPr>
    </w:p>
    <w:p>
      <w:pPr>
        <w:pStyle w:val="nz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nz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BlankClose"/>
      </w:pPr>
    </w:p>
    <w:p>
      <w:pPr>
        <w:pStyle w:val="nzNotesPerm"/>
      </w:pPr>
      <w:r>
        <w:tab/>
        <w:t>Note:</w:t>
      </w:r>
      <w:r>
        <w:tab/>
        <w:t>The heading to amended regulation 22 is to read:</w:t>
      </w:r>
    </w:p>
    <w:p>
      <w:pPr>
        <w:pStyle w:val="nzNotesPerm"/>
        <w:rPr>
          <w:b/>
        </w:rPr>
      </w:pPr>
      <w:r>
        <w:rPr>
          <w:b/>
        </w:rPr>
        <w:tab/>
      </w:r>
      <w:r>
        <w:rPr>
          <w:b/>
        </w:rPr>
        <w:tab/>
        <w:t>Payment of certain fees by instalments</w:t>
      </w:r>
    </w:p>
    <w:p>
      <w:pPr>
        <w:pStyle w:val="nzHeading5"/>
      </w:pPr>
      <w:r>
        <w:rPr>
          <w:rStyle w:val="CharSectno"/>
        </w:rPr>
        <w:t>21</w:t>
      </w:r>
      <w:r>
        <w:t>.</w:t>
      </w:r>
      <w:r>
        <w:tab/>
        <w:t>Regulation 23 amended</w:t>
      </w:r>
    </w:p>
    <w:p>
      <w:pPr>
        <w:pStyle w:val="nzSubsection"/>
      </w:pPr>
      <w:r>
        <w:tab/>
      </w:r>
      <w:r>
        <w:tab/>
        <w:t>In regulation 23(1):</w:t>
      </w:r>
    </w:p>
    <w:p>
      <w:pPr>
        <w:pStyle w:val="nzIndenta"/>
      </w:pPr>
      <w:r>
        <w:tab/>
        <w:t>(a)</w:t>
      </w:r>
      <w:r>
        <w:tab/>
        <w:t>delete “for a course, that payment of the course fee for the course” and insert:</w:t>
      </w:r>
    </w:p>
    <w:p>
      <w:pPr>
        <w:pStyle w:val="BlankOpen"/>
      </w:pPr>
    </w:p>
    <w:p>
      <w:pPr>
        <w:pStyle w:val="nzIndenta"/>
      </w:pPr>
      <w:r>
        <w:tab/>
      </w:r>
      <w:r>
        <w:tab/>
        <w:t>that payment of the course fee</w:t>
      </w:r>
    </w:p>
    <w:p>
      <w:pPr>
        <w:pStyle w:val="nzIndenta"/>
      </w:pPr>
    </w:p>
    <w:p>
      <w:pPr>
        <w:pStyle w:val="nzIndenta"/>
      </w:pPr>
      <w:r>
        <w:tab/>
        <w:t>(b)</w:t>
      </w:r>
      <w:r>
        <w:tab/>
        <w:t>delete “no course fee is payable by the person for the course.” and insert:</w:t>
      </w:r>
    </w:p>
    <w:p>
      <w:pPr>
        <w:pStyle w:val="BlankOpen"/>
      </w:pPr>
    </w:p>
    <w:p>
      <w:pPr>
        <w:pStyle w:val="nzIndenta"/>
      </w:pPr>
      <w:r>
        <w:tab/>
      </w:r>
      <w:r>
        <w:tab/>
        <w:t>the person is not required to pay the course fee.</w:t>
      </w:r>
    </w:p>
    <w:p>
      <w:pPr>
        <w:pStyle w:val="BlankClose"/>
      </w:pPr>
    </w:p>
    <w:p>
      <w:pPr>
        <w:pStyle w:val="nzHeading5"/>
      </w:pPr>
      <w:r>
        <w:rPr>
          <w:rStyle w:val="CharSectno"/>
        </w:rPr>
        <w:t>22</w:t>
      </w:r>
      <w:r>
        <w:t>.</w:t>
      </w:r>
      <w:r>
        <w:tab/>
        <w:t>Regulation 24A amended</w:t>
      </w:r>
    </w:p>
    <w:p>
      <w:pPr>
        <w:pStyle w:val="nzSubsection"/>
      </w:pPr>
      <w:r>
        <w:tab/>
        <w:t>(1)</w:t>
      </w:r>
      <w:r>
        <w:tab/>
        <w:t xml:space="preserve">In regulation 24A delete the definition of </w:t>
      </w:r>
      <w:r>
        <w:rPr>
          <w:b/>
          <w:i/>
        </w:rPr>
        <w:t>payment period</w:t>
      </w:r>
      <w:r>
        <w:t xml:space="preserve"> and insert:</w:t>
      </w:r>
    </w:p>
    <w:p>
      <w:pPr>
        <w:pStyle w:val="BlankOpen"/>
      </w:pPr>
    </w:p>
    <w:p>
      <w:pPr>
        <w:pStyle w:val="nz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w:t>
      </w:r>
    </w:p>
    <w:p>
      <w:pPr>
        <w:pStyle w:val="BlankClose"/>
      </w:pPr>
    </w:p>
    <w:p>
      <w:pPr>
        <w:pStyle w:val="nzSubsection"/>
      </w:pPr>
      <w:r>
        <w:tab/>
        <w:t>(2)</w:t>
      </w:r>
      <w:r>
        <w:tab/>
        <w:t xml:space="preserve">In regulation 24A in the definition of </w:t>
      </w:r>
      <w:r>
        <w:rPr>
          <w:b/>
          <w:i/>
        </w:rPr>
        <w:t>pro rata refund</w:t>
      </w:r>
      <w:r>
        <w:t>:</w:t>
      </w:r>
    </w:p>
    <w:p>
      <w:pPr>
        <w:pStyle w:val="nzIndenta"/>
      </w:pPr>
      <w:r>
        <w:tab/>
        <w:t>(a)</w:t>
      </w:r>
      <w:r>
        <w:tab/>
        <w:t>in paragraph (a) delete “for a category A unit where fees are paid by semester —” and insert:</w:t>
      </w:r>
    </w:p>
    <w:p>
      <w:pPr>
        <w:pStyle w:val="BlankOpen"/>
      </w:pPr>
    </w:p>
    <w:p>
      <w:pPr>
        <w:pStyle w:val="nzIndenta"/>
      </w:pPr>
      <w:r>
        <w:tab/>
      </w:r>
      <w:r>
        <w:tab/>
        <w:t xml:space="preserve">where the course fee is paid at enrolment — </w:t>
      </w:r>
    </w:p>
    <w:p>
      <w:pPr>
        <w:pStyle w:val="BlankClose"/>
      </w:pPr>
    </w:p>
    <w:p>
      <w:pPr>
        <w:pStyle w:val="nzIndenta"/>
      </w:pPr>
      <w:r>
        <w:tab/>
        <w:t>(b)</w:t>
      </w:r>
      <w:r>
        <w:tab/>
        <w:t>in paragraph (b) delete “for a category A course where the whole course fee is paid by instalments —” and insert:</w:t>
      </w:r>
    </w:p>
    <w:p>
      <w:pPr>
        <w:pStyle w:val="BlankOpen"/>
      </w:pPr>
    </w:p>
    <w:p>
      <w:pPr>
        <w:pStyle w:val="nzIndenta"/>
      </w:pPr>
      <w:r>
        <w:tab/>
      </w:r>
      <w:r>
        <w:tab/>
        <w:t xml:space="preserve">where the course fee is paid by instalments — </w:t>
      </w:r>
    </w:p>
    <w:p>
      <w:pPr>
        <w:pStyle w:val="BlankClose"/>
      </w:pPr>
    </w:p>
    <w:p>
      <w:pPr>
        <w:pStyle w:val="nzHeading5"/>
      </w:pPr>
      <w:r>
        <w:rPr>
          <w:rStyle w:val="CharSectno"/>
        </w:rPr>
        <w:t>23</w:t>
      </w:r>
      <w:r>
        <w:t>.</w:t>
      </w:r>
      <w:r>
        <w:tab/>
        <w:t>Regulation 24 amended</w:t>
      </w:r>
    </w:p>
    <w:p>
      <w:pPr>
        <w:pStyle w:val="nzSubsection"/>
      </w:pPr>
      <w:r>
        <w:tab/>
      </w:r>
      <w:r>
        <w:tab/>
        <w:t>In regulation 24 delete “that is a component of a course”.</w:t>
      </w:r>
    </w:p>
    <w:p>
      <w:pPr>
        <w:pStyle w:val="nzHeading5"/>
      </w:pPr>
      <w:r>
        <w:rPr>
          <w:rStyle w:val="CharSectno"/>
        </w:rPr>
        <w:t>24</w:t>
      </w:r>
      <w:r>
        <w:t>.</w:t>
      </w:r>
      <w:r>
        <w:tab/>
        <w:t>Regulation 25 amended</w:t>
      </w:r>
    </w:p>
    <w:p>
      <w:pPr>
        <w:pStyle w:val="nzSubsection"/>
      </w:pPr>
      <w:r>
        <w:tab/>
        <w:t>(1)</w:t>
      </w:r>
      <w:r>
        <w:tab/>
        <w:t>In regulation 25(1):</w:t>
      </w:r>
    </w:p>
    <w:p>
      <w:pPr>
        <w:pStyle w:val="nzIndenta"/>
      </w:pPr>
      <w:r>
        <w:tab/>
        <w:t>(a)</w:t>
      </w:r>
      <w:r>
        <w:tab/>
        <w:t>delete “that is a component of a course”;</w:t>
      </w:r>
    </w:p>
    <w:p>
      <w:pPr>
        <w:pStyle w:val="nzIndenta"/>
      </w:pPr>
      <w:r>
        <w:tab/>
        <w:t>(b)</w:t>
      </w:r>
      <w:r>
        <w:tab/>
        <w:t>delete “course.” and insert:</w:t>
      </w:r>
    </w:p>
    <w:p>
      <w:pPr>
        <w:pStyle w:val="BlankOpen"/>
      </w:pPr>
    </w:p>
    <w:p>
      <w:pPr>
        <w:pStyle w:val="nzIndenta"/>
      </w:pPr>
      <w:r>
        <w:tab/>
      </w:r>
      <w:r>
        <w:tab/>
        <w:t>course or unit.</w:t>
      </w:r>
    </w:p>
    <w:p>
      <w:pPr>
        <w:pStyle w:val="BlankClose"/>
      </w:pPr>
    </w:p>
    <w:p>
      <w:pPr>
        <w:pStyle w:val="nzSubsection"/>
      </w:pPr>
      <w:r>
        <w:tab/>
        <w:t>(2)</w:t>
      </w:r>
      <w:r>
        <w:tab/>
        <w:t>In regulation 25(2) delete the passage that begins with “ending —” and continues to the end of the subregulation and insert:</w:t>
      </w:r>
    </w:p>
    <w:p>
      <w:pPr>
        <w:pStyle w:val="BlankOpen"/>
        <w:widowControl w:val="0"/>
      </w:pPr>
    </w:p>
    <w:p>
      <w:pPr>
        <w:pStyle w:val="nzSubsection"/>
      </w:pPr>
      <w:r>
        <w:tab/>
      </w:r>
      <w:r>
        <w:tab/>
        <w:t>ending 20% of the way through the period during which the course or unit is undertaken.</w:t>
      </w:r>
    </w:p>
    <w:p>
      <w:pPr>
        <w:pStyle w:val="BlankClose"/>
        <w:keepNext/>
        <w:widowControl w:val="0"/>
      </w:pPr>
    </w:p>
    <w:p>
      <w:pPr>
        <w:pStyle w:val="nzHeading5"/>
      </w:pPr>
      <w:r>
        <w:rPr>
          <w:rStyle w:val="CharSectno"/>
        </w:rPr>
        <w:t>25</w:t>
      </w:r>
      <w:r>
        <w:t>.</w:t>
      </w:r>
      <w:r>
        <w:tab/>
        <w:t>Regulation 26 amended</w:t>
      </w:r>
    </w:p>
    <w:p>
      <w:pPr>
        <w:pStyle w:val="nzSubsection"/>
      </w:pPr>
      <w:r>
        <w:tab/>
        <w:t>(1)</w:t>
      </w:r>
      <w:r>
        <w:tab/>
        <w:t>In regulation 26(1) delete “category A unit who pays fees by semester” and insert:</w:t>
      </w:r>
    </w:p>
    <w:p>
      <w:pPr>
        <w:pStyle w:val="BlankOpen"/>
      </w:pPr>
    </w:p>
    <w:p>
      <w:pPr>
        <w:pStyle w:val="nzSubsection"/>
      </w:pPr>
      <w:r>
        <w:tab/>
      </w:r>
      <w:r>
        <w:tab/>
        <w:t>unit where the course fee was paid at enrolment</w:t>
      </w:r>
    </w:p>
    <w:p>
      <w:pPr>
        <w:pStyle w:val="BlankClose"/>
      </w:pPr>
    </w:p>
    <w:p>
      <w:pPr>
        <w:pStyle w:val="nzSubsection"/>
      </w:pPr>
      <w:r>
        <w:tab/>
        <w:t>(2)</w:t>
      </w:r>
      <w:r>
        <w:tab/>
        <w:t>In regulation 26(2):</w:t>
      </w:r>
    </w:p>
    <w:p>
      <w:pPr>
        <w:pStyle w:val="nzIndenta"/>
      </w:pPr>
      <w:r>
        <w:tab/>
        <w:t>(a)</w:t>
      </w:r>
      <w:r>
        <w:tab/>
        <w:t>delete “category A course who pays the whole course fee by instalments” and insert:</w:t>
      </w:r>
    </w:p>
    <w:p>
      <w:pPr>
        <w:pStyle w:val="BlankOpen"/>
      </w:pPr>
    </w:p>
    <w:p>
      <w:pPr>
        <w:pStyle w:val="nzIndenta"/>
      </w:pPr>
      <w:r>
        <w:tab/>
      </w:r>
      <w:r>
        <w:tab/>
        <w:t>unit where the course fee is paid by instalments</w:t>
      </w:r>
    </w:p>
    <w:p>
      <w:pPr>
        <w:pStyle w:val="BlankClose"/>
      </w:pPr>
    </w:p>
    <w:p>
      <w:pPr>
        <w:pStyle w:val="nzIndenta"/>
      </w:pPr>
      <w:r>
        <w:tab/>
        <w:t>(b)</w:t>
      </w:r>
      <w:r>
        <w:tab/>
        <w:t>in paragraph (a) delete “course; and” and insert:</w:t>
      </w:r>
    </w:p>
    <w:p>
      <w:pPr>
        <w:pStyle w:val="BlankOpen"/>
      </w:pPr>
    </w:p>
    <w:p>
      <w:pPr>
        <w:pStyle w:val="nzIndenta"/>
      </w:pPr>
      <w:r>
        <w:tab/>
      </w:r>
      <w:r>
        <w:tab/>
        <w:t>unit; and</w:t>
      </w:r>
    </w:p>
    <w:p>
      <w:pPr>
        <w:pStyle w:val="BlankClose"/>
      </w:pPr>
    </w:p>
    <w:p>
      <w:pPr>
        <w:pStyle w:val="nzHeading5"/>
      </w:pPr>
      <w:r>
        <w:rPr>
          <w:rStyle w:val="CharSectno"/>
        </w:rPr>
        <w:t>26</w:t>
      </w:r>
      <w:r>
        <w:t>.</w:t>
      </w:r>
      <w:r>
        <w:tab/>
        <w:t>Schedule 1 replaced</w:t>
      </w:r>
    </w:p>
    <w:p>
      <w:pPr>
        <w:pStyle w:val="nzSubsection"/>
      </w:pPr>
      <w:r>
        <w:tab/>
      </w:r>
      <w:r>
        <w:tab/>
        <w:t>Delete Schedule 1 and insert:</w:t>
      </w:r>
    </w:p>
    <w:p>
      <w:pPr>
        <w:pStyle w:val="BlankOpen"/>
        <w:rPr>
          <w:b/>
        </w:rPr>
      </w:pPr>
    </w:p>
    <w:p>
      <w:pPr>
        <w:pStyle w:val="nzHeading2"/>
      </w:pPr>
      <w:r>
        <w:t>Schedule 1 — Fees</w:t>
      </w:r>
    </w:p>
    <w:p>
      <w:pPr>
        <w:pStyle w:val="nzMiscellaneousBody"/>
        <w:jc w:val="right"/>
      </w:pPr>
      <w:r>
        <w:t>[r. 9 and Pt. 3 Div. 2]</w:t>
      </w:r>
    </w:p>
    <w:p>
      <w:pPr>
        <w:pStyle w:val="nzHeading3"/>
      </w:pPr>
      <w:r>
        <w:t>Division 1</w:t>
      </w:r>
      <w:r>
        <w:rPr>
          <w:b w:val="0"/>
        </w:rPr>
        <w:t> — </w:t>
      </w:r>
      <w:r>
        <w:t>2014 course fees for eligible students</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3969"/>
        <w:gridCol w:w="1134"/>
      </w:tblGrid>
      <w:tr>
        <w:trPr>
          <w:cantSplit/>
          <w:tblHeader/>
        </w:trPr>
        <w:tc>
          <w:tcPr>
            <w:tcW w:w="1134" w:type="dxa"/>
          </w:tcPr>
          <w:p>
            <w:pPr>
              <w:pStyle w:val="yTableNAm"/>
              <w:rPr>
                <w:sz w:val="20"/>
              </w:rPr>
            </w:pPr>
            <w:r>
              <w:rPr>
                <w:b/>
                <w:bCs/>
                <w:sz w:val="20"/>
              </w:rPr>
              <w:t>Item</w:t>
            </w:r>
          </w:p>
        </w:tc>
        <w:tc>
          <w:tcPr>
            <w:tcW w:w="3969" w:type="dxa"/>
          </w:tcPr>
          <w:p>
            <w:pPr>
              <w:pStyle w:val="yTableNAm"/>
              <w:tabs>
                <w:tab w:val="left" w:pos="885"/>
              </w:tabs>
              <w:rPr>
                <w:sz w:val="20"/>
              </w:rPr>
            </w:pPr>
            <w:r>
              <w:rPr>
                <w:b/>
                <w:bCs/>
                <w:sz w:val="20"/>
              </w:rPr>
              <w:t>Fee for</w:t>
            </w:r>
          </w:p>
        </w:tc>
        <w:tc>
          <w:tcPr>
            <w:tcW w:w="1134" w:type="dxa"/>
          </w:tcPr>
          <w:p>
            <w:pPr>
              <w:pStyle w:val="yTableNAm"/>
              <w:rPr>
                <w:sz w:val="20"/>
              </w:rPr>
            </w:pPr>
            <w:r>
              <w:rPr>
                <w:b/>
                <w:bCs/>
                <w:sz w:val="20"/>
              </w:rPr>
              <w:t>Fee ($)</w:t>
            </w:r>
          </w:p>
        </w:tc>
      </w:tr>
      <w:tr>
        <w:trPr>
          <w:cantSplit/>
        </w:trPr>
        <w:tc>
          <w:tcPr>
            <w:tcW w:w="1134" w:type="dxa"/>
            <w:tcBorders>
              <w:bottom w:val="nil"/>
            </w:tcBorders>
          </w:tcPr>
          <w:p>
            <w:pPr>
              <w:pStyle w:val="yTableNAm"/>
              <w:rPr>
                <w:sz w:val="20"/>
              </w:rPr>
            </w:pPr>
            <w:r>
              <w:rPr>
                <w:sz w:val="20"/>
              </w:rPr>
              <w:t>1.</w:t>
            </w:r>
          </w:p>
        </w:tc>
        <w:tc>
          <w:tcPr>
            <w:tcW w:w="3969" w:type="dxa"/>
            <w:tcBorders>
              <w:bottom w:val="nil"/>
            </w:tcBorders>
          </w:tcPr>
          <w:p>
            <w:pPr>
              <w:pStyle w:val="yTableNAm"/>
              <w:tabs>
                <w:tab w:val="left" w:pos="885"/>
              </w:tabs>
              <w:rPr>
                <w:sz w:val="20"/>
              </w:rPr>
            </w:pPr>
            <w:r>
              <w:rPr>
                <w:sz w:val="20"/>
              </w:rPr>
              <w:t xml:space="preserve">Unit fee for unit that is a component of a category A course — </w:t>
            </w:r>
          </w:p>
        </w:tc>
        <w:tc>
          <w:tcPr>
            <w:tcW w:w="1134" w:type="dxa"/>
            <w:tcBorders>
              <w:bottom w:val="nil"/>
            </w:tcBorders>
          </w:tcPr>
          <w:p>
            <w:pPr>
              <w:pStyle w:val="yTableNAm"/>
              <w:rPr>
                <w:sz w:val="20"/>
              </w:rPr>
            </w:pPr>
          </w:p>
        </w:tc>
      </w:tr>
      <w:tr>
        <w:trPr>
          <w:cantSplit/>
        </w:trPr>
        <w:tc>
          <w:tcPr>
            <w:tcW w:w="1134" w:type="dxa"/>
            <w:tcBorders>
              <w:top w:val="nil"/>
              <w:bottom w:val="nil"/>
            </w:tcBorders>
          </w:tcPr>
          <w:p>
            <w:pPr>
              <w:pStyle w:val="zyTableNAm"/>
              <w:jc w:val="center"/>
              <w:rPr>
                <w:sz w:val="20"/>
              </w:rPr>
            </w:pPr>
          </w:p>
        </w:tc>
        <w:tc>
          <w:tcPr>
            <w:tcW w:w="3969" w:type="dxa"/>
            <w:tcBorders>
              <w:top w:val="nil"/>
              <w:bottom w:val="nil"/>
            </w:tcBorders>
          </w:tcPr>
          <w:p>
            <w:pPr>
              <w:pStyle w:val="yTableNAm"/>
              <w:tabs>
                <w:tab w:val="left" w:pos="885"/>
              </w:tabs>
              <w:ind w:left="567" w:hanging="567"/>
              <w:rPr>
                <w:sz w:val="20"/>
              </w:rPr>
            </w:pPr>
            <w:r>
              <w:rPr>
                <w:sz w:val="20"/>
              </w:rPr>
              <w:t>(a)</w:t>
            </w:r>
            <w:r>
              <w:rPr>
                <w:sz w:val="20"/>
              </w:rPr>
              <w:tab/>
              <w:t xml:space="preserve">For a person who is not a concessional student and is enrolled to undertake the unit — </w:t>
            </w:r>
          </w:p>
        </w:tc>
        <w:tc>
          <w:tcPr>
            <w:tcW w:w="1134" w:type="dxa"/>
            <w:tcBorders>
              <w:top w:val="nil"/>
              <w:bottom w:val="nil"/>
            </w:tcBorders>
          </w:tcPr>
          <w:p>
            <w:pPr>
              <w:pStyle w:val="yTableNAm"/>
              <w:rPr>
                <w:sz w:val="20"/>
              </w:rPr>
            </w:pPr>
          </w:p>
        </w:tc>
      </w:tr>
      <w:tr>
        <w:trPr>
          <w:cantSplit/>
        </w:trPr>
        <w:tc>
          <w:tcPr>
            <w:tcW w:w="1134" w:type="dxa"/>
            <w:tcBorders>
              <w:top w:val="nil"/>
              <w:bottom w:val="nil"/>
            </w:tcBorders>
          </w:tcPr>
          <w:p>
            <w:pPr>
              <w:pStyle w:val="zyTableNAm"/>
              <w:jc w:val="center"/>
              <w:rPr>
                <w:sz w:val="20"/>
              </w:rPr>
            </w:pPr>
          </w:p>
        </w:tc>
        <w:tc>
          <w:tcPr>
            <w:tcW w:w="3969" w:type="dxa"/>
            <w:tcBorders>
              <w:top w:val="nil"/>
              <w:bottom w:val="nil"/>
            </w:tcBorders>
          </w:tcPr>
          <w:p>
            <w:pPr>
              <w:pStyle w:val="yTableNAm"/>
              <w:tabs>
                <w:tab w:val="left" w:pos="885"/>
              </w:tabs>
              <w:rPr>
                <w:sz w:val="20"/>
              </w:rPr>
            </w:pPr>
            <w:r>
              <w:rPr>
                <w:sz w:val="20"/>
              </w:rPr>
              <w:tab/>
              <w:t>(i)</w:t>
            </w:r>
            <w:r>
              <w:rPr>
                <w:sz w:val="20"/>
              </w:rPr>
              <w:tab/>
              <w:t>for a band 1 unit ........................</w:t>
            </w:r>
          </w:p>
        </w:tc>
        <w:tc>
          <w:tcPr>
            <w:tcW w:w="1134" w:type="dxa"/>
            <w:tcBorders>
              <w:top w:val="nil"/>
              <w:bottom w:val="nil"/>
            </w:tcBorders>
          </w:tcPr>
          <w:p>
            <w:pPr>
              <w:pStyle w:val="yTableNAm"/>
              <w:keepNext/>
              <w:spacing w:line="260" w:lineRule="atLeast"/>
              <w:ind w:left="5387" w:hanging="1134"/>
              <w:rPr>
                <w:sz w:val="20"/>
              </w:rPr>
            </w:pPr>
            <w:r>
              <w:rPr>
                <w:sz w:val="20"/>
              </w:rPr>
              <w:t>16.00</w:t>
            </w:r>
          </w:p>
        </w:tc>
      </w:tr>
      <w:tr>
        <w:trPr>
          <w:cantSplit/>
        </w:trPr>
        <w:tc>
          <w:tcPr>
            <w:tcW w:w="1134" w:type="dxa"/>
            <w:tcBorders>
              <w:top w:val="nil"/>
              <w:bottom w:val="nil"/>
            </w:tcBorders>
          </w:tcPr>
          <w:p>
            <w:pPr>
              <w:pStyle w:val="zyTableNAm"/>
              <w:jc w:val="center"/>
              <w:rPr>
                <w:sz w:val="20"/>
              </w:rPr>
            </w:pPr>
          </w:p>
        </w:tc>
        <w:tc>
          <w:tcPr>
            <w:tcW w:w="3969" w:type="dxa"/>
            <w:tcBorders>
              <w:top w:val="nil"/>
              <w:bottom w:val="nil"/>
            </w:tcBorders>
          </w:tcPr>
          <w:p>
            <w:pPr>
              <w:pStyle w:val="yTableNAm"/>
              <w:tabs>
                <w:tab w:val="left" w:pos="885"/>
              </w:tabs>
              <w:rPr>
                <w:sz w:val="20"/>
              </w:rPr>
            </w:pPr>
            <w:r>
              <w:rPr>
                <w:sz w:val="20"/>
              </w:rPr>
              <w:tab/>
              <w:t>(ii)</w:t>
            </w:r>
            <w:r>
              <w:rPr>
                <w:sz w:val="20"/>
              </w:rPr>
              <w:tab/>
              <w:t>for a band 2 unit ........................</w:t>
            </w:r>
          </w:p>
        </w:tc>
        <w:tc>
          <w:tcPr>
            <w:tcW w:w="1134" w:type="dxa"/>
            <w:tcBorders>
              <w:top w:val="nil"/>
              <w:bottom w:val="nil"/>
            </w:tcBorders>
          </w:tcPr>
          <w:p>
            <w:pPr>
              <w:pStyle w:val="yTableNAm"/>
              <w:keepNext/>
              <w:spacing w:line="260" w:lineRule="atLeast"/>
              <w:ind w:left="5387" w:hanging="1134"/>
              <w:rPr>
                <w:sz w:val="20"/>
              </w:rPr>
            </w:pPr>
            <w:r>
              <w:rPr>
                <w:sz w:val="20"/>
              </w:rPr>
              <w:t>36.00</w:t>
            </w:r>
          </w:p>
        </w:tc>
      </w:tr>
      <w:tr>
        <w:trPr>
          <w:cantSplit/>
        </w:trPr>
        <w:tc>
          <w:tcPr>
            <w:tcW w:w="1134" w:type="dxa"/>
            <w:tcBorders>
              <w:top w:val="nil"/>
              <w:bottom w:val="nil"/>
            </w:tcBorders>
          </w:tcPr>
          <w:p>
            <w:pPr>
              <w:pStyle w:val="zyTableNAm"/>
              <w:jc w:val="center"/>
              <w:rPr>
                <w:sz w:val="20"/>
              </w:rPr>
            </w:pPr>
          </w:p>
        </w:tc>
        <w:tc>
          <w:tcPr>
            <w:tcW w:w="3969" w:type="dxa"/>
            <w:tcBorders>
              <w:top w:val="nil"/>
              <w:bottom w:val="nil"/>
            </w:tcBorders>
          </w:tcPr>
          <w:p>
            <w:pPr>
              <w:pStyle w:val="yTableNAm"/>
              <w:tabs>
                <w:tab w:val="left" w:pos="885"/>
              </w:tabs>
              <w:rPr>
                <w:sz w:val="20"/>
              </w:rPr>
            </w:pPr>
            <w:r>
              <w:rPr>
                <w:sz w:val="20"/>
              </w:rPr>
              <w:tab/>
              <w:t>(iii)</w:t>
            </w:r>
            <w:r>
              <w:rPr>
                <w:sz w:val="20"/>
              </w:rPr>
              <w:tab/>
              <w:t>for a band 3 unit ........................</w:t>
            </w:r>
          </w:p>
        </w:tc>
        <w:tc>
          <w:tcPr>
            <w:tcW w:w="1134" w:type="dxa"/>
            <w:tcBorders>
              <w:top w:val="nil"/>
              <w:bottom w:val="nil"/>
            </w:tcBorders>
          </w:tcPr>
          <w:p>
            <w:pPr>
              <w:pStyle w:val="yTableNAm"/>
              <w:keepNext/>
              <w:spacing w:line="260" w:lineRule="atLeast"/>
              <w:ind w:left="5387" w:hanging="1134"/>
              <w:rPr>
                <w:sz w:val="20"/>
              </w:rPr>
            </w:pPr>
            <w:r>
              <w:rPr>
                <w:sz w:val="20"/>
              </w:rPr>
              <w:t>70.00</w:t>
            </w:r>
          </w:p>
        </w:tc>
      </w:tr>
      <w:tr>
        <w:trPr>
          <w:cantSplit/>
        </w:trPr>
        <w:tc>
          <w:tcPr>
            <w:tcW w:w="1134" w:type="dxa"/>
            <w:tcBorders>
              <w:top w:val="nil"/>
              <w:bottom w:val="nil"/>
            </w:tcBorders>
          </w:tcPr>
          <w:p>
            <w:pPr>
              <w:pStyle w:val="zyTableNAm"/>
              <w:jc w:val="center"/>
              <w:rPr>
                <w:sz w:val="20"/>
              </w:rPr>
            </w:pPr>
          </w:p>
        </w:tc>
        <w:tc>
          <w:tcPr>
            <w:tcW w:w="3969" w:type="dxa"/>
            <w:tcBorders>
              <w:top w:val="nil"/>
              <w:bottom w:val="nil"/>
            </w:tcBorders>
          </w:tcPr>
          <w:p>
            <w:pPr>
              <w:pStyle w:val="yTableNAm"/>
              <w:tabs>
                <w:tab w:val="left" w:pos="885"/>
              </w:tabs>
              <w:rPr>
                <w:sz w:val="20"/>
              </w:rPr>
            </w:pPr>
            <w:r>
              <w:rPr>
                <w:sz w:val="20"/>
              </w:rPr>
              <w:tab/>
              <w:t>(iv)</w:t>
            </w:r>
            <w:r>
              <w:rPr>
                <w:sz w:val="20"/>
              </w:rPr>
              <w:tab/>
              <w:t>for a band 4 unit ........................</w:t>
            </w:r>
          </w:p>
        </w:tc>
        <w:tc>
          <w:tcPr>
            <w:tcW w:w="1134" w:type="dxa"/>
            <w:tcBorders>
              <w:top w:val="nil"/>
              <w:bottom w:val="nil"/>
            </w:tcBorders>
          </w:tcPr>
          <w:p>
            <w:pPr>
              <w:pStyle w:val="yTableNAm"/>
              <w:keepNext/>
              <w:spacing w:line="260" w:lineRule="atLeast"/>
              <w:ind w:left="5387" w:hanging="1134"/>
              <w:rPr>
                <w:sz w:val="20"/>
              </w:rPr>
            </w:pPr>
            <w:r>
              <w:rPr>
                <w:sz w:val="20"/>
              </w:rPr>
              <w:t>136.00</w:t>
            </w:r>
          </w:p>
        </w:tc>
      </w:tr>
      <w:tr>
        <w:trPr>
          <w:cantSplit/>
        </w:trPr>
        <w:tc>
          <w:tcPr>
            <w:tcW w:w="1134" w:type="dxa"/>
            <w:tcBorders>
              <w:top w:val="nil"/>
              <w:bottom w:val="nil"/>
            </w:tcBorders>
          </w:tcPr>
          <w:p>
            <w:pPr>
              <w:pStyle w:val="zyTableNAm"/>
              <w:jc w:val="center"/>
              <w:rPr>
                <w:sz w:val="20"/>
              </w:rPr>
            </w:pPr>
          </w:p>
        </w:tc>
        <w:tc>
          <w:tcPr>
            <w:tcW w:w="3969" w:type="dxa"/>
            <w:tcBorders>
              <w:top w:val="nil"/>
              <w:bottom w:val="nil"/>
            </w:tcBorders>
          </w:tcPr>
          <w:p>
            <w:pPr>
              <w:pStyle w:val="yTableNAm"/>
              <w:tabs>
                <w:tab w:val="left" w:pos="885"/>
              </w:tabs>
              <w:ind w:left="567" w:hanging="567"/>
              <w:rPr>
                <w:sz w:val="20"/>
              </w:rPr>
            </w:pPr>
            <w:r>
              <w:rPr>
                <w:sz w:val="20"/>
              </w:rPr>
              <w:t>(b)</w:t>
            </w:r>
            <w:r>
              <w:rPr>
                <w:sz w:val="20"/>
              </w:rPr>
              <w:tab/>
              <w:t xml:space="preserve">For a person who is a concessional student and is enrolled to undertake the unit — </w:t>
            </w:r>
          </w:p>
        </w:tc>
        <w:tc>
          <w:tcPr>
            <w:tcW w:w="1134" w:type="dxa"/>
            <w:tcBorders>
              <w:top w:val="nil"/>
              <w:bottom w:val="nil"/>
            </w:tcBorders>
          </w:tcPr>
          <w:p>
            <w:pPr>
              <w:pStyle w:val="yTableNAm"/>
              <w:rPr>
                <w:sz w:val="20"/>
              </w:rPr>
            </w:pPr>
          </w:p>
        </w:tc>
      </w:tr>
      <w:tr>
        <w:trPr>
          <w:cantSplit/>
        </w:trPr>
        <w:tc>
          <w:tcPr>
            <w:tcW w:w="1134" w:type="dxa"/>
            <w:tcBorders>
              <w:top w:val="nil"/>
              <w:bottom w:val="nil"/>
            </w:tcBorders>
          </w:tcPr>
          <w:p>
            <w:pPr>
              <w:pStyle w:val="zyTableNAm"/>
              <w:jc w:val="center"/>
              <w:rPr>
                <w:sz w:val="20"/>
              </w:rPr>
            </w:pPr>
          </w:p>
        </w:tc>
        <w:tc>
          <w:tcPr>
            <w:tcW w:w="3969" w:type="dxa"/>
            <w:tcBorders>
              <w:top w:val="nil"/>
              <w:bottom w:val="nil"/>
            </w:tcBorders>
          </w:tcPr>
          <w:p>
            <w:pPr>
              <w:pStyle w:val="yTableNAm"/>
              <w:tabs>
                <w:tab w:val="left" w:pos="885"/>
              </w:tabs>
              <w:rPr>
                <w:sz w:val="20"/>
              </w:rPr>
            </w:pPr>
            <w:r>
              <w:rPr>
                <w:sz w:val="20"/>
              </w:rPr>
              <w:tab/>
              <w:t>(i)</w:t>
            </w:r>
            <w:r>
              <w:rPr>
                <w:sz w:val="20"/>
              </w:rPr>
              <w:tab/>
              <w:t>for a band 1 unit ........................</w:t>
            </w:r>
          </w:p>
        </w:tc>
        <w:tc>
          <w:tcPr>
            <w:tcW w:w="1134" w:type="dxa"/>
            <w:tcBorders>
              <w:top w:val="nil"/>
              <w:bottom w:val="nil"/>
            </w:tcBorders>
          </w:tcPr>
          <w:p>
            <w:pPr>
              <w:pStyle w:val="yTableNAm"/>
              <w:keepNext/>
              <w:spacing w:line="260" w:lineRule="atLeast"/>
              <w:ind w:left="5387" w:hanging="1134"/>
              <w:rPr>
                <w:sz w:val="20"/>
              </w:rPr>
            </w:pPr>
            <w:r>
              <w:rPr>
                <w:sz w:val="20"/>
              </w:rPr>
              <w:t>8.00</w:t>
            </w:r>
          </w:p>
        </w:tc>
      </w:tr>
      <w:tr>
        <w:trPr>
          <w:cantSplit/>
        </w:trPr>
        <w:tc>
          <w:tcPr>
            <w:tcW w:w="1134" w:type="dxa"/>
            <w:tcBorders>
              <w:top w:val="nil"/>
              <w:bottom w:val="nil"/>
            </w:tcBorders>
          </w:tcPr>
          <w:p>
            <w:pPr>
              <w:pStyle w:val="zyTableNAm"/>
              <w:jc w:val="center"/>
              <w:rPr>
                <w:sz w:val="20"/>
              </w:rPr>
            </w:pPr>
          </w:p>
        </w:tc>
        <w:tc>
          <w:tcPr>
            <w:tcW w:w="3969" w:type="dxa"/>
            <w:tcBorders>
              <w:top w:val="nil"/>
              <w:bottom w:val="nil"/>
            </w:tcBorders>
          </w:tcPr>
          <w:p>
            <w:pPr>
              <w:pStyle w:val="yTableNAm"/>
              <w:tabs>
                <w:tab w:val="left" w:pos="885"/>
              </w:tabs>
              <w:rPr>
                <w:sz w:val="20"/>
              </w:rPr>
            </w:pPr>
            <w:r>
              <w:rPr>
                <w:sz w:val="20"/>
              </w:rPr>
              <w:tab/>
              <w:t>(ii)</w:t>
            </w:r>
            <w:r>
              <w:rPr>
                <w:sz w:val="20"/>
              </w:rPr>
              <w:tab/>
              <w:t>for a band 2 unit ........................</w:t>
            </w:r>
          </w:p>
        </w:tc>
        <w:tc>
          <w:tcPr>
            <w:tcW w:w="1134" w:type="dxa"/>
            <w:tcBorders>
              <w:top w:val="nil"/>
              <w:bottom w:val="nil"/>
            </w:tcBorders>
          </w:tcPr>
          <w:p>
            <w:pPr>
              <w:pStyle w:val="yTableNAm"/>
              <w:keepNext/>
              <w:spacing w:line="260" w:lineRule="atLeast"/>
              <w:ind w:left="5387" w:hanging="1134"/>
              <w:rPr>
                <w:sz w:val="20"/>
              </w:rPr>
            </w:pPr>
            <w:r>
              <w:rPr>
                <w:sz w:val="20"/>
              </w:rPr>
              <w:t>18.00</w:t>
            </w:r>
          </w:p>
        </w:tc>
      </w:tr>
      <w:tr>
        <w:trPr>
          <w:cantSplit/>
        </w:trPr>
        <w:tc>
          <w:tcPr>
            <w:tcW w:w="1134" w:type="dxa"/>
            <w:tcBorders>
              <w:top w:val="nil"/>
              <w:bottom w:val="nil"/>
            </w:tcBorders>
          </w:tcPr>
          <w:p>
            <w:pPr>
              <w:pStyle w:val="zyTableNAm"/>
              <w:jc w:val="center"/>
              <w:rPr>
                <w:sz w:val="20"/>
              </w:rPr>
            </w:pPr>
          </w:p>
        </w:tc>
        <w:tc>
          <w:tcPr>
            <w:tcW w:w="3969" w:type="dxa"/>
            <w:tcBorders>
              <w:top w:val="nil"/>
              <w:bottom w:val="nil"/>
            </w:tcBorders>
          </w:tcPr>
          <w:p>
            <w:pPr>
              <w:pStyle w:val="yTableNAm"/>
              <w:tabs>
                <w:tab w:val="left" w:pos="885"/>
              </w:tabs>
              <w:rPr>
                <w:sz w:val="20"/>
              </w:rPr>
            </w:pPr>
            <w:r>
              <w:rPr>
                <w:sz w:val="20"/>
              </w:rPr>
              <w:tab/>
              <w:t>(iii)</w:t>
            </w:r>
            <w:r>
              <w:rPr>
                <w:sz w:val="20"/>
              </w:rPr>
              <w:tab/>
              <w:t>for a band 3 unit ........................</w:t>
            </w:r>
          </w:p>
        </w:tc>
        <w:tc>
          <w:tcPr>
            <w:tcW w:w="1134" w:type="dxa"/>
            <w:tcBorders>
              <w:top w:val="nil"/>
              <w:bottom w:val="nil"/>
            </w:tcBorders>
          </w:tcPr>
          <w:p>
            <w:pPr>
              <w:pStyle w:val="yTableNAm"/>
              <w:keepNext/>
              <w:spacing w:line="260" w:lineRule="atLeast"/>
              <w:ind w:left="5387" w:hanging="1134"/>
              <w:rPr>
                <w:sz w:val="20"/>
              </w:rPr>
            </w:pPr>
            <w:r>
              <w:rPr>
                <w:sz w:val="20"/>
              </w:rPr>
              <w:t>35.00</w:t>
            </w:r>
          </w:p>
        </w:tc>
      </w:tr>
      <w:tr>
        <w:trPr>
          <w:cantSplit/>
        </w:trPr>
        <w:tc>
          <w:tcPr>
            <w:tcW w:w="1134" w:type="dxa"/>
            <w:tcBorders>
              <w:top w:val="nil"/>
            </w:tcBorders>
          </w:tcPr>
          <w:p>
            <w:pPr>
              <w:pStyle w:val="zyTableNAm"/>
              <w:jc w:val="center"/>
              <w:rPr>
                <w:sz w:val="20"/>
              </w:rPr>
            </w:pPr>
          </w:p>
        </w:tc>
        <w:tc>
          <w:tcPr>
            <w:tcW w:w="3969" w:type="dxa"/>
            <w:tcBorders>
              <w:top w:val="nil"/>
            </w:tcBorders>
          </w:tcPr>
          <w:p>
            <w:pPr>
              <w:pStyle w:val="yTableNAm"/>
              <w:tabs>
                <w:tab w:val="left" w:pos="885"/>
              </w:tabs>
              <w:rPr>
                <w:sz w:val="20"/>
              </w:rPr>
            </w:pPr>
            <w:r>
              <w:rPr>
                <w:sz w:val="20"/>
              </w:rPr>
              <w:tab/>
              <w:t>(iv)</w:t>
            </w:r>
            <w:r>
              <w:rPr>
                <w:sz w:val="20"/>
              </w:rPr>
              <w:tab/>
              <w:t>for a band 4 unit ........................</w:t>
            </w:r>
          </w:p>
        </w:tc>
        <w:tc>
          <w:tcPr>
            <w:tcW w:w="1134" w:type="dxa"/>
            <w:tcBorders>
              <w:top w:val="nil"/>
            </w:tcBorders>
          </w:tcPr>
          <w:p>
            <w:pPr>
              <w:pStyle w:val="yTableNAm"/>
              <w:keepNext/>
              <w:spacing w:line="260" w:lineRule="atLeast"/>
              <w:ind w:left="5387" w:hanging="1134"/>
              <w:rPr>
                <w:sz w:val="20"/>
              </w:rPr>
            </w:pPr>
            <w:r>
              <w:rPr>
                <w:sz w:val="20"/>
              </w:rPr>
              <w:t>68.00</w:t>
            </w:r>
          </w:p>
        </w:tc>
      </w:tr>
      <w:tr>
        <w:trPr>
          <w:cantSplit/>
        </w:trPr>
        <w:tc>
          <w:tcPr>
            <w:tcW w:w="1134" w:type="dxa"/>
          </w:tcPr>
          <w:p>
            <w:pPr>
              <w:pStyle w:val="yTableNAm"/>
              <w:keepNext/>
              <w:spacing w:line="260" w:lineRule="atLeast"/>
              <w:ind w:left="5387" w:hanging="1134"/>
              <w:rPr>
                <w:sz w:val="20"/>
              </w:rPr>
            </w:pPr>
            <w:r>
              <w:rPr>
                <w:sz w:val="20"/>
              </w:rPr>
              <w:t>2.</w:t>
            </w:r>
          </w:p>
        </w:tc>
        <w:tc>
          <w:tcPr>
            <w:tcW w:w="3969" w:type="dxa"/>
          </w:tcPr>
          <w:p>
            <w:pPr>
              <w:pStyle w:val="yTableNAm"/>
              <w:tabs>
                <w:tab w:val="left" w:pos="885"/>
              </w:tabs>
              <w:rPr>
                <w:sz w:val="20"/>
              </w:rPr>
            </w:pPr>
            <w:r>
              <w:rPr>
                <w:sz w:val="20"/>
              </w:rPr>
              <w:t>Category B course, per semester ...............</w:t>
            </w:r>
          </w:p>
        </w:tc>
        <w:tc>
          <w:tcPr>
            <w:tcW w:w="1134" w:type="dxa"/>
          </w:tcPr>
          <w:p>
            <w:pPr>
              <w:pStyle w:val="yTableNAm"/>
              <w:keepNext/>
              <w:spacing w:line="260" w:lineRule="atLeast"/>
              <w:ind w:left="5387" w:hanging="1134"/>
              <w:rPr>
                <w:sz w:val="20"/>
              </w:rPr>
            </w:pPr>
            <w:r>
              <w:rPr>
                <w:sz w:val="20"/>
              </w:rPr>
              <w:t>25.00</w:t>
            </w:r>
          </w:p>
        </w:tc>
      </w:tr>
    </w:tbl>
    <w:p>
      <w:pPr>
        <w:pStyle w:val="nzHeading3"/>
      </w:pPr>
      <w:r>
        <w:t>Division 2</w:t>
      </w:r>
      <w:r>
        <w:rPr>
          <w:b w:val="0"/>
        </w:rPr>
        <w:t> — </w:t>
      </w:r>
      <w:r>
        <w:t xml:space="preserve">2014 — other fees </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2"/>
        <w:gridCol w:w="2695"/>
        <w:gridCol w:w="2410"/>
      </w:tblGrid>
      <w:tr>
        <w:trPr>
          <w:tblHeader/>
        </w:trPr>
        <w:tc>
          <w:tcPr>
            <w:tcW w:w="1132" w:type="dxa"/>
            <w:tcBorders>
              <w:bottom w:val="nil"/>
            </w:tcBorders>
          </w:tcPr>
          <w:p>
            <w:pPr>
              <w:pStyle w:val="yTableNAm"/>
              <w:keepNext/>
            </w:pPr>
            <w:r>
              <w:rPr>
                <w:b/>
                <w:bCs/>
              </w:rPr>
              <w:t>Item</w:t>
            </w:r>
          </w:p>
        </w:tc>
        <w:tc>
          <w:tcPr>
            <w:tcW w:w="2695" w:type="dxa"/>
            <w:tcBorders>
              <w:bottom w:val="nil"/>
            </w:tcBorders>
          </w:tcPr>
          <w:p>
            <w:pPr>
              <w:pStyle w:val="yTableNAm"/>
              <w:keepNext/>
            </w:pPr>
            <w:r>
              <w:rPr>
                <w:b/>
                <w:bCs/>
              </w:rPr>
              <w:t>Fee for</w:t>
            </w:r>
          </w:p>
        </w:tc>
        <w:tc>
          <w:tcPr>
            <w:tcW w:w="2410" w:type="dxa"/>
            <w:vMerge w:val="restart"/>
          </w:tcPr>
          <w:p>
            <w:pPr>
              <w:pStyle w:val="yTableNAm"/>
              <w:keepNext/>
            </w:pPr>
            <w:r>
              <w:rPr>
                <w:b/>
                <w:bCs/>
              </w:rPr>
              <w:t>Fee</w:t>
            </w:r>
          </w:p>
        </w:tc>
      </w:tr>
      <w:tr>
        <w:trPr>
          <w:tblHeader/>
        </w:trPr>
        <w:tc>
          <w:tcPr>
            <w:tcW w:w="1132" w:type="dxa"/>
            <w:tcBorders>
              <w:top w:val="nil"/>
            </w:tcBorders>
          </w:tcPr>
          <w:p>
            <w:pPr>
              <w:pStyle w:val="zyTableNAm"/>
              <w:keepNext/>
              <w:keepLines/>
              <w:widowControl w:val="0"/>
            </w:pPr>
          </w:p>
        </w:tc>
        <w:tc>
          <w:tcPr>
            <w:tcW w:w="2695" w:type="dxa"/>
            <w:tcBorders>
              <w:top w:val="nil"/>
            </w:tcBorders>
          </w:tcPr>
          <w:p>
            <w:pPr>
              <w:pStyle w:val="zyTableNAm"/>
              <w:keepNext/>
              <w:keepLines/>
              <w:widowControl w:val="0"/>
            </w:pPr>
          </w:p>
        </w:tc>
        <w:tc>
          <w:tcPr>
            <w:tcW w:w="2410" w:type="dxa"/>
            <w:vMerge/>
          </w:tcPr>
          <w:p>
            <w:pPr>
              <w:pStyle w:val="yTableNAm"/>
            </w:pPr>
          </w:p>
        </w:tc>
      </w:tr>
      <w:tr>
        <w:trPr>
          <w:cantSplit/>
        </w:trPr>
        <w:tc>
          <w:tcPr>
            <w:tcW w:w="1132" w:type="dxa"/>
          </w:tcPr>
          <w:p>
            <w:pPr>
              <w:pStyle w:val="yTableNAm"/>
            </w:pPr>
            <w:r>
              <w:t>1.</w:t>
            </w:r>
          </w:p>
        </w:tc>
        <w:tc>
          <w:tcPr>
            <w:tcW w:w="2695" w:type="dxa"/>
          </w:tcPr>
          <w:p>
            <w:pPr>
              <w:pStyle w:val="yTableNAm"/>
            </w:pPr>
            <w:r>
              <w:t>Late application (r. 9(2)) ....</w:t>
            </w:r>
          </w:p>
        </w:tc>
        <w:tc>
          <w:tcPr>
            <w:tcW w:w="2410" w:type="dxa"/>
          </w:tcPr>
          <w:p>
            <w:pPr>
              <w:pStyle w:val="yTableNAm"/>
            </w:pPr>
            <w:r>
              <w:t>75.00</w:t>
            </w:r>
          </w:p>
        </w:tc>
      </w:tr>
      <w:tr>
        <w:trPr>
          <w:cantSplit/>
        </w:trPr>
        <w:tc>
          <w:tcPr>
            <w:tcW w:w="1132" w:type="dxa"/>
          </w:tcPr>
          <w:p>
            <w:pPr>
              <w:pStyle w:val="zyTableNAm"/>
              <w:keepNext/>
              <w:keepLines/>
              <w:widowControl w:val="0"/>
              <w:jc w:val="center"/>
            </w:pPr>
          </w:p>
        </w:tc>
        <w:tc>
          <w:tcPr>
            <w:tcW w:w="2695" w:type="dxa"/>
          </w:tcPr>
          <w:p>
            <w:pPr>
              <w:pStyle w:val="zyTableNAm"/>
              <w:keepNext/>
              <w:keepLines/>
              <w:widowControl w:val="0"/>
            </w:pPr>
          </w:p>
        </w:tc>
        <w:tc>
          <w:tcPr>
            <w:tcW w:w="2410" w:type="dxa"/>
          </w:tcPr>
          <w:p>
            <w:pPr>
              <w:pStyle w:val="yTableNAm"/>
              <w:jc w:val="center"/>
              <w:rPr>
                <w:rFonts w:ascii="Arial" w:hAnsi="Arial"/>
                <w:b/>
              </w:rPr>
            </w:pPr>
            <w:r>
              <w:rPr>
                <w:b/>
                <w:bCs/>
              </w:rPr>
              <w:t>Fee in $ per hour of unit</w:t>
            </w:r>
          </w:p>
        </w:tc>
      </w:tr>
      <w:tr>
        <w:trPr>
          <w:cantSplit/>
        </w:trPr>
        <w:tc>
          <w:tcPr>
            <w:tcW w:w="1132" w:type="dxa"/>
          </w:tcPr>
          <w:p>
            <w:pPr>
              <w:pStyle w:val="yTableNAm"/>
            </w:pPr>
            <w:r>
              <w:t>2.</w:t>
            </w:r>
          </w:p>
        </w:tc>
        <w:tc>
          <w:tcPr>
            <w:tcW w:w="2695" w:type="dxa"/>
          </w:tcPr>
          <w:p>
            <w:pPr>
              <w:pStyle w:val="yTableNAm"/>
            </w:pPr>
            <w:r>
              <w:t xml:space="preserve">Category 1 course — </w:t>
            </w:r>
            <w:r>
              <w:br/>
              <w:t>all students .........................</w:t>
            </w:r>
          </w:p>
        </w:tc>
        <w:tc>
          <w:tcPr>
            <w:tcW w:w="2410" w:type="dxa"/>
          </w:tcPr>
          <w:p>
            <w:pPr>
              <w:pStyle w:val="yTableNAm"/>
            </w:pPr>
            <w:r>
              <w:br/>
              <w:t>5.53</w:t>
            </w:r>
          </w:p>
        </w:tc>
      </w:tr>
      <w:tr>
        <w:trPr>
          <w:cantSplit/>
        </w:trPr>
        <w:tc>
          <w:tcPr>
            <w:tcW w:w="1132" w:type="dxa"/>
            <w:tcBorders>
              <w:bottom w:val="single" w:sz="4" w:space="0" w:color="auto"/>
            </w:tcBorders>
          </w:tcPr>
          <w:p>
            <w:pPr>
              <w:pStyle w:val="yTableNAm"/>
            </w:pPr>
            <w:r>
              <w:t>3.</w:t>
            </w:r>
          </w:p>
        </w:tc>
        <w:tc>
          <w:tcPr>
            <w:tcW w:w="2695" w:type="dxa"/>
            <w:tcBorders>
              <w:bottom w:val="single" w:sz="4" w:space="0" w:color="auto"/>
            </w:tcBorders>
          </w:tcPr>
          <w:p>
            <w:pPr>
              <w:pStyle w:val="yTableNAm"/>
            </w:pPr>
            <w:r>
              <w:t xml:space="preserve">Category 2 course — </w:t>
            </w:r>
          </w:p>
        </w:tc>
        <w:tc>
          <w:tcPr>
            <w:tcW w:w="2410" w:type="dxa"/>
            <w:tcBorders>
              <w:bottom w:val="single" w:sz="4" w:space="0" w:color="auto"/>
            </w:tcBorders>
          </w:tcPr>
          <w:p>
            <w:pPr>
              <w:pStyle w:val="yTableNAm"/>
            </w:pPr>
          </w:p>
        </w:tc>
      </w:tr>
      <w:tr>
        <w:trPr>
          <w:cantSplit/>
        </w:trPr>
        <w:tc>
          <w:tcPr>
            <w:tcW w:w="1132" w:type="dxa"/>
            <w:tcBorders>
              <w:bottom w:val="nil"/>
            </w:tcBorders>
          </w:tcPr>
          <w:p>
            <w:pPr>
              <w:pStyle w:val="zyTableNAm"/>
              <w:jc w:val="center"/>
            </w:pPr>
          </w:p>
        </w:tc>
        <w:tc>
          <w:tcPr>
            <w:tcW w:w="2695" w:type="dxa"/>
            <w:tcBorders>
              <w:bottom w:val="nil"/>
            </w:tcBorders>
          </w:tcPr>
          <w:p>
            <w:pPr>
              <w:pStyle w:val="yTableNAm"/>
              <w:ind w:left="567" w:hanging="567"/>
              <w:rPr>
                <w:rFonts w:ascii="Arial" w:hAnsi="Arial"/>
                <w:b/>
              </w:rPr>
            </w:pPr>
            <w:r>
              <w:t>(a)</w:t>
            </w:r>
            <w:r>
              <w:tab/>
              <w:t>for a student who is not a concessional student ......................</w:t>
            </w:r>
          </w:p>
        </w:tc>
        <w:tc>
          <w:tcPr>
            <w:tcW w:w="2410" w:type="dxa"/>
            <w:tcBorders>
              <w:bottom w:val="nil"/>
            </w:tcBorders>
          </w:tcPr>
          <w:p>
            <w:pPr>
              <w:pStyle w:val="yTableNAm"/>
            </w:pPr>
            <w:r>
              <w:br/>
            </w:r>
            <w:r>
              <w:br/>
              <w:t>2.49</w:t>
            </w:r>
          </w:p>
        </w:tc>
      </w:tr>
      <w:tr>
        <w:trPr>
          <w:cantSplit/>
        </w:trPr>
        <w:tc>
          <w:tcPr>
            <w:tcW w:w="1132" w:type="dxa"/>
            <w:tcBorders>
              <w:top w:val="nil"/>
            </w:tcBorders>
          </w:tcPr>
          <w:p>
            <w:pPr>
              <w:pStyle w:val="zyTableNAm"/>
              <w:jc w:val="center"/>
            </w:pPr>
          </w:p>
        </w:tc>
        <w:tc>
          <w:tcPr>
            <w:tcW w:w="2695" w:type="dxa"/>
            <w:tcBorders>
              <w:top w:val="nil"/>
            </w:tcBorders>
          </w:tcPr>
          <w:p>
            <w:pPr>
              <w:pStyle w:val="yTableNAm"/>
              <w:ind w:left="567" w:hanging="567"/>
              <w:rPr>
                <w:rFonts w:ascii="Arial" w:hAnsi="Arial"/>
                <w:b/>
              </w:rPr>
            </w:pPr>
            <w:r>
              <w:t>(b)</w:t>
            </w:r>
            <w:r>
              <w:tab/>
              <w:t>for a concessional student ......................</w:t>
            </w:r>
          </w:p>
        </w:tc>
        <w:tc>
          <w:tcPr>
            <w:tcW w:w="2410" w:type="dxa"/>
            <w:tcBorders>
              <w:top w:val="nil"/>
            </w:tcBorders>
          </w:tcPr>
          <w:p>
            <w:pPr>
              <w:pStyle w:val="yTableNAm"/>
            </w:pPr>
            <w:r>
              <w:br/>
              <w:t>1.25</w:t>
            </w:r>
          </w:p>
        </w:tc>
      </w:tr>
      <w:tr>
        <w:trPr>
          <w:cantSplit/>
        </w:trPr>
        <w:tc>
          <w:tcPr>
            <w:tcW w:w="1132" w:type="dxa"/>
            <w:tcBorders>
              <w:bottom w:val="single" w:sz="4" w:space="0" w:color="auto"/>
            </w:tcBorders>
          </w:tcPr>
          <w:p>
            <w:pPr>
              <w:pStyle w:val="yTableNAm"/>
            </w:pPr>
            <w:r>
              <w:t>4.</w:t>
            </w:r>
          </w:p>
        </w:tc>
        <w:tc>
          <w:tcPr>
            <w:tcW w:w="2695" w:type="dxa"/>
            <w:tcBorders>
              <w:bottom w:val="single" w:sz="4" w:space="0" w:color="auto"/>
            </w:tcBorders>
          </w:tcPr>
          <w:p>
            <w:pPr>
              <w:pStyle w:val="yTableNAm"/>
            </w:pPr>
            <w:r>
              <w:t xml:space="preserve">Category 3 course — </w:t>
            </w:r>
          </w:p>
        </w:tc>
        <w:tc>
          <w:tcPr>
            <w:tcW w:w="2410" w:type="dxa"/>
            <w:tcBorders>
              <w:bottom w:val="single" w:sz="4" w:space="0" w:color="auto"/>
            </w:tcBorders>
          </w:tcPr>
          <w:p>
            <w:pPr>
              <w:pStyle w:val="yTableNAm"/>
            </w:pPr>
          </w:p>
        </w:tc>
      </w:tr>
      <w:tr>
        <w:trPr>
          <w:cantSplit/>
        </w:trPr>
        <w:tc>
          <w:tcPr>
            <w:tcW w:w="1132" w:type="dxa"/>
            <w:tcBorders>
              <w:bottom w:val="nil"/>
            </w:tcBorders>
          </w:tcPr>
          <w:p>
            <w:pPr>
              <w:pStyle w:val="zyTableNAm"/>
              <w:jc w:val="center"/>
            </w:pPr>
          </w:p>
        </w:tc>
        <w:tc>
          <w:tcPr>
            <w:tcW w:w="2695" w:type="dxa"/>
            <w:tcBorders>
              <w:bottom w:val="nil"/>
            </w:tcBorders>
          </w:tcPr>
          <w:p>
            <w:pPr>
              <w:pStyle w:val="yTableNAm"/>
              <w:ind w:left="567" w:hanging="567"/>
              <w:rPr>
                <w:rFonts w:ascii="Arial" w:hAnsi="Arial"/>
                <w:b/>
              </w:rPr>
            </w:pPr>
            <w:r>
              <w:t>(a)</w:t>
            </w:r>
            <w:r>
              <w:tab/>
              <w:t xml:space="preserve">student who is not a concessional student </w:t>
            </w:r>
          </w:p>
        </w:tc>
        <w:tc>
          <w:tcPr>
            <w:tcW w:w="2410" w:type="dxa"/>
            <w:tcBorders>
              <w:bottom w:val="nil"/>
            </w:tcBorders>
          </w:tcPr>
          <w:p>
            <w:pPr>
              <w:pStyle w:val="yTableNAm"/>
            </w:pPr>
            <w:r>
              <w:br/>
              <w:t>3.92</w:t>
            </w:r>
          </w:p>
        </w:tc>
      </w:tr>
      <w:tr>
        <w:trPr>
          <w:cantSplit/>
        </w:trPr>
        <w:tc>
          <w:tcPr>
            <w:tcW w:w="1132" w:type="dxa"/>
            <w:tcBorders>
              <w:top w:val="nil"/>
            </w:tcBorders>
          </w:tcPr>
          <w:p>
            <w:pPr>
              <w:pStyle w:val="zyTableNAm"/>
              <w:jc w:val="center"/>
            </w:pPr>
          </w:p>
        </w:tc>
        <w:tc>
          <w:tcPr>
            <w:tcW w:w="2695" w:type="dxa"/>
            <w:tcBorders>
              <w:top w:val="nil"/>
            </w:tcBorders>
          </w:tcPr>
          <w:p>
            <w:pPr>
              <w:pStyle w:val="yTableNAm"/>
              <w:ind w:left="567" w:hanging="567"/>
              <w:rPr>
                <w:rFonts w:ascii="Arial" w:hAnsi="Arial"/>
                <w:b/>
              </w:rPr>
            </w:pPr>
            <w:r>
              <w:t>(b)</w:t>
            </w:r>
            <w:r>
              <w:tab/>
              <w:t>for a concessional student ......................</w:t>
            </w:r>
          </w:p>
        </w:tc>
        <w:tc>
          <w:tcPr>
            <w:tcW w:w="2410" w:type="dxa"/>
            <w:tcBorders>
              <w:top w:val="nil"/>
            </w:tcBorders>
          </w:tcPr>
          <w:p>
            <w:pPr>
              <w:pStyle w:val="yTableNAm"/>
            </w:pPr>
            <w:r>
              <w:br/>
              <w:t>1.96</w:t>
            </w:r>
          </w:p>
        </w:tc>
      </w:tr>
      <w:tr>
        <w:trPr>
          <w:cantSplit/>
        </w:trPr>
        <w:tc>
          <w:tcPr>
            <w:tcW w:w="1132" w:type="dxa"/>
          </w:tcPr>
          <w:p>
            <w:pPr>
              <w:pStyle w:val="yTableNAm"/>
            </w:pPr>
            <w:r>
              <w:t>5.</w:t>
            </w:r>
          </w:p>
        </w:tc>
        <w:tc>
          <w:tcPr>
            <w:tcW w:w="2695" w:type="dxa"/>
          </w:tcPr>
          <w:p>
            <w:pPr>
              <w:pStyle w:val="yTableNAm"/>
            </w:pPr>
            <w:r>
              <w:t>Category 4 course — all students ..............................</w:t>
            </w:r>
          </w:p>
        </w:tc>
        <w:tc>
          <w:tcPr>
            <w:tcW w:w="2410" w:type="dxa"/>
          </w:tcPr>
          <w:p>
            <w:pPr>
              <w:pStyle w:val="yTableNAm"/>
            </w:pPr>
            <w:r>
              <w:br/>
              <w:t>0.20</w:t>
            </w:r>
          </w:p>
        </w:tc>
      </w:tr>
    </w:tbl>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5" w:name="_Toc375145408"/>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 w:name="DefinedTerms"/>
      <w:bookmarkEnd w:id="56"/>
      <w:r>
        <w:t>Act</w:t>
      </w:r>
      <w:r>
        <w:tab/>
        <w:t>3(1)</w:t>
      </w:r>
    </w:p>
    <w:p>
      <w:pPr>
        <w:pStyle w:val="DefinedTerms"/>
      </w:pPr>
      <w:r>
        <w:t>Admissions Manager</w:t>
      </w:r>
      <w:r>
        <w:tab/>
        <w:t>5</w:t>
      </w:r>
    </w:p>
    <w:p>
      <w:pPr>
        <w:pStyle w:val="DefinedTerms"/>
      </w:pPr>
      <w:r>
        <w:t>assessment of skills and competency</w:t>
      </w:r>
      <w:r>
        <w:tab/>
        <w:t>3(1)</w:t>
      </w:r>
    </w:p>
    <w:p>
      <w:pPr>
        <w:pStyle w:val="DefinedTerms"/>
      </w:pPr>
      <w:r>
        <w:t>Australian resident</w:t>
      </w:r>
      <w:r>
        <w:tab/>
        <w:t>15A(4)</w:t>
      </w:r>
    </w:p>
    <w:p>
      <w:pPr>
        <w:pStyle w:val="DefinedTerms"/>
      </w:pPr>
      <w:r>
        <w:t>band</w:t>
      </w:r>
      <w:r>
        <w:tab/>
        <w:t>3(1)</w:t>
      </w:r>
    </w:p>
    <w:p>
      <w:pPr>
        <w:pStyle w:val="DefinedTerms"/>
      </w:pPr>
      <w:r>
        <w:t>category</w:t>
      </w:r>
      <w:r>
        <w:tab/>
        <w:t>3(1)</w:t>
      </w:r>
    </w:p>
    <w:p>
      <w:pPr>
        <w:pStyle w:val="DefinedTerms"/>
      </w:pPr>
      <w:r>
        <w:t>Centrelink</w:t>
      </w:r>
      <w:r>
        <w:tab/>
        <w:t>3(1), 20(1)</w:t>
      </w:r>
    </w:p>
    <w:p>
      <w:pPr>
        <w:pStyle w:val="DefinedTerms"/>
      </w:pPr>
      <w:r>
        <w:t>completing a course</w:t>
      </w:r>
      <w:r>
        <w:tab/>
        <w:t>3(3)</w:t>
      </w:r>
    </w:p>
    <w:p>
      <w:pPr>
        <w:pStyle w:val="DefinedTerms"/>
      </w:pPr>
      <w:r>
        <w:t>completing a unit</w:t>
      </w:r>
      <w:r>
        <w:tab/>
        <w:t>3(3)</w:t>
      </w:r>
    </w:p>
    <w:p>
      <w:pPr>
        <w:pStyle w:val="DefinedTerms"/>
      </w:pPr>
      <w:r>
        <w:t>concessional student</w:t>
      </w:r>
      <w:r>
        <w:tab/>
        <w:t>3(1)</w:t>
      </w:r>
    </w:p>
    <w:p>
      <w:pPr>
        <w:pStyle w:val="DefinedTerms"/>
      </w:pPr>
      <w:r>
        <w:t>course</w:t>
      </w:r>
      <w:r>
        <w:tab/>
        <w:t>3(1), 5</w:t>
      </w:r>
    </w:p>
    <w:p>
      <w:pPr>
        <w:pStyle w:val="DefinedTerms"/>
      </w:pPr>
      <w:r>
        <w:t>hours</w:t>
      </w:r>
      <w:r>
        <w:tab/>
        <w:t>3(1)</w:t>
      </w:r>
    </w:p>
    <w:p>
      <w:pPr>
        <w:pStyle w:val="DefinedTerms"/>
      </w:pPr>
      <w:r>
        <w:t>Job Services Australia provider</w:t>
      </w:r>
      <w:r>
        <w:tab/>
        <w:t>14(1)</w:t>
      </w:r>
    </w:p>
    <w:p>
      <w:pPr>
        <w:pStyle w:val="DefinedTerms"/>
      </w:pPr>
      <w:r>
        <w:t>payment period</w:t>
      </w:r>
      <w:r>
        <w:tab/>
        <w:t>24A</w:t>
      </w:r>
    </w:p>
    <w:p>
      <w:pPr>
        <w:pStyle w:val="DefinedTerms"/>
      </w:pPr>
      <w:r>
        <w:t>payment plan</w:t>
      </w:r>
      <w:r>
        <w:tab/>
        <w:t>13C(1)</w:t>
      </w:r>
    </w:p>
    <w:p>
      <w:pPr>
        <w:pStyle w:val="DefinedTerms"/>
      </w:pPr>
      <w:r>
        <w:t>pro rata refund</w:t>
      </w:r>
      <w:r>
        <w:tab/>
        <w:t>24A</w:t>
      </w:r>
    </w:p>
    <w:p>
      <w:pPr>
        <w:pStyle w:val="DefinedTerms"/>
      </w:pPr>
      <w:r>
        <w:t>seal book</w:t>
      </w:r>
      <w:r>
        <w:tab/>
        <w:t>31(1)</w:t>
      </w:r>
    </w:p>
    <w:p>
      <w:pPr>
        <w:pStyle w:val="DefinedTerms"/>
      </w:pPr>
      <w:r>
        <w:t>unemployed person</w:t>
      </w:r>
      <w:r>
        <w:tab/>
        <w:t>14(1)</w:t>
      </w:r>
    </w:p>
    <w:p>
      <w:pPr>
        <w:pStyle w:val="DefinedTerms"/>
      </w:pPr>
      <w:r>
        <w:t>unforseen circumstances</w:t>
      </w:r>
      <w:r>
        <w:tab/>
        <w:t>24A</w:t>
      </w:r>
    </w:p>
    <w:p>
      <w:pPr>
        <w:pStyle w:val="DefinedTerms"/>
      </w:pPr>
      <w:r>
        <w:t>unit</w:t>
      </w:r>
      <w:r>
        <w:tab/>
        <w:t>3(1)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55516"/>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9661</Words>
  <Characters>44736</Characters>
  <Application>Microsoft Office Word</Application>
  <DocSecurity>0</DocSecurity>
  <Lines>1597</Lines>
  <Paragraphs>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1996 - 05-c0-00</dc:title>
  <dc:subject/>
  <dc:creator/>
  <cp:keywords/>
  <dc:description/>
  <cp:lastModifiedBy>svcMRProcess</cp:lastModifiedBy>
  <cp:revision>4</cp:revision>
  <cp:lastPrinted>2012-03-28T06:06:00Z</cp:lastPrinted>
  <dcterms:created xsi:type="dcterms:W3CDTF">2018-09-16T22:42:00Z</dcterms:created>
  <dcterms:modified xsi:type="dcterms:W3CDTF">2018-09-16T22:42:00Z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20131217</vt:lpwstr>
  </property>
  <property fmtid="{D5CDD505-2E9C-101B-9397-08002B2CF9AE}" pid="4" name="DocumentType">
    <vt:lpwstr>Reg</vt:lpwstr>
  </property>
  <property fmtid="{D5CDD505-2E9C-101B-9397-08002B2CF9AE}" pid="5" name="OwlsUID">
    <vt:i4>4836</vt:i4>
  </property>
  <property fmtid="{D5CDD505-2E9C-101B-9397-08002B2CF9AE}" pid="6" name="AsAtDate">
    <vt:lpwstr>17 Dec 2013</vt:lpwstr>
  </property>
  <property fmtid="{D5CDD505-2E9C-101B-9397-08002B2CF9AE}" pid="7" name="Suffix">
    <vt:lpwstr>05-c0-00</vt:lpwstr>
  </property>
  <property fmtid="{D5CDD505-2E9C-101B-9397-08002B2CF9AE}" pid="8" name="ReprintNo">
    <vt:lpwstr>5</vt:lpwstr>
  </property>
  <property fmtid="{D5CDD505-2E9C-101B-9397-08002B2CF9AE}" pid="9" name="ReprintedAsAt">
    <vt:filetime>2012-03-08T16:00:00Z</vt:filetime>
  </property>
</Properties>
</file>