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Act 1945</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8</w:t>
      </w:r>
      <w:r>
        <w:fldChar w:fldCharType="end"/>
      </w:r>
      <w:r>
        <w:t xml:space="preserve">:  The Act as at </w:t>
      </w:r>
      <w:r>
        <w:fldChar w:fldCharType="begin"/>
      </w:r>
      <w:r>
        <w:instrText xml:space="preserve"> DOCPROPERTY "ReprintedAsAt" \@ "d MMMM yyyy" </w:instrText>
      </w:r>
      <w:r>
        <w:fldChar w:fldCharType="separate"/>
      </w:r>
      <w:r>
        <w:t>13 December 2013</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5142020"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13 December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Electricity Act 1945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_Toc382317510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repealed</w:t>
      </w:r>
      <w:r>
        <w:tab/>
      </w:r>
      <w:r>
        <w:fldChar w:fldCharType="begin"/>
      </w:r>
      <w:r>
        <w:instrText xml:space="preserve"> PAGEREF _Toc382317511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Act not to apply to Government electric railways</w:t>
      </w:r>
      <w:r>
        <w:tab/>
      </w:r>
      <w:r>
        <w:fldChar w:fldCharType="begin"/>
      </w:r>
      <w:r>
        <w:instrText xml:space="preserve"> PAGEREF _Toc382317512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_Toc382317513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of Act to supply authorities</w:t>
      </w:r>
      <w:r>
        <w:tab/>
      </w:r>
      <w:r>
        <w:fldChar w:fldCharType="begin"/>
      </w:r>
      <w:r>
        <w:instrText xml:space="preserve"> PAGEREF _Toc382317514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II — Powers, rights and obligations</w:t>
      </w:r>
    </w:p>
    <w:p>
      <w:pPr>
        <w:pStyle w:val="TOC8"/>
        <w:rPr>
          <w:rFonts w:asciiTheme="minorHAnsi" w:eastAsiaTheme="minorEastAsia" w:hAnsiTheme="minorHAnsi" w:cstheme="minorBidi"/>
          <w:szCs w:val="22"/>
        </w:rPr>
      </w:pPr>
      <w:r>
        <w:t>11</w:t>
      </w:r>
      <w:r>
        <w:rPr>
          <w:snapToGrid w:val="0"/>
        </w:rPr>
        <w:t>.</w:t>
      </w:r>
      <w:r>
        <w:rPr>
          <w:snapToGrid w:val="0"/>
        </w:rPr>
        <w:tab/>
        <w:t>Supply authority to pay compensation for damage done</w:t>
      </w:r>
      <w:r>
        <w:tab/>
      </w:r>
      <w:r>
        <w:fldChar w:fldCharType="begin"/>
      </w:r>
      <w:r>
        <w:instrText xml:space="preserve"> PAGEREF _Toc382317516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Crossing the district of local government with transmission works</w:t>
      </w:r>
      <w:r>
        <w:tab/>
      </w:r>
      <w:r>
        <w:fldChar w:fldCharType="begin"/>
      </w:r>
      <w:r>
        <w:instrText xml:space="preserve"> PAGEREF _Toc382317517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Method of metering bulk supplies</w:t>
      </w:r>
      <w:r>
        <w:tab/>
      </w:r>
      <w:r>
        <w:fldChar w:fldCharType="begin"/>
      </w:r>
      <w:r>
        <w:instrText xml:space="preserve"> PAGEREF _Toc382317518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General powers</w:t>
      </w:r>
      <w:r>
        <w:tab/>
      </w:r>
      <w:r>
        <w:fldChar w:fldCharType="begin"/>
      </w:r>
      <w:r>
        <w:instrText xml:space="preserve"> PAGEREF _Toc382317519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Supply authority to reinstate works of public authority</w:t>
      </w:r>
      <w:r>
        <w:tab/>
      </w:r>
      <w:r>
        <w:fldChar w:fldCharType="begin"/>
      </w:r>
      <w:r>
        <w:instrText xml:space="preserve"> PAGEREF _Toc382317520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Interference by supply authority with works of public authority or by public authority with works of supply authority</w:t>
      </w:r>
      <w:r>
        <w:tab/>
      </w:r>
      <w:r>
        <w:fldChar w:fldCharType="begin"/>
      </w:r>
      <w:r>
        <w:instrText xml:space="preserve"> PAGEREF _Toc382317521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Supply authority may let meters and apparatus</w:t>
      </w:r>
      <w:r>
        <w:tab/>
      </w:r>
      <w:r>
        <w:fldChar w:fldCharType="begin"/>
      </w:r>
      <w:r>
        <w:instrText xml:space="preserve"> PAGEREF _Toc382317522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 to contract to supply electricity</w:t>
      </w:r>
      <w:r>
        <w:tab/>
      </w:r>
      <w:r>
        <w:fldChar w:fldCharType="begin"/>
      </w:r>
      <w:r>
        <w:instrText xml:space="preserve"> PAGEREF _Toc382317523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to cut off supply in case of illegal or fraudulent interference with works</w:t>
      </w:r>
      <w:r>
        <w:tab/>
      </w:r>
      <w:r>
        <w:fldChar w:fldCharType="begin"/>
      </w:r>
      <w:r>
        <w:instrText xml:space="preserve"> PAGEREF _Toc382317524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of officer of supply authority to enter premises</w:t>
      </w:r>
      <w:r>
        <w:tab/>
      </w:r>
      <w:r>
        <w:fldChar w:fldCharType="begin"/>
      </w:r>
      <w:r>
        <w:instrText xml:space="preserve"> PAGEREF _Toc382317525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Duties as to supply of electricity</w:t>
      </w:r>
      <w:r>
        <w:tab/>
      </w:r>
      <w:r>
        <w:fldChar w:fldCharType="begin"/>
      </w:r>
      <w:r>
        <w:instrText xml:space="preserve"> PAGEREF _Toc382317526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IV — Regulations</w:t>
      </w:r>
    </w:p>
    <w:p>
      <w:pPr>
        <w:pStyle w:val="TOC8"/>
        <w:rPr>
          <w:rFonts w:asciiTheme="minorHAnsi" w:eastAsiaTheme="minorEastAsia" w:hAnsiTheme="minorHAnsi" w:cstheme="minorBidi"/>
          <w:szCs w:val="22"/>
        </w:rPr>
      </w:pPr>
      <w:r>
        <w:t>32</w:t>
      </w:r>
      <w:r>
        <w:rPr>
          <w:snapToGrid w:val="0"/>
        </w:rPr>
        <w:t>.</w:t>
      </w:r>
      <w:r>
        <w:rPr>
          <w:snapToGrid w:val="0"/>
        </w:rPr>
        <w:tab/>
        <w:t>Regulations</w:t>
      </w:r>
      <w:r>
        <w:tab/>
      </w:r>
      <w:r>
        <w:fldChar w:fldCharType="begin"/>
      </w:r>
      <w:r>
        <w:instrText xml:space="preserve"> PAGEREF _Toc382317528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Annual reporting</w:t>
      </w:r>
      <w:r>
        <w:tab/>
      </w:r>
      <w:r>
        <w:fldChar w:fldCharType="begin"/>
      </w:r>
      <w:r>
        <w:instrText xml:space="preserve"> PAGEREF _Toc382317529 \h </w:instrText>
      </w:r>
      <w:r>
        <w:fldChar w:fldCharType="separate"/>
      </w:r>
      <w:r>
        <w:t>22</w:t>
      </w:r>
      <w:r>
        <w:fldChar w:fldCharType="end"/>
      </w:r>
    </w:p>
    <w:p>
      <w:pPr>
        <w:pStyle w:val="TOC8"/>
        <w:rPr>
          <w:rFonts w:asciiTheme="minorHAnsi" w:eastAsiaTheme="minorEastAsia" w:hAnsiTheme="minorHAnsi" w:cstheme="minorBidi"/>
          <w:szCs w:val="22"/>
        </w:rPr>
      </w:pPr>
      <w:r>
        <w:t>33AA</w:t>
      </w:r>
      <w:r>
        <w:rPr>
          <w:snapToGrid w:val="0"/>
        </w:rPr>
        <w:t>.</w:t>
      </w:r>
      <w:r>
        <w:rPr>
          <w:snapToGrid w:val="0"/>
        </w:rPr>
        <w:tab/>
        <w:t>Guidelines</w:t>
      </w:r>
      <w:r>
        <w:tab/>
      </w:r>
      <w:r>
        <w:fldChar w:fldCharType="begin"/>
      </w:r>
      <w:r>
        <w:instrText xml:space="preserve"> PAGEREF _Toc382317530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IVA — Approval of electrical appliances</w:t>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_Toc382317532 \h </w:instrText>
      </w:r>
      <w:r>
        <w:fldChar w:fldCharType="separate"/>
      </w:r>
      <w:r>
        <w:t>24</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Power of Director to prescribe classes or types of electrical apparatus etc., which shall not be sold etc., unless approved by Director</w:t>
      </w:r>
      <w:r>
        <w:tab/>
      </w:r>
      <w:r>
        <w:fldChar w:fldCharType="begin"/>
      </w:r>
      <w:r>
        <w:instrText xml:space="preserve"> PAGEREF _Toc382317533 \h </w:instrText>
      </w:r>
      <w:r>
        <w:fldChar w:fldCharType="separate"/>
      </w:r>
      <w:r>
        <w:t>24</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Power of Director to prohibit sale etc. or use of unsafe or dangerous electrical apparatus etc.</w:t>
      </w:r>
      <w:r>
        <w:tab/>
      </w:r>
      <w:r>
        <w:fldChar w:fldCharType="begin"/>
      </w:r>
      <w:r>
        <w:instrText xml:space="preserve"> PAGEREF _Toc382317534 \h </w:instrText>
      </w:r>
      <w:r>
        <w:fldChar w:fldCharType="separate"/>
      </w:r>
      <w:r>
        <w:t>26</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Penalties</w:t>
      </w:r>
      <w:r>
        <w:tab/>
      </w:r>
      <w:r>
        <w:fldChar w:fldCharType="begin"/>
      </w:r>
      <w:r>
        <w:instrText xml:space="preserve"> PAGEREF _Toc382317535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IVB — Energy efficiency</w:t>
      </w:r>
    </w:p>
    <w:p>
      <w:pPr>
        <w:pStyle w:val="TOC8"/>
        <w:rPr>
          <w:rFonts w:asciiTheme="minorHAnsi" w:eastAsiaTheme="minorEastAsia" w:hAnsiTheme="minorHAnsi" w:cstheme="minorBidi"/>
          <w:szCs w:val="22"/>
        </w:rPr>
      </w:pPr>
      <w:r>
        <w:t>33E</w:t>
      </w:r>
      <w:r>
        <w:rPr>
          <w:snapToGrid w:val="0"/>
        </w:rPr>
        <w:t>.</w:t>
      </w:r>
      <w:r>
        <w:rPr>
          <w:snapToGrid w:val="0"/>
        </w:rPr>
        <w:tab/>
        <w:t>Energy efficiency standards</w:t>
      </w:r>
      <w:r>
        <w:tab/>
      </w:r>
      <w:r>
        <w:fldChar w:fldCharType="begin"/>
      </w:r>
      <w:r>
        <w:instrText xml:space="preserve"> PAGEREF _Toc382317537 \h </w:instrText>
      </w:r>
      <w:r>
        <w:fldChar w:fldCharType="separate"/>
      </w:r>
      <w:r>
        <w:t>28</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Offences related to energy efficiency labelling</w:t>
      </w:r>
      <w:r>
        <w:tab/>
      </w:r>
      <w:r>
        <w:fldChar w:fldCharType="begin"/>
      </w:r>
      <w:r>
        <w:instrText xml:space="preserve"> PAGEREF _Toc382317538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34</w:t>
      </w:r>
      <w:r>
        <w:rPr>
          <w:snapToGrid w:val="0"/>
        </w:rPr>
        <w:t>.</w:t>
      </w:r>
      <w:r>
        <w:rPr>
          <w:snapToGrid w:val="0"/>
        </w:rPr>
        <w:tab/>
        <w:t>Service apparatus etc. of supply authority not subject to seizure etc.</w:t>
      </w:r>
      <w:r>
        <w:tab/>
      </w:r>
      <w:r>
        <w:fldChar w:fldCharType="begin"/>
      </w:r>
      <w:r>
        <w:instrText xml:space="preserve"> PAGEREF _Toc382317540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 to cut off supply</w:t>
      </w:r>
      <w:r>
        <w:tab/>
      </w:r>
      <w:r>
        <w:fldChar w:fldCharType="begin"/>
      </w:r>
      <w:r>
        <w:instrText xml:space="preserve"> PAGEREF _Toc382317541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Powers where electricity wasted or misused</w:t>
      </w:r>
      <w:r>
        <w:tab/>
      </w:r>
      <w:r>
        <w:fldChar w:fldCharType="begin"/>
      </w:r>
      <w:r>
        <w:instrText xml:space="preserve"> PAGEREF _Toc382317542 \h </w:instrText>
      </w:r>
      <w:r>
        <w:fldChar w:fldCharType="separate"/>
      </w:r>
      <w:r>
        <w:t>31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 to remove appliances</w:t>
      </w:r>
      <w:r>
        <w:tab/>
      </w:r>
      <w:r>
        <w:fldChar w:fldCharType="begin"/>
      </w:r>
      <w:r>
        <w:instrText xml:space="preserve"> PAGEREF _Toc382317543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Incoming tenant must be supplied although outgoing tenant in arrears</w:t>
      </w:r>
      <w:r>
        <w:tab/>
      </w:r>
      <w:r>
        <w:fldChar w:fldCharType="begin"/>
      </w:r>
      <w:r>
        <w:instrText xml:space="preserve"> PAGEREF _Toc382317544 \h </w:instrText>
      </w:r>
      <w:r>
        <w:fldChar w:fldCharType="separate"/>
      </w:r>
      <w:r>
        <w:t>33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Supply authority to keep meter in order</w:t>
      </w:r>
      <w:r>
        <w:tab/>
      </w:r>
      <w:r>
        <w:fldChar w:fldCharType="begin"/>
      </w:r>
      <w:r>
        <w:instrText xml:space="preserve"> PAGEREF _Toc382317545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Control of meters and fittings</w:t>
      </w:r>
      <w:r>
        <w:tab/>
      </w:r>
      <w:r>
        <w:fldChar w:fldCharType="begin"/>
      </w:r>
      <w:r>
        <w:instrText xml:space="preserve"> PAGEREF _Toc382317546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 xml:space="preserve">Meter record to be </w:t>
      </w:r>
      <w:r>
        <w:rPr>
          <w:iCs/>
          <w:snapToGrid w:val="0"/>
        </w:rPr>
        <w:t xml:space="preserve">prima facie </w:t>
      </w:r>
      <w:r>
        <w:rPr>
          <w:snapToGrid w:val="0"/>
        </w:rPr>
        <w:t>evidence</w:t>
      </w:r>
      <w:r>
        <w:tab/>
      </w:r>
      <w:r>
        <w:fldChar w:fldCharType="begin"/>
      </w:r>
      <w:r>
        <w:instrText xml:space="preserve"> PAGEREF _Toc382317547 \h </w:instrText>
      </w:r>
      <w:r>
        <w:fldChar w:fldCharType="separate"/>
      </w:r>
      <w:r>
        <w:t>34</w:t>
      </w:r>
      <w:r>
        <w:fldChar w:fldCharType="end"/>
      </w:r>
    </w:p>
    <w:p>
      <w:pPr>
        <w:pStyle w:val="TOC8"/>
        <w:rPr>
          <w:rFonts w:asciiTheme="minorHAnsi" w:eastAsiaTheme="minorEastAsia" w:hAnsiTheme="minorHAnsi" w:cstheme="minorBidi"/>
          <w:szCs w:val="22"/>
        </w:rPr>
      </w:pPr>
      <w:r>
        <w:t>42.</w:t>
      </w:r>
      <w:r>
        <w:tab/>
        <w:t>Apparatus</w:t>
      </w:r>
      <w:r>
        <w:tab/>
      </w:r>
      <w:r>
        <w:fldChar w:fldCharType="begin"/>
      </w:r>
      <w:r>
        <w:instrText xml:space="preserve"> PAGEREF _Toc382317548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Uniform charges and zoning</w:t>
      </w:r>
      <w:r>
        <w:tab/>
      </w:r>
      <w:r>
        <w:fldChar w:fldCharType="begin"/>
      </w:r>
      <w:r>
        <w:instrText xml:space="preserve"> PAGEREF _Toc382317549 \h </w:instrText>
      </w:r>
      <w:r>
        <w:fldChar w:fldCharType="separate"/>
      </w:r>
      <w:r>
        <w:t>36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Obligation to supply</w:t>
      </w:r>
      <w:r>
        <w:tab/>
      </w:r>
      <w:r>
        <w:fldChar w:fldCharType="begin"/>
      </w:r>
      <w:r>
        <w:instrText xml:space="preserve"> PAGEREF _Toc382317550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Compensation, damages etc.</w:t>
      </w:r>
      <w:r>
        <w:tab/>
      </w:r>
      <w:r>
        <w:fldChar w:fldCharType="begin"/>
      </w:r>
      <w:r>
        <w:instrText xml:space="preserve"> PAGEREF _Toc382317551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Illegal interference with works etc.</w:t>
      </w:r>
      <w:r>
        <w:tab/>
      </w:r>
      <w:r>
        <w:fldChar w:fldCharType="begin"/>
      </w:r>
      <w:r>
        <w:instrText xml:space="preserve"> PAGEREF _Toc382317552 \h </w:instrText>
      </w:r>
      <w:r>
        <w:fldChar w:fldCharType="separate"/>
      </w:r>
      <w:r>
        <w:t>37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Obtaining supply under false name</w:t>
      </w:r>
      <w:r>
        <w:tab/>
      </w:r>
      <w:r>
        <w:fldChar w:fldCharType="begin"/>
      </w:r>
      <w:r>
        <w:instrText xml:space="preserve"> PAGEREF _Toc382317553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Unauthorised use</w:t>
      </w:r>
      <w:r>
        <w:tab/>
      </w:r>
      <w:r>
        <w:fldChar w:fldCharType="begin"/>
      </w:r>
      <w:r>
        <w:instrText xml:space="preserve"> PAGEREF _Toc382317554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Alteration of meter</w:t>
      </w:r>
      <w:r>
        <w:tab/>
      </w:r>
      <w:r>
        <w:fldChar w:fldCharType="begin"/>
      </w:r>
      <w:r>
        <w:instrText xml:space="preserve"> PAGEREF _Toc382317555 \h </w:instrText>
      </w:r>
      <w:r>
        <w:fldChar w:fldCharType="separate"/>
      </w:r>
      <w:r>
        <w:t>39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Summary remedy for damage to electric works</w:t>
      </w:r>
      <w:r>
        <w:tab/>
      </w:r>
      <w:r>
        <w:fldChar w:fldCharType="begin"/>
      </w:r>
      <w:r>
        <w:instrText xml:space="preserve"> PAGEREF _Toc382317556 \h </w:instrText>
      </w:r>
      <w:r>
        <w:fldChar w:fldCharType="separate"/>
      </w:r>
      <w:r>
        <w:t>40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General penalty</w:t>
      </w:r>
      <w:r>
        <w:tab/>
      </w:r>
      <w:r>
        <w:fldChar w:fldCharType="begin"/>
      </w:r>
      <w:r>
        <w:instrText xml:space="preserve"> PAGEREF _Toc382317557 \h </w:instrText>
      </w:r>
      <w:r>
        <w:fldChar w:fldCharType="separate"/>
      </w:r>
      <w:r>
        <w:t>41</w:t>
      </w:r>
      <w:r>
        <w:fldChar w:fldCharType="end"/>
      </w:r>
    </w:p>
    <w:p>
      <w:pPr>
        <w:pStyle w:val="TOC8"/>
        <w:rPr>
          <w:rFonts w:asciiTheme="minorHAnsi" w:eastAsiaTheme="minorEastAsia" w:hAnsiTheme="minorHAnsi" w:cstheme="minorBidi"/>
          <w:szCs w:val="22"/>
        </w:rPr>
      </w:pPr>
      <w:r>
        <w:t>53.</w:t>
      </w:r>
      <w:r>
        <w:tab/>
        <w:t>Limitation period for offences</w:t>
      </w:r>
      <w:r>
        <w:tab/>
      </w:r>
      <w:r>
        <w:fldChar w:fldCharType="begin"/>
      </w:r>
      <w:r>
        <w:instrText xml:space="preserve"> PAGEREF _Toc382317558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_Toc382317560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13</w:t>
            </w:r>
            <w:r>
              <w:rPr>
                <w:b/>
                <w:snapToGrid w:val="0"/>
                <w:sz w:val="22"/>
              </w:rPr>
              <w:t xml:space="preserve"> December 2013</w:t>
            </w:r>
            <w:r>
              <w:rPr>
                <w:b/>
                <w:sz w:val="22"/>
              </w:rPr>
              <w:fldChar w:fldCharType="end"/>
            </w:r>
          </w:p>
        </w:tc>
      </w:tr>
    </w:tbl>
    <w:p>
      <w:pPr>
        <w:pStyle w:val="WA"/>
        <w:spacing w:before="120"/>
      </w:pPr>
      <w:r>
        <w:t>Western Australia</w:t>
      </w:r>
    </w:p>
    <w:p>
      <w:pPr>
        <w:pStyle w:val="NameofActReg"/>
        <w:spacing w:before="1200" w:after="1000"/>
      </w:pPr>
      <w:r>
        <w:t>Electricity Act 1945</w:t>
      </w:r>
    </w:p>
    <w:p>
      <w:pPr>
        <w:pStyle w:val="LongTitle"/>
        <w:rPr>
          <w:snapToGrid w:val="0"/>
        </w:rPr>
      </w:pPr>
      <w:r>
        <w:rPr>
          <w:snapToGrid w:val="0"/>
        </w:rPr>
        <w:t xml:space="preserve">An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by No. 86 of 1979 s. 3; No. 33 of 2004 s. 4.]</w:t>
      </w:r>
    </w:p>
    <w:p>
      <w:pPr>
        <w:pStyle w:val="Heading2"/>
      </w:pPr>
      <w:bookmarkStart w:id="1" w:name="_Toc382317509"/>
      <w:r>
        <w:rPr>
          <w:rStyle w:val="CharPartNo"/>
        </w:rPr>
        <w:t>Part I</w:t>
      </w:r>
      <w:r>
        <w:rPr>
          <w:rStyle w:val="CharDivNo"/>
        </w:rPr>
        <w:t> </w:t>
      </w:r>
      <w:r>
        <w:t>—</w:t>
      </w:r>
      <w:r>
        <w:rPr>
          <w:rStyle w:val="CharDivText"/>
        </w:rPr>
        <w:t> </w:t>
      </w:r>
      <w:r>
        <w:rPr>
          <w:rStyle w:val="CharPartText"/>
        </w:rPr>
        <w:t>Preliminary</w:t>
      </w:r>
      <w:bookmarkEnd w:id="1"/>
    </w:p>
    <w:p>
      <w:pPr>
        <w:pStyle w:val="Footnoteheading"/>
      </w:pPr>
      <w:r>
        <w:tab/>
        <w:t>[Heading inserted by No. 19 of 2010 s. 43(3)(a).]</w:t>
      </w:r>
    </w:p>
    <w:p>
      <w:pPr>
        <w:pStyle w:val="Heading5"/>
        <w:rPr>
          <w:snapToGrid w:val="0"/>
        </w:rPr>
      </w:pPr>
      <w:bookmarkStart w:id="2" w:name="_Toc382317510"/>
      <w:r>
        <w:rPr>
          <w:rStyle w:val="CharSectno"/>
        </w:rPr>
        <w:t>1</w:t>
      </w:r>
      <w:r>
        <w:rPr>
          <w:snapToGrid w:val="0"/>
        </w:rPr>
        <w:t>.</w:t>
      </w:r>
      <w:r>
        <w:rPr>
          <w:snapToGrid w:val="0"/>
        </w:rPr>
        <w:tab/>
        <w:t>Short title and commencement</w:t>
      </w:r>
      <w:bookmarkEnd w:id="2"/>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ab/>
        <w:t>Deleted by No. 10 of 1998 s. 76.]</w:t>
      </w:r>
    </w:p>
    <w:p>
      <w:pPr>
        <w:pStyle w:val="Footnoteheading"/>
      </w:pPr>
      <w:r>
        <w:tab/>
        <w:t>[Heading deleted by No. 19 of 2010 s. 43(3)(b).]</w:t>
      </w:r>
    </w:p>
    <w:p>
      <w:pPr>
        <w:pStyle w:val="Heading5"/>
        <w:rPr>
          <w:snapToGrid w:val="0"/>
        </w:rPr>
      </w:pPr>
      <w:bookmarkStart w:id="3" w:name="_Toc382317511"/>
      <w:r>
        <w:rPr>
          <w:rStyle w:val="CharSectno"/>
        </w:rPr>
        <w:t>3</w:t>
      </w:r>
      <w:r>
        <w:rPr>
          <w:snapToGrid w:val="0"/>
        </w:rPr>
        <w:t>.</w:t>
      </w:r>
      <w:r>
        <w:rPr>
          <w:snapToGrid w:val="0"/>
        </w:rPr>
        <w:tab/>
        <w:t>Act repealed</w:t>
      </w:r>
      <w:bookmarkEnd w:id="3"/>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Deleted by No. 89 of 1994 s. 66.]</w:t>
      </w:r>
    </w:p>
    <w:p>
      <w:pPr>
        <w:pStyle w:val="Heading5"/>
        <w:rPr>
          <w:snapToGrid w:val="0"/>
        </w:rPr>
      </w:pPr>
      <w:bookmarkStart w:id="4" w:name="_Toc382317512"/>
      <w:r>
        <w:rPr>
          <w:rStyle w:val="CharSectno"/>
        </w:rPr>
        <w:t>4A</w:t>
      </w:r>
      <w:r>
        <w:rPr>
          <w:snapToGrid w:val="0"/>
        </w:rPr>
        <w:t>.</w:t>
      </w:r>
      <w:r>
        <w:rPr>
          <w:snapToGrid w:val="0"/>
        </w:rPr>
        <w:tab/>
        <w:t>Act not to apply to Government electric railways</w:t>
      </w:r>
      <w:bookmarkEnd w:id="4"/>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by No. 42 of 1988 s. 4.]</w:t>
      </w:r>
    </w:p>
    <w:p>
      <w:pPr>
        <w:pStyle w:val="Heading5"/>
        <w:rPr>
          <w:snapToGrid w:val="0"/>
        </w:rPr>
      </w:pPr>
      <w:bookmarkStart w:id="5" w:name="_Toc382317513"/>
      <w:r>
        <w:rPr>
          <w:rStyle w:val="CharSectno"/>
        </w:rPr>
        <w:t>5</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apparatus</w:t>
      </w:r>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r>
      <w:r>
        <w:rPr>
          <w:rStyle w:val="CharDefText"/>
        </w:rPr>
        <w:t>consumer</w:t>
      </w:r>
      <w:r>
        <w:t xml:space="preserve"> means any person to whom electricity is supplied;</w:t>
      </w:r>
    </w:p>
    <w:p>
      <w:pPr>
        <w:pStyle w:val="Defstart"/>
      </w:pPr>
      <w:r>
        <w:rPr>
          <w:b/>
        </w:rPr>
        <w:tab/>
      </w:r>
      <w:r>
        <w:rPr>
          <w:rStyle w:val="CharDefText"/>
        </w:rPr>
        <w:t>Coordinator</w:t>
      </w:r>
      <w:r>
        <w:t xml:space="preserve"> means the Coordinator of Energy referred to in section 4 of the </w:t>
      </w:r>
      <w:r>
        <w:rPr>
          <w:i/>
        </w:rPr>
        <w:t>Energy Coordination Act 1994</w:t>
      </w:r>
      <w:r>
        <w:t>;</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keepNext/>
        <w:keepLines/>
      </w:pPr>
      <w:r>
        <w:tab/>
      </w:r>
      <w:r>
        <w:rPr>
          <w:rStyle w:val="CharDefText"/>
        </w:rPr>
        <w:t>distribution licensee</w:t>
      </w:r>
      <w:r>
        <w:t xml:space="preserve"> means the holder of —</w:t>
      </w:r>
    </w:p>
    <w:p>
      <w:pPr>
        <w:pStyle w:val="Defpara"/>
        <w:spacing w:before="60"/>
      </w:pPr>
      <w:r>
        <w:tab/>
        <w:t>(a)</w:t>
      </w:r>
      <w:r>
        <w:tab/>
        <w:t xml:space="preserve">a distribution licence under the </w:t>
      </w:r>
      <w:r>
        <w:rPr>
          <w:i/>
        </w:rPr>
        <w:t>Electricity Industry Act 2004</w:t>
      </w:r>
      <w:r>
        <w:t>; or</w:t>
      </w:r>
    </w:p>
    <w:p>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spacing w:before="60"/>
      </w:pPr>
      <w:r>
        <w:rPr>
          <w:b/>
        </w:rPr>
        <w:tab/>
      </w:r>
      <w:r>
        <w:rPr>
          <w:rStyle w:val="CharDefText"/>
        </w:rPr>
        <w:t>electric fitting</w:t>
      </w:r>
      <w:r>
        <w:t xml:space="preserve"> includes any apparatus and any means of connection therefor;</w:t>
      </w:r>
    </w:p>
    <w:p>
      <w:pPr>
        <w:pStyle w:val="Defstart"/>
        <w:spacing w:before="60"/>
      </w:pPr>
      <w:r>
        <w:rPr>
          <w:b/>
        </w:rPr>
        <w:tab/>
      </w:r>
      <w:r>
        <w:rPr>
          <w:rStyle w:val="CharDefText"/>
        </w:rPr>
        <w:t>exempt operator</w:t>
      </w:r>
      <w:r>
        <w:t xml:space="preserve"> means a person who —</w:t>
      </w:r>
    </w:p>
    <w:p>
      <w:pPr>
        <w:pStyle w:val="Defpara"/>
        <w:spacing w:before="60"/>
      </w:pPr>
      <w:r>
        <w:tab/>
        <w:t>(a)</w:t>
      </w:r>
      <w:r>
        <w:tab/>
        <w:t>operates transmission works or distribution works; and</w:t>
      </w:r>
    </w:p>
    <w:p>
      <w:pPr>
        <w:pStyle w:val="Defpara"/>
        <w:spacing w:before="60"/>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pPr>
        <w:pStyle w:val="Defstart"/>
        <w:spacing w:before="60"/>
      </w:pPr>
      <w:r>
        <w:rPr>
          <w:b/>
        </w:rPr>
        <w:tab/>
      </w:r>
      <w:r>
        <w:rPr>
          <w:rStyle w:val="CharDefText"/>
        </w:rPr>
        <w:t>generating works</w:t>
      </w:r>
      <w:r>
        <w:t xml:space="preserve"> means any apparatus or other equipment or plant utilized or capable of being or intended to be utilized for the purpose of generating electricity;</w:t>
      </w:r>
    </w:p>
    <w:p>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rPr>
          <w:b/>
        </w:rPr>
        <w:t xml:space="preserve"> </w:t>
      </w:r>
      <w:r>
        <w:t>means a person who —</w:t>
      </w:r>
    </w:p>
    <w:p>
      <w:pPr>
        <w:pStyle w:val="Defpara"/>
      </w:pPr>
      <w:r>
        <w:tab/>
        <w:t>(a)</w:t>
      </w:r>
      <w:r>
        <w:tab/>
        <w:t>operates transmission works and is a transmission licensee; or</w:t>
      </w:r>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r>
      <w:r>
        <w:rPr>
          <w:rStyle w:val="CharDefText"/>
        </w:rPr>
        <w:t>premises</w:t>
      </w:r>
      <w:r>
        <w:t xml:space="preserve"> means any land, street, structure, or other place, and may include a vehicle or other thing in or in connection with which electricity is or is to be supplied;</w:t>
      </w:r>
    </w:p>
    <w:p>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r>
      <w:r>
        <w:rPr>
          <w:rStyle w:val="CharDefText"/>
        </w:rPr>
        <w:t>street</w:t>
      </w:r>
      <w:r>
        <w:t xml:space="preserve"> includes any highway, road, thorough fare, lane, alley, square, court, or place of public passage;</w:t>
      </w:r>
    </w:p>
    <w:p>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pPr>
      <w:r>
        <w:tab/>
        <w:t>(2)</w:t>
      </w:r>
      <w:r>
        <w:tab/>
        <w:t xml:space="preserve">A reference in a provision of this Act to the Minister is a reference to — </w:t>
      </w:r>
    </w:p>
    <w:p>
      <w:pPr>
        <w:pStyle w:val="Indenta"/>
        <w:spacing w:before="60"/>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spacing w:before="60"/>
      </w:pPr>
      <w:r>
        <w:tab/>
        <w:t>(b)</w:t>
      </w:r>
      <w:r>
        <w:tab/>
        <w:t>if paragraph (a) does not apply — the Minister administering the provision.</w:t>
      </w:r>
    </w:p>
    <w:p>
      <w:pPr>
        <w:pStyle w:val="Subsection"/>
      </w:pPr>
      <w:r>
        <w:tab/>
        <w:t>(3)</w:t>
      </w:r>
      <w:r>
        <w:tab/>
        <w:t xml:space="preserve">A reference in a regulation made under section 32 to the Minister is a reference to — </w:t>
      </w:r>
    </w:p>
    <w:p>
      <w:pPr>
        <w:pStyle w:val="Indenta"/>
        <w:spacing w:before="60"/>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keepNext/>
      </w:pPr>
      <w:r>
        <w:tab/>
        <w:t>(4)</w:t>
      </w:r>
      <w:r>
        <w:tab/>
        <w:t xml:space="preserve">Subsections (2) and (3) do not limit the operation of section 12 of the </w:t>
      </w:r>
      <w:r>
        <w:rPr>
          <w:i/>
        </w:rPr>
        <w:t>Interpretation Act 1984</w:t>
      </w:r>
      <w:r>
        <w:t>.</w:t>
      </w:r>
    </w:p>
    <w:p>
      <w:pPr>
        <w:pStyle w:val="Footnotesection"/>
      </w:pPr>
      <w:r>
        <w:tab/>
        <w:t>[Section 5 inserted by No. 86 of 1979 s. 5; amended by No. 89 of 1994 s. 67; No. 14 of 1996 s. 4; No. 63 of 1996 s. 14; No. 24 of 2000 s. 14(13); No. 33 of 2004 s. 5; No. 18 of 2005 s. 139; No. 28 of 2006 s. 164.]</w:t>
      </w:r>
    </w:p>
    <w:p>
      <w:pPr>
        <w:pStyle w:val="Heading5"/>
      </w:pPr>
      <w:bookmarkStart w:id="6" w:name="_Toc382317514"/>
      <w:r>
        <w:rPr>
          <w:rStyle w:val="CharSectno"/>
        </w:rPr>
        <w:t>6</w:t>
      </w:r>
      <w:r>
        <w:t>.</w:t>
      </w:r>
      <w:r>
        <w:tab/>
        <w:t>Application of Act to supply authorities</w:t>
      </w:r>
      <w:bookmarkEnd w:id="6"/>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sections 11 to 24, 34 to 41 or 43 to 51, or any portion of any of those sections, or section 32(1)(a), (b), (d) or (l);</w:t>
      </w:r>
    </w:p>
    <w:p>
      <w:pPr>
        <w:pStyle w:val="Defstart"/>
      </w:pPr>
      <w:r>
        <w:rPr>
          <w:b/>
        </w:rPr>
        <w:tab/>
      </w:r>
      <w:r>
        <w:rPr>
          <w:rStyle w:val="CharDefText"/>
        </w:rPr>
        <w:t>specified</w:t>
      </w:r>
      <w:r>
        <w:t xml:space="preserve"> means specified in the declaration.</w:t>
      </w:r>
    </w:p>
    <w:p>
      <w:pPr>
        <w:pStyle w:val="Footnotesection"/>
      </w:pPr>
      <w:r>
        <w:tab/>
        <w:t>[Section 6 inserted by No. 33 of 2004 s. 6.]</w:t>
      </w:r>
    </w:p>
    <w:p>
      <w:pPr>
        <w:pStyle w:val="Ednotesection"/>
      </w:pPr>
      <w:r>
        <w:t>[</w:t>
      </w:r>
      <w:r>
        <w:rPr>
          <w:b/>
        </w:rPr>
        <w:t>6A.</w:t>
      </w:r>
      <w:r>
        <w:tab/>
        <w:t>Deleted by No. 63 of 1996 s. 15.]</w:t>
      </w:r>
    </w:p>
    <w:p>
      <w:pPr>
        <w:pStyle w:val="Heading2"/>
      </w:pPr>
      <w:bookmarkStart w:id="7" w:name="_Toc382317515"/>
      <w:r>
        <w:rPr>
          <w:rStyle w:val="CharPartNo"/>
        </w:rPr>
        <w:t>Part II</w:t>
      </w:r>
      <w:r>
        <w:t> — </w:t>
      </w:r>
      <w:r>
        <w:rPr>
          <w:rStyle w:val="CharPartText"/>
        </w:rPr>
        <w:t>Powers, rights and obligations</w:t>
      </w:r>
      <w:bookmarkEnd w:id="7"/>
    </w:p>
    <w:p>
      <w:pPr>
        <w:pStyle w:val="Footnoteheading"/>
        <w:tabs>
          <w:tab w:val="left" w:pos="851"/>
        </w:tabs>
      </w:pPr>
      <w:r>
        <w:tab/>
        <w:t>[Heading amended by No. 33 of 2004 s. 7.]</w:t>
      </w:r>
    </w:p>
    <w:p>
      <w:pPr>
        <w:pStyle w:val="Ednotesection"/>
        <w:tabs>
          <w:tab w:val="clear" w:pos="893"/>
          <w:tab w:val="left" w:pos="851"/>
        </w:tabs>
        <w:spacing w:before="180"/>
      </w:pPr>
      <w:r>
        <w:tab/>
        <w:t>[Heading deleted by No. 33 of 2004 s. 8.]</w:t>
      </w:r>
    </w:p>
    <w:p>
      <w:pPr>
        <w:pStyle w:val="Ednotesection"/>
      </w:pPr>
      <w:r>
        <w:t>[</w:t>
      </w:r>
      <w:r>
        <w:rPr>
          <w:b/>
        </w:rPr>
        <w:t>7-10.</w:t>
      </w:r>
      <w:r>
        <w:tab/>
        <w:t>Deleted by No. 33 of 2004 s. 9.]</w:t>
      </w:r>
    </w:p>
    <w:p>
      <w:pPr>
        <w:pStyle w:val="Heading5"/>
        <w:rPr>
          <w:snapToGrid w:val="0"/>
        </w:rPr>
      </w:pPr>
      <w:bookmarkStart w:id="8" w:name="_Toc382317516"/>
      <w:r>
        <w:rPr>
          <w:rStyle w:val="CharSectno"/>
        </w:rPr>
        <w:t>11</w:t>
      </w:r>
      <w:r>
        <w:rPr>
          <w:snapToGrid w:val="0"/>
        </w:rPr>
        <w:t>.</w:t>
      </w:r>
      <w:r>
        <w:rPr>
          <w:snapToGrid w:val="0"/>
        </w:rPr>
        <w:tab/>
        <w:t>Supply authority to pay compensation for damage done</w:t>
      </w:r>
      <w:bookmarkEnd w:id="8"/>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w:t>
      </w:r>
      <w:r>
        <w:rPr>
          <w:i/>
        </w:rPr>
        <w:t xml:space="preserve"> Commercial Arbitration Act 2012</w:t>
      </w:r>
      <w:r>
        <w:rPr>
          <w:snapToGrid w:val="0"/>
        </w:rPr>
        <w:t>.</w:t>
      </w:r>
    </w:p>
    <w:p>
      <w:pPr>
        <w:pStyle w:val="Footnotesection"/>
      </w:pPr>
      <w:r>
        <w:tab/>
        <w:t>[Section 11 amended by No. 109 of 1985 s. 3(1); No. 23 of 2012 s. 45.]</w:t>
      </w:r>
    </w:p>
    <w:p>
      <w:pPr>
        <w:pStyle w:val="Heading5"/>
        <w:rPr>
          <w:snapToGrid w:val="0"/>
        </w:rPr>
      </w:pPr>
      <w:bookmarkStart w:id="9" w:name="_Toc382317517"/>
      <w:r>
        <w:rPr>
          <w:rStyle w:val="CharSectno"/>
        </w:rPr>
        <w:t>12</w:t>
      </w:r>
      <w:r>
        <w:rPr>
          <w:snapToGrid w:val="0"/>
        </w:rPr>
        <w:t>.</w:t>
      </w:r>
      <w:r>
        <w:rPr>
          <w:snapToGrid w:val="0"/>
        </w:rPr>
        <w:tab/>
        <w:t>Crossing the district of local government with transmission works</w:t>
      </w:r>
      <w:bookmarkEnd w:id="9"/>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pPr>
        <w:pStyle w:val="Footnotesection"/>
      </w:pPr>
      <w:r>
        <w:tab/>
        <w:t>[Section 12 amended by No. 89 of 1994 s. 79; No. 14 of 1996 s. 4.]</w:t>
      </w:r>
    </w:p>
    <w:p>
      <w:pPr>
        <w:pStyle w:val="Ednotesection"/>
      </w:pPr>
      <w:r>
        <w:t>[</w:t>
      </w:r>
      <w:r>
        <w:rPr>
          <w:b/>
        </w:rPr>
        <w:t>13.</w:t>
      </w:r>
      <w:r>
        <w:tab/>
        <w:t>Deleted by No. 33 of 2004 s. 10.]</w:t>
      </w:r>
    </w:p>
    <w:p>
      <w:pPr>
        <w:pStyle w:val="Heading5"/>
        <w:rPr>
          <w:snapToGrid w:val="0"/>
        </w:rPr>
      </w:pPr>
      <w:bookmarkStart w:id="10" w:name="_Toc382317518"/>
      <w:r>
        <w:rPr>
          <w:rStyle w:val="CharSectno"/>
        </w:rPr>
        <w:t>14</w:t>
      </w:r>
      <w:r>
        <w:rPr>
          <w:snapToGrid w:val="0"/>
        </w:rPr>
        <w:t>.</w:t>
      </w:r>
      <w:r>
        <w:rPr>
          <w:snapToGrid w:val="0"/>
        </w:rPr>
        <w:tab/>
        <w:t>Method of metering bulk supplies</w:t>
      </w:r>
      <w:bookmarkEnd w:id="10"/>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by No. 89 of 1994 s. 79; No. 14 of 1996 s. 4.]</w:t>
      </w:r>
    </w:p>
    <w:p>
      <w:pPr>
        <w:pStyle w:val="Ednotesection"/>
      </w:pPr>
      <w:r>
        <w:t>[</w:t>
      </w:r>
      <w:r>
        <w:rPr>
          <w:b/>
        </w:rPr>
        <w:t>15-17.</w:t>
      </w:r>
      <w:r>
        <w:tab/>
        <w:t>Deleted by No. 33 of 2004 s. 11.]</w:t>
      </w:r>
    </w:p>
    <w:p>
      <w:pPr>
        <w:pStyle w:val="Ednotesection"/>
      </w:pPr>
      <w:r>
        <w:tab/>
        <w:t>[Heading deleted by No. 33 of 2004 s. 12.]</w:t>
      </w:r>
    </w:p>
    <w:p>
      <w:pPr>
        <w:pStyle w:val="Heading5"/>
        <w:rPr>
          <w:snapToGrid w:val="0"/>
        </w:rPr>
      </w:pPr>
      <w:bookmarkStart w:id="11" w:name="_Toc382317519"/>
      <w:r>
        <w:rPr>
          <w:rStyle w:val="CharSectno"/>
        </w:rPr>
        <w:t>18</w:t>
      </w:r>
      <w:r>
        <w:rPr>
          <w:snapToGrid w:val="0"/>
        </w:rPr>
        <w:t>.</w:t>
      </w:r>
      <w:r>
        <w:rPr>
          <w:snapToGrid w:val="0"/>
        </w:rPr>
        <w:tab/>
        <w:t>General powers</w:t>
      </w:r>
      <w:bookmarkEnd w:id="11"/>
    </w:p>
    <w:p>
      <w:pPr>
        <w:pStyle w:val="Subsection"/>
        <w:rPr>
          <w:snapToGrid w:val="0"/>
        </w:rPr>
      </w:pPr>
      <w:r>
        <w:rPr>
          <w:snapToGrid w:val="0"/>
        </w:rPr>
        <w:tab/>
        <w:t>(1)</w:t>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Subsection"/>
        <w:rPr>
          <w:snapToGrid w:val="0"/>
        </w:rPr>
      </w:pPr>
      <w:r>
        <w:rPr>
          <w:snapToGrid w:val="0"/>
        </w:rPr>
        <w:tab/>
        <w:t>(2)</w:t>
      </w:r>
      <w:r>
        <w:rPr>
          <w:snapToGrid w:val="0"/>
        </w:rPr>
        <w:tab/>
        <w:t xml:space="preserve">A supply authority shall not erect or install any distribution works and service apparatus in or against any building or on any land without the consent of the owners and occupiers thereof, but nothing in </w:t>
      </w:r>
      <w:r>
        <w:t xml:space="preserve">subsections (2) to (5) </w:t>
      </w:r>
      <w:r>
        <w:rPr>
          <w:snapToGrid w:val="0"/>
        </w:rPr>
        <w:t>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Subsection"/>
        <w:rPr>
          <w:snapToGrid w:val="0"/>
        </w:rPr>
      </w:pPr>
      <w:r>
        <w:rPr>
          <w:snapToGrid w:val="0"/>
        </w:rPr>
        <w:tab/>
        <w:t>(3)</w:t>
      </w:r>
      <w:r>
        <w:rPr>
          <w:snapToGrid w:val="0"/>
        </w:rPr>
        <w:tab/>
        <w:t>Before a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a"/>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a"/>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Subsection"/>
        <w:rPr>
          <w:snapToGrid w:val="0"/>
        </w:rPr>
      </w:pPr>
      <w:r>
        <w:rPr>
          <w:snapToGrid w:val="0"/>
        </w:rPr>
        <w:tab/>
        <w:t>(4)</w:t>
      </w:r>
      <w:r>
        <w:rPr>
          <w:snapToGrid w:val="0"/>
        </w:rPr>
        <w:tab/>
        <w:t>No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w:t>
      </w:r>
    </w:p>
    <w:p>
      <w:pPr>
        <w:pStyle w:val="Subsection"/>
        <w:rPr>
          <w:snapToGrid w:val="0"/>
        </w:rPr>
      </w:pPr>
      <w:r>
        <w:rPr>
          <w:snapToGrid w:val="0"/>
        </w:rPr>
        <w:tab/>
        <w:t>(5)</w:t>
      </w:r>
      <w:r>
        <w:rPr>
          <w:snapToGrid w:val="0"/>
        </w:rPr>
        <w:tab/>
      </w:r>
      <w:r>
        <w:t>Despite subsection (4), if the</w:t>
      </w:r>
      <w:r>
        <w:rPr>
          <w:snapToGrid w:val="0"/>
        </w:rPr>
        <w:t xml:space="preserve"> public authority or its officer fails to attend at the time fixed for the opening up or breaking up of any such street, bridge, sewer, drain or tunnel after notice as required by </w:t>
      </w:r>
      <w:r>
        <w:t xml:space="preserve">subsection (3) </w:t>
      </w:r>
      <w:r>
        <w:rPr>
          <w:snapToGrid w:val="0"/>
        </w:rPr>
        <w:t>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Subsection"/>
      </w:pPr>
      <w:r>
        <w:tab/>
        <w:t>(6)</w:t>
      </w:r>
      <w:r>
        <w:tab/>
        <w:t>If the owner of a building referred to in subsection (1)(e) shall rebuild or alter the same, any work attached to the building shall be removed so far as may be necessary to enable such rebuilding or alteration to be carried out, and, if so required shall be affixed to the new or altered building at the cost of the supply authority.</w:t>
      </w:r>
    </w:p>
    <w:p>
      <w:pPr>
        <w:pStyle w:val="Footnotesection"/>
      </w:pPr>
      <w:r>
        <w:tab/>
        <w:t>[Section 18 amended by No. 94 of 1972 s. 4 (as amended by No. 19 of 1973); No. 86 of 1979 s. 7; No. 89 of 1994 s. 80; No. 63 of 1996 s. 18; No. 19 of 2010 s. 57.]</w:t>
      </w:r>
    </w:p>
    <w:p>
      <w:pPr>
        <w:pStyle w:val="Heading5"/>
        <w:rPr>
          <w:snapToGrid w:val="0"/>
        </w:rPr>
      </w:pPr>
      <w:bookmarkStart w:id="12" w:name="_Toc382317520"/>
      <w:r>
        <w:rPr>
          <w:rStyle w:val="CharSectno"/>
        </w:rPr>
        <w:t>19</w:t>
      </w:r>
      <w:r>
        <w:rPr>
          <w:snapToGrid w:val="0"/>
        </w:rPr>
        <w:t>.</w:t>
      </w:r>
      <w:r>
        <w:rPr>
          <w:snapToGrid w:val="0"/>
        </w:rPr>
        <w:tab/>
        <w:t>Supply authority to reinstate works of public authority</w:t>
      </w:r>
      <w:bookmarkEnd w:id="12"/>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 and</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spacing w:before="100"/>
      </w:pPr>
      <w:r>
        <w:tab/>
        <w:t>[Section 19 amended by No. 113 of 1965 s. 8; No. 89 of 1994 s. 80; No. 63 of 1996 s. 7.]</w:t>
      </w:r>
    </w:p>
    <w:p>
      <w:pPr>
        <w:pStyle w:val="Heading5"/>
        <w:spacing w:before="180"/>
        <w:rPr>
          <w:snapToGrid w:val="0"/>
        </w:rPr>
      </w:pPr>
      <w:bookmarkStart w:id="13" w:name="_Toc382317521"/>
      <w:r>
        <w:rPr>
          <w:rStyle w:val="CharSectno"/>
        </w:rPr>
        <w:t>20</w:t>
      </w:r>
      <w:r>
        <w:rPr>
          <w:snapToGrid w:val="0"/>
        </w:rPr>
        <w:t>.</w:t>
      </w:r>
      <w:r>
        <w:rPr>
          <w:snapToGrid w:val="0"/>
        </w:rPr>
        <w:tab/>
        <w:t>Interference by supply authority with works of public authority or by public authority with works of supply authority</w:t>
      </w:r>
      <w:bookmarkEnd w:id="13"/>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spacing w:before="60"/>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spacing w:before="60"/>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(3)</w:t>
      </w:r>
      <w:r>
        <w:rPr>
          <w:snapToGrid w:val="0"/>
        </w:rPr>
        <w:tab/>
        <w:t xml:space="preserve">Where notice is given by a public authority to a supply authority under </w:t>
      </w:r>
      <w:r>
        <w:t xml:space="preserve">subsection (2) </w:t>
      </w:r>
      <w:r>
        <w:rPr>
          <w:snapToGrid w:val="0"/>
        </w:rPr>
        <w:t>the provisions of subsection (1)(b) and (c) shall, with such adaptations thereof as may be necessary, apply and have effect.</w:t>
      </w:r>
    </w:p>
    <w:p>
      <w:pPr>
        <w:pStyle w:val="Footnotesection"/>
        <w:spacing w:before="100"/>
      </w:pPr>
      <w:r>
        <w:tab/>
        <w:t>[Section 20 amended by No. 89 of 1994 s. 80; No. 14 of 1996 s. 4; No. 19 of 2010 s. 57(4).]</w:t>
      </w:r>
    </w:p>
    <w:p>
      <w:pPr>
        <w:pStyle w:val="Heading5"/>
        <w:rPr>
          <w:snapToGrid w:val="0"/>
        </w:rPr>
      </w:pPr>
      <w:bookmarkStart w:id="14" w:name="_Toc382317522"/>
      <w:r>
        <w:rPr>
          <w:rStyle w:val="CharSectno"/>
        </w:rPr>
        <w:t>21</w:t>
      </w:r>
      <w:r>
        <w:rPr>
          <w:snapToGrid w:val="0"/>
        </w:rPr>
        <w:t>.</w:t>
      </w:r>
      <w:r>
        <w:rPr>
          <w:snapToGrid w:val="0"/>
        </w:rPr>
        <w:tab/>
        <w:t>Supply authority may let meters and apparatus</w:t>
      </w:r>
      <w:bookmarkEnd w:id="14"/>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15" w:name="_Toc382317523"/>
      <w:r>
        <w:rPr>
          <w:rStyle w:val="CharSectno"/>
        </w:rPr>
        <w:t>22</w:t>
      </w:r>
      <w:r>
        <w:rPr>
          <w:snapToGrid w:val="0"/>
        </w:rPr>
        <w:t>.</w:t>
      </w:r>
      <w:r>
        <w:rPr>
          <w:snapToGrid w:val="0"/>
        </w:rPr>
        <w:tab/>
        <w:t>Power to contract to supply electricity</w:t>
      </w:r>
      <w:bookmarkEnd w:id="15"/>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spacing w:before="60"/>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16" w:name="_Toc382317524"/>
      <w:r>
        <w:rPr>
          <w:rStyle w:val="CharSectno"/>
        </w:rPr>
        <w:t>23</w:t>
      </w:r>
      <w:r>
        <w:rPr>
          <w:snapToGrid w:val="0"/>
        </w:rPr>
        <w:t>.</w:t>
      </w:r>
      <w:r>
        <w:rPr>
          <w:snapToGrid w:val="0"/>
        </w:rPr>
        <w:tab/>
        <w:t>Power to cut off supply in case of illegal or fraudulent interference with works</w:t>
      </w:r>
      <w:bookmarkEnd w:id="16"/>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17" w:name="_Toc382317525"/>
      <w:r>
        <w:rPr>
          <w:rStyle w:val="CharSectno"/>
        </w:rPr>
        <w:t>24</w:t>
      </w:r>
      <w:r>
        <w:rPr>
          <w:snapToGrid w:val="0"/>
        </w:rPr>
        <w:t>.</w:t>
      </w:r>
      <w:r>
        <w:rPr>
          <w:snapToGrid w:val="0"/>
        </w:rPr>
        <w:tab/>
        <w:t>Power of officer of supply authority to enter premises</w:t>
      </w:r>
      <w:bookmarkEnd w:id="17"/>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t>(1A)</w:t>
      </w:r>
      <w:r>
        <w:rPr>
          <w:snapToGrid w:val="0"/>
        </w:rPr>
        <w:tab/>
        <w:t>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t>(3)</w:t>
      </w:r>
      <w:r>
        <w:rPr>
          <w:snapToGrid w:val="0"/>
        </w:rPr>
        <w:tab/>
        <w:t>When the supply authority does remove any service apparatus or electric fittings as aforesaid it shall make good or otherwise compensate the owner of the premises concerned in respect of the damage caused by such removal.</w:t>
      </w:r>
    </w:p>
    <w:p>
      <w:pPr>
        <w:pStyle w:val="Footnotesection"/>
      </w:pPr>
      <w:r>
        <w:tab/>
        <w:t>[Section 24 amended by No. 19 of 2010 s. 57(4).]</w:t>
      </w:r>
    </w:p>
    <w:p>
      <w:pPr>
        <w:pStyle w:val="Ednotesection"/>
      </w:pPr>
      <w:r>
        <w:tab/>
        <w:t>[Heading deleted by No. 33 of 2004 s. 13.]</w:t>
      </w:r>
    </w:p>
    <w:p>
      <w:pPr>
        <w:pStyle w:val="Heading5"/>
        <w:rPr>
          <w:snapToGrid w:val="0"/>
        </w:rPr>
      </w:pPr>
      <w:bookmarkStart w:id="18" w:name="_Toc382317526"/>
      <w:r>
        <w:rPr>
          <w:rStyle w:val="CharSectno"/>
        </w:rPr>
        <w:t>25</w:t>
      </w:r>
      <w:r>
        <w:rPr>
          <w:snapToGrid w:val="0"/>
        </w:rPr>
        <w:t>.</w:t>
      </w:r>
      <w:r>
        <w:rPr>
          <w:snapToGrid w:val="0"/>
        </w:rPr>
        <w:tab/>
        <w:t>Duties as to supply of electricity</w:t>
      </w:r>
      <w:bookmarkEnd w:id="18"/>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 and</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 and</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by No. 113 of 1965 s. 8; No. 89 of 1994 s. 80; No. 63 of 1996 s. 19; No. 33 of 2004 s. 14.]</w:t>
      </w:r>
    </w:p>
    <w:p>
      <w:pPr>
        <w:pStyle w:val="Ednotepart"/>
        <w:tabs>
          <w:tab w:val="left" w:pos="1440"/>
        </w:tabs>
      </w:pPr>
      <w:r>
        <w:t>[Part III:</w:t>
      </w:r>
      <w:r>
        <w:tab/>
        <w:t>s. 26-29 deleted by No. 89 of 1994 s. 72;</w:t>
      </w:r>
      <w:r>
        <w:br/>
      </w:r>
      <w:r>
        <w:tab/>
        <w:t>s. 30 deleted by No. 5 of 2007 s. 4;</w:t>
      </w:r>
      <w:r>
        <w:br/>
      </w:r>
      <w:r>
        <w:tab/>
        <w:t>s. 31 deleted by No. 89 of 1994 s. 74.]</w:t>
      </w:r>
    </w:p>
    <w:p>
      <w:pPr>
        <w:pStyle w:val="Heading2"/>
      </w:pPr>
      <w:bookmarkStart w:id="19" w:name="_Toc382317527"/>
      <w:r>
        <w:rPr>
          <w:rStyle w:val="CharPartNo"/>
        </w:rPr>
        <w:t>Part IV</w:t>
      </w:r>
      <w:r>
        <w:rPr>
          <w:rStyle w:val="CharDivNo"/>
        </w:rPr>
        <w:t> </w:t>
      </w:r>
      <w:r>
        <w:t>—</w:t>
      </w:r>
      <w:r>
        <w:rPr>
          <w:rStyle w:val="CharDivText"/>
        </w:rPr>
        <w:t> </w:t>
      </w:r>
      <w:r>
        <w:rPr>
          <w:rStyle w:val="CharPartText"/>
        </w:rPr>
        <w:t>Regulations</w:t>
      </w:r>
      <w:bookmarkEnd w:id="19"/>
    </w:p>
    <w:p>
      <w:pPr>
        <w:pStyle w:val="Footnoteheading"/>
        <w:ind w:left="890"/>
        <w:rPr>
          <w:snapToGrid w:val="0"/>
        </w:rPr>
      </w:pPr>
      <w:r>
        <w:rPr>
          <w:snapToGrid w:val="0"/>
        </w:rPr>
        <w:tab/>
        <w:t>[Heading amended by No. 14 of 1996 s. 4.]</w:t>
      </w:r>
    </w:p>
    <w:p>
      <w:pPr>
        <w:pStyle w:val="Heading5"/>
        <w:rPr>
          <w:snapToGrid w:val="0"/>
        </w:rPr>
      </w:pPr>
      <w:bookmarkStart w:id="20" w:name="_Toc382317528"/>
      <w:r>
        <w:rPr>
          <w:rStyle w:val="CharSectno"/>
        </w:rPr>
        <w:t>32</w:t>
      </w:r>
      <w:r>
        <w:rPr>
          <w:snapToGrid w:val="0"/>
        </w:rPr>
        <w:t>.</w:t>
      </w:r>
      <w:r>
        <w:rPr>
          <w:snapToGrid w:val="0"/>
        </w:rPr>
        <w:tab/>
        <w:t>Regulations</w:t>
      </w:r>
      <w:bookmarkEnd w:id="20"/>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 and</w:t>
      </w:r>
    </w:p>
    <w:p>
      <w:pPr>
        <w:pStyle w:val="Indenta"/>
        <w:rPr>
          <w:snapToGrid w:val="0"/>
        </w:rPr>
      </w:pPr>
      <w:r>
        <w:rPr>
          <w:snapToGrid w:val="0"/>
        </w:rPr>
        <w:tab/>
        <w:t>(b)</w:t>
      </w:r>
      <w:r>
        <w:rPr>
          <w:snapToGrid w:val="0"/>
        </w:rPr>
        <w:tab/>
        <w:t>securing a regular and sufficient supply of electricity by supply authorities; and</w:t>
      </w:r>
    </w:p>
    <w:p>
      <w:pPr>
        <w:pStyle w:val="Indenta"/>
        <w:rPr>
          <w:snapToGrid w:val="0"/>
        </w:rPr>
      </w:pPr>
      <w:r>
        <w:rPr>
          <w:snapToGrid w:val="0"/>
        </w:rPr>
        <w:tab/>
        <w:t>(c)</w:t>
      </w:r>
      <w:r>
        <w:rPr>
          <w:snapToGrid w:val="0"/>
        </w:rPr>
        <w:tab/>
        <w:t>securing the safety of the public from personal injury and the property of the public from damage by fire or otherwise; and</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 and</w:t>
      </w:r>
    </w:p>
    <w:p>
      <w:pPr>
        <w:pStyle w:val="Indenta"/>
        <w:rPr>
          <w:snapToGrid w:val="0"/>
        </w:rPr>
      </w:pPr>
      <w:r>
        <w:rPr>
          <w:snapToGrid w:val="0"/>
        </w:rPr>
        <w:tab/>
        <w:t>(e)</w:t>
      </w:r>
      <w:r>
        <w:rPr>
          <w:snapToGrid w:val="0"/>
        </w:rPr>
        <w:tab/>
        <w:t>authorising inspection and inquiry; and</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 and</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 and</w:t>
      </w:r>
    </w:p>
    <w:p>
      <w:pPr>
        <w:pStyle w:val="Ednotepara"/>
        <w:spacing w:before="80"/>
        <w:rPr>
          <w:snapToGrid w:val="0"/>
        </w:rPr>
      </w:pPr>
      <w:r>
        <w:rPr>
          <w:snapToGrid w:val="0"/>
        </w:rPr>
        <w:tab/>
        <w:t>[(i)</w:t>
      </w:r>
      <w:r>
        <w:rPr>
          <w:snapToGrid w:val="0"/>
        </w:rPr>
        <w:tab/>
      </w:r>
      <w:r>
        <w:t>deleted</w:t>
      </w:r>
      <w:r>
        <w:rPr>
          <w:snapToGrid w:val="0"/>
        </w:rPr>
        <w:t>]</w:t>
      </w:r>
    </w:p>
    <w:p>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 and</w:t>
      </w:r>
    </w:p>
    <w:p>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 and</w:t>
      </w:r>
    </w:p>
    <w:p>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 and</w:t>
      </w:r>
    </w:p>
    <w:p>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 and</w:t>
      </w:r>
    </w:p>
    <w:p>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 and</w:t>
      </w:r>
    </w:p>
    <w:p>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 and</w:t>
      </w:r>
    </w:p>
    <w:p>
      <w:pPr>
        <w:pStyle w:val="Indenta"/>
        <w:rPr>
          <w:snapToGrid w:val="0"/>
        </w:rPr>
      </w:pPr>
      <w:r>
        <w:rPr>
          <w:snapToGrid w:val="0"/>
        </w:rPr>
        <w:tab/>
        <w:t>(p)</w:t>
      </w:r>
      <w:r>
        <w:rPr>
          <w:snapToGrid w:val="0"/>
        </w:rPr>
        <w:tab/>
        <w:t>the safety of persons employed in or about generating stations or in the construction or installation of electric works; and</w:t>
      </w:r>
    </w:p>
    <w:p>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 and</w:t>
      </w:r>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$50 000; and</w:t>
      </w:r>
    </w:p>
    <w:p>
      <w:pPr>
        <w:pStyle w:val="Indenti"/>
        <w:rPr>
          <w:snapToGrid w:val="0"/>
        </w:rPr>
      </w:pPr>
      <w:r>
        <w:rPr>
          <w:snapToGrid w:val="0"/>
        </w:rPr>
        <w:tab/>
        <w:t>(ii)</w:t>
      </w:r>
      <w:r>
        <w:rPr>
          <w:snapToGrid w:val="0"/>
        </w:rPr>
        <w:tab/>
        <w:t>in the case of a body corporate, of $250 000.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pPr>
        <w:pStyle w:val="Indenti"/>
        <w:spacing w:before="60"/>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 and</w:t>
      </w:r>
    </w:p>
    <w:p>
      <w:pPr>
        <w:pStyle w:val="Indenta"/>
        <w:spacing w:before="60"/>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 and</w:t>
      </w:r>
    </w:p>
    <w:p>
      <w:pPr>
        <w:pStyle w:val="Indenta"/>
        <w:spacing w:before="60"/>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 and</w:t>
      </w:r>
    </w:p>
    <w:p>
      <w:pPr>
        <w:pStyle w:val="Indenta"/>
        <w:spacing w:before="60"/>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 and</w:t>
      </w:r>
    </w:p>
    <w:p>
      <w:pPr>
        <w:pStyle w:val="Indenta"/>
        <w:spacing w:before="60"/>
        <w:rPr>
          <w:snapToGrid w:val="0"/>
        </w:rPr>
      </w:pPr>
      <w:r>
        <w:rPr>
          <w:snapToGrid w:val="0"/>
        </w:rPr>
        <w:tab/>
        <w:t>(f)</w:t>
      </w:r>
      <w:r>
        <w:rPr>
          <w:snapToGrid w:val="0"/>
        </w:rPr>
        <w:tab/>
        <w:t xml:space="preserve">establish systems of inspection, inquiry, and supervision, (including the appointment of persons as inspectors and specifying their duties </w:t>
      </w:r>
      <w:r>
        <w:t>and powers), and provide for the Director to exercise disciplinary powers in respect of certain matters and specify disciplinary penalties, other than the suspension or cancellation of a licence, permit, or authorisation, that the Director may impose; and</w:t>
      </w:r>
    </w:p>
    <w:p>
      <w:pPr>
        <w:pStyle w:val="Indenta"/>
        <w:spacing w:before="60"/>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 and</w:t>
      </w:r>
    </w:p>
    <w:p>
      <w:pPr>
        <w:pStyle w:val="Indenta"/>
        <w:spacing w:before="60"/>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 and</w:t>
      </w:r>
    </w:p>
    <w:p>
      <w:pPr>
        <w:pStyle w:val="Indenta"/>
        <w:spacing w:before="60"/>
        <w:rPr>
          <w:snapToGrid w:val="0"/>
        </w:rPr>
      </w:pPr>
      <w:r>
        <w:rPr>
          <w:snapToGrid w:val="0"/>
        </w:rPr>
        <w:tab/>
        <w:t>(g)</w:t>
      </w:r>
      <w:r>
        <w:rPr>
          <w:snapToGrid w:val="0"/>
        </w:rPr>
        <w:tab/>
        <w:t>create offences, and provide for the payment, enforcement and recovery of penalties, fees and charges; and</w:t>
      </w:r>
    </w:p>
    <w:p>
      <w:pPr>
        <w:pStyle w:val="Indenta"/>
        <w:spacing w:before="60"/>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spacing w:before="60"/>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spacing w:before="60"/>
        <w:rPr>
          <w:snapToGrid w:val="0"/>
        </w:rPr>
      </w:pPr>
      <w:r>
        <w:rPr>
          <w:snapToGrid w:val="0"/>
        </w:rPr>
        <w:tab/>
      </w:r>
      <w:r>
        <w:rPr>
          <w:snapToGrid w:val="0"/>
        </w:rPr>
        <w:tab/>
        <w:t>either wholly or in part or with modifications, as are specified; and</w:t>
      </w:r>
    </w:p>
    <w:p>
      <w:pPr>
        <w:pStyle w:val="Indenta"/>
        <w:spacing w:before="60"/>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 and</w:t>
      </w:r>
    </w:p>
    <w:p>
      <w:pPr>
        <w:pStyle w:val="Indenta"/>
        <w:spacing w:before="60"/>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spacing w:before="60"/>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spacing w:before="140"/>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pPr>
        <w:pStyle w:val="Footnotesection"/>
        <w:spacing w:before="100"/>
      </w:pPr>
      <w:r>
        <w:tab/>
        <w:t>[Section 32 amended by No. 72 of 1953 s. 3; No. 113 of 1965 s. 8; No. 86 of 1979 s. 8; No. 42 of 1988 s. 5; No. 89 of 1994 s. 75 and 81; No. 14 of 1996 s. 4; No. 63 of 1996 s. 21; No. 24 of 2000 s. 14(13); No. 74 of 2003 s. 48(2); No. 33 of 2004 s. 15; No. 55 of 2004 s. 273; No. 28 of 2006 s. 165; No. 5 of 2007 s. 5; No. 8 of 2009 s. 49.]</w:t>
      </w:r>
    </w:p>
    <w:p>
      <w:pPr>
        <w:pStyle w:val="Heading5"/>
        <w:rPr>
          <w:snapToGrid w:val="0"/>
        </w:rPr>
      </w:pPr>
      <w:bookmarkStart w:id="21" w:name="_Toc382317529"/>
      <w:r>
        <w:rPr>
          <w:rStyle w:val="CharSectno"/>
        </w:rPr>
        <w:t>33</w:t>
      </w:r>
      <w:r>
        <w:rPr>
          <w:snapToGrid w:val="0"/>
        </w:rPr>
        <w:t>.</w:t>
      </w:r>
      <w:r>
        <w:rPr>
          <w:snapToGrid w:val="0"/>
        </w:rPr>
        <w:tab/>
        <w:t>Annual reporting</w:t>
      </w:r>
      <w:bookmarkEnd w:id="21"/>
    </w:p>
    <w:p>
      <w:pPr>
        <w:pStyle w:val="Subsection"/>
        <w:spacing w:before="140"/>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spacing w:before="60"/>
      </w:pPr>
      <w:r>
        <w:tab/>
        <w:t>(a)</w:t>
      </w:r>
      <w:r>
        <w:tab/>
        <w:t xml:space="preserve">the </w:t>
      </w:r>
      <w:r>
        <w:rPr>
          <w:snapToGrid w:val="0"/>
        </w:rPr>
        <w:t>number</w:t>
      </w:r>
      <w:r>
        <w:t>, nature, and outcome, of —</w:t>
      </w:r>
    </w:p>
    <w:p>
      <w:pPr>
        <w:pStyle w:val="Indenti"/>
        <w:spacing w:before="60"/>
        <w:rPr>
          <w:snapToGrid w:val="0"/>
        </w:rPr>
      </w:pPr>
      <w:r>
        <w:rPr>
          <w:snapToGrid w:val="0"/>
        </w:rPr>
        <w:tab/>
        <w:t>(i)</w:t>
      </w:r>
      <w:r>
        <w:rPr>
          <w:snapToGrid w:val="0"/>
        </w:rPr>
        <w:tab/>
        <w:t>investigations and inquiries undertaken under this Act by, or at the direction of, the Director; and</w:t>
      </w:r>
    </w:p>
    <w:p>
      <w:pPr>
        <w:pStyle w:val="Indenti"/>
        <w:spacing w:before="60"/>
        <w:rPr>
          <w:snapToGrid w:val="0"/>
        </w:rPr>
      </w:pPr>
      <w:r>
        <w:rPr>
          <w:snapToGrid w:val="0"/>
        </w:rPr>
        <w:tab/>
        <w:t>(ii)</w:t>
      </w:r>
      <w:r>
        <w:rPr>
          <w:snapToGrid w:val="0"/>
        </w:rPr>
        <w:tab/>
        <w:t>matters that have been brought before the State Administrative Tribunal under this Act by the Director;</w:t>
      </w:r>
    </w:p>
    <w:p>
      <w:pPr>
        <w:pStyle w:val="Indenta"/>
        <w:spacing w:before="60"/>
      </w:pPr>
      <w:r>
        <w:tab/>
      </w:r>
      <w:r>
        <w:tab/>
        <w:t>and</w:t>
      </w:r>
    </w:p>
    <w:p>
      <w:pPr>
        <w:pStyle w:val="Indenta"/>
      </w:pPr>
      <w:r>
        <w:tab/>
        <w:t>(b)</w:t>
      </w:r>
      <w:r>
        <w:tab/>
      </w:r>
      <w:r>
        <w:rPr>
          <w:snapToGrid w:val="0"/>
        </w:rPr>
        <w:t>the</w:t>
      </w:r>
      <w:r>
        <w:t xml:space="preserve"> number and nature of matters referred to in paragraph (a) that are outstanding; and</w:t>
      </w:r>
    </w:p>
    <w:p>
      <w:pPr>
        <w:pStyle w:val="Indenta"/>
      </w:pPr>
      <w:r>
        <w:tab/>
        <w:t>(c)</w:t>
      </w:r>
      <w:r>
        <w:tab/>
        <w:t xml:space="preserve">any trends or special problems that may have </w:t>
      </w:r>
      <w:r>
        <w:rPr>
          <w:snapToGrid w:val="0"/>
        </w:rPr>
        <w:t>emerged</w:t>
      </w:r>
      <w:r>
        <w:t>; and</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by No. 55 of 2004 s. 274; amended by No. 77 of 2006 Sch. 1 cl. 52.]</w:t>
      </w:r>
    </w:p>
    <w:p>
      <w:pPr>
        <w:pStyle w:val="Heading5"/>
        <w:rPr>
          <w:snapToGrid w:val="0"/>
        </w:rPr>
      </w:pPr>
      <w:bookmarkStart w:id="22" w:name="_Toc382317530"/>
      <w:r>
        <w:rPr>
          <w:rStyle w:val="CharSectno"/>
        </w:rPr>
        <w:t>33AA</w:t>
      </w:r>
      <w:r>
        <w:rPr>
          <w:snapToGrid w:val="0"/>
        </w:rPr>
        <w:t>.</w:t>
      </w:r>
      <w:r>
        <w:rPr>
          <w:snapToGrid w:val="0"/>
        </w:rPr>
        <w:tab/>
        <w:t>Guidelines</w:t>
      </w:r>
      <w:bookmarkEnd w:id="22"/>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by No. 42 of 1988 s. 6; amended by No. 89 of 1994 s. 80; No. 74 of 2003 s. 48(2).]</w:t>
      </w:r>
    </w:p>
    <w:p>
      <w:pPr>
        <w:pStyle w:val="Heading2"/>
      </w:pPr>
      <w:bookmarkStart w:id="23" w:name="_Toc382317531"/>
      <w:r>
        <w:rPr>
          <w:rStyle w:val="CharPartNo"/>
        </w:rPr>
        <w:t>Part IVA</w:t>
      </w:r>
      <w:r>
        <w:rPr>
          <w:rStyle w:val="CharDivNo"/>
        </w:rPr>
        <w:t> </w:t>
      </w:r>
      <w:r>
        <w:t>—</w:t>
      </w:r>
      <w:r>
        <w:rPr>
          <w:rStyle w:val="CharDivText"/>
        </w:rPr>
        <w:t> </w:t>
      </w:r>
      <w:r>
        <w:rPr>
          <w:rStyle w:val="CharPartText"/>
        </w:rPr>
        <w:t>Approval of electrical appliances</w:t>
      </w:r>
      <w:bookmarkEnd w:id="23"/>
    </w:p>
    <w:p>
      <w:pPr>
        <w:pStyle w:val="Footnoteheading"/>
        <w:ind w:left="890"/>
        <w:rPr>
          <w:snapToGrid w:val="0"/>
        </w:rPr>
      </w:pPr>
      <w:r>
        <w:rPr>
          <w:snapToGrid w:val="0"/>
        </w:rPr>
        <w:tab/>
        <w:t>[Heading inserted by No. 72 of 1953 s. 4.]</w:t>
      </w:r>
    </w:p>
    <w:p>
      <w:pPr>
        <w:pStyle w:val="Heading5"/>
        <w:rPr>
          <w:snapToGrid w:val="0"/>
        </w:rPr>
      </w:pPr>
      <w:bookmarkStart w:id="24" w:name="_Toc382317532"/>
      <w:r>
        <w:rPr>
          <w:rStyle w:val="CharSectno"/>
        </w:rPr>
        <w:t>33A</w:t>
      </w:r>
      <w:r>
        <w:rPr>
          <w:snapToGrid w:val="0"/>
        </w:rPr>
        <w:t>.</w:t>
      </w:r>
      <w:r>
        <w:rPr>
          <w:snapToGrid w:val="0"/>
        </w:rPr>
        <w:tab/>
        <w:t>Terms used</w:t>
      </w:r>
      <w:bookmarkEnd w:id="24"/>
    </w:p>
    <w:p>
      <w:pPr>
        <w:pStyle w:val="Subsection"/>
        <w:rPr>
          <w:snapToGrid w:val="0"/>
        </w:rPr>
      </w:pPr>
      <w:r>
        <w:rPr>
          <w:snapToGrid w:val="0"/>
        </w:rPr>
        <w:tab/>
      </w:r>
      <w:r>
        <w:rPr>
          <w:snapToGrid w:val="0"/>
        </w:rPr>
        <w:tab/>
        <w:t>For the purposes of this Part —</w:t>
      </w:r>
    </w:p>
    <w:p>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by No. 72 of 1953 s. 4.]</w:t>
      </w:r>
    </w:p>
    <w:p>
      <w:pPr>
        <w:pStyle w:val="Heading5"/>
        <w:rPr>
          <w:snapToGrid w:val="0"/>
        </w:rPr>
      </w:pPr>
      <w:bookmarkStart w:id="25" w:name="_Toc382317533"/>
      <w:r>
        <w:rPr>
          <w:rStyle w:val="CharSectno"/>
        </w:rPr>
        <w:t>33B</w:t>
      </w:r>
      <w:r>
        <w:rPr>
          <w:snapToGrid w:val="0"/>
        </w:rPr>
        <w:t>.</w:t>
      </w:r>
      <w:r>
        <w:rPr>
          <w:snapToGrid w:val="0"/>
        </w:rPr>
        <w:tab/>
        <w:t>Power of Director to prescribe classes or types of electrical apparatus etc., which shall not be sold etc., unless approved by Director</w:t>
      </w:r>
      <w:bookmarkEnd w:id="25"/>
    </w:p>
    <w:p>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spacing w:before="120"/>
        <w:rPr>
          <w:snapToGrid w:val="0"/>
        </w:rPr>
      </w:pPr>
      <w:r>
        <w:rPr>
          <w:snapToGrid w:val="0"/>
        </w:rPr>
        <w:tab/>
        <w:t>(1B)</w:t>
      </w:r>
      <w:r>
        <w:rPr>
          <w:snapToGrid w:val="0"/>
        </w:rPr>
        <w:tab/>
        <w:t xml:space="preserve">An application to the Director for approval under the provisions of </w:t>
      </w:r>
      <w:r>
        <w:t xml:space="preserve">subsection (1A) </w:t>
      </w:r>
      <w:r>
        <w:rPr>
          <w:snapToGrid w:val="0"/>
        </w:rPr>
        <w:t>shall be in the prescribed form, and shall, unless exempted by the Director, be accompanied by a test report from a testing laboratory approved by him or her.</w:t>
      </w:r>
    </w:p>
    <w:p>
      <w:pPr>
        <w:pStyle w:val="Subsection"/>
        <w:spacing w:before="120"/>
        <w:rPr>
          <w:snapToGrid w:val="0"/>
        </w:rPr>
      </w:pPr>
      <w:r>
        <w:rPr>
          <w:snapToGrid w:val="0"/>
        </w:rPr>
        <w:tab/>
        <w:t>(2)</w:t>
      </w:r>
      <w:r>
        <w:rPr>
          <w:snapToGrid w:val="0"/>
        </w:rPr>
        <w:tab/>
        <w:t xml:space="preserve">A person who, after the date so specified sells, hires or exposes for sale or hire or advertises for sale or hire or causes to be sold or hired or exposed for sale or hire or </w:t>
      </w:r>
      <w:r>
        <w:t>advertised</w:t>
      </w:r>
      <w:r>
        <w:rPr>
          <w:snapToGrid w:val="0"/>
        </w:rPr>
        <w:t xml:space="preserve"> for sale or hire an electrical appliance of the class or type prescribed commits an offence unless the electrical appliance is approved by the 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(a)</w:t>
      </w:r>
      <w:r>
        <w:rPr>
          <w:snapToGrid w:val="0"/>
        </w:rPr>
        <w:tab/>
        <w:t>approved; or</w:t>
      </w:r>
    </w:p>
    <w:p>
      <w:pPr>
        <w:pStyle w:val="Indenta"/>
        <w:rPr>
          <w:snapToGrid w:val="0"/>
        </w:rPr>
      </w:pPr>
      <w:r>
        <w:rPr>
          <w:snapToGrid w:val="0"/>
        </w:rPr>
        <w:tab/>
        <w:t>(b)</w:t>
      </w:r>
      <w:r>
        <w:rPr>
          <w:snapToGrid w:val="0"/>
        </w:rPr>
        <w:tab/>
        <w:t>not approved; or</w:t>
      </w:r>
    </w:p>
    <w:p>
      <w:pPr>
        <w:pStyle w:val="Indenta"/>
        <w:rPr>
          <w:snapToGrid w:val="0"/>
        </w:rPr>
      </w:pPr>
      <w:r>
        <w:rPr>
          <w:snapToGrid w:val="0"/>
        </w:rPr>
        <w:tab/>
        <w:t>(c)</w:t>
      </w:r>
      <w:r>
        <w:rPr>
          <w:snapToGrid w:val="0"/>
        </w:rPr>
        <w:tab/>
        <w:t>deferred.</w:t>
      </w:r>
    </w:p>
    <w:p>
      <w:pPr>
        <w:pStyle w:val="Subsection"/>
        <w:rPr>
          <w:snapToGrid w:val="0"/>
        </w:rPr>
      </w:pPr>
      <w:r>
        <w:rPr>
          <w:snapToGrid w:val="0"/>
        </w:rPr>
        <w:tab/>
        <w:t>(5B)</w:t>
      </w:r>
      <w:r>
        <w:rPr>
          <w:snapToGrid w:val="0"/>
        </w:rPr>
        <w:tab/>
        <w:t>The Director may approve the electrical appliance, without an examination or test of the electrical appliance, where —</w:t>
      </w:r>
    </w:p>
    <w:p>
      <w:pPr>
        <w:pStyle w:val="Indenta"/>
        <w:rPr>
          <w:snapToGrid w:val="0"/>
        </w:rPr>
      </w:pPr>
      <w:r>
        <w:rPr>
          <w:snapToGrid w:val="0"/>
        </w:rPr>
        <w:tab/>
        <w:t>(a)</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(b)</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(5C)</w:t>
      </w:r>
      <w:r>
        <w:rPr>
          <w:snapToGrid w:val="0"/>
        </w:rPr>
        <w:tab/>
        <w:t xml:space="preserve">The recognition of a person by the Director as a competent authority for the purposes of </w:t>
      </w:r>
      <w:r>
        <w:t>subsection (5B) does</w:t>
      </w:r>
      <w:r>
        <w:rPr>
          <w:snapToGrid w:val="0"/>
        </w:rPr>
        <w:t xml:space="preserve">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(5D)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w:t>
      </w:r>
      <w:r>
        <w:t xml:space="preserve"> of subsection (5B).</w:t>
      </w:r>
    </w:p>
    <w:p>
      <w:pPr>
        <w:pStyle w:val="Subsection"/>
        <w:rPr>
          <w:snapToGrid w:val="0"/>
        </w:rPr>
      </w:pPr>
      <w:r>
        <w:rPr>
          <w:snapToGrid w:val="0"/>
        </w:rPr>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 and</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 and</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 and</w:t>
      </w:r>
    </w:p>
    <w:p>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by No. 72 of 1953 s. 4; amended by No. 113 of 1965 s. 8; No. 86 of 1979 s. 9; No. 89 of 1994 s. 77, 80 and 83; No. 63 of 1996 s. 4 and 12; No. 5 of 2007 s. 6; No. 19 of 2010 s. 57(4)</w:t>
      </w:r>
      <w:r>
        <w:rPr>
          <w:spacing w:val="-4"/>
        </w:rPr>
        <w:t>; No. 47 of 2011 s.</w:t>
      </w:r>
      <w:r>
        <w:t> 27.]</w:t>
      </w:r>
    </w:p>
    <w:p>
      <w:pPr>
        <w:pStyle w:val="Heading5"/>
        <w:rPr>
          <w:snapToGrid w:val="0"/>
        </w:rPr>
      </w:pPr>
      <w:bookmarkStart w:id="26" w:name="_Toc382317534"/>
      <w:r>
        <w:rPr>
          <w:rStyle w:val="CharSectno"/>
        </w:rPr>
        <w:t>33C</w:t>
      </w:r>
      <w:r>
        <w:rPr>
          <w:snapToGrid w:val="0"/>
        </w:rPr>
        <w:t>.</w:t>
      </w:r>
      <w:r>
        <w:rPr>
          <w:snapToGrid w:val="0"/>
        </w:rPr>
        <w:tab/>
        <w:t>Power of Director to prohibit sale etc. or use of unsafe or dangerous electrical apparatus etc.</w:t>
      </w:r>
      <w:bookmarkEnd w:id="26"/>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keepNext/>
        <w:rPr>
          <w:snapToGrid w:val="0"/>
        </w:rPr>
      </w:pPr>
      <w:r>
        <w:rPr>
          <w:snapToGrid w:val="0"/>
        </w:rPr>
        <w:tab/>
        <w:t>(2)</w:t>
      </w:r>
      <w:r>
        <w:rPr>
          <w:snapToGrid w:val="0"/>
        </w:rPr>
        <w:tab/>
        <w:t>The notice shall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by No. 72 of 1953 s. 4; amended by No. 89 of 1994 s. 80.]</w:t>
      </w:r>
    </w:p>
    <w:p>
      <w:pPr>
        <w:pStyle w:val="Heading5"/>
        <w:rPr>
          <w:snapToGrid w:val="0"/>
        </w:rPr>
      </w:pPr>
      <w:bookmarkStart w:id="27" w:name="_Toc382317535"/>
      <w:r>
        <w:rPr>
          <w:rStyle w:val="CharSectno"/>
        </w:rPr>
        <w:t>33D</w:t>
      </w:r>
      <w:r>
        <w:rPr>
          <w:snapToGrid w:val="0"/>
        </w:rPr>
        <w:t>.</w:t>
      </w:r>
      <w:r>
        <w:rPr>
          <w:snapToGrid w:val="0"/>
        </w:rPr>
        <w:tab/>
        <w:t>Penalties</w:t>
      </w:r>
      <w:bookmarkEnd w:id="27"/>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$50 000; and</w:t>
      </w:r>
    </w:p>
    <w:p>
      <w:pPr>
        <w:pStyle w:val="Indenta"/>
        <w:rPr>
          <w:snapToGrid w:val="0"/>
        </w:rPr>
      </w:pPr>
      <w:r>
        <w:rPr>
          <w:snapToGrid w:val="0"/>
        </w:rPr>
        <w:tab/>
        <w:t>(b)</w:t>
      </w:r>
      <w:r>
        <w:rPr>
          <w:snapToGrid w:val="0"/>
        </w:rPr>
        <w:tab/>
        <w:t>in the case of a body corporate, to a fine of $250 000.</w:t>
      </w:r>
    </w:p>
    <w:p>
      <w:pPr>
        <w:pStyle w:val="Footnotesection"/>
      </w:pPr>
      <w:r>
        <w:tab/>
        <w:t>[Section 33D inserted by No. 72 of 1953 s. 4; amended by No. 113 of 1965 s. 8; No. 63 of 1996 s. 5; No. 5 of 2007 s. 7.]</w:t>
      </w:r>
    </w:p>
    <w:p>
      <w:pPr>
        <w:pStyle w:val="Heading2"/>
      </w:pPr>
      <w:bookmarkStart w:id="28" w:name="_Toc382317536"/>
      <w:r>
        <w:rPr>
          <w:rStyle w:val="CharPartNo"/>
        </w:rPr>
        <w:t>Part IVB</w:t>
      </w:r>
      <w:r>
        <w:rPr>
          <w:rStyle w:val="CharDivNo"/>
        </w:rPr>
        <w:t> </w:t>
      </w:r>
      <w:r>
        <w:t>—</w:t>
      </w:r>
      <w:r>
        <w:rPr>
          <w:rStyle w:val="CharDivText"/>
        </w:rPr>
        <w:t> </w:t>
      </w:r>
      <w:r>
        <w:rPr>
          <w:rStyle w:val="CharPartText"/>
        </w:rPr>
        <w:t>Energy efficiency</w:t>
      </w:r>
      <w:bookmarkEnd w:id="28"/>
    </w:p>
    <w:p>
      <w:pPr>
        <w:pStyle w:val="Footnoteheading"/>
        <w:ind w:left="890"/>
        <w:rPr>
          <w:snapToGrid w:val="0"/>
        </w:rPr>
      </w:pPr>
      <w:r>
        <w:rPr>
          <w:snapToGrid w:val="0"/>
        </w:rPr>
        <w:tab/>
        <w:t>[Heading inserted by No. 63 of 1996 s. 13.]</w:t>
      </w:r>
    </w:p>
    <w:p>
      <w:pPr>
        <w:pStyle w:val="Heading5"/>
        <w:rPr>
          <w:snapToGrid w:val="0"/>
        </w:rPr>
      </w:pPr>
      <w:bookmarkStart w:id="29" w:name="_Toc382317537"/>
      <w:r>
        <w:rPr>
          <w:rStyle w:val="CharSectno"/>
        </w:rPr>
        <w:t>33E</w:t>
      </w:r>
      <w:r>
        <w:rPr>
          <w:snapToGrid w:val="0"/>
        </w:rPr>
        <w:t>.</w:t>
      </w:r>
      <w:r>
        <w:rPr>
          <w:snapToGrid w:val="0"/>
        </w:rPr>
        <w:tab/>
        <w:t>Energy efficiency standards</w:t>
      </w:r>
      <w:bookmarkEnd w:id="29"/>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spacing w:before="60"/>
        <w:rPr>
          <w:snapToGrid w:val="0"/>
        </w:rPr>
      </w:pPr>
      <w:r>
        <w:rPr>
          <w:snapToGrid w:val="0"/>
        </w:rPr>
        <w:tab/>
        <w:t>(a)</w:t>
      </w:r>
      <w:r>
        <w:rPr>
          <w:snapToGrid w:val="0"/>
        </w:rPr>
        <w:tab/>
        <w:t>set minimum energy efficiency standards with which any electrical apparatus or installation must comply; and</w:t>
      </w:r>
    </w:p>
    <w:p>
      <w:pPr>
        <w:pStyle w:val="Indenta"/>
        <w:spacing w:before="60"/>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 and</w:t>
      </w:r>
    </w:p>
    <w:p>
      <w:pPr>
        <w:pStyle w:val="Indenta"/>
        <w:spacing w:before="60"/>
        <w:rPr>
          <w:snapToGrid w:val="0"/>
        </w:rPr>
      </w:pPr>
      <w:r>
        <w:rPr>
          <w:snapToGrid w:val="0"/>
        </w:rPr>
        <w:tab/>
        <w:t>(e)</w:t>
      </w:r>
      <w:r>
        <w:rPr>
          <w:snapToGrid w:val="0"/>
        </w:rPr>
        <w:tab/>
        <w:t>prescribe labelling requirements; and</w:t>
      </w:r>
    </w:p>
    <w:p>
      <w:pPr>
        <w:pStyle w:val="Indenta"/>
        <w:spacing w:before="60"/>
        <w:rPr>
          <w:snapToGrid w:val="0"/>
        </w:rPr>
      </w:pPr>
      <w:r>
        <w:tab/>
        <w:t>(f)</w:t>
      </w:r>
      <w: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iCs/>
        </w:rPr>
        <w:t>Gazette</w:t>
      </w:r>
      <w: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by No. 63 of 1996 s. 13; amended by No. 10 of 1998 s. 31; No. 74 of 2003 s. 48(3).]</w:t>
      </w:r>
    </w:p>
    <w:p>
      <w:pPr>
        <w:pStyle w:val="Heading5"/>
        <w:spacing w:before="600"/>
        <w:rPr>
          <w:snapToGrid w:val="0"/>
        </w:rPr>
      </w:pPr>
      <w:bookmarkStart w:id="30" w:name="_Toc382317538"/>
      <w:r>
        <w:rPr>
          <w:rStyle w:val="CharSectno"/>
        </w:rPr>
        <w:t>33F</w:t>
      </w:r>
      <w:r>
        <w:rPr>
          <w:snapToGrid w:val="0"/>
        </w:rPr>
        <w:t>.</w:t>
      </w:r>
      <w:r>
        <w:rPr>
          <w:snapToGrid w:val="0"/>
        </w:rPr>
        <w:tab/>
        <w:t>Offences related to energy efficiency labelling</w:t>
      </w:r>
      <w:bookmarkEnd w:id="30"/>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 or</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$50 000 and in the case of a body corporate, $250 000.</w:t>
      </w:r>
    </w:p>
    <w:p>
      <w:pPr>
        <w:pStyle w:val="Footnotesection"/>
      </w:pPr>
      <w:r>
        <w:tab/>
        <w:t>[Section 33F inserted by No. 63 of 1996 s. 13; amended by No. 5 of 2007 s. 8.]</w:t>
      </w:r>
    </w:p>
    <w:p>
      <w:pPr>
        <w:pStyle w:val="Heading2"/>
      </w:pPr>
      <w:bookmarkStart w:id="31" w:name="_Toc382317539"/>
      <w:r>
        <w:rPr>
          <w:rStyle w:val="CharPartNo"/>
        </w:rPr>
        <w:t>Part V</w:t>
      </w:r>
      <w:r>
        <w:rPr>
          <w:rStyle w:val="CharDivNo"/>
        </w:rPr>
        <w:t> </w:t>
      </w:r>
      <w:r>
        <w:t>—</w:t>
      </w:r>
      <w:r>
        <w:rPr>
          <w:rStyle w:val="CharDivText"/>
        </w:rPr>
        <w:t> </w:t>
      </w:r>
      <w:r>
        <w:rPr>
          <w:rStyle w:val="CharPartText"/>
        </w:rPr>
        <w:t>Miscellaneous</w:t>
      </w:r>
      <w:bookmarkEnd w:id="31"/>
    </w:p>
    <w:p>
      <w:pPr>
        <w:pStyle w:val="Heading5"/>
        <w:rPr>
          <w:snapToGrid w:val="0"/>
        </w:rPr>
      </w:pPr>
      <w:bookmarkStart w:id="32" w:name="_Toc382317540"/>
      <w:r>
        <w:rPr>
          <w:rStyle w:val="CharSectno"/>
        </w:rPr>
        <w:t>34</w:t>
      </w:r>
      <w:r>
        <w:rPr>
          <w:snapToGrid w:val="0"/>
        </w:rPr>
        <w:t>.</w:t>
      </w:r>
      <w:r>
        <w:rPr>
          <w:snapToGrid w:val="0"/>
        </w:rPr>
        <w:tab/>
        <w:t>Service apparatus etc. of supply authority not subject to seizure etc.</w:t>
      </w:r>
      <w:bookmarkEnd w:id="32"/>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33" w:name="_Toc382317541"/>
      <w:r>
        <w:rPr>
          <w:rStyle w:val="CharSectno"/>
        </w:rPr>
        <w:t>35</w:t>
      </w:r>
      <w:r>
        <w:rPr>
          <w:snapToGrid w:val="0"/>
        </w:rPr>
        <w:t>.</w:t>
      </w:r>
      <w:r>
        <w:rPr>
          <w:snapToGrid w:val="0"/>
        </w:rPr>
        <w:tab/>
        <w:t>Power to cut off supply</w:t>
      </w:r>
      <w:bookmarkEnd w:id="33"/>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34" w:name="_Toc382317542"/>
      <w:r>
        <w:rPr>
          <w:rStyle w:val="CharSectno"/>
        </w:rPr>
        <w:t>36</w:t>
      </w:r>
      <w:r>
        <w:rPr>
          <w:snapToGrid w:val="0"/>
        </w:rPr>
        <w:t>.</w:t>
      </w:r>
      <w:r>
        <w:rPr>
          <w:snapToGrid w:val="0"/>
        </w:rPr>
        <w:tab/>
        <w:t>Powers where electricity wasted or misused</w:t>
      </w:r>
      <w:bookmarkEnd w:id="34"/>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t>(4)</w:t>
      </w:r>
      <w:r>
        <w:rPr>
          <w:snapToGrid w:val="0"/>
        </w:rPr>
        <w:tab/>
      </w:r>
      <w:r>
        <w:t>Despite subsection (3), where</w:t>
      </w:r>
      <w:r>
        <w:rPr>
          <w:snapToGrid w:val="0"/>
        </w:rPr>
        <w:t xml:space="preserv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by No. 113 of 1965 s. 8; No. 63 of 1996 s. 4; No. 59 of 2004 s. 141; No. 19 of 2010 s. 57(4).]</w:t>
      </w:r>
    </w:p>
    <w:p>
      <w:pPr>
        <w:pStyle w:val="Heading5"/>
        <w:rPr>
          <w:snapToGrid w:val="0"/>
        </w:rPr>
      </w:pPr>
      <w:bookmarkStart w:id="35" w:name="_Toc382317543"/>
      <w:r>
        <w:rPr>
          <w:rStyle w:val="CharSectno"/>
        </w:rPr>
        <w:t>37</w:t>
      </w:r>
      <w:r>
        <w:rPr>
          <w:snapToGrid w:val="0"/>
        </w:rPr>
        <w:t>.</w:t>
      </w:r>
      <w:r>
        <w:rPr>
          <w:snapToGrid w:val="0"/>
        </w:rPr>
        <w:tab/>
        <w:t>Power to remove appliances</w:t>
      </w:r>
      <w:bookmarkEnd w:id="35"/>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36" w:name="_Toc382317544"/>
      <w:r>
        <w:rPr>
          <w:rStyle w:val="CharSectno"/>
        </w:rPr>
        <w:t>38</w:t>
      </w:r>
      <w:r>
        <w:rPr>
          <w:snapToGrid w:val="0"/>
        </w:rPr>
        <w:t>.</w:t>
      </w:r>
      <w:r>
        <w:rPr>
          <w:snapToGrid w:val="0"/>
        </w:rPr>
        <w:tab/>
        <w:t>Incoming tenant must be supplied although outgoing tenant in arrears</w:t>
      </w:r>
      <w:bookmarkEnd w:id="36"/>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spacing w:before="180"/>
        <w:rPr>
          <w:snapToGrid w:val="0"/>
        </w:rPr>
      </w:pPr>
      <w:bookmarkStart w:id="37" w:name="_Toc382317545"/>
      <w:r>
        <w:rPr>
          <w:rStyle w:val="CharSectno"/>
        </w:rPr>
        <w:t>39</w:t>
      </w:r>
      <w:r>
        <w:rPr>
          <w:snapToGrid w:val="0"/>
        </w:rPr>
        <w:t>.</w:t>
      </w:r>
      <w:r>
        <w:rPr>
          <w:snapToGrid w:val="0"/>
        </w:rPr>
        <w:tab/>
        <w:t>Supply authority to keep meter in order</w:t>
      </w:r>
      <w:bookmarkEnd w:id="37"/>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38" w:name="_Toc382317546"/>
      <w:r>
        <w:rPr>
          <w:rStyle w:val="CharSectno"/>
        </w:rPr>
        <w:t>40</w:t>
      </w:r>
      <w:r>
        <w:rPr>
          <w:snapToGrid w:val="0"/>
        </w:rPr>
        <w:t>.</w:t>
      </w:r>
      <w:r>
        <w:rPr>
          <w:snapToGrid w:val="0"/>
        </w:rPr>
        <w:tab/>
        <w:t>Control of meters and fittings</w:t>
      </w:r>
      <w:bookmarkEnd w:id="38"/>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by No. 113 of 1965 s. 8; No. 14 of 1996 s. 4; No. 63 of 1996 s. 4.]</w:t>
      </w:r>
    </w:p>
    <w:p>
      <w:pPr>
        <w:pStyle w:val="Heading5"/>
        <w:rPr>
          <w:snapToGrid w:val="0"/>
        </w:rPr>
      </w:pPr>
      <w:bookmarkStart w:id="39" w:name="_Toc382317547"/>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39"/>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by No. 113 of 1965 s. 8; No. 89 of 1994 s. 80; No. 63 of 1996 s. 10; No. 19 of 2010 s. 57(4).]</w:t>
      </w:r>
    </w:p>
    <w:p>
      <w:pPr>
        <w:pStyle w:val="Heading5"/>
        <w:spacing w:before="240"/>
      </w:pPr>
      <w:bookmarkStart w:id="40" w:name="_Toc382317548"/>
      <w:r>
        <w:rPr>
          <w:rStyle w:val="CharSectno"/>
        </w:rPr>
        <w:t>42</w:t>
      </w:r>
      <w:r>
        <w:t>.</w:t>
      </w:r>
      <w:r>
        <w:tab/>
        <w:t>Apparatus</w:t>
      </w:r>
      <w:bookmarkEnd w:id="40"/>
    </w:p>
    <w:p>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180"/>
      </w:pPr>
      <w:r>
        <w:rPr>
          <w:snapToGrid w:val="0"/>
        </w:rPr>
        <w:tab/>
        <w:t>(2)</w:t>
      </w:r>
      <w:r>
        <w:rPr>
          <w:snapToGrid w:val="0"/>
        </w:rPr>
        <w:tab/>
        <w:t xml:space="preserve">However </w:t>
      </w:r>
      <w:r>
        <w:t>a person is not entitled —</w:t>
      </w:r>
    </w:p>
    <w:p>
      <w:pPr>
        <w:pStyle w:val="Indenta"/>
        <w:spacing w:before="120"/>
        <w:rPr>
          <w:snapToGrid w:val="0"/>
        </w:rPr>
      </w:pPr>
      <w:r>
        <w:rPr>
          <w:snapToGrid w:val="0"/>
        </w:rPr>
        <w:tab/>
        <w:t>(a)</w:t>
      </w:r>
      <w:r>
        <w:rPr>
          <w:snapToGrid w:val="0"/>
        </w:rPr>
        <w:tab/>
        <w:t>to use any form of electrical installation, apparatus or fitting; or</w:t>
      </w:r>
    </w:p>
    <w:p>
      <w:pPr>
        <w:pStyle w:val="Indenta"/>
        <w:spacing w:before="120"/>
        <w:rPr>
          <w:snapToGrid w:val="0"/>
        </w:rPr>
      </w:pPr>
      <w:r>
        <w:rPr>
          <w:snapToGrid w:val="0"/>
        </w:rPr>
        <w:tab/>
        <w:t>(b)</w:t>
      </w:r>
      <w:r>
        <w:rPr>
          <w:snapToGrid w:val="0"/>
        </w:rPr>
        <w:tab/>
        <w:t>to use or deal with electricity supplied to the person for any purpose or in any manner,</w:t>
      </w:r>
    </w:p>
    <w:p>
      <w:pPr>
        <w:pStyle w:val="Subsection"/>
        <w:spacing w:before="180"/>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by No. 33 of 2004 s. 16.]</w:t>
      </w:r>
    </w:p>
    <w:p>
      <w:pPr>
        <w:pStyle w:val="Heading5"/>
        <w:spacing w:before="240"/>
        <w:rPr>
          <w:snapToGrid w:val="0"/>
        </w:rPr>
      </w:pPr>
      <w:bookmarkStart w:id="41" w:name="_Toc382317549"/>
      <w:r>
        <w:rPr>
          <w:rStyle w:val="CharSectno"/>
        </w:rPr>
        <w:t>43</w:t>
      </w:r>
      <w:r>
        <w:rPr>
          <w:snapToGrid w:val="0"/>
        </w:rPr>
        <w:t>.</w:t>
      </w:r>
      <w:r>
        <w:rPr>
          <w:snapToGrid w:val="0"/>
        </w:rPr>
        <w:tab/>
        <w:t>Uniform charges and zoning</w:t>
      </w:r>
      <w:bookmarkEnd w:id="41"/>
    </w:p>
    <w:p>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180"/>
        <w:rPr>
          <w:snapToGrid w:val="0"/>
        </w:rPr>
      </w:pPr>
      <w:r>
        <w:rPr>
          <w:snapToGrid w:val="0"/>
        </w:rPr>
        <w:tab/>
        <w:t>(2)</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by No. 113 of 1965 s. 8; No. 89 of 1994 s. 79; No. 63 of 1996 s. 4; No. 19 of 2010 s. 57(4).]</w:t>
      </w:r>
    </w:p>
    <w:p>
      <w:pPr>
        <w:pStyle w:val="Heading5"/>
        <w:rPr>
          <w:snapToGrid w:val="0"/>
        </w:rPr>
      </w:pPr>
      <w:bookmarkStart w:id="42" w:name="_Toc382317550"/>
      <w:r>
        <w:rPr>
          <w:rStyle w:val="CharSectno"/>
        </w:rPr>
        <w:t>44</w:t>
      </w:r>
      <w:r>
        <w:rPr>
          <w:snapToGrid w:val="0"/>
        </w:rPr>
        <w:t>.</w:t>
      </w:r>
      <w:r>
        <w:rPr>
          <w:snapToGrid w:val="0"/>
        </w:rPr>
        <w:tab/>
        <w:t>Obligation to supply</w:t>
      </w:r>
      <w:bookmarkEnd w:id="42"/>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43" w:name="_Toc382317551"/>
      <w:r>
        <w:rPr>
          <w:rStyle w:val="CharSectno"/>
        </w:rPr>
        <w:t>45</w:t>
      </w:r>
      <w:r>
        <w:rPr>
          <w:snapToGrid w:val="0"/>
        </w:rPr>
        <w:t>.</w:t>
      </w:r>
      <w:r>
        <w:rPr>
          <w:snapToGrid w:val="0"/>
        </w:rPr>
        <w:tab/>
        <w:t>Compensation, damages etc.</w:t>
      </w:r>
      <w:bookmarkEnd w:id="43"/>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by No. 78 of 1995 s. 36; No. 33 of 2004 s. 17; No. 59 of 2004 s. 141.]</w:t>
      </w:r>
    </w:p>
    <w:p>
      <w:pPr>
        <w:pStyle w:val="Ednotesection"/>
      </w:pPr>
      <w:r>
        <w:t>[</w:t>
      </w:r>
      <w:r>
        <w:rPr>
          <w:b/>
        </w:rPr>
        <w:t>46.</w:t>
      </w:r>
      <w:r>
        <w:rPr>
          <w:b/>
        </w:rPr>
        <w:tab/>
      </w:r>
      <w:r>
        <w:t>Deleted by No. 33 of 2004 s. 18.]</w:t>
      </w:r>
    </w:p>
    <w:p>
      <w:pPr>
        <w:pStyle w:val="Heading5"/>
        <w:rPr>
          <w:snapToGrid w:val="0"/>
        </w:rPr>
      </w:pPr>
      <w:bookmarkStart w:id="44" w:name="_Toc382317552"/>
      <w:r>
        <w:rPr>
          <w:rStyle w:val="CharSectno"/>
        </w:rPr>
        <w:t>47</w:t>
      </w:r>
      <w:r>
        <w:rPr>
          <w:snapToGrid w:val="0"/>
        </w:rPr>
        <w:t>.</w:t>
      </w:r>
      <w:r>
        <w:rPr>
          <w:snapToGrid w:val="0"/>
        </w:rPr>
        <w:tab/>
        <w:t>Illegal interference with works etc.</w:t>
      </w:r>
      <w:bookmarkEnd w:id="4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spacing w:before="120"/>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r>
      <w: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by No. 113 of 1965 s. 8; No. 63 of 1996 s. 4.]</w:t>
      </w:r>
    </w:p>
    <w:p>
      <w:pPr>
        <w:pStyle w:val="Heading5"/>
        <w:rPr>
          <w:snapToGrid w:val="0"/>
        </w:rPr>
      </w:pPr>
      <w:bookmarkStart w:id="45" w:name="_Toc382317553"/>
      <w:r>
        <w:rPr>
          <w:rStyle w:val="CharSectno"/>
        </w:rPr>
        <w:t>48</w:t>
      </w:r>
      <w:r>
        <w:rPr>
          <w:snapToGrid w:val="0"/>
        </w:rPr>
        <w:t>.</w:t>
      </w:r>
      <w:r>
        <w:rPr>
          <w:snapToGrid w:val="0"/>
        </w:rPr>
        <w:tab/>
        <w:t>Obtaining supply under false name</w:t>
      </w:r>
      <w:bookmarkEnd w:id="45"/>
    </w:p>
    <w:p>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by No. 113 of 1965 s. 8; No. 63 of 1996 s. 4.]</w:t>
      </w:r>
    </w:p>
    <w:p>
      <w:pPr>
        <w:pStyle w:val="Heading5"/>
        <w:rPr>
          <w:snapToGrid w:val="0"/>
        </w:rPr>
      </w:pPr>
      <w:bookmarkStart w:id="46" w:name="_Toc382317554"/>
      <w:r>
        <w:rPr>
          <w:rStyle w:val="CharSectno"/>
        </w:rPr>
        <w:t>49</w:t>
      </w:r>
      <w:r>
        <w:rPr>
          <w:snapToGrid w:val="0"/>
        </w:rPr>
        <w:t>.</w:t>
      </w:r>
      <w:r>
        <w:rPr>
          <w:snapToGrid w:val="0"/>
        </w:rPr>
        <w:tab/>
        <w:t>Unauthorised use</w:t>
      </w:r>
      <w:bookmarkEnd w:id="46"/>
    </w:p>
    <w:p>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by No. 113 of 1965 s. 8; No. 89 of 1994 s. 79; No. 63 of 1996 s. 6; No. 59 of 2004 s. 141.]</w:t>
      </w:r>
    </w:p>
    <w:p>
      <w:pPr>
        <w:pStyle w:val="Heading5"/>
        <w:rPr>
          <w:snapToGrid w:val="0"/>
        </w:rPr>
      </w:pPr>
      <w:bookmarkStart w:id="47" w:name="_Toc382317555"/>
      <w:r>
        <w:rPr>
          <w:rStyle w:val="CharSectno"/>
        </w:rPr>
        <w:t>50</w:t>
      </w:r>
      <w:r>
        <w:rPr>
          <w:snapToGrid w:val="0"/>
        </w:rPr>
        <w:t>.</w:t>
      </w:r>
      <w:r>
        <w:rPr>
          <w:snapToGrid w:val="0"/>
        </w:rPr>
        <w:tab/>
        <w:t>Alteration of meter</w:t>
      </w:r>
      <w:bookmarkEnd w:id="47"/>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by No. 113 of 1965 s. 8; No. 63 of 1996 s. 4 and 8.]</w:t>
      </w:r>
    </w:p>
    <w:p>
      <w:pPr>
        <w:pStyle w:val="Heading5"/>
        <w:rPr>
          <w:snapToGrid w:val="0"/>
        </w:rPr>
      </w:pPr>
      <w:bookmarkStart w:id="48" w:name="_Toc382317556"/>
      <w:r>
        <w:rPr>
          <w:rStyle w:val="CharSectno"/>
        </w:rPr>
        <w:t>51</w:t>
      </w:r>
      <w:r>
        <w:rPr>
          <w:snapToGrid w:val="0"/>
        </w:rPr>
        <w:t>.</w:t>
      </w:r>
      <w:r>
        <w:rPr>
          <w:snapToGrid w:val="0"/>
        </w:rPr>
        <w:tab/>
        <w:t>Summary remedy for damage to electric works</w:t>
      </w:r>
      <w:bookmarkEnd w:id="48"/>
    </w:p>
    <w:p>
      <w:pPr>
        <w:pStyle w:val="Subsection"/>
        <w:rPr>
          <w:snapToGrid w:val="0"/>
        </w:rPr>
      </w:pPr>
      <w:r>
        <w:rPr>
          <w:snapToGrid w:val="0"/>
        </w:rPr>
        <w:tab/>
        <w:t>(1)</w:t>
      </w:r>
      <w:r>
        <w:rPr>
          <w:snapToGrid w:val="0"/>
        </w:rPr>
        <w:tab/>
      </w:r>
      <w: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by No. 113 of 1965 s. 8; No. 89 of 1994 s. 79; No. 63 of 1996 s. 9.]</w:t>
      </w:r>
    </w:p>
    <w:p>
      <w:pPr>
        <w:pStyle w:val="Heading5"/>
        <w:rPr>
          <w:snapToGrid w:val="0"/>
        </w:rPr>
      </w:pPr>
      <w:bookmarkStart w:id="49" w:name="_Toc382317557"/>
      <w:r>
        <w:rPr>
          <w:rStyle w:val="CharSectno"/>
        </w:rPr>
        <w:t>52</w:t>
      </w:r>
      <w:r>
        <w:rPr>
          <w:snapToGrid w:val="0"/>
        </w:rPr>
        <w:t>.</w:t>
      </w:r>
      <w:r>
        <w:rPr>
          <w:snapToGrid w:val="0"/>
        </w:rPr>
        <w:tab/>
        <w:t>General penalty</w:t>
      </w:r>
      <w:bookmarkEnd w:id="49"/>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pPr>
        <w:pStyle w:val="Footnotesection"/>
      </w:pPr>
      <w:r>
        <w:tab/>
        <w:t>[Section 52 amended by No. 113 of 1965 s. 8; No. 63 of 1996 s. 4; No. 5 of 2007 s. 9.]</w:t>
      </w:r>
    </w:p>
    <w:p>
      <w:pPr>
        <w:pStyle w:val="Heading5"/>
      </w:pPr>
      <w:bookmarkStart w:id="50" w:name="_Toc382317558"/>
      <w:r>
        <w:rPr>
          <w:rStyle w:val="CharSectno"/>
        </w:rPr>
        <w:t>53</w:t>
      </w:r>
      <w:r>
        <w:t>.</w:t>
      </w:r>
      <w:r>
        <w:tab/>
        <w:t>Limitation period for offences</w:t>
      </w:r>
      <w:bookmarkEnd w:id="50"/>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by No. 59 of 2004 s. 141.]</w:t>
      </w:r>
    </w:p>
    <w:p>
      <w:pPr>
        <w:pStyle w:val="Ednotesection"/>
      </w:pPr>
      <w:r>
        <w:t>[</w:t>
      </w:r>
      <w:r>
        <w:rPr>
          <w:b/>
        </w:rPr>
        <w:t>54.</w:t>
      </w:r>
      <w:r>
        <w:tab/>
        <w:t>Deleted by No. 89 of 1994 s. 78.]</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nHeading2"/>
      </w:pPr>
      <w:bookmarkStart w:id="51" w:name="_Toc382317559"/>
      <w:r>
        <w:t>Notes</w:t>
      </w:r>
      <w:bookmarkEnd w:id="51"/>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13 December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Electricity Act 1945</w:t>
      </w:r>
      <w:r>
        <w:rPr>
          <w:i/>
          <w:snapToGrid w:val="0"/>
        </w:rPr>
        <w:fldChar w:fldCharType="end"/>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pPr>
      <w:bookmarkStart w:id="52" w:name="_Toc382317560"/>
      <w:r>
        <w:t>Compilation table</w:t>
      </w:r>
      <w:bookmarkEnd w:id="5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2"/>
        <w:gridCol w:w="2553"/>
      </w:tblGrid>
      <w:tr>
        <w:trPr>
          <w:tblHeader/>
        </w:trPr>
        <w:tc>
          <w:tcPr>
            <w:tcW w:w="2268" w:type="dxa"/>
            <w:tcBorders>
              <w:top w:val="single" w:sz="8" w:space="0" w:color="auto"/>
              <w:bottom w:val="single" w:sz="8" w:space="0" w:color="auto"/>
            </w:tcBorders>
            <w:shd w:val="clear" w:color="auto" w:fill="auto"/>
          </w:tcPr>
          <w:p>
            <w:pPr>
              <w:pStyle w:val="nTable"/>
              <w:spacing w:before="50" w:after="5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50" w:after="50"/>
              <w:rPr>
                <w:b/>
                <w:sz w:val="19"/>
              </w:rPr>
            </w:pPr>
            <w:r>
              <w:rPr>
                <w:b/>
                <w:sz w:val="19"/>
              </w:rPr>
              <w:t>Number and year</w:t>
            </w:r>
          </w:p>
        </w:tc>
        <w:tc>
          <w:tcPr>
            <w:tcW w:w="1132" w:type="dxa"/>
            <w:tcBorders>
              <w:top w:val="single" w:sz="8" w:space="0" w:color="auto"/>
              <w:bottom w:val="single" w:sz="8" w:space="0" w:color="auto"/>
            </w:tcBorders>
            <w:shd w:val="clear" w:color="auto" w:fill="auto"/>
          </w:tcPr>
          <w:p>
            <w:pPr>
              <w:pStyle w:val="nTable"/>
              <w:spacing w:before="50" w:after="50"/>
              <w:rPr>
                <w:b/>
                <w:sz w:val="19"/>
              </w:rPr>
            </w:pPr>
            <w:r>
              <w:rPr>
                <w:b/>
                <w:sz w:val="19"/>
              </w:rPr>
              <w:t>Assent</w:t>
            </w:r>
          </w:p>
        </w:tc>
        <w:tc>
          <w:tcPr>
            <w:tcW w:w="2553"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c>
          <w:tcPr>
            <w:tcW w:w="2268" w:type="dxa"/>
          </w:tcPr>
          <w:p>
            <w:pPr>
              <w:pStyle w:val="nTable"/>
              <w:spacing w:before="50" w:after="50"/>
              <w:rPr>
                <w:sz w:val="19"/>
              </w:rPr>
            </w:pPr>
            <w:r>
              <w:rPr>
                <w:i/>
                <w:sz w:val="19"/>
              </w:rPr>
              <w:t>Electricity Act 1945</w:t>
            </w:r>
          </w:p>
        </w:tc>
        <w:tc>
          <w:tcPr>
            <w:tcW w:w="1134" w:type="dxa"/>
          </w:tcPr>
          <w:p>
            <w:pPr>
              <w:pStyle w:val="nTable"/>
              <w:spacing w:before="50" w:after="50"/>
              <w:rPr>
                <w:sz w:val="19"/>
              </w:rPr>
            </w:pPr>
            <w:r>
              <w:rPr>
                <w:sz w:val="19"/>
              </w:rPr>
              <w:t>19 of 1945</w:t>
            </w:r>
            <w:r>
              <w:rPr>
                <w:sz w:val="19"/>
              </w:rPr>
              <w:br/>
              <w:t>(9 and 10 Geo. VI No. 19)</w:t>
            </w:r>
          </w:p>
        </w:tc>
        <w:tc>
          <w:tcPr>
            <w:tcW w:w="1132" w:type="dxa"/>
          </w:tcPr>
          <w:p>
            <w:pPr>
              <w:pStyle w:val="nTable"/>
              <w:spacing w:before="50" w:after="50"/>
              <w:rPr>
                <w:sz w:val="19"/>
              </w:rPr>
            </w:pPr>
            <w:r>
              <w:rPr>
                <w:sz w:val="19"/>
              </w:rPr>
              <w:t>9 Jan 1946</w:t>
            </w:r>
          </w:p>
        </w:tc>
        <w:tc>
          <w:tcPr>
            <w:tcW w:w="2553" w:type="dxa"/>
          </w:tcPr>
          <w:p>
            <w:pPr>
              <w:pStyle w:val="nTable"/>
              <w:spacing w:before="50" w:after="50"/>
              <w:rPr>
                <w:sz w:val="19"/>
              </w:rPr>
            </w:pPr>
            <w:r>
              <w:rPr>
                <w:sz w:val="19"/>
              </w:rPr>
              <w:t xml:space="preserve">29 Mar 1946 (see s. 1 and </w:t>
            </w:r>
            <w:r>
              <w:rPr>
                <w:i/>
                <w:sz w:val="19"/>
              </w:rPr>
              <w:t xml:space="preserve">Gazette </w:t>
            </w:r>
            <w:r>
              <w:rPr>
                <w:sz w:val="19"/>
              </w:rPr>
              <w:t>29 Mar 1946 p. 310)</w:t>
            </w:r>
          </w:p>
        </w:tc>
      </w:tr>
      <w:tr>
        <w:tc>
          <w:tcPr>
            <w:tcW w:w="2268" w:type="dxa"/>
          </w:tcPr>
          <w:p>
            <w:pPr>
              <w:pStyle w:val="nTable"/>
              <w:spacing w:before="50" w:after="50"/>
              <w:rPr>
                <w:sz w:val="19"/>
              </w:rPr>
            </w:pPr>
            <w:r>
              <w:rPr>
                <w:i/>
                <w:sz w:val="19"/>
              </w:rPr>
              <w:t>Electricity Act Amendment Act 1953</w:t>
            </w:r>
          </w:p>
        </w:tc>
        <w:tc>
          <w:tcPr>
            <w:tcW w:w="1134" w:type="dxa"/>
          </w:tcPr>
          <w:p>
            <w:pPr>
              <w:pStyle w:val="nTable"/>
              <w:spacing w:before="50" w:after="50"/>
              <w:rPr>
                <w:sz w:val="19"/>
              </w:rPr>
            </w:pPr>
            <w:r>
              <w:rPr>
                <w:sz w:val="19"/>
              </w:rPr>
              <w:t>72 of 1953</w:t>
            </w:r>
            <w:r>
              <w:rPr>
                <w:sz w:val="19"/>
              </w:rPr>
              <w:br/>
              <w:t>(2 Eliz. II No. 72)</w:t>
            </w:r>
          </w:p>
        </w:tc>
        <w:tc>
          <w:tcPr>
            <w:tcW w:w="1132" w:type="dxa"/>
          </w:tcPr>
          <w:p>
            <w:pPr>
              <w:pStyle w:val="nTable"/>
              <w:spacing w:before="50" w:after="50"/>
              <w:rPr>
                <w:sz w:val="19"/>
              </w:rPr>
            </w:pPr>
            <w:r>
              <w:rPr>
                <w:sz w:val="19"/>
              </w:rPr>
              <w:t>9 Jan 1954</w:t>
            </w:r>
          </w:p>
        </w:tc>
        <w:tc>
          <w:tcPr>
            <w:tcW w:w="2553" w:type="dxa"/>
          </w:tcPr>
          <w:p>
            <w:pPr>
              <w:pStyle w:val="nTable"/>
              <w:spacing w:before="50" w:after="50"/>
              <w:rPr>
                <w:sz w:val="19"/>
              </w:rPr>
            </w:pPr>
            <w:r>
              <w:rPr>
                <w:sz w:val="19"/>
              </w:rPr>
              <w:t>9 Jan 1954</w:t>
            </w:r>
          </w:p>
        </w:tc>
      </w:tr>
      <w:tr>
        <w:trPr>
          <w:cantSplit/>
        </w:trPr>
        <w:tc>
          <w:tcPr>
            <w:tcW w:w="7087" w:type="dxa"/>
            <w:gridSpan w:val="4"/>
          </w:tcPr>
          <w:p>
            <w:pPr>
              <w:pStyle w:val="nTable"/>
              <w:spacing w:before="50" w:after="5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tc>
          <w:tcPr>
            <w:tcW w:w="2268" w:type="dxa"/>
          </w:tcPr>
          <w:p>
            <w:pPr>
              <w:pStyle w:val="nTable"/>
              <w:spacing w:before="50" w:after="50"/>
              <w:rPr>
                <w:i/>
                <w:sz w:val="19"/>
              </w:rPr>
            </w:pPr>
            <w:r>
              <w:rPr>
                <w:i/>
                <w:sz w:val="19"/>
              </w:rPr>
              <w:t>Decimal Currency Act 1965</w:t>
            </w:r>
          </w:p>
        </w:tc>
        <w:tc>
          <w:tcPr>
            <w:tcW w:w="1134" w:type="dxa"/>
          </w:tcPr>
          <w:p>
            <w:pPr>
              <w:pStyle w:val="nTable"/>
              <w:spacing w:before="50" w:after="50"/>
              <w:rPr>
                <w:sz w:val="19"/>
              </w:rPr>
            </w:pPr>
            <w:r>
              <w:rPr>
                <w:sz w:val="19"/>
              </w:rPr>
              <w:t>113 of 1965</w:t>
            </w:r>
          </w:p>
        </w:tc>
        <w:tc>
          <w:tcPr>
            <w:tcW w:w="1132" w:type="dxa"/>
          </w:tcPr>
          <w:p>
            <w:pPr>
              <w:pStyle w:val="nTable"/>
              <w:spacing w:before="50" w:after="50"/>
              <w:rPr>
                <w:sz w:val="19"/>
              </w:rPr>
            </w:pPr>
            <w:r>
              <w:rPr>
                <w:sz w:val="19"/>
              </w:rPr>
              <w:t>21 Dec 1965</w:t>
            </w:r>
          </w:p>
        </w:tc>
        <w:tc>
          <w:tcPr>
            <w:tcW w:w="2553" w:type="dxa"/>
          </w:tcPr>
          <w:p>
            <w:pPr>
              <w:pStyle w:val="nTable"/>
              <w:spacing w:before="50" w:after="50"/>
              <w:rPr>
                <w:sz w:val="19"/>
              </w:rPr>
            </w:pPr>
            <w:r>
              <w:rPr>
                <w:sz w:val="19"/>
              </w:rPr>
              <w:t>Act other than s. 4-9: 21 Dec 1965 (see s. 2(1));</w:t>
            </w:r>
            <w:r>
              <w:rPr>
                <w:sz w:val="19"/>
              </w:rPr>
              <w:br/>
              <w:t>s. 4-9: 14 Feb 1966 (see s. 2(2))</w:t>
            </w:r>
          </w:p>
        </w:tc>
      </w:tr>
      <w:tr>
        <w:tc>
          <w:tcPr>
            <w:tcW w:w="2268" w:type="dxa"/>
          </w:tcPr>
          <w:p>
            <w:pPr>
              <w:pStyle w:val="nTable"/>
              <w:spacing w:before="50" w:after="50"/>
              <w:rPr>
                <w:sz w:val="19"/>
              </w:rPr>
            </w:pPr>
            <w:r>
              <w:rPr>
                <w:i/>
                <w:sz w:val="19"/>
              </w:rPr>
              <w:t>Metric Conversion Act 1972</w:t>
            </w:r>
          </w:p>
        </w:tc>
        <w:tc>
          <w:tcPr>
            <w:tcW w:w="1134" w:type="dxa"/>
          </w:tcPr>
          <w:p>
            <w:pPr>
              <w:pStyle w:val="nTable"/>
              <w:spacing w:before="50" w:after="50"/>
              <w:rPr>
                <w:sz w:val="19"/>
              </w:rPr>
            </w:pPr>
            <w:r>
              <w:rPr>
                <w:sz w:val="19"/>
              </w:rPr>
              <w:t>94 of 1972</w:t>
            </w:r>
          </w:p>
        </w:tc>
        <w:tc>
          <w:tcPr>
            <w:tcW w:w="1132" w:type="dxa"/>
          </w:tcPr>
          <w:p>
            <w:pPr>
              <w:pStyle w:val="nTable"/>
              <w:spacing w:before="50" w:after="50"/>
              <w:rPr>
                <w:sz w:val="19"/>
              </w:rPr>
            </w:pPr>
            <w:r>
              <w:rPr>
                <w:sz w:val="19"/>
              </w:rPr>
              <w:t>4 Dec 1972</w:t>
            </w:r>
          </w:p>
        </w:tc>
        <w:tc>
          <w:tcPr>
            <w:tcW w:w="2553" w:type="dxa"/>
          </w:tcPr>
          <w:p>
            <w:pPr>
              <w:pStyle w:val="nTable"/>
              <w:spacing w:before="50" w:after="5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trPr>
          <w:cantSplit/>
        </w:trPr>
        <w:tc>
          <w:tcPr>
            <w:tcW w:w="7087" w:type="dxa"/>
            <w:gridSpan w:val="4"/>
          </w:tcPr>
          <w:p>
            <w:pPr>
              <w:pStyle w:val="nTable"/>
              <w:spacing w:before="50" w:after="5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tc>
          <w:tcPr>
            <w:tcW w:w="2268" w:type="dxa"/>
          </w:tcPr>
          <w:p>
            <w:pPr>
              <w:pStyle w:val="nTable"/>
              <w:spacing w:before="50" w:after="50"/>
              <w:rPr>
                <w:sz w:val="19"/>
              </w:rPr>
            </w:pPr>
            <w:r>
              <w:rPr>
                <w:i/>
                <w:sz w:val="19"/>
              </w:rPr>
              <w:t>Electricity Act Amendment Act 1979</w:t>
            </w:r>
          </w:p>
        </w:tc>
        <w:tc>
          <w:tcPr>
            <w:tcW w:w="1134" w:type="dxa"/>
          </w:tcPr>
          <w:p>
            <w:pPr>
              <w:pStyle w:val="nTable"/>
              <w:spacing w:before="50" w:after="50"/>
              <w:rPr>
                <w:sz w:val="19"/>
              </w:rPr>
            </w:pPr>
            <w:r>
              <w:rPr>
                <w:sz w:val="19"/>
              </w:rPr>
              <w:t>86 of 1979</w:t>
            </w:r>
          </w:p>
        </w:tc>
        <w:tc>
          <w:tcPr>
            <w:tcW w:w="1132" w:type="dxa"/>
          </w:tcPr>
          <w:p>
            <w:pPr>
              <w:pStyle w:val="nTable"/>
              <w:spacing w:before="50" w:after="50"/>
              <w:rPr>
                <w:sz w:val="19"/>
              </w:rPr>
            </w:pPr>
            <w:r>
              <w:rPr>
                <w:sz w:val="19"/>
              </w:rPr>
              <w:t>11 Dec 1979</w:t>
            </w:r>
          </w:p>
        </w:tc>
        <w:tc>
          <w:tcPr>
            <w:tcW w:w="2553" w:type="dxa"/>
          </w:tcPr>
          <w:p>
            <w:pPr>
              <w:pStyle w:val="nTable"/>
              <w:spacing w:before="50" w:after="50"/>
              <w:rPr>
                <w:sz w:val="19"/>
              </w:rPr>
            </w:pPr>
            <w:r>
              <w:rPr>
                <w:sz w:val="19"/>
              </w:rPr>
              <w:t xml:space="preserve">1 Feb 1980 (see s. 2 and </w:t>
            </w:r>
            <w:r>
              <w:rPr>
                <w:i/>
                <w:sz w:val="19"/>
              </w:rPr>
              <w:t>Gazette</w:t>
            </w:r>
            <w:r>
              <w:rPr>
                <w:sz w:val="19"/>
              </w:rPr>
              <w:t xml:space="preserve"> 1 Feb 1980 p. 284)</w:t>
            </w:r>
          </w:p>
        </w:tc>
      </w:tr>
      <w:tr>
        <w:trPr>
          <w:cantSplit/>
        </w:trPr>
        <w:tc>
          <w:tcPr>
            <w:tcW w:w="7087" w:type="dxa"/>
            <w:gridSpan w:val="4"/>
          </w:tcPr>
          <w:p>
            <w:pPr>
              <w:pStyle w:val="nTable"/>
              <w:spacing w:before="50" w:after="5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tc>
          <w:tcPr>
            <w:tcW w:w="2268" w:type="dxa"/>
          </w:tcPr>
          <w:p>
            <w:pPr>
              <w:pStyle w:val="nTable"/>
              <w:spacing w:before="50" w:after="50"/>
              <w:rPr>
                <w:sz w:val="19"/>
              </w:rPr>
            </w:pPr>
            <w:r>
              <w:rPr>
                <w:i/>
                <w:sz w:val="19"/>
              </w:rPr>
              <w:t>Commercial Arbitration Act 1985</w:t>
            </w:r>
            <w:r>
              <w:rPr>
                <w:sz w:val="19"/>
              </w:rPr>
              <w:t xml:space="preserve"> s. 3(1)</w:t>
            </w:r>
          </w:p>
        </w:tc>
        <w:tc>
          <w:tcPr>
            <w:tcW w:w="1134" w:type="dxa"/>
          </w:tcPr>
          <w:p>
            <w:pPr>
              <w:pStyle w:val="nTable"/>
              <w:spacing w:before="50" w:after="50"/>
              <w:rPr>
                <w:sz w:val="19"/>
              </w:rPr>
            </w:pPr>
            <w:r>
              <w:rPr>
                <w:sz w:val="19"/>
              </w:rPr>
              <w:t>109 of 1985</w:t>
            </w:r>
          </w:p>
        </w:tc>
        <w:tc>
          <w:tcPr>
            <w:tcW w:w="1132" w:type="dxa"/>
          </w:tcPr>
          <w:p>
            <w:pPr>
              <w:pStyle w:val="nTable"/>
              <w:spacing w:before="50" w:after="50"/>
              <w:rPr>
                <w:sz w:val="19"/>
              </w:rPr>
            </w:pPr>
            <w:r>
              <w:rPr>
                <w:sz w:val="19"/>
              </w:rPr>
              <w:t>7 Jan 1986</w:t>
            </w:r>
          </w:p>
        </w:tc>
        <w:tc>
          <w:tcPr>
            <w:tcW w:w="2553" w:type="dxa"/>
          </w:tcPr>
          <w:p>
            <w:pPr>
              <w:pStyle w:val="nTable"/>
              <w:spacing w:before="50" w:after="50"/>
              <w:rPr>
                <w:sz w:val="19"/>
              </w:rPr>
            </w:pPr>
            <w:r>
              <w:rPr>
                <w:sz w:val="19"/>
              </w:rPr>
              <w:t xml:space="preserve">1 Apr 1986 (see s. 2 and </w:t>
            </w:r>
            <w:r>
              <w:rPr>
                <w:i/>
                <w:sz w:val="19"/>
              </w:rPr>
              <w:t xml:space="preserve">Gazette </w:t>
            </w:r>
            <w:r>
              <w:rPr>
                <w:sz w:val="19"/>
              </w:rPr>
              <w:t>28 Feb 1986 p. 605)</w:t>
            </w:r>
          </w:p>
        </w:tc>
      </w:tr>
      <w:tr>
        <w:tc>
          <w:tcPr>
            <w:tcW w:w="2268" w:type="dxa"/>
          </w:tcPr>
          <w:p>
            <w:pPr>
              <w:pStyle w:val="nTable"/>
              <w:spacing w:before="50" w:after="50"/>
              <w:rPr>
                <w:sz w:val="19"/>
              </w:rPr>
            </w:pPr>
            <w:r>
              <w:rPr>
                <w:i/>
                <w:sz w:val="19"/>
              </w:rPr>
              <w:t>Electricity Amendment Act 1988</w:t>
            </w:r>
          </w:p>
        </w:tc>
        <w:tc>
          <w:tcPr>
            <w:tcW w:w="1134" w:type="dxa"/>
          </w:tcPr>
          <w:p>
            <w:pPr>
              <w:pStyle w:val="nTable"/>
              <w:spacing w:before="50" w:after="50"/>
              <w:rPr>
                <w:sz w:val="19"/>
              </w:rPr>
            </w:pPr>
            <w:r>
              <w:rPr>
                <w:sz w:val="19"/>
              </w:rPr>
              <w:t>42 of 1988</w:t>
            </w:r>
          </w:p>
        </w:tc>
        <w:tc>
          <w:tcPr>
            <w:tcW w:w="1132" w:type="dxa"/>
          </w:tcPr>
          <w:p>
            <w:pPr>
              <w:pStyle w:val="nTable"/>
              <w:spacing w:before="50" w:after="50"/>
              <w:rPr>
                <w:sz w:val="19"/>
              </w:rPr>
            </w:pPr>
            <w:r>
              <w:rPr>
                <w:sz w:val="19"/>
              </w:rPr>
              <w:t>30 Nov 1988</w:t>
            </w:r>
          </w:p>
        </w:tc>
        <w:tc>
          <w:tcPr>
            <w:tcW w:w="2553" w:type="dxa"/>
          </w:tcPr>
          <w:p>
            <w:pPr>
              <w:pStyle w:val="nTable"/>
              <w:spacing w:before="50" w:after="50"/>
              <w:rPr>
                <w:sz w:val="19"/>
              </w:rPr>
            </w:pPr>
            <w:r>
              <w:rPr>
                <w:sz w:val="19"/>
              </w:rPr>
              <w:t>30 Nov 1988 (see s. 2)</w:t>
            </w:r>
          </w:p>
        </w:tc>
      </w:tr>
      <w:tr>
        <w:tc>
          <w:tcPr>
            <w:tcW w:w="2268" w:type="dxa"/>
          </w:tcPr>
          <w:p>
            <w:pPr>
              <w:pStyle w:val="nTable"/>
              <w:spacing w:before="50" w:after="5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tcPr>
          <w:p>
            <w:pPr>
              <w:pStyle w:val="nTable"/>
              <w:spacing w:before="50" w:after="50"/>
              <w:rPr>
                <w:sz w:val="19"/>
              </w:rPr>
            </w:pPr>
            <w:r>
              <w:rPr>
                <w:sz w:val="19"/>
              </w:rPr>
              <w:t>89 of 1994</w:t>
            </w:r>
          </w:p>
        </w:tc>
        <w:tc>
          <w:tcPr>
            <w:tcW w:w="1132" w:type="dxa"/>
          </w:tcPr>
          <w:p>
            <w:pPr>
              <w:pStyle w:val="nTable"/>
              <w:spacing w:before="50" w:after="50"/>
              <w:rPr>
                <w:sz w:val="19"/>
              </w:rPr>
            </w:pPr>
            <w:r>
              <w:rPr>
                <w:sz w:val="19"/>
              </w:rPr>
              <w:t>15 Dec 1994</w:t>
            </w:r>
          </w:p>
        </w:tc>
        <w:tc>
          <w:tcPr>
            <w:tcW w:w="2553" w:type="dxa"/>
          </w:tcPr>
          <w:p>
            <w:pPr>
              <w:pStyle w:val="nTable"/>
              <w:spacing w:before="50" w:after="50"/>
              <w:rPr>
                <w:sz w:val="19"/>
              </w:rPr>
            </w:pPr>
            <w:r>
              <w:rPr>
                <w:sz w:val="19"/>
              </w:rPr>
              <w:t xml:space="preserve">1 Jan 1995 (see s. 2(2) and </w:t>
            </w:r>
            <w:r>
              <w:rPr>
                <w:i/>
                <w:sz w:val="19"/>
              </w:rPr>
              <w:t xml:space="preserve">Gazette </w:t>
            </w:r>
            <w:r>
              <w:rPr>
                <w:sz w:val="19"/>
              </w:rPr>
              <w:t>23 Dec 1994 p. 7069)</w:t>
            </w:r>
          </w:p>
        </w:tc>
      </w:tr>
      <w:tr>
        <w:trPr>
          <w:cantSplit/>
        </w:trPr>
        <w:tc>
          <w:tcPr>
            <w:tcW w:w="2268" w:type="dxa"/>
          </w:tcPr>
          <w:p>
            <w:pPr>
              <w:pStyle w:val="nTable"/>
              <w:spacing w:after="40"/>
              <w:rPr>
                <w:sz w:val="19"/>
              </w:rPr>
            </w:pPr>
            <w:r>
              <w:rPr>
                <w:i/>
                <w:sz w:val="19"/>
              </w:rPr>
              <w:t>Sentencing (Consequential Provisions) Act 1995</w:t>
            </w:r>
            <w:r>
              <w:rPr>
                <w:sz w:val="19"/>
              </w:rPr>
              <w:t xml:space="preserve"> Pt. 27</w:t>
            </w:r>
          </w:p>
        </w:tc>
        <w:tc>
          <w:tcPr>
            <w:tcW w:w="1134"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Electricity Amendment Act 1996</w:t>
            </w:r>
          </w:p>
        </w:tc>
        <w:tc>
          <w:tcPr>
            <w:tcW w:w="1134" w:type="dxa"/>
          </w:tcPr>
          <w:p>
            <w:pPr>
              <w:pStyle w:val="nTable"/>
              <w:spacing w:after="40"/>
              <w:rPr>
                <w:sz w:val="19"/>
              </w:rPr>
            </w:pPr>
            <w:r>
              <w:rPr>
                <w:sz w:val="19"/>
              </w:rPr>
              <w:t>63 of 1996</w:t>
            </w:r>
          </w:p>
        </w:tc>
        <w:tc>
          <w:tcPr>
            <w:tcW w:w="1132" w:type="dxa"/>
          </w:tcPr>
          <w:p>
            <w:pPr>
              <w:pStyle w:val="nTable"/>
              <w:spacing w:after="40"/>
              <w:rPr>
                <w:sz w:val="19"/>
              </w:rPr>
            </w:pPr>
            <w:r>
              <w:rPr>
                <w:sz w:val="19"/>
              </w:rPr>
              <w:t>11 Nov 1996</w:t>
            </w:r>
          </w:p>
        </w:tc>
        <w:tc>
          <w:tcPr>
            <w:tcW w:w="2553" w:type="dxa"/>
          </w:tcPr>
          <w:p>
            <w:pPr>
              <w:pStyle w:val="nTable"/>
              <w:spacing w:after="40"/>
              <w:rPr>
                <w:sz w:val="19"/>
              </w:rPr>
            </w:pPr>
            <w:r>
              <w:rPr>
                <w:sz w:val="19"/>
              </w:rPr>
              <w:t>s. 1 and 2: 11 Nov 1996;</w:t>
            </w:r>
            <w:r>
              <w:rPr>
                <w:sz w:val="19"/>
              </w:rPr>
              <w:br/>
              <w:t xml:space="preserve">Act other than s. 1, 2 and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trPr>
          <w:cantSplit/>
        </w:trPr>
        <w:tc>
          <w:tcPr>
            <w:tcW w:w="7087" w:type="dxa"/>
            <w:gridSpan w:val="4"/>
          </w:tcPr>
          <w:p>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tc>
          <w:tcPr>
            <w:tcW w:w="2268" w:type="dxa"/>
          </w:tcPr>
          <w:p>
            <w:pPr>
              <w:pStyle w:val="nTable"/>
              <w:spacing w:after="40"/>
              <w:rPr>
                <w:sz w:val="19"/>
              </w:rPr>
            </w:pPr>
            <w:r>
              <w:rPr>
                <w:i/>
                <w:sz w:val="19"/>
              </w:rPr>
              <w:t>Acts Amendment (Land Administration) Act 1997</w:t>
            </w:r>
            <w:r>
              <w:rPr>
                <w:sz w:val="19"/>
              </w:rPr>
              <w:t xml:space="preserve"> Pt. 23</w:t>
            </w:r>
          </w:p>
        </w:tc>
        <w:tc>
          <w:tcPr>
            <w:tcW w:w="1134" w:type="dxa"/>
          </w:tcPr>
          <w:p>
            <w:pPr>
              <w:pStyle w:val="nTable"/>
              <w:spacing w:after="40"/>
              <w:rPr>
                <w:sz w:val="19"/>
              </w:rPr>
            </w:pPr>
            <w:r>
              <w:rPr>
                <w:sz w:val="19"/>
              </w:rPr>
              <w:t>31 of 1997</w:t>
            </w:r>
          </w:p>
        </w:tc>
        <w:tc>
          <w:tcPr>
            <w:tcW w:w="1132"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Statutes (Repeals and Minor Amendments) Act (No. 2) 1998</w:t>
            </w:r>
            <w:r>
              <w:rPr>
                <w:sz w:val="19"/>
              </w:rPr>
              <w:t xml:space="preserve"> s. 31 and 76</w:t>
            </w:r>
          </w:p>
        </w:tc>
        <w:tc>
          <w:tcPr>
            <w:tcW w:w="1134" w:type="dxa"/>
          </w:tcPr>
          <w:p>
            <w:pPr>
              <w:pStyle w:val="nTable"/>
              <w:spacing w:after="40"/>
              <w:rPr>
                <w:sz w:val="19"/>
              </w:rPr>
            </w:pPr>
            <w:r>
              <w:rPr>
                <w:sz w:val="19"/>
              </w:rPr>
              <w:t>10 of 1998</w:t>
            </w:r>
          </w:p>
        </w:tc>
        <w:tc>
          <w:tcPr>
            <w:tcW w:w="1132"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c>
          <w:tcPr>
            <w:tcW w:w="2268" w:type="dxa"/>
          </w:tcPr>
          <w:p>
            <w:pPr>
              <w:pStyle w:val="nTable"/>
              <w:spacing w:after="40"/>
              <w:rPr>
                <w:i/>
                <w:sz w:val="19"/>
              </w:rPr>
            </w:pPr>
            <w:r>
              <w:rPr>
                <w:i/>
                <w:sz w:val="19"/>
              </w:rPr>
              <w:t>Statutes (Repeals and Minor Amendments) Act 2000</w:t>
            </w:r>
            <w:r>
              <w:rPr>
                <w:sz w:val="19"/>
              </w:rPr>
              <w:t xml:space="preserve"> s. 14(13)</w:t>
            </w:r>
          </w:p>
        </w:tc>
        <w:tc>
          <w:tcPr>
            <w:tcW w:w="1134" w:type="dxa"/>
          </w:tcPr>
          <w:p>
            <w:pPr>
              <w:pStyle w:val="nTable"/>
              <w:spacing w:after="40"/>
              <w:rPr>
                <w:sz w:val="19"/>
              </w:rPr>
            </w:pPr>
            <w:r>
              <w:rPr>
                <w:sz w:val="19"/>
              </w:rPr>
              <w:t>24 of 2000</w:t>
            </w:r>
          </w:p>
        </w:tc>
        <w:tc>
          <w:tcPr>
            <w:tcW w:w="1132" w:type="dxa"/>
          </w:tcPr>
          <w:p>
            <w:pPr>
              <w:pStyle w:val="nTable"/>
              <w:spacing w:after="40"/>
              <w:rPr>
                <w:sz w:val="19"/>
              </w:rPr>
            </w:pPr>
            <w:r>
              <w:rPr>
                <w:sz w:val="19"/>
              </w:rPr>
              <w:t>4 Jul 2000</w:t>
            </w:r>
          </w:p>
        </w:tc>
        <w:tc>
          <w:tcPr>
            <w:tcW w:w="2553" w:type="dxa"/>
          </w:tcPr>
          <w:p>
            <w:pPr>
              <w:pStyle w:val="nTable"/>
              <w:spacing w:after="40"/>
              <w:rPr>
                <w:sz w:val="19"/>
              </w:rPr>
            </w:pPr>
            <w:r>
              <w:rPr>
                <w:sz w:val="19"/>
              </w:rPr>
              <w:t>4 Jul 2000 (see s. 2)</w:t>
            </w:r>
          </w:p>
        </w:tc>
      </w:tr>
      <w:tr>
        <w:trPr>
          <w:cantSplit/>
        </w:trPr>
        <w:tc>
          <w:tcPr>
            <w:tcW w:w="7087" w:type="dxa"/>
            <w:gridSpan w:val="4"/>
          </w:tcPr>
          <w:p>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tc>
          <w:tcPr>
            <w:tcW w:w="2268" w:type="dxa"/>
          </w:tcPr>
          <w:p>
            <w:pPr>
              <w:pStyle w:val="nTable"/>
              <w:spacing w:after="40"/>
              <w:rPr>
                <w:i/>
                <w:sz w:val="19"/>
              </w:rPr>
            </w:pPr>
            <w:r>
              <w:rPr>
                <w:i/>
                <w:sz w:val="19"/>
              </w:rPr>
              <w:t xml:space="preserve">Statutes (Repeals and Minor Amendments) Act 2003 </w:t>
            </w:r>
            <w:r>
              <w:rPr>
                <w:sz w:val="19"/>
              </w:rPr>
              <w:t>s. 48</w:t>
            </w:r>
          </w:p>
        </w:tc>
        <w:tc>
          <w:tcPr>
            <w:tcW w:w="1134" w:type="dxa"/>
          </w:tcPr>
          <w:p>
            <w:pPr>
              <w:pStyle w:val="nTable"/>
              <w:spacing w:after="40"/>
              <w:rPr>
                <w:sz w:val="19"/>
              </w:rPr>
            </w:pPr>
            <w:r>
              <w:rPr>
                <w:sz w:val="19"/>
              </w:rPr>
              <w:t>74 of 2003</w:t>
            </w:r>
          </w:p>
        </w:tc>
        <w:tc>
          <w:tcPr>
            <w:tcW w:w="1132" w:type="dxa"/>
          </w:tcPr>
          <w:p>
            <w:pPr>
              <w:pStyle w:val="nTable"/>
              <w:spacing w:after="40"/>
              <w:rPr>
                <w:sz w:val="19"/>
              </w:rPr>
            </w:pPr>
            <w:r>
              <w:rPr>
                <w:sz w:val="19"/>
              </w:rPr>
              <w:t>15 Dec 2003</w:t>
            </w:r>
          </w:p>
        </w:tc>
        <w:tc>
          <w:tcPr>
            <w:tcW w:w="2553" w:type="dxa"/>
          </w:tcPr>
          <w:p>
            <w:pPr>
              <w:pStyle w:val="nTable"/>
              <w:keepLines/>
              <w:tabs>
                <w:tab w:val="left" w:pos="893"/>
              </w:tabs>
              <w:spacing w:after="40"/>
              <w:jc w:val="right"/>
              <w:rPr>
                <w:sz w:val="19"/>
              </w:rPr>
            </w:pPr>
            <w:r>
              <w:rPr>
                <w:sz w:val="19"/>
              </w:rPr>
              <w:t>15 Dec 2003 (see s. 2)</w:t>
            </w:r>
          </w:p>
        </w:tc>
      </w:tr>
      <w:tr>
        <w:tc>
          <w:tcPr>
            <w:tcW w:w="2268" w:type="dxa"/>
          </w:tcPr>
          <w:p>
            <w:pPr>
              <w:pStyle w:val="nTable"/>
              <w:spacing w:after="40"/>
              <w:rPr>
                <w:sz w:val="19"/>
              </w:rPr>
            </w:pPr>
            <w:r>
              <w:rPr>
                <w:i/>
                <w:sz w:val="19"/>
              </w:rPr>
              <w:t>Electricity Legislation Amendment Act 2004</w:t>
            </w:r>
            <w:r>
              <w:rPr>
                <w:sz w:val="19"/>
              </w:rPr>
              <w:t xml:space="preserve"> Pt. 2 Div. 1</w:t>
            </w:r>
          </w:p>
        </w:tc>
        <w:tc>
          <w:tcPr>
            <w:tcW w:w="1134" w:type="dxa"/>
          </w:tcPr>
          <w:p>
            <w:pPr>
              <w:pStyle w:val="nTable"/>
              <w:spacing w:after="40"/>
              <w:rPr>
                <w:sz w:val="19"/>
              </w:rPr>
            </w:pPr>
            <w:r>
              <w:rPr>
                <w:sz w:val="19"/>
              </w:rPr>
              <w:t>33 of 2004</w:t>
            </w:r>
          </w:p>
        </w:tc>
        <w:tc>
          <w:tcPr>
            <w:tcW w:w="1132" w:type="dxa"/>
          </w:tcPr>
          <w:p>
            <w:pPr>
              <w:pStyle w:val="nTable"/>
              <w:spacing w:after="40"/>
              <w:rPr>
                <w:sz w:val="19"/>
              </w:rPr>
            </w:pPr>
            <w:r>
              <w:rPr>
                <w:sz w:val="19"/>
              </w:rPr>
              <w:t>20 Oct 2004</w:t>
            </w:r>
          </w:p>
        </w:tc>
        <w:tc>
          <w:tcPr>
            <w:tcW w:w="2553" w:type="dxa"/>
          </w:tcPr>
          <w:p>
            <w:pPr>
              <w:pStyle w:val="nTable"/>
              <w:spacing w:after="40"/>
              <w:rPr>
                <w:spacing w:val="-2"/>
                <w:sz w:val="19"/>
              </w:rPr>
            </w:pPr>
            <w:r>
              <w:rPr>
                <w:sz w:val="19"/>
              </w:rPr>
              <w:t xml:space="preserve">31 Dec 2004 (see s. 2 and </w:t>
            </w:r>
            <w:r>
              <w:rPr>
                <w:i/>
                <w:iCs/>
                <w:sz w:val="19"/>
              </w:rPr>
              <w:t>Gazette</w:t>
            </w:r>
            <w:r>
              <w:rPr>
                <w:sz w:val="19"/>
              </w:rPr>
              <w:t xml:space="preserve"> 23 Nov 2004 p. 5243)</w:t>
            </w:r>
          </w:p>
        </w:tc>
      </w:tr>
      <w:tr>
        <w:tc>
          <w:tcPr>
            <w:tcW w:w="2268" w:type="dxa"/>
          </w:tcPr>
          <w:p>
            <w:pPr>
              <w:pStyle w:val="nTable"/>
              <w:spacing w:after="40"/>
              <w:rPr>
                <w:i/>
                <w:sz w:val="19"/>
                <w:vertAlign w:val="superscript"/>
              </w:rPr>
            </w:pPr>
            <w:r>
              <w:rPr>
                <w:i/>
                <w:snapToGrid w:val="0"/>
                <w:sz w:val="19"/>
              </w:rPr>
              <w:t>Courts Legislation Amendment and Repeal Act 2004</w:t>
            </w:r>
            <w:r>
              <w:rPr>
                <w:snapToGrid w:val="0"/>
                <w:sz w:val="19"/>
              </w:rPr>
              <w:t xml:space="preserve"> s. 141 </w:t>
            </w:r>
            <w:r>
              <w:rPr>
                <w:snapToGrid w:val="0"/>
                <w:sz w:val="19"/>
                <w:vertAlign w:val="superscript"/>
              </w:rPr>
              <w:t>6</w:t>
            </w:r>
          </w:p>
        </w:tc>
        <w:tc>
          <w:tcPr>
            <w:tcW w:w="1134" w:type="dxa"/>
          </w:tcPr>
          <w:p>
            <w:pPr>
              <w:pStyle w:val="nTable"/>
              <w:spacing w:after="40"/>
              <w:rPr>
                <w:sz w:val="19"/>
              </w:rPr>
            </w:pPr>
            <w:r>
              <w:rPr>
                <w:snapToGrid w:val="0"/>
                <w:sz w:val="19"/>
              </w:rPr>
              <w:t>59 of 2004 (as amended by No. 2 of 2008 s. 77(13))</w:t>
            </w:r>
          </w:p>
        </w:tc>
        <w:tc>
          <w:tcPr>
            <w:tcW w:w="1132" w:type="dxa"/>
          </w:tcPr>
          <w:p>
            <w:pPr>
              <w:pStyle w:val="nTable"/>
              <w:spacing w:after="40"/>
              <w:rPr>
                <w:sz w:val="19"/>
              </w:rPr>
            </w:pPr>
            <w:r>
              <w:rPr>
                <w:snapToGrid w:val="0"/>
                <w:sz w:val="19"/>
              </w:rPr>
              <w:t>23 Nov 2004</w:t>
            </w:r>
          </w:p>
        </w:tc>
        <w:tc>
          <w:tcPr>
            <w:tcW w:w="2553" w:type="dxa"/>
          </w:tcPr>
          <w:p>
            <w:pPr>
              <w:pStyle w:val="nTable"/>
              <w:spacing w:after="40"/>
              <w:rPr>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c>
          <w:tcPr>
            <w:tcW w:w="2268" w:type="dxa"/>
          </w:tcPr>
          <w:p>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7</w:t>
            </w:r>
          </w:p>
        </w:tc>
        <w:tc>
          <w:tcPr>
            <w:tcW w:w="1134"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53" w:type="dxa"/>
          </w:tcPr>
          <w:p>
            <w:pPr>
              <w:pStyle w:val="nTable"/>
              <w:spacing w:after="40"/>
              <w:rPr>
                <w:spacing w:val="-2"/>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before="50" w:after="50"/>
              <w:rPr>
                <w:iCs/>
                <w:sz w:val="19"/>
              </w:rPr>
            </w:pPr>
            <w:r>
              <w:rPr>
                <w:i/>
                <w:sz w:val="19"/>
              </w:rPr>
              <w:t>Electricity Corporations Act 2005</w:t>
            </w:r>
            <w:r>
              <w:rPr>
                <w:iCs/>
                <w:sz w:val="19"/>
              </w:rPr>
              <w:t xml:space="preserve"> s. 139</w:t>
            </w:r>
          </w:p>
        </w:tc>
        <w:tc>
          <w:tcPr>
            <w:tcW w:w="1134" w:type="dxa"/>
          </w:tcPr>
          <w:p>
            <w:pPr>
              <w:pStyle w:val="nTable"/>
              <w:spacing w:before="50" w:after="50"/>
              <w:rPr>
                <w:sz w:val="19"/>
              </w:rPr>
            </w:pPr>
            <w:r>
              <w:rPr>
                <w:sz w:val="19"/>
              </w:rPr>
              <w:t>18 of 2005</w:t>
            </w:r>
          </w:p>
        </w:tc>
        <w:tc>
          <w:tcPr>
            <w:tcW w:w="1132" w:type="dxa"/>
          </w:tcPr>
          <w:p>
            <w:pPr>
              <w:pStyle w:val="nTable"/>
              <w:spacing w:before="50" w:after="50"/>
              <w:rPr>
                <w:sz w:val="19"/>
              </w:rPr>
            </w:pPr>
            <w:r>
              <w:rPr>
                <w:sz w:val="19"/>
              </w:rPr>
              <w:t>13 Oct 2005</w:t>
            </w:r>
          </w:p>
        </w:tc>
        <w:tc>
          <w:tcPr>
            <w:tcW w:w="2553" w:type="dxa"/>
          </w:tcPr>
          <w:p>
            <w:pPr>
              <w:pStyle w:val="nTable"/>
              <w:spacing w:before="50" w:after="50"/>
              <w:rPr>
                <w:spacing w:val="-2"/>
                <w:sz w:val="19"/>
              </w:rPr>
            </w:pPr>
            <w:r>
              <w:rPr>
                <w:sz w:val="19"/>
              </w:rPr>
              <w:t xml:space="preserve">1 Apr 2006 (see s. 2(2) and </w:t>
            </w:r>
            <w:r>
              <w:rPr>
                <w:i/>
                <w:iCs/>
                <w:sz w:val="19"/>
              </w:rPr>
              <w:t>Gazette</w:t>
            </w:r>
            <w:r>
              <w:rPr>
                <w:sz w:val="19"/>
              </w:rPr>
              <w:t xml:space="preserve"> 31 Mar 2006 p. 1153)</w:t>
            </w:r>
          </w:p>
        </w:tc>
      </w:tr>
      <w:tr>
        <w:trPr>
          <w:cantSplit/>
        </w:trPr>
        <w:tc>
          <w:tcPr>
            <w:tcW w:w="7087" w:type="dxa"/>
            <w:gridSpan w:val="4"/>
          </w:tcPr>
          <w:p>
            <w:pPr>
              <w:pStyle w:val="nTable"/>
              <w:spacing w:before="50" w:after="50"/>
              <w:rPr>
                <w:spacing w:val="-2"/>
                <w:sz w:val="19"/>
              </w:rPr>
            </w:pPr>
            <w:r>
              <w:rPr>
                <w:b/>
                <w:sz w:val="19"/>
              </w:rPr>
              <w:t xml:space="preserve">Reprint 6: The </w:t>
            </w:r>
            <w:r>
              <w:rPr>
                <w:b/>
                <w:i/>
                <w:sz w:val="19"/>
              </w:rPr>
              <w:t>Electricity Act 1945</w:t>
            </w:r>
            <w:r>
              <w:rPr>
                <w:b/>
                <w:sz w:val="19"/>
              </w:rPr>
              <w:t xml:space="preserve"> as at 16 Dec 2005 </w:t>
            </w:r>
            <w:r>
              <w:rPr>
                <w:sz w:val="19"/>
              </w:rPr>
              <w:t xml:space="preserve">(includes amendments listed above except those in the </w:t>
            </w:r>
            <w:r>
              <w:rPr>
                <w:i/>
                <w:sz w:val="19"/>
              </w:rPr>
              <w:t>Electricity Corporations Act 2005</w:t>
            </w:r>
            <w:r>
              <w:rPr>
                <w:sz w:val="19"/>
              </w:rPr>
              <w:t>)</w:t>
            </w:r>
          </w:p>
        </w:tc>
      </w:tr>
      <w:tr>
        <w:trPr>
          <w:cantSplit/>
        </w:trPr>
        <w:tc>
          <w:tcPr>
            <w:tcW w:w="2268" w:type="dxa"/>
          </w:tcPr>
          <w:p>
            <w:pPr>
              <w:pStyle w:val="nTable"/>
              <w:spacing w:before="50" w:after="50"/>
              <w:ind w:left="-28"/>
              <w:rPr>
                <w:iCs/>
                <w:snapToGrid w:val="0"/>
                <w:sz w:val="19"/>
              </w:rPr>
            </w:pPr>
            <w:r>
              <w:rPr>
                <w:i/>
                <w:snapToGrid w:val="0"/>
                <w:sz w:val="19"/>
              </w:rPr>
              <w:t>Machinery of Government (Miscellaneous Amendments) Act 2006</w:t>
            </w:r>
            <w:r>
              <w:rPr>
                <w:iCs/>
                <w:snapToGrid w:val="0"/>
                <w:sz w:val="19"/>
              </w:rPr>
              <w:t xml:space="preserve"> Pt. 6 Div. 1</w:t>
            </w:r>
          </w:p>
        </w:tc>
        <w:tc>
          <w:tcPr>
            <w:tcW w:w="1134" w:type="dxa"/>
          </w:tcPr>
          <w:p>
            <w:pPr>
              <w:pStyle w:val="nTable"/>
              <w:spacing w:before="50" w:after="50"/>
              <w:rPr>
                <w:snapToGrid w:val="0"/>
                <w:sz w:val="19"/>
              </w:rPr>
            </w:pPr>
            <w:r>
              <w:rPr>
                <w:snapToGrid w:val="0"/>
                <w:sz w:val="19"/>
              </w:rPr>
              <w:t>28 of 2006</w:t>
            </w:r>
          </w:p>
        </w:tc>
        <w:tc>
          <w:tcPr>
            <w:tcW w:w="1132" w:type="dxa"/>
          </w:tcPr>
          <w:p>
            <w:pPr>
              <w:pStyle w:val="nTable"/>
              <w:spacing w:before="50" w:after="50"/>
              <w:rPr>
                <w:sz w:val="19"/>
              </w:rPr>
            </w:pPr>
            <w:r>
              <w:rPr>
                <w:sz w:val="19"/>
              </w:rPr>
              <w:t>26 Jun 2006</w:t>
            </w:r>
          </w:p>
        </w:tc>
        <w:tc>
          <w:tcPr>
            <w:tcW w:w="2553" w:type="dxa"/>
          </w:tcPr>
          <w:p>
            <w:pPr>
              <w:pStyle w:val="nTable"/>
              <w:spacing w:before="50" w:after="5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before="50" w:after="50"/>
              <w:ind w:left="-28"/>
              <w:rPr>
                <w:i/>
                <w:snapToGrid w:val="0"/>
                <w:sz w:val="19"/>
              </w:rPr>
            </w:pPr>
            <w:r>
              <w:rPr>
                <w:i/>
                <w:snapToGrid w:val="0"/>
                <w:sz w:val="19"/>
              </w:rPr>
              <w:t xml:space="preserve">Financial Legislation Amendment and Repeal Act 2006 </w:t>
            </w:r>
            <w:r>
              <w:rPr>
                <w:iCs/>
                <w:snapToGrid w:val="0"/>
                <w:sz w:val="19"/>
              </w:rPr>
              <w:t>Sch. 1 cl. 52</w:t>
            </w:r>
          </w:p>
        </w:tc>
        <w:tc>
          <w:tcPr>
            <w:tcW w:w="1134" w:type="dxa"/>
          </w:tcPr>
          <w:p>
            <w:pPr>
              <w:pStyle w:val="nTable"/>
              <w:spacing w:before="50" w:after="50"/>
              <w:rPr>
                <w:snapToGrid w:val="0"/>
                <w:sz w:val="19"/>
              </w:rPr>
            </w:pPr>
            <w:r>
              <w:rPr>
                <w:snapToGrid w:val="0"/>
                <w:sz w:val="19"/>
              </w:rPr>
              <w:t xml:space="preserve">77 of 2006 </w:t>
            </w:r>
          </w:p>
        </w:tc>
        <w:tc>
          <w:tcPr>
            <w:tcW w:w="1132" w:type="dxa"/>
          </w:tcPr>
          <w:p>
            <w:pPr>
              <w:pStyle w:val="nTable"/>
              <w:spacing w:before="50" w:after="50"/>
              <w:rPr>
                <w:sz w:val="19"/>
              </w:rPr>
            </w:pPr>
            <w:r>
              <w:rPr>
                <w:snapToGrid w:val="0"/>
                <w:sz w:val="19"/>
              </w:rPr>
              <w:t>21 Dec 2006</w:t>
            </w:r>
          </w:p>
        </w:tc>
        <w:tc>
          <w:tcPr>
            <w:tcW w:w="2553" w:type="dxa"/>
          </w:tcPr>
          <w:p>
            <w:pPr>
              <w:pStyle w:val="nTable"/>
              <w:spacing w:before="50" w:after="5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tcPr>
          <w:p>
            <w:pPr>
              <w:pStyle w:val="nTable"/>
              <w:spacing w:before="50" w:after="50"/>
              <w:ind w:left="-28"/>
              <w:rPr>
                <w:i/>
                <w:snapToGrid w:val="0"/>
                <w:sz w:val="19"/>
              </w:rPr>
            </w:pPr>
            <w:r>
              <w:rPr>
                <w:i/>
                <w:snapToGrid w:val="0"/>
                <w:sz w:val="19"/>
              </w:rPr>
              <w:t>Gas and Electricity Safety Legislation Amendment Act 2007</w:t>
            </w:r>
            <w:r>
              <w:rPr>
                <w:iCs/>
                <w:snapToGrid w:val="0"/>
                <w:sz w:val="19"/>
              </w:rPr>
              <w:t xml:space="preserve"> Pt. 2 </w:t>
            </w:r>
          </w:p>
        </w:tc>
        <w:tc>
          <w:tcPr>
            <w:tcW w:w="1134" w:type="dxa"/>
          </w:tcPr>
          <w:p>
            <w:pPr>
              <w:pStyle w:val="nTable"/>
              <w:spacing w:before="50" w:after="50"/>
              <w:rPr>
                <w:snapToGrid w:val="0"/>
                <w:sz w:val="19"/>
              </w:rPr>
            </w:pPr>
            <w:r>
              <w:rPr>
                <w:snapToGrid w:val="0"/>
                <w:sz w:val="19"/>
              </w:rPr>
              <w:t>5 of 2007</w:t>
            </w:r>
          </w:p>
        </w:tc>
        <w:tc>
          <w:tcPr>
            <w:tcW w:w="1132" w:type="dxa"/>
          </w:tcPr>
          <w:p>
            <w:pPr>
              <w:pStyle w:val="nTable"/>
              <w:spacing w:before="50" w:after="50"/>
              <w:rPr>
                <w:snapToGrid w:val="0"/>
                <w:sz w:val="19"/>
              </w:rPr>
            </w:pPr>
            <w:r>
              <w:rPr>
                <w:snapToGrid w:val="0"/>
                <w:sz w:val="19"/>
              </w:rPr>
              <w:t>18 Apr 2007</w:t>
            </w:r>
          </w:p>
        </w:tc>
        <w:tc>
          <w:tcPr>
            <w:tcW w:w="2553" w:type="dxa"/>
          </w:tcPr>
          <w:p>
            <w:pPr>
              <w:pStyle w:val="nTable"/>
              <w:spacing w:before="50" w:after="50"/>
              <w:rPr>
                <w:snapToGrid w:val="0"/>
                <w:sz w:val="19"/>
              </w:rPr>
            </w:pPr>
            <w:r>
              <w:rPr>
                <w:snapToGrid w:val="0"/>
                <w:sz w:val="19"/>
              </w:rPr>
              <w:t xml:space="preserve">1 Dec 2007 (see s. 2 and </w:t>
            </w:r>
            <w:r>
              <w:rPr>
                <w:i/>
                <w:iCs/>
                <w:snapToGrid w:val="0"/>
                <w:sz w:val="19"/>
              </w:rPr>
              <w:t>Gazette</w:t>
            </w:r>
            <w:r>
              <w:rPr>
                <w:snapToGrid w:val="0"/>
                <w:sz w:val="19"/>
              </w:rPr>
              <w:t xml:space="preserve"> 30 Nov 2007 p. 5927)</w:t>
            </w:r>
          </w:p>
        </w:tc>
      </w:tr>
      <w:tr>
        <w:trPr>
          <w:cantSplit/>
        </w:trPr>
        <w:tc>
          <w:tcPr>
            <w:tcW w:w="7087" w:type="dxa"/>
            <w:gridSpan w:val="4"/>
          </w:tcPr>
          <w:p>
            <w:pPr>
              <w:pStyle w:val="nTable"/>
              <w:spacing w:before="50" w:after="50"/>
              <w:rPr>
                <w:snapToGrid w:val="0"/>
                <w:sz w:val="19"/>
              </w:rPr>
            </w:pPr>
            <w:r>
              <w:rPr>
                <w:b/>
                <w:sz w:val="19"/>
              </w:rPr>
              <w:t xml:space="preserve">Reprint 7: The </w:t>
            </w:r>
            <w:r>
              <w:rPr>
                <w:b/>
                <w:i/>
                <w:sz w:val="19"/>
              </w:rPr>
              <w:t>Electricity Act 1945</w:t>
            </w:r>
            <w:r>
              <w:rPr>
                <w:b/>
                <w:sz w:val="19"/>
              </w:rPr>
              <w:t xml:space="preserve"> as at 2 May 2008 </w:t>
            </w:r>
            <w:r>
              <w:rPr>
                <w:sz w:val="19"/>
              </w:rPr>
              <w:t>(includes amendments listed above)</w:t>
            </w:r>
          </w:p>
        </w:tc>
      </w:tr>
      <w:tr>
        <w:trPr>
          <w:cantSplit/>
        </w:trPr>
        <w:tc>
          <w:tcPr>
            <w:tcW w:w="2268" w:type="dxa"/>
          </w:tcPr>
          <w:p>
            <w:pPr>
              <w:pStyle w:val="nTable"/>
              <w:spacing w:before="50" w:after="50"/>
              <w:ind w:right="113"/>
              <w:rPr>
                <w:iCs/>
                <w:sz w:val="19"/>
              </w:rPr>
            </w:pPr>
            <w:r>
              <w:rPr>
                <w:i/>
                <w:sz w:val="19"/>
              </w:rPr>
              <w:t>Statutes (Repeals and Miscellaneous Amendments) Act 2009</w:t>
            </w:r>
            <w:r>
              <w:rPr>
                <w:iCs/>
                <w:sz w:val="19"/>
              </w:rPr>
              <w:t xml:space="preserve"> s. 49</w:t>
            </w:r>
          </w:p>
        </w:tc>
        <w:tc>
          <w:tcPr>
            <w:tcW w:w="1134" w:type="dxa"/>
          </w:tcPr>
          <w:p>
            <w:pPr>
              <w:pStyle w:val="nTable"/>
              <w:spacing w:before="50" w:after="50"/>
              <w:rPr>
                <w:sz w:val="19"/>
              </w:rPr>
            </w:pPr>
            <w:r>
              <w:rPr>
                <w:sz w:val="19"/>
              </w:rPr>
              <w:t xml:space="preserve">8 of 2009 </w:t>
            </w:r>
          </w:p>
        </w:tc>
        <w:tc>
          <w:tcPr>
            <w:tcW w:w="1132" w:type="dxa"/>
          </w:tcPr>
          <w:p>
            <w:pPr>
              <w:pStyle w:val="nTable"/>
              <w:spacing w:before="50" w:after="50"/>
              <w:rPr>
                <w:sz w:val="19"/>
              </w:rPr>
            </w:pPr>
            <w:r>
              <w:rPr>
                <w:sz w:val="19"/>
              </w:rPr>
              <w:t>21 May 2009</w:t>
            </w:r>
          </w:p>
        </w:tc>
        <w:tc>
          <w:tcPr>
            <w:tcW w:w="2553" w:type="dxa"/>
          </w:tcPr>
          <w:p>
            <w:pPr>
              <w:pStyle w:val="nTable"/>
              <w:spacing w:before="50" w:after="50"/>
              <w:rPr>
                <w:sz w:val="19"/>
              </w:rPr>
            </w:pPr>
            <w:r>
              <w:rPr>
                <w:sz w:val="19"/>
              </w:rPr>
              <w:t>22 May 2009 (see s. 2(b))</w:t>
            </w:r>
          </w:p>
        </w:tc>
      </w:tr>
      <w:tr>
        <w:trPr>
          <w:cantSplit/>
        </w:trPr>
        <w:tc>
          <w:tcPr>
            <w:tcW w:w="2268" w:type="dxa"/>
          </w:tcPr>
          <w:p>
            <w:pPr>
              <w:pStyle w:val="nTable"/>
              <w:spacing w:before="50" w:after="50"/>
              <w:ind w:right="113"/>
              <w:rPr>
                <w:iCs/>
                <w:snapToGrid w:val="0"/>
                <w:sz w:val="19"/>
              </w:rPr>
            </w:pPr>
            <w:r>
              <w:rPr>
                <w:i/>
                <w:snapToGrid w:val="0"/>
                <w:sz w:val="19"/>
              </w:rPr>
              <w:t>Standardisation of Formatting Act 2010</w:t>
            </w:r>
            <w:r>
              <w:rPr>
                <w:iCs/>
                <w:snapToGrid w:val="0"/>
                <w:sz w:val="19"/>
              </w:rPr>
              <w:t xml:space="preserve"> s. 43(3) and 57</w:t>
            </w:r>
          </w:p>
        </w:tc>
        <w:tc>
          <w:tcPr>
            <w:tcW w:w="1134" w:type="dxa"/>
          </w:tcPr>
          <w:p>
            <w:pPr>
              <w:pStyle w:val="nTable"/>
              <w:spacing w:before="50" w:after="50"/>
              <w:rPr>
                <w:snapToGrid w:val="0"/>
                <w:sz w:val="19"/>
              </w:rPr>
            </w:pPr>
            <w:r>
              <w:rPr>
                <w:snapToGrid w:val="0"/>
                <w:sz w:val="19"/>
              </w:rPr>
              <w:t>19 of 2010</w:t>
            </w:r>
          </w:p>
        </w:tc>
        <w:tc>
          <w:tcPr>
            <w:tcW w:w="1132" w:type="dxa"/>
          </w:tcPr>
          <w:p>
            <w:pPr>
              <w:pStyle w:val="nTable"/>
              <w:spacing w:before="50" w:after="50"/>
              <w:rPr>
                <w:snapToGrid w:val="0"/>
                <w:sz w:val="19"/>
              </w:rPr>
            </w:pPr>
            <w:r>
              <w:rPr>
                <w:snapToGrid w:val="0"/>
                <w:sz w:val="19"/>
              </w:rPr>
              <w:t>28 Jun 2010</w:t>
            </w:r>
          </w:p>
        </w:tc>
        <w:tc>
          <w:tcPr>
            <w:tcW w:w="2553" w:type="dxa"/>
          </w:tcPr>
          <w:p>
            <w:pPr>
              <w:pStyle w:val="nTable"/>
              <w:spacing w:before="50" w:after="5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before="50" w:after="50"/>
              <w:ind w:right="113"/>
              <w:rPr>
                <w:sz w:val="19"/>
              </w:rPr>
            </w:pPr>
            <w:r>
              <w:rPr>
                <w:i/>
                <w:snapToGrid w:val="0"/>
                <w:sz w:val="19"/>
              </w:rPr>
              <w:t>Statutes (Repeals and Minor Amendments) Act 2011</w:t>
            </w:r>
            <w:r>
              <w:rPr>
                <w:sz w:val="19"/>
              </w:rPr>
              <w:t xml:space="preserve"> s. 27</w:t>
            </w:r>
          </w:p>
        </w:tc>
        <w:tc>
          <w:tcPr>
            <w:tcW w:w="1134" w:type="dxa"/>
          </w:tcPr>
          <w:p>
            <w:pPr>
              <w:pStyle w:val="nTable"/>
              <w:spacing w:before="50" w:after="50"/>
              <w:rPr>
                <w:snapToGrid w:val="0"/>
                <w:sz w:val="19"/>
              </w:rPr>
            </w:pPr>
            <w:r>
              <w:rPr>
                <w:snapToGrid w:val="0"/>
                <w:sz w:val="19"/>
              </w:rPr>
              <w:t>47 of 2011</w:t>
            </w:r>
          </w:p>
        </w:tc>
        <w:tc>
          <w:tcPr>
            <w:tcW w:w="1132" w:type="dxa"/>
          </w:tcPr>
          <w:p>
            <w:pPr>
              <w:pStyle w:val="nTable"/>
              <w:spacing w:before="50" w:after="50"/>
              <w:rPr>
                <w:snapToGrid w:val="0"/>
                <w:sz w:val="19"/>
              </w:rPr>
            </w:pPr>
            <w:r>
              <w:rPr>
                <w:snapToGrid w:val="0"/>
                <w:sz w:val="19"/>
              </w:rPr>
              <w:t>25 Oct 2011</w:t>
            </w:r>
          </w:p>
        </w:tc>
        <w:tc>
          <w:tcPr>
            <w:tcW w:w="2553" w:type="dxa"/>
          </w:tcPr>
          <w:p>
            <w:pPr>
              <w:pStyle w:val="nTable"/>
              <w:spacing w:before="50" w:after="50"/>
              <w:rPr>
                <w:snapToGrid w:val="0"/>
                <w:sz w:val="19"/>
              </w:rPr>
            </w:pPr>
            <w:r>
              <w:rPr>
                <w:snapToGrid w:val="0"/>
                <w:sz w:val="19"/>
              </w:rPr>
              <w:t>26 Oct 2011 (see s. 2(b))</w:t>
            </w:r>
          </w:p>
        </w:tc>
      </w:tr>
      <w:tr>
        <w:trPr>
          <w:cantSplit/>
        </w:trPr>
        <w:tc>
          <w:tcPr>
            <w:tcW w:w="2268" w:type="dxa"/>
            <w:shd w:val="clear" w:color="auto" w:fill="auto"/>
          </w:tcPr>
          <w:p>
            <w:pPr>
              <w:pStyle w:val="nTable"/>
              <w:spacing w:before="50" w:after="50"/>
              <w:ind w:right="113"/>
              <w:rPr>
                <w:i/>
                <w:snapToGrid w:val="0"/>
                <w:sz w:val="19"/>
              </w:rPr>
            </w:pPr>
            <w:r>
              <w:rPr>
                <w:i/>
                <w:snapToGrid w:val="0"/>
                <w:sz w:val="19"/>
                <w:szCs w:val="19"/>
              </w:rPr>
              <w:t>Commercial Arbitration Act 2012</w:t>
            </w:r>
            <w:r>
              <w:rPr>
                <w:snapToGrid w:val="0"/>
                <w:sz w:val="19"/>
                <w:szCs w:val="19"/>
              </w:rPr>
              <w:t xml:space="preserve"> s. 45</w:t>
            </w:r>
          </w:p>
        </w:tc>
        <w:tc>
          <w:tcPr>
            <w:tcW w:w="1134" w:type="dxa"/>
            <w:shd w:val="clear" w:color="auto" w:fill="auto"/>
          </w:tcPr>
          <w:p>
            <w:pPr>
              <w:pStyle w:val="nTable"/>
              <w:spacing w:before="50" w:after="50"/>
              <w:rPr>
                <w:snapToGrid w:val="0"/>
                <w:sz w:val="19"/>
              </w:rPr>
            </w:pPr>
            <w:r>
              <w:rPr>
                <w:snapToGrid w:val="0"/>
                <w:sz w:val="19"/>
                <w:szCs w:val="19"/>
              </w:rPr>
              <w:t>23 of 2012</w:t>
            </w:r>
          </w:p>
        </w:tc>
        <w:tc>
          <w:tcPr>
            <w:tcW w:w="1132" w:type="dxa"/>
            <w:shd w:val="clear" w:color="auto" w:fill="auto"/>
          </w:tcPr>
          <w:p>
            <w:pPr>
              <w:pStyle w:val="nTable"/>
              <w:spacing w:before="50" w:after="50"/>
              <w:rPr>
                <w:snapToGrid w:val="0"/>
                <w:sz w:val="19"/>
              </w:rPr>
            </w:pPr>
            <w:r>
              <w:rPr>
                <w:snapToGrid w:val="0"/>
                <w:sz w:val="19"/>
                <w:szCs w:val="19"/>
              </w:rPr>
              <w:t>29 Aug 2012</w:t>
            </w:r>
          </w:p>
        </w:tc>
        <w:tc>
          <w:tcPr>
            <w:tcW w:w="2553" w:type="dxa"/>
            <w:shd w:val="clear" w:color="auto" w:fill="auto"/>
          </w:tcPr>
          <w:p>
            <w:pPr>
              <w:pStyle w:val="nTable"/>
              <w:keepLines/>
              <w:tabs>
                <w:tab w:val="left" w:pos="893"/>
              </w:tabs>
              <w:spacing w:before="50" w:after="50"/>
              <w:rPr>
                <w:snapToGrid w:val="0"/>
                <w:sz w:val="19"/>
              </w:rPr>
            </w:pPr>
            <w:r>
              <w:rPr>
                <w:snapToGrid w:val="0"/>
                <w:sz w:val="19"/>
              </w:rPr>
              <w:t xml:space="preserve">7 Aug 2013 (see s. 1B(b) and </w:t>
            </w:r>
            <w:r>
              <w:rPr>
                <w:i/>
                <w:snapToGrid w:val="0"/>
                <w:sz w:val="19"/>
              </w:rPr>
              <w:t>Gazette</w:t>
            </w:r>
            <w:r>
              <w:rPr>
                <w:snapToGrid w:val="0"/>
                <w:sz w:val="19"/>
              </w:rPr>
              <w:t xml:space="preserve"> 6 Aug 2013 p. 3677)</w:t>
            </w:r>
          </w:p>
        </w:tc>
      </w:tr>
      <w:tr>
        <w:trPr>
          <w:cantSplit/>
        </w:trPr>
        <w:tc>
          <w:tcPr>
            <w:tcW w:w="7087" w:type="dxa"/>
            <w:gridSpan w:val="4"/>
            <w:tcBorders>
              <w:bottom w:val="single" w:sz="8" w:space="0" w:color="auto"/>
            </w:tcBorders>
            <w:shd w:val="clear" w:color="auto" w:fill="auto"/>
          </w:tcPr>
          <w:p>
            <w:pPr>
              <w:pStyle w:val="nTable"/>
              <w:keepLines/>
              <w:tabs>
                <w:tab w:val="left" w:pos="893"/>
              </w:tabs>
              <w:spacing w:before="50" w:after="50"/>
              <w:rPr>
                <w:snapToGrid w:val="0"/>
                <w:sz w:val="19"/>
              </w:rPr>
            </w:pPr>
            <w:r>
              <w:rPr>
                <w:b/>
                <w:sz w:val="19"/>
              </w:rPr>
              <w:t xml:space="preserve">Reprint 8: The </w:t>
            </w:r>
            <w:r>
              <w:rPr>
                <w:b/>
                <w:i/>
                <w:sz w:val="19"/>
              </w:rPr>
              <w:t>Electricity Act 1945</w:t>
            </w:r>
            <w:r>
              <w:rPr>
                <w:b/>
                <w:sz w:val="19"/>
              </w:rPr>
              <w:t xml:space="preserve"> as at 13 Dec 2013 </w:t>
            </w:r>
            <w:r>
              <w:rPr>
                <w:sz w:val="19"/>
              </w:rPr>
              <w:t>(includes amendments listed above)</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reprint.</w:t>
      </w:r>
    </w:p>
    <w:p>
      <w:pPr>
        <w:pStyle w:val="nSubsection"/>
        <w:spacing w:before="12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r>
        <w:rPr>
          <w:snapToGrid w:val="0"/>
        </w:rPr>
        <w:t>.</w:t>
      </w:r>
    </w:p>
    <w:p>
      <w:pPr>
        <w:pStyle w:val="nSubsection"/>
        <w:keepNext/>
        <w:spacing w:before="12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pPr>
        <w:pStyle w:val="BlankOpen"/>
        <w:rPr>
          <w:snapToGrid w:val="0"/>
        </w:rPr>
      </w:pP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Courts Legislation Amendment and Repeal Act 2004</w:t>
      </w:r>
      <w:r>
        <w:rPr>
          <w:snapToGrid w:val="0"/>
        </w:rPr>
        <w:t xml:space="preserve"> Sch. 2 cl. 16 was deleted by the </w:t>
      </w:r>
      <w:r>
        <w:rPr>
          <w:i/>
          <w:iCs/>
          <w:snapToGrid w:val="0"/>
        </w:rPr>
        <w:t>Criminal Law and Evidence Amendment Act 2008</w:t>
      </w:r>
      <w:r>
        <w:rPr>
          <w:snapToGrid w:val="0"/>
        </w:rPr>
        <w:t xml:space="preserve"> s. 77(13).</w:t>
      </w:r>
    </w:p>
    <w:p>
      <w:pPr>
        <w:pStyle w:val="nSubsection"/>
        <w:spacing w:before="120"/>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Pr>
        <w:pStyle w:val="nHeading2"/>
        <w:rPr>
          <w:sz w:val="28"/>
        </w:rPr>
      </w:pPr>
      <w:bookmarkStart w:id="53" w:name="_Toc382317561"/>
      <w:r>
        <w:rPr>
          <w:sz w:val="28"/>
        </w:rPr>
        <w:t>Defined terms</w:t>
      </w:r>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4" w:name="DefinedTerms"/>
      <w:bookmarkEnd w:id="54"/>
      <w:r>
        <w:t>apparatus</w:t>
      </w:r>
      <w:r>
        <w:tab/>
        <w:t>5(1)</w:t>
      </w:r>
    </w:p>
    <w:p>
      <w:pPr>
        <w:pStyle w:val="DefinedTerms"/>
      </w:pPr>
      <w:r>
        <w:t>consumer</w:t>
      </w:r>
      <w:r>
        <w:tab/>
        <w:t>5(1)</w:t>
      </w:r>
    </w:p>
    <w:p>
      <w:pPr>
        <w:pStyle w:val="DefinedTerms"/>
      </w:pPr>
      <w:r>
        <w:t>Coordinator</w:t>
      </w:r>
      <w:r>
        <w:tab/>
        <w:t>5(1)</w:t>
      </w:r>
    </w:p>
    <w:p>
      <w:pPr>
        <w:pStyle w:val="DefinedTerms"/>
      </w:pPr>
      <w:r>
        <w:t>declaration</w:t>
      </w:r>
      <w:r>
        <w:tab/>
        <w:t>6(4)</w:t>
      </w:r>
    </w:p>
    <w:p>
      <w:pPr>
        <w:pStyle w:val="DefinedTerms"/>
      </w:pPr>
      <w:r>
        <w:t>Director</w:t>
      </w:r>
      <w:r>
        <w:tab/>
        <w:t>5(1)</w:t>
      </w:r>
    </w:p>
    <w:p>
      <w:pPr>
        <w:pStyle w:val="DefinedTerms"/>
      </w:pPr>
      <w:r>
        <w:t>distribution licensee</w:t>
      </w:r>
      <w:r>
        <w:tab/>
        <w:t>5(1)</w:t>
      </w:r>
    </w:p>
    <w:p>
      <w:pPr>
        <w:pStyle w:val="DefinedTerms"/>
      </w:pPr>
      <w:r>
        <w:t>distribution works</w:t>
      </w:r>
      <w:r>
        <w:tab/>
        <w:t>5(1)</w:t>
      </w:r>
    </w:p>
    <w:p>
      <w:pPr>
        <w:pStyle w:val="DefinedTerms"/>
      </w:pPr>
      <w:r>
        <w:t>electric fitting</w:t>
      </w:r>
      <w:r>
        <w:tab/>
        <w:t>5(1)</w:t>
      </w:r>
    </w:p>
    <w:p>
      <w:pPr>
        <w:pStyle w:val="DefinedTerms"/>
      </w:pPr>
      <w:r>
        <w:t>electrical appliance</w:t>
      </w:r>
      <w:r>
        <w:tab/>
        <w:t>33A</w:t>
      </w:r>
    </w:p>
    <w:p>
      <w:pPr>
        <w:pStyle w:val="DefinedTerms"/>
      </w:pPr>
      <w:r>
        <w:t>electrical installation</w:t>
      </w:r>
      <w:r>
        <w:tab/>
        <w:t>33A</w:t>
      </w:r>
    </w:p>
    <w:p>
      <w:pPr>
        <w:pStyle w:val="DefinedTerms"/>
      </w:pPr>
      <w:r>
        <w:t>exempt operator</w:t>
      </w:r>
      <w:r>
        <w:tab/>
        <w:t>5(1)</w:t>
      </w:r>
    </w:p>
    <w:p>
      <w:pPr>
        <w:pStyle w:val="DefinedTerms"/>
      </w:pPr>
      <w:r>
        <w:t>generating station</w:t>
      </w:r>
      <w:r>
        <w:tab/>
        <w:t>5(1)</w:t>
      </w:r>
    </w:p>
    <w:p>
      <w:pPr>
        <w:pStyle w:val="DefinedTerms"/>
      </w:pPr>
      <w:r>
        <w:t>generating works</w:t>
      </w:r>
      <w:r>
        <w:tab/>
        <w:t>5(1)</w:t>
      </w:r>
    </w:p>
    <w:p>
      <w:pPr>
        <w:pStyle w:val="DefinedTerms"/>
      </w:pPr>
      <w:r>
        <w:t>inspector</w:t>
      </w:r>
      <w:r>
        <w:tab/>
        <w:t>5(1)</w:t>
      </w:r>
    </w:p>
    <w:p>
      <w:pPr>
        <w:pStyle w:val="DefinedTerms"/>
      </w:pPr>
      <w:r>
        <w:t>installation</w:t>
      </w:r>
      <w:r>
        <w:tab/>
        <w:t>5(1)</w:t>
      </w:r>
    </w:p>
    <w:p>
      <w:pPr>
        <w:pStyle w:val="DefinedTerms"/>
      </w:pPr>
      <w:r>
        <w:t>land</w:t>
      </w:r>
      <w:r>
        <w:tab/>
        <w:t>5(1)</w:t>
      </w:r>
    </w:p>
    <w:p>
      <w:pPr>
        <w:pStyle w:val="DefinedTerms"/>
      </w:pPr>
      <w:r>
        <w:t>Minister</w:t>
      </w:r>
      <w:r>
        <w:tab/>
        <w:t>5(1)</w:t>
      </w:r>
    </w:p>
    <w:p>
      <w:pPr>
        <w:pStyle w:val="DefinedTerms"/>
      </w:pPr>
      <w:r>
        <w:t>network operator</w:t>
      </w:r>
      <w:r>
        <w:tab/>
        <w:t>5(1)</w:t>
      </w:r>
    </w:p>
    <w:p>
      <w:pPr>
        <w:pStyle w:val="DefinedTerms"/>
      </w:pPr>
      <w:r>
        <w:t>person concerned</w:t>
      </w:r>
      <w:r>
        <w:tab/>
        <w:t>12(2)</w:t>
      </w:r>
    </w:p>
    <w:p>
      <w:pPr>
        <w:pStyle w:val="DefinedTerms"/>
      </w:pPr>
      <w:r>
        <w:t>premises</w:t>
      </w:r>
      <w:r>
        <w:tab/>
        <w:t>5(1)</w:t>
      </w:r>
    </w:p>
    <w:p>
      <w:pPr>
        <w:pStyle w:val="DefinedTerms"/>
      </w:pPr>
      <w:r>
        <w:t>public authority</w:t>
      </w:r>
      <w:r>
        <w:tab/>
        <w:t>5(1)</w:t>
      </w:r>
    </w:p>
    <w:p>
      <w:pPr>
        <w:pStyle w:val="DefinedTerms"/>
      </w:pPr>
      <w:r>
        <w:t>relevant provision</w:t>
      </w:r>
      <w:r>
        <w:tab/>
        <w:t>6(4)</w:t>
      </w:r>
    </w:p>
    <w:p>
      <w:pPr>
        <w:pStyle w:val="DefinedTerms"/>
      </w:pPr>
      <w:r>
        <w:t>service apparatus</w:t>
      </w:r>
      <w:r>
        <w:tab/>
        <w:t>5(1)</w:t>
      </w:r>
    </w:p>
    <w:p>
      <w:pPr>
        <w:pStyle w:val="DefinedTerms"/>
      </w:pPr>
      <w:r>
        <w:t>specified</w:t>
      </w:r>
      <w:r>
        <w:tab/>
        <w:t>6(4), 32(4)</w:t>
      </w:r>
    </w:p>
    <w:p>
      <w:pPr>
        <w:pStyle w:val="DefinedTerms"/>
      </w:pPr>
      <w:r>
        <w:t>street</w:t>
      </w:r>
      <w:r>
        <w:tab/>
        <w:t>5(1)</w:t>
      </w:r>
    </w:p>
    <w:p>
      <w:pPr>
        <w:pStyle w:val="DefinedTerms"/>
      </w:pPr>
      <w:r>
        <w:t>supply authority</w:t>
      </w:r>
      <w:r>
        <w:tab/>
        <w:t>5(1)</w:t>
      </w:r>
    </w:p>
    <w:p>
      <w:pPr>
        <w:pStyle w:val="DefinedTerms"/>
      </w:pPr>
      <w:r>
        <w:t>transmission licensee</w:t>
      </w:r>
      <w:r>
        <w:tab/>
        <w:t>5(1)</w:t>
      </w:r>
    </w:p>
    <w:p>
      <w:pPr>
        <w:pStyle w:val="DefinedTerms"/>
      </w:pPr>
      <w:r>
        <w:t>transmission works</w:t>
      </w:r>
      <w:r>
        <w:tab/>
        <w:t>5(1)</w:t>
      </w:r>
    </w:p>
    <w:p>
      <w:pPr>
        <w:pStyle w:val="DefinedTerms"/>
      </w:pPr>
    </w:p>
    <w:p/>
    <w:p/>
    <w:p/>
    <w:p/>
    <w:p/>
    <w:p/>
    <w:p/>
    <w:p/>
    <w:p>
      <w:pPr>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0"/>
      <w:headerReference w:type="defaul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8</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44</w:t>
    </w:r>
    <w:r>
      <w:rPr>
        <w:rStyle w:val="CharPageNo"/>
      </w:rPr>
      <w:fldChar w:fldCharType="end"/>
    </w:r>
    <w:r>
      <w:rPr>
        <w:rStyle w:val="CharPageNo"/>
      </w:rPr>
      <w:tab/>
    </w:r>
    <w:r>
      <w:t xml:space="preserve">Reprint </w:t>
    </w:r>
    <w:fldSimple w:instr=" DOCPROPERTY &quot;ReprintNo&quot; ">
      <w:r>
        <w:t>8</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8</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46</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Act 1945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Act 1945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Act 1945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Act 1945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Electricity Act 1945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Electricity Act 1945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Electricity Act 1945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Electricity Act 1945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62ED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A0CE6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2EF5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92CDA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31C49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D48E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A180B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FC4C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97C49DA"/>
    <w:lvl w:ilvl="0">
      <w:start w:val="1"/>
      <w:numFmt w:val="decimal"/>
      <w:pStyle w:val="ListNumber"/>
      <w:lvlText w:val="%1."/>
      <w:lvlJc w:val="left"/>
      <w:pPr>
        <w:tabs>
          <w:tab w:val="num" w:pos="360"/>
        </w:tabs>
        <w:ind w:left="360" w:hanging="360"/>
      </w:pPr>
    </w:lvl>
  </w:abstractNum>
  <w:abstractNum w:abstractNumId="9">
    <w:nsid w:val="FFFFFF89"/>
    <w:multiLevelType w:val="singleLevel"/>
    <w:tmpl w:val="362219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E36E6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8E63FC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52409"/>
    <w:docVar w:name="WAFER_20140311152409" w:val="RemoveTocBookmarks,RemoveUnusedBookmarks,RemoveLanguageTags,UsedStyles,ResetPageSize"/>
    <w:docVar w:name="WAFER_20140311152409_GUID" w:val="8a1ca315-ea9a-4481-9298-c7e1db8b39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8.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4.png"/><Relationship Id="rId32" Type="http://schemas.openxmlformats.org/officeDocument/2006/relationships/header" Target="header10.xml"/><Relationship Id="rId37" Type="http://schemas.openxmlformats.org/officeDocument/2006/relationships/footer" Target="footer11.xml"/><Relationship Id="rId40"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footer" Target="footer8.xml"/><Relationship Id="rId36" Type="http://schemas.openxmlformats.org/officeDocument/2006/relationships/footer" Target="footer10.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46B7BA-5463-429B-B26B-19676CE28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13469</Words>
  <Characters>63980</Characters>
  <Application>Microsoft Office Word</Application>
  <DocSecurity>0</DocSecurity>
  <Lines>1729</Lines>
  <Paragraphs>790</Paragraphs>
  <ScaleCrop>false</ScaleCrop>
  <HeadingPairs>
    <vt:vector size="2" baseType="variant">
      <vt:variant>
        <vt:lpstr>Title</vt:lpstr>
      </vt:variant>
      <vt:variant>
        <vt:i4>1</vt:i4>
      </vt:variant>
    </vt:vector>
  </HeadingPairs>
  <TitlesOfParts>
    <vt:vector size="1" baseType="lpstr">
      <vt:lpstr>Electricity Act 1945</vt:lpstr>
    </vt:vector>
  </TitlesOfParts>
  <Manager/>
  <Company/>
  <LinksUpToDate>false</LinksUpToDate>
  <CharactersWithSpaces>76659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1945 - 08-00-01</dc:title>
  <dc:subject/>
  <dc:creator/>
  <cp:keywords/>
  <dc:description/>
  <cp:lastModifiedBy>svcMRProcess</cp:lastModifiedBy>
  <cp:revision>4</cp:revision>
  <cp:lastPrinted>2013-12-19T00:08:00Z</cp:lastPrinted>
  <dcterms:created xsi:type="dcterms:W3CDTF">2020-03-07T19:07:00Z</dcterms:created>
  <dcterms:modified xsi:type="dcterms:W3CDTF">2020-03-07T19:07:00Z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20131213</vt:lpwstr>
  </property>
  <property fmtid="{D5CDD505-2E9C-101B-9397-08002B2CF9AE}" pid="4" name="DocumentType">
    <vt:lpwstr>Act</vt:lpwstr>
  </property>
  <property fmtid="{D5CDD505-2E9C-101B-9397-08002B2CF9AE}" pid="5" name="OwlsUID">
    <vt:i4>244</vt:i4>
  </property>
  <property fmtid="{D5CDD505-2E9C-101B-9397-08002B2CF9AE}" pid="6" name="AsAtDate">
    <vt:lpwstr>13 Dec 2013</vt:lpwstr>
  </property>
  <property fmtid="{D5CDD505-2E9C-101B-9397-08002B2CF9AE}" pid="7" name="Suffix">
    <vt:lpwstr>08-00-01</vt:lpwstr>
  </property>
  <property fmtid="{D5CDD505-2E9C-101B-9397-08002B2CF9AE}" pid="8" name="ReprintNo">
    <vt:lpwstr>8</vt:lpwstr>
  </property>
  <property fmtid="{D5CDD505-2E9C-101B-9397-08002B2CF9AE}" pid="9" name="ReprintedAsAt">
    <vt:filetime>2013-12-12T16:00:00Z</vt:filetime>
  </property>
</Properties>
</file>