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Act as at </w:t>
      </w:r>
      <w:r>
        <w:fldChar w:fldCharType="begin"/>
      </w:r>
      <w:r>
        <w:instrText xml:space="preserve"> DOCPROPERTY "ReprintedAsAt" \@ "d MMMM yyyy" </w:instrText>
      </w:r>
      <w:r>
        <w:fldChar w:fldCharType="separate"/>
      </w:r>
      <w:r>
        <w:t>13 December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7.75pt" o:ole="" fillcolor="window">
            <v:imagedata r:id="rId9" o:title=""/>
          </v:shape>
          <o:OLEObject Type="Embed" ProgID="Word.Picture.8" ShapeID="_x0000_i1025" DrawAspect="Content" ObjectID="_1649140733"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December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_Toc382381509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_Toc382381510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_Toc382381511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w:t>
      </w:r>
      <w:r>
        <w:tab/>
      </w:r>
      <w:r>
        <w:fldChar w:fldCharType="begin"/>
      </w:r>
      <w:r>
        <w:instrText xml:space="preserve"> PAGEREF _Toc382381512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Excision of certain land for drainage or road purposes</w:t>
      </w:r>
      <w:r>
        <w:tab/>
      </w:r>
      <w:r>
        <w:fldChar w:fldCharType="begin"/>
      </w:r>
      <w:r>
        <w:instrText xml:space="preserve"> PAGEREF _Toc382381513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Creation of reserve</w:t>
      </w:r>
      <w:r>
        <w:tab/>
      </w:r>
      <w:r>
        <w:fldChar w:fldCharType="begin"/>
      </w:r>
      <w:r>
        <w:instrText xml:space="preserve"> PAGEREF _Toc382381514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The Queen Elizabeth II Medical Centre Trust</w:t>
      </w:r>
      <w:r>
        <w:tab/>
      </w:r>
      <w:r>
        <w:fldChar w:fldCharType="begin"/>
      </w:r>
      <w:r>
        <w:instrText xml:space="preserve"> PAGEREF _Toc382381515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_Toc382381516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Vacancies</w:t>
      </w:r>
      <w:r>
        <w:tab/>
      </w:r>
      <w:r>
        <w:fldChar w:fldCharType="begin"/>
      </w:r>
      <w:r>
        <w:instrText xml:space="preserve"> PAGEREF _Toc382381517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Trust</w:t>
      </w:r>
      <w:r>
        <w:tab/>
      </w:r>
      <w:r>
        <w:fldChar w:fldCharType="begin"/>
      </w:r>
      <w:r>
        <w:instrText xml:space="preserve"> PAGEREF _Toc382381518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ab/>
        <w:t>Holding meetings remotely</w:t>
      </w:r>
      <w:r>
        <w:tab/>
      </w:r>
      <w:r>
        <w:fldChar w:fldCharType="begin"/>
      </w:r>
      <w:r>
        <w:instrText xml:space="preserve"> PAGEREF _Toc382381519 \h </w:instrText>
      </w:r>
      <w:r>
        <w:fldChar w:fldCharType="separate"/>
      </w:r>
      <w:r>
        <w:t>6</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Resolution without meeting</w:t>
      </w:r>
      <w:r>
        <w:tab/>
      </w:r>
      <w:r>
        <w:fldChar w:fldCharType="begin"/>
      </w:r>
      <w:r>
        <w:instrText xml:space="preserve"> PAGEREF _Toc382381520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common seal</w:t>
      </w:r>
      <w:r>
        <w:tab/>
      </w:r>
      <w:r>
        <w:fldChar w:fldCharType="begin"/>
      </w:r>
      <w:r>
        <w:instrText xml:space="preserve"> PAGEREF _Toc382381521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_Toc382381522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and allowances</w:t>
      </w:r>
      <w:r>
        <w:tab/>
      </w:r>
      <w:r>
        <w:fldChar w:fldCharType="begin"/>
      </w:r>
      <w:r>
        <w:instrText xml:space="preserve"> PAGEREF _Toc382381523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Trust</w:t>
      </w:r>
      <w:r>
        <w:tab/>
      </w:r>
      <w:r>
        <w:fldChar w:fldCharType="begin"/>
      </w:r>
      <w:r>
        <w:instrText xml:space="preserve"> PAGEREF _Toc382381524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Additional land for reserve</w:t>
      </w:r>
      <w:r>
        <w:tab/>
      </w:r>
      <w:r>
        <w:fldChar w:fldCharType="begin"/>
      </w:r>
      <w:r>
        <w:instrText xml:space="preserve"> PAGEREF _Toc382381525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employees</w:t>
      </w:r>
      <w:r>
        <w:tab/>
      </w:r>
      <w:r>
        <w:fldChar w:fldCharType="begin"/>
      </w:r>
      <w:r>
        <w:instrText xml:space="preserve"> PAGEREF _Toc382381526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_Toc382381527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Teaching hospitals on reserve</w:t>
      </w:r>
      <w:r>
        <w:tab/>
      </w:r>
      <w:r>
        <w:fldChar w:fldCharType="begin"/>
      </w:r>
      <w:r>
        <w:instrText xml:space="preserve"> PAGEREF _Toc382381528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Indemnity</w:t>
      </w:r>
      <w:r>
        <w:tab/>
      </w:r>
      <w:r>
        <w:fldChar w:fldCharType="begin"/>
      </w:r>
      <w:r>
        <w:instrText xml:space="preserve"> PAGEREF _Toc382381529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Senate to apply fees and other money to reserve</w:t>
      </w:r>
      <w:r>
        <w:tab/>
      </w:r>
      <w:r>
        <w:fldChar w:fldCharType="begin"/>
      </w:r>
      <w:r>
        <w:instrText xml:space="preserve"> PAGEREF _Toc382381530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w:t>
      </w:r>
      <w:r>
        <w:tab/>
      </w:r>
      <w:r>
        <w:fldChar w:fldCharType="begin"/>
      </w:r>
      <w:r>
        <w:instrText xml:space="preserve"> PAGEREF _Toc382381531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By</w:t>
      </w:r>
      <w:r>
        <w:rPr>
          <w:snapToGrid w:val="0"/>
        </w:rPr>
        <w:noBreakHyphen/>
        <w:t>laws</w:t>
      </w:r>
      <w:r>
        <w:tab/>
      </w:r>
      <w:r>
        <w:fldChar w:fldCharType="begin"/>
      </w:r>
      <w:r>
        <w:instrText xml:space="preserve"> PAGEREF _Toc382381532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Act</w:t>
      </w:r>
      <w:r>
        <w:tab/>
      </w:r>
      <w:r>
        <w:fldChar w:fldCharType="begin"/>
      </w:r>
      <w:r>
        <w:instrText xml:space="preserve"> PAGEREF _Toc382381533 \h </w:instrText>
      </w:r>
      <w:r>
        <w:fldChar w:fldCharType="separate"/>
      </w:r>
      <w:r>
        <w:t>23</w:t>
      </w:r>
      <w:r>
        <w:fldChar w:fldCharType="end"/>
      </w:r>
    </w:p>
    <w:p>
      <w:pPr>
        <w:pStyle w:val="TOC2"/>
        <w:tabs>
          <w:tab w:val="right" w:leader="dot" w:pos="7078"/>
        </w:tabs>
        <w:rPr>
          <w:rFonts w:asciiTheme="minorHAnsi" w:eastAsiaTheme="minorEastAsia" w:hAnsiTheme="minorHAnsi" w:cstheme="minorBidi"/>
          <w:b w:val="0"/>
          <w:sz w:val="22"/>
          <w:szCs w:val="22"/>
        </w:rPr>
      </w:pPr>
      <w:r>
        <w:rPr>
          <w:rFonts w:eastAsia="MS Mincho"/>
        </w:rPr>
        <w:t>Schedule — Medical centre land</w:t>
      </w:r>
    </w:p>
    <w:p>
      <w:pPr>
        <w:pStyle w:val="TOC4"/>
        <w:tabs>
          <w:tab w:val="right" w:leader="dot" w:pos="7078"/>
        </w:tabs>
        <w:rPr>
          <w:rFonts w:asciiTheme="minorHAnsi" w:eastAsiaTheme="minorEastAsia" w:hAnsiTheme="minorHAnsi" w:cstheme="minorBidi"/>
          <w:b w:val="0"/>
          <w:szCs w:val="22"/>
        </w:rPr>
      </w:pPr>
      <w:r>
        <w:rPr>
          <w:rFonts w:eastAsia="MS Mincho"/>
        </w:rPr>
        <w:t>Part I</w:t>
      </w:r>
      <w:r>
        <w:rPr>
          <w:rFonts w:eastAsia="MS Mincho"/>
          <w:b w:val="0"/>
        </w:rPr>
        <w:t> </w:t>
      </w:r>
      <w:r>
        <w:rPr>
          <w:rFonts w:eastAsia="MS Mincho"/>
        </w:rPr>
        <w:t>— Original land</w:t>
      </w:r>
    </w:p>
    <w:p>
      <w:pPr>
        <w:pStyle w:val="TOC4"/>
        <w:tabs>
          <w:tab w:val="right" w:leader="dot" w:pos="7078"/>
        </w:tabs>
        <w:rPr>
          <w:rFonts w:asciiTheme="minorHAnsi" w:eastAsiaTheme="minorEastAsia" w:hAnsiTheme="minorHAnsi" w:cstheme="minorBidi"/>
          <w:b w:val="0"/>
          <w:szCs w:val="22"/>
        </w:rPr>
      </w:pPr>
      <w:r>
        <w:rPr>
          <w:rFonts w:eastAsia="MS Mincho"/>
        </w:rPr>
        <w:t>Part II — Further land</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_Toc382381538 \h </w:instrText>
      </w:r>
      <w:r>
        <w:fldChar w:fldCharType="separate"/>
      </w:r>
      <w:r>
        <w:t>25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December 2013</w:t>
            </w:r>
            <w:r>
              <w:rPr>
                <w:b/>
                <w:sz w:val="22"/>
              </w:rPr>
              <w:fldChar w:fldCharType="end"/>
            </w:r>
          </w:p>
        </w:tc>
      </w:tr>
    </w:tbl>
    <w:p>
      <w:pPr>
        <w:pStyle w:val="WA"/>
        <w:spacing w:before="120" w:after="96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382381509"/>
      <w:r>
        <w:rPr>
          <w:rStyle w:val="CharSectno"/>
        </w:rPr>
        <w:t>1</w:t>
      </w:r>
      <w:r>
        <w:rPr>
          <w:snapToGrid w:val="0"/>
        </w:rPr>
        <w:t>.</w:t>
      </w:r>
      <w:r>
        <w:rPr>
          <w:snapToGrid w:val="0"/>
        </w:rPr>
        <w:tab/>
        <w:t>Short title</w:t>
      </w:r>
      <w:bookmarkEnd w:id="1"/>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2" w:name="_Toc382381510"/>
      <w:r>
        <w:rPr>
          <w:rStyle w:val="CharSectno"/>
        </w:rPr>
        <w:t>2</w:t>
      </w:r>
      <w:r>
        <w:rPr>
          <w:snapToGrid w:val="0"/>
        </w:rPr>
        <w:t>.</w:t>
      </w:r>
      <w:r>
        <w:rPr>
          <w:snapToGrid w:val="0"/>
        </w:rPr>
        <w:tab/>
        <w:t>Commencement</w:t>
      </w:r>
      <w:bookmarkEnd w:id="2"/>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3" w:name="_Toc382381511"/>
      <w:r>
        <w:rPr>
          <w:rStyle w:val="CharSectno"/>
        </w:rPr>
        <w:t>3</w:t>
      </w:r>
      <w:r>
        <w:rPr>
          <w:snapToGrid w:val="0"/>
        </w:rPr>
        <w:t>.</w:t>
      </w:r>
      <w:r>
        <w:rPr>
          <w:snapToGrid w:val="0"/>
        </w:rPr>
        <w:tab/>
        <w:t>Terms used</w:t>
      </w:r>
      <w:bookmarkEnd w:id="3"/>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4" w:name="_Toc382381512"/>
      <w:r>
        <w:rPr>
          <w:rStyle w:val="CharSectno"/>
        </w:rPr>
        <w:t>4</w:t>
      </w:r>
      <w:r>
        <w:rPr>
          <w:snapToGrid w:val="0"/>
        </w:rPr>
        <w:t>.</w:t>
      </w:r>
      <w:r>
        <w:rPr>
          <w:snapToGrid w:val="0"/>
        </w:rPr>
        <w:tab/>
        <w:t>Vesting of land</w:t>
      </w:r>
      <w:bookmarkEnd w:id="4"/>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by No. 19 of 2010 s. 51.]</w:t>
      </w:r>
    </w:p>
    <w:p>
      <w:pPr>
        <w:pStyle w:val="Heading5"/>
        <w:rPr>
          <w:snapToGrid w:val="0"/>
        </w:rPr>
      </w:pPr>
      <w:bookmarkStart w:id="5" w:name="_Toc382381513"/>
      <w:r>
        <w:rPr>
          <w:rStyle w:val="CharSectno"/>
        </w:rPr>
        <w:t>5</w:t>
      </w:r>
      <w:r>
        <w:rPr>
          <w:snapToGrid w:val="0"/>
        </w:rPr>
        <w:t>.</w:t>
      </w:r>
      <w:r>
        <w:rPr>
          <w:snapToGrid w:val="0"/>
        </w:rPr>
        <w:tab/>
        <w:t>Excision of certain land for drainage or road purposes</w:t>
      </w:r>
      <w:bookmarkEnd w:id="5"/>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6" w:name="_Toc382381514"/>
      <w:r>
        <w:rPr>
          <w:rStyle w:val="CharSectno"/>
        </w:rPr>
        <w:t>6</w:t>
      </w:r>
      <w:r>
        <w:rPr>
          <w:snapToGrid w:val="0"/>
        </w:rPr>
        <w:t>.</w:t>
      </w:r>
      <w:r>
        <w:rPr>
          <w:snapToGrid w:val="0"/>
        </w:rPr>
        <w:tab/>
        <w:t>Creation of reserve</w:t>
      </w:r>
      <w:bookmarkEnd w:id="6"/>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7" w:name="_Toc382381515"/>
      <w:r>
        <w:rPr>
          <w:rStyle w:val="CharSectno"/>
        </w:rPr>
        <w:t>7</w:t>
      </w:r>
      <w:r>
        <w:rPr>
          <w:snapToGrid w:val="0"/>
        </w:rPr>
        <w:t>.</w:t>
      </w:r>
      <w:r>
        <w:rPr>
          <w:snapToGrid w:val="0"/>
        </w:rPr>
        <w:tab/>
        <w:t>Constitution of The Queen Elizabeth II Medical Centre Trust</w:t>
      </w:r>
      <w:bookmarkEnd w:id="7"/>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by No. 6 of 1977 s. 5; No. 59 of 1985 s. 3; No. 19 of 2010 s. 51.]</w:t>
      </w:r>
    </w:p>
    <w:p>
      <w:pPr>
        <w:pStyle w:val="Heading5"/>
        <w:rPr>
          <w:snapToGrid w:val="0"/>
        </w:rPr>
      </w:pPr>
      <w:bookmarkStart w:id="8" w:name="_Toc382381516"/>
      <w:r>
        <w:rPr>
          <w:rStyle w:val="CharSectno"/>
        </w:rPr>
        <w:t>8</w:t>
      </w:r>
      <w:r>
        <w:rPr>
          <w:snapToGrid w:val="0"/>
        </w:rPr>
        <w:t>.</w:t>
      </w:r>
      <w:r>
        <w:rPr>
          <w:snapToGrid w:val="0"/>
        </w:rPr>
        <w:tab/>
        <w:t>Quorum</w:t>
      </w:r>
      <w:bookmarkEnd w:id="8"/>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by No. 6 of 2013 s. 4.]</w:t>
      </w:r>
    </w:p>
    <w:p>
      <w:pPr>
        <w:pStyle w:val="Heading5"/>
        <w:rPr>
          <w:snapToGrid w:val="0"/>
        </w:rPr>
      </w:pPr>
      <w:bookmarkStart w:id="9" w:name="_Toc382381517"/>
      <w:r>
        <w:rPr>
          <w:rStyle w:val="CharSectno"/>
        </w:rPr>
        <w:t>9</w:t>
      </w:r>
      <w:r>
        <w:rPr>
          <w:snapToGrid w:val="0"/>
        </w:rPr>
        <w:t>.</w:t>
      </w:r>
      <w:r>
        <w:rPr>
          <w:snapToGrid w:val="0"/>
        </w:rPr>
        <w:tab/>
        <w:t>Vacancies</w:t>
      </w:r>
      <w:bookmarkEnd w:id="9"/>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10" w:name="_Toc382381518"/>
      <w:r>
        <w:rPr>
          <w:rStyle w:val="CharSectno"/>
        </w:rPr>
        <w:t>10</w:t>
      </w:r>
      <w:r>
        <w:rPr>
          <w:snapToGrid w:val="0"/>
        </w:rPr>
        <w:t>.</w:t>
      </w:r>
      <w:r>
        <w:rPr>
          <w:snapToGrid w:val="0"/>
        </w:rPr>
        <w:tab/>
        <w:t>Meetings of Trust</w:t>
      </w:r>
      <w:bookmarkEnd w:id="1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1" w:name="_Toc382381519"/>
      <w:r>
        <w:rPr>
          <w:rStyle w:val="CharSectno"/>
        </w:rPr>
        <w:t>11A</w:t>
      </w:r>
      <w:r>
        <w:t>.</w:t>
      </w:r>
      <w:r>
        <w:rPr>
          <w:snapToGrid w:val="0"/>
        </w:rPr>
        <w:tab/>
        <w:t>Holding meetings remotely</w:t>
      </w:r>
      <w:bookmarkEnd w:id="11"/>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by No. 6 of 2013 s. 5.]</w:t>
      </w:r>
    </w:p>
    <w:p>
      <w:pPr>
        <w:pStyle w:val="Heading5"/>
        <w:rPr>
          <w:snapToGrid w:val="0"/>
        </w:rPr>
      </w:pPr>
      <w:bookmarkStart w:id="12" w:name="_Toc382381520"/>
      <w:r>
        <w:rPr>
          <w:rStyle w:val="CharSectno"/>
        </w:rPr>
        <w:t>11B</w:t>
      </w:r>
      <w:r>
        <w:rPr>
          <w:snapToGrid w:val="0"/>
        </w:rPr>
        <w:t>.</w:t>
      </w:r>
      <w:r>
        <w:rPr>
          <w:snapToGrid w:val="0"/>
        </w:rPr>
        <w:tab/>
        <w:t>Resolution without meeting</w:t>
      </w:r>
      <w:bookmarkEnd w:id="12"/>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13" w:name="_Toc382381521"/>
      <w:r>
        <w:rPr>
          <w:rStyle w:val="CharSectno"/>
        </w:rPr>
        <w:t>11</w:t>
      </w:r>
      <w:r>
        <w:rPr>
          <w:snapToGrid w:val="0"/>
        </w:rPr>
        <w:t>.</w:t>
      </w:r>
      <w:r>
        <w:rPr>
          <w:snapToGrid w:val="0"/>
        </w:rPr>
        <w:tab/>
        <w:t>Use of common seal</w:t>
      </w:r>
      <w:bookmarkEnd w:id="13"/>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4" w:name="_Toc382381522"/>
      <w:r>
        <w:rPr>
          <w:rStyle w:val="CharSectno"/>
        </w:rPr>
        <w:t>12</w:t>
      </w:r>
      <w:r>
        <w:rPr>
          <w:snapToGrid w:val="0"/>
        </w:rPr>
        <w:t>.</w:t>
      </w:r>
      <w:r>
        <w:rPr>
          <w:snapToGrid w:val="0"/>
        </w:rPr>
        <w:tab/>
        <w:t>Delegation</w:t>
      </w:r>
      <w:bookmarkEnd w:id="14"/>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15" w:name="_Toc382381523"/>
      <w:r>
        <w:rPr>
          <w:rStyle w:val="CharSectno"/>
        </w:rPr>
        <w:t>12A</w:t>
      </w:r>
      <w:r>
        <w:rPr>
          <w:snapToGrid w:val="0"/>
        </w:rPr>
        <w:t>.</w:t>
      </w:r>
      <w:r>
        <w:rPr>
          <w:snapToGrid w:val="0"/>
        </w:rPr>
        <w:tab/>
        <w:t>Remuneration and allowances</w:t>
      </w:r>
      <w:bookmarkEnd w:id="15"/>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16" w:name="_Toc382381524"/>
      <w:r>
        <w:rPr>
          <w:rStyle w:val="CharSectno"/>
        </w:rPr>
        <w:t>13</w:t>
      </w:r>
      <w:r>
        <w:rPr>
          <w:snapToGrid w:val="0"/>
        </w:rPr>
        <w:t>.</w:t>
      </w:r>
      <w:r>
        <w:rPr>
          <w:snapToGrid w:val="0"/>
        </w:rPr>
        <w:tab/>
        <w:t>Functions of Trust</w:t>
      </w:r>
      <w:bookmarkEnd w:id="16"/>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17" w:name="_Toc382381525"/>
      <w:r>
        <w:rPr>
          <w:rStyle w:val="CharSectno"/>
        </w:rPr>
        <w:t>13A</w:t>
      </w:r>
      <w:r>
        <w:rPr>
          <w:snapToGrid w:val="0"/>
        </w:rPr>
        <w:t>.</w:t>
      </w:r>
      <w:r>
        <w:rPr>
          <w:snapToGrid w:val="0"/>
        </w:rPr>
        <w:tab/>
        <w:t>Additional land for reserve</w:t>
      </w:r>
      <w:bookmarkEnd w:id="17"/>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18" w:name="_Toc382381526"/>
      <w:r>
        <w:rPr>
          <w:rStyle w:val="CharSectno"/>
        </w:rPr>
        <w:t>14</w:t>
      </w:r>
      <w:r>
        <w:rPr>
          <w:snapToGrid w:val="0"/>
        </w:rPr>
        <w:t>.</w:t>
      </w:r>
      <w:r>
        <w:rPr>
          <w:snapToGrid w:val="0"/>
        </w:rPr>
        <w:tab/>
        <w:t>Officers and employees</w:t>
      </w:r>
      <w:bookmarkEnd w:id="18"/>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19" w:name="_Toc382381527"/>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19"/>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Sch. 1 cl. 141.]</w:t>
      </w:r>
    </w:p>
    <w:p>
      <w:pPr>
        <w:pStyle w:val="Heading5"/>
        <w:rPr>
          <w:snapToGrid w:val="0"/>
        </w:rPr>
      </w:pPr>
      <w:bookmarkStart w:id="20" w:name="_Toc382381528"/>
      <w:r>
        <w:rPr>
          <w:rStyle w:val="CharSectno"/>
        </w:rPr>
        <w:t>16</w:t>
      </w:r>
      <w:r>
        <w:rPr>
          <w:snapToGrid w:val="0"/>
        </w:rPr>
        <w:t>.</w:t>
      </w:r>
      <w:r>
        <w:rPr>
          <w:snapToGrid w:val="0"/>
        </w:rPr>
        <w:tab/>
        <w:t>Teaching hospitals on reserve</w:t>
      </w:r>
      <w:bookmarkEnd w:id="20"/>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 and</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Sch. 3 cl. 50; No. 8 of 2009 s. 105; No. 35 of 2010 s. 141.]</w:t>
      </w:r>
    </w:p>
    <w:p>
      <w:pPr>
        <w:pStyle w:val="Heading5"/>
        <w:rPr>
          <w:snapToGrid w:val="0"/>
        </w:rPr>
      </w:pPr>
      <w:bookmarkStart w:id="21" w:name="_Toc382381529"/>
      <w:r>
        <w:rPr>
          <w:rStyle w:val="CharSectno"/>
        </w:rPr>
        <w:t>17</w:t>
      </w:r>
      <w:r>
        <w:rPr>
          <w:snapToGrid w:val="0"/>
        </w:rPr>
        <w:t>.</w:t>
      </w:r>
      <w:r>
        <w:rPr>
          <w:snapToGrid w:val="0"/>
        </w:rPr>
        <w:tab/>
        <w:t>Indemnity</w:t>
      </w:r>
      <w:bookmarkEnd w:id="21"/>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2" w:name="_Toc382381530"/>
      <w:r>
        <w:rPr>
          <w:rStyle w:val="CharSectno"/>
        </w:rPr>
        <w:t>18</w:t>
      </w:r>
      <w:r>
        <w:rPr>
          <w:snapToGrid w:val="0"/>
        </w:rPr>
        <w:t>.</w:t>
      </w:r>
      <w:r>
        <w:rPr>
          <w:snapToGrid w:val="0"/>
        </w:rPr>
        <w:tab/>
        <w:t>Power of Senate to apply fees and other money to reserve</w:t>
      </w:r>
      <w:bookmarkEnd w:id="22"/>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23" w:name="_Toc382381531"/>
      <w:r>
        <w:rPr>
          <w:rStyle w:val="CharSectno"/>
        </w:rPr>
        <w:t>19</w:t>
      </w:r>
      <w:r>
        <w:rPr>
          <w:snapToGrid w:val="0"/>
        </w:rPr>
        <w:t>.</w:t>
      </w:r>
      <w:r>
        <w:rPr>
          <w:snapToGrid w:val="0"/>
        </w:rPr>
        <w:tab/>
        <w:t>Saving</w:t>
      </w:r>
      <w:bookmarkEnd w:id="23"/>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24" w:name="_Toc382381532"/>
      <w:r>
        <w:rPr>
          <w:rStyle w:val="CharSectno"/>
        </w:rPr>
        <w:t>20</w:t>
      </w:r>
      <w:r>
        <w:rPr>
          <w:snapToGrid w:val="0"/>
        </w:rPr>
        <w:t>.</w:t>
      </w:r>
      <w:r>
        <w:rPr>
          <w:snapToGrid w:val="0"/>
        </w:rPr>
        <w:tab/>
        <w:t>By</w:t>
      </w:r>
      <w:r>
        <w:rPr>
          <w:snapToGrid w:val="0"/>
        </w:rPr>
        <w:noBreakHyphen/>
        <w:t>laws</w:t>
      </w:r>
      <w:bookmarkEnd w:id="2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25" w:name="_Toc382381533"/>
      <w:r>
        <w:rPr>
          <w:rStyle w:val="CharSectno"/>
        </w:rPr>
        <w:t>21</w:t>
      </w:r>
      <w:r>
        <w:rPr>
          <w:snapToGrid w:val="0"/>
        </w:rPr>
        <w:t>.</w:t>
      </w:r>
      <w:r>
        <w:rPr>
          <w:snapToGrid w:val="0"/>
        </w:rPr>
        <w:tab/>
        <w:t>Review of Act</w:t>
      </w:r>
      <w:bookmarkEnd w:id="25"/>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6" w:name="_Toc382381534"/>
      <w:r>
        <w:rPr>
          <w:rStyle w:val="CharSchNo"/>
          <w:rFonts w:eastAsia="MS Mincho"/>
        </w:rPr>
        <w:t>Schedule</w:t>
      </w:r>
      <w:r>
        <w:rPr>
          <w:rFonts w:eastAsia="MS Mincho"/>
        </w:rPr>
        <w:t> — </w:t>
      </w:r>
      <w:r>
        <w:rPr>
          <w:rStyle w:val="CharSchText"/>
          <w:rFonts w:eastAsia="MS Mincho"/>
        </w:rPr>
        <w:t>Medical centre land</w:t>
      </w:r>
      <w:bookmarkEnd w:id="26"/>
    </w:p>
    <w:p>
      <w:pPr>
        <w:pStyle w:val="yShoulderClause"/>
        <w:rPr>
          <w:rFonts w:eastAsia="MS Mincho"/>
        </w:rPr>
      </w:pPr>
      <w:r>
        <w:rPr>
          <w:rFonts w:eastAsia="MS Mincho"/>
        </w:rPr>
        <w:t>[s. 4, 5 and 6]</w:t>
      </w:r>
    </w:p>
    <w:p>
      <w:pPr>
        <w:pStyle w:val="yFootnotesection"/>
      </w:pPr>
      <w:r>
        <w:tab/>
        <w:t>[Heading inserted by No. 19 of 2010 s. 27(2).]</w:t>
      </w:r>
    </w:p>
    <w:p>
      <w:pPr>
        <w:pStyle w:val="yHeading3"/>
        <w:rPr>
          <w:rFonts w:eastAsia="MS Mincho"/>
        </w:rPr>
      </w:pPr>
      <w:bookmarkStart w:id="27" w:name="_Toc38238153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27"/>
    </w:p>
    <w:p>
      <w:pPr>
        <w:pStyle w:val="yFootnotesection"/>
      </w:pPr>
      <w:r>
        <w:tab/>
        <w:t>[Heading inserted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28" w:name="_Toc382381536"/>
      <w:r>
        <w:rPr>
          <w:rStyle w:val="CharSDivNo"/>
          <w:rFonts w:eastAsia="MS Mincho"/>
        </w:rPr>
        <w:t>Part II</w:t>
      </w:r>
      <w:r>
        <w:rPr>
          <w:rFonts w:eastAsia="MS Mincho"/>
        </w:rPr>
        <w:t> — </w:t>
      </w:r>
      <w:r>
        <w:rPr>
          <w:rStyle w:val="CharSDivNo"/>
          <w:rFonts w:eastAsia="MS Mincho"/>
        </w:rPr>
        <w:t>Further land</w:t>
      </w:r>
      <w:bookmarkEnd w:id="28"/>
    </w:p>
    <w:p>
      <w:pPr>
        <w:pStyle w:val="yFootnotesection"/>
      </w:pPr>
      <w:r>
        <w:tab/>
        <w:t>[Heading inserted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29" w:name="_Toc382381537"/>
      <w:r>
        <w:t>Notes</w:t>
      </w:r>
      <w:bookmarkEnd w:id="2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December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Queen Elizabeth II Medical Centre Act 1966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82381538"/>
      <w:r>
        <w:rPr>
          <w:snapToGrid w:val="0"/>
        </w:rPr>
        <w:t>Compilation table</w:t>
      </w:r>
      <w:bookmarkEnd w:id="3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8" w:type="dxa"/>
          </w:tcPr>
          <w:p>
            <w:pPr>
              <w:pStyle w:val="nTable"/>
              <w:spacing w:before="50" w:after="50"/>
              <w:rPr>
                <w:sz w:val="19"/>
              </w:rPr>
            </w:pPr>
            <w:smartTag w:uri="urn:schemas-microsoft-com:office:smarttags" w:element="City">
              <w:smartTag w:uri="urn:schemas-microsoft-com:office:smarttags" w:element="place">
                <w:r>
                  <w:rPr>
                    <w:i/>
                    <w:sz w:val="19"/>
                  </w:rPr>
                  <w:t>Perth</w:t>
                </w:r>
              </w:smartTag>
            </w:smartTag>
            <w:r>
              <w:rPr>
                <w:i/>
                <w:sz w:val="19"/>
              </w:rPr>
              <w:t xml:space="preserve"> Medical Centre Act 1966</w:t>
            </w:r>
            <w:r>
              <w:rPr>
                <w:sz w:val="19"/>
                <w:vertAlign w:val="superscript"/>
              </w:rPr>
              <w:t> 4</w:t>
            </w:r>
          </w:p>
        </w:tc>
        <w:tc>
          <w:tcPr>
            <w:tcW w:w="1134" w:type="dxa"/>
          </w:tcPr>
          <w:p>
            <w:pPr>
              <w:pStyle w:val="nTable"/>
              <w:spacing w:before="50" w:after="50"/>
              <w:rPr>
                <w:sz w:val="19"/>
              </w:rPr>
            </w:pPr>
            <w:r>
              <w:rPr>
                <w:sz w:val="19"/>
              </w:rPr>
              <w:t>54 of 1966</w:t>
            </w:r>
          </w:p>
        </w:tc>
        <w:tc>
          <w:tcPr>
            <w:tcW w:w="1134" w:type="dxa"/>
          </w:tcPr>
          <w:p>
            <w:pPr>
              <w:pStyle w:val="nTable"/>
              <w:spacing w:before="50" w:after="50"/>
              <w:rPr>
                <w:sz w:val="19"/>
              </w:rPr>
            </w:pPr>
            <w:r>
              <w:rPr>
                <w:sz w:val="19"/>
              </w:rPr>
              <w:t>5 Dec 1966</w:t>
            </w:r>
          </w:p>
        </w:tc>
        <w:tc>
          <w:tcPr>
            <w:tcW w:w="2552" w:type="dxa"/>
          </w:tcPr>
          <w:p>
            <w:pPr>
              <w:pStyle w:val="nTable"/>
              <w:spacing w:before="50" w:after="50"/>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50" w:after="5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1973</w:t>
            </w:r>
          </w:p>
        </w:tc>
        <w:tc>
          <w:tcPr>
            <w:tcW w:w="1134" w:type="dxa"/>
          </w:tcPr>
          <w:p>
            <w:pPr>
              <w:pStyle w:val="nTable"/>
              <w:spacing w:before="50" w:after="50"/>
              <w:rPr>
                <w:sz w:val="19"/>
              </w:rPr>
            </w:pPr>
            <w:r>
              <w:rPr>
                <w:sz w:val="19"/>
              </w:rPr>
              <w:t>72 of 1973</w:t>
            </w:r>
          </w:p>
        </w:tc>
        <w:tc>
          <w:tcPr>
            <w:tcW w:w="1134" w:type="dxa"/>
          </w:tcPr>
          <w:p>
            <w:pPr>
              <w:pStyle w:val="nTable"/>
              <w:spacing w:before="50" w:after="50"/>
              <w:rPr>
                <w:sz w:val="19"/>
              </w:rPr>
            </w:pPr>
            <w:r>
              <w:rPr>
                <w:sz w:val="19"/>
              </w:rPr>
              <w:t>6 Dec 1973</w:t>
            </w:r>
          </w:p>
        </w:tc>
        <w:tc>
          <w:tcPr>
            <w:tcW w:w="2552" w:type="dxa"/>
          </w:tcPr>
          <w:p>
            <w:pPr>
              <w:pStyle w:val="nTable"/>
              <w:spacing w:before="50" w:after="50"/>
              <w:rPr>
                <w:sz w:val="19"/>
              </w:rPr>
            </w:pPr>
            <w:r>
              <w:rPr>
                <w:sz w:val="19"/>
              </w:rPr>
              <w:t>s. 4: 12 Sep 1968 (see s. 4(2));</w:t>
            </w:r>
            <w:r>
              <w:rPr>
                <w:sz w:val="19"/>
              </w:rPr>
              <w:br/>
              <w:t>Act other than s. 4: 6 Dec 1973</w:t>
            </w:r>
          </w:p>
        </w:tc>
      </w:tr>
      <w:tr>
        <w:trPr>
          <w:cantSplit/>
        </w:trPr>
        <w:tc>
          <w:tcPr>
            <w:tcW w:w="2268" w:type="dxa"/>
          </w:tcPr>
          <w:p>
            <w:pPr>
              <w:pStyle w:val="nTable"/>
              <w:spacing w:before="50" w:after="5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1976</w:t>
            </w:r>
          </w:p>
        </w:tc>
        <w:tc>
          <w:tcPr>
            <w:tcW w:w="1134" w:type="dxa"/>
          </w:tcPr>
          <w:p>
            <w:pPr>
              <w:pStyle w:val="nTable"/>
              <w:spacing w:before="50" w:after="50"/>
              <w:rPr>
                <w:sz w:val="19"/>
              </w:rPr>
            </w:pPr>
            <w:r>
              <w:rPr>
                <w:sz w:val="19"/>
              </w:rPr>
              <w:t>2 of 1976</w:t>
            </w:r>
          </w:p>
        </w:tc>
        <w:tc>
          <w:tcPr>
            <w:tcW w:w="1134" w:type="dxa"/>
          </w:tcPr>
          <w:p>
            <w:pPr>
              <w:pStyle w:val="nTable"/>
              <w:spacing w:before="50" w:after="50"/>
              <w:rPr>
                <w:sz w:val="19"/>
              </w:rPr>
            </w:pPr>
            <w:r>
              <w:rPr>
                <w:sz w:val="19"/>
              </w:rPr>
              <w:t>25 May 1976</w:t>
            </w:r>
          </w:p>
        </w:tc>
        <w:tc>
          <w:tcPr>
            <w:tcW w:w="2552" w:type="dxa"/>
          </w:tcPr>
          <w:p>
            <w:pPr>
              <w:pStyle w:val="nTable"/>
              <w:spacing w:before="50" w:after="50"/>
              <w:rPr>
                <w:sz w:val="19"/>
              </w:rPr>
            </w:pPr>
            <w:r>
              <w:rPr>
                <w:sz w:val="19"/>
              </w:rPr>
              <w:t>25 May 1976</w:t>
            </w:r>
          </w:p>
        </w:tc>
      </w:tr>
      <w:tr>
        <w:trPr>
          <w:cantSplit/>
        </w:trPr>
        <w:tc>
          <w:tcPr>
            <w:tcW w:w="2268" w:type="dxa"/>
          </w:tcPr>
          <w:p>
            <w:pPr>
              <w:pStyle w:val="nTable"/>
              <w:spacing w:before="50" w:after="5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1977</w:t>
            </w:r>
          </w:p>
        </w:tc>
        <w:tc>
          <w:tcPr>
            <w:tcW w:w="1134" w:type="dxa"/>
          </w:tcPr>
          <w:p>
            <w:pPr>
              <w:pStyle w:val="nTable"/>
              <w:spacing w:before="50" w:after="50"/>
              <w:rPr>
                <w:sz w:val="19"/>
              </w:rPr>
            </w:pPr>
            <w:r>
              <w:rPr>
                <w:sz w:val="19"/>
              </w:rPr>
              <w:t>6 of 1977</w:t>
            </w:r>
          </w:p>
        </w:tc>
        <w:tc>
          <w:tcPr>
            <w:tcW w:w="1134" w:type="dxa"/>
          </w:tcPr>
          <w:p>
            <w:pPr>
              <w:pStyle w:val="nTable"/>
              <w:spacing w:before="50" w:after="50"/>
              <w:rPr>
                <w:sz w:val="19"/>
              </w:rPr>
            </w:pPr>
            <w:r>
              <w:rPr>
                <w:sz w:val="19"/>
              </w:rPr>
              <w:t>30 Sep 1977</w:t>
            </w:r>
          </w:p>
        </w:tc>
        <w:tc>
          <w:tcPr>
            <w:tcW w:w="2552" w:type="dxa"/>
          </w:tcPr>
          <w:p>
            <w:pPr>
              <w:pStyle w:val="nTable"/>
              <w:spacing w:before="50" w:after="50"/>
              <w:rPr>
                <w:sz w:val="19"/>
              </w:rPr>
            </w:pPr>
            <w:r>
              <w:rPr>
                <w:sz w:val="19"/>
              </w:rPr>
              <w:t>28 Mar 1977 (see s. 2)</w:t>
            </w:r>
          </w:p>
        </w:tc>
      </w:tr>
      <w:tr>
        <w:trPr>
          <w:cantSplit/>
        </w:trPr>
        <w:tc>
          <w:tcPr>
            <w:tcW w:w="7088" w:type="dxa"/>
            <w:gridSpan w:val="4"/>
          </w:tcPr>
          <w:p>
            <w:pPr>
              <w:pStyle w:val="nTable"/>
              <w:spacing w:before="50" w:after="5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tcPr>
          <w:p>
            <w:pPr>
              <w:pStyle w:val="nTable"/>
              <w:spacing w:before="50" w:after="50"/>
              <w:rPr>
                <w:sz w:val="19"/>
              </w:rPr>
            </w:pPr>
            <w:r>
              <w:rPr>
                <w:i/>
                <w:sz w:val="19"/>
              </w:rPr>
              <w:t>Queen Elizabeth II Medical Centre Amendment Act 1985</w:t>
            </w:r>
            <w:r>
              <w:rPr>
                <w:sz w:val="19"/>
                <w:vertAlign w:val="superscript"/>
              </w:rPr>
              <w:t> 2</w:t>
            </w:r>
          </w:p>
        </w:tc>
        <w:tc>
          <w:tcPr>
            <w:tcW w:w="1134" w:type="dxa"/>
          </w:tcPr>
          <w:p>
            <w:pPr>
              <w:pStyle w:val="nTable"/>
              <w:spacing w:before="50" w:after="50"/>
              <w:rPr>
                <w:sz w:val="19"/>
              </w:rPr>
            </w:pPr>
            <w:r>
              <w:rPr>
                <w:sz w:val="19"/>
              </w:rPr>
              <w:t>59 of 1985</w:t>
            </w:r>
          </w:p>
        </w:tc>
        <w:tc>
          <w:tcPr>
            <w:tcW w:w="1134" w:type="dxa"/>
          </w:tcPr>
          <w:p>
            <w:pPr>
              <w:pStyle w:val="nTable"/>
              <w:spacing w:before="50" w:after="50"/>
              <w:rPr>
                <w:sz w:val="19"/>
              </w:rPr>
            </w:pPr>
            <w:r>
              <w:rPr>
                <w:sz w:val="19"/>
              </w:rPr>
              <w:t>5 Nov 1985</w:t>
            </w:r>
          </w:p>
        </w:tc>
        <w:tc>
          <w:tcPr>
            <w:tcW w:w="2552" w:type="dxa"/>
          </w:tcPr>
          <w:p>
            <w:pPr>
              <w:pStyle w:val="nTable"/>
              <w:spacing w:before="50" w:after="5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tcPr>
          <w:p>
            <w:pPr>
              <w:pStyle w:val="nTable"/>
              <w:spacing w:before="50" w:after="50"/>
              <w:rPr>
                <w:sz w:val="19"/>
              </w:rPr>
            </w:pPr>
            <w:r>
              <w:rPr>
                <w:i/>
                <w:sz w:val="19"/>
              </w:rPr>
              <w:t>Acts Amendment (Financial Administration and Audit) Act 1985</w:t>
            </w:r>
            <w:r>
              <w:rPr>
                <w:sz w:val="19"/>
              </w:rPr>
              <w:t xml:space="preserve"> s. 3</w:t>
            </w:r>
          </w:p>
        </w:tc>
        <w:tc>
          <w:tcPr>
            <w:tcW w:w="1134" w:type="dxa"/>
          </w:tcPr>
          <w:p>
            <w:pPr>
              <w:pStyle w:val="nTable"/>
              <w:spacing w:before="50" w:after="50"/>
              <w:rPr>
                <w:sz w:val="19"/>
              </w:rPr>
            </w:pPr>
            <w:r>
              <w:rPr>
                <w:sz w:val="19"/>
              </w:rPr>
              <w:t>98 of 1985</w:t>
            </w:r>
          </w:p>
        </w:tc>
        <w:tc>
          <w:tcPr>
            <w:tcW w:w="1134" w:type="dxa"/>
          </w:tcPr>
          <w:p>
            <w:pPr>
              <w:pStyle w:val="nTable"/>
              <w:spacing w:before="50" w:after="50"/>
              <w:rPr>
                <w:sz w:val="19"/>
              </w:rPr>
            </w:pPr>
            <w:r>
              <w:rPr>
                <w:sz w:val="19"/>
              </w:rPr>
              <w:t>4 Dec 1985</w:t>
            </w:r>
          </w:p>
        </w:tc>
        <w:tc>
          <w:tcPr>
            <w:tcW w:w="2552"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50" w:after="5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50" w:after="50"/>
              <w:rPr>
                <w:sz w:val="19"/>
              </w:rPr>
            </w:pPr>
            <w:r>
              <w:rPr>
                <w:i/>
                <w:sz w:val="19"/>
              </w:rPr>
              <w:t>Queen Elizabeth II Medical Centre Amendment Act 1991</w:t>
            </w:r>
          </w:p>
        </w:tc>
        <w:tc>
          <w:tcPr>
            <w:tcW w:w="1134" w:type="dxa"/>
          </w:tcPr>
          <w:p>
            <w:pPr>
              <w:pStyle w:val="nTable"/>
              <w:spacing w:before="50" w:after="50"/>
              <w:rPr>
                <w:sz w:val="19"/>
              </w:rPr>
            </w:pPr>
            <w:r>
              <w:rPr>
                <w:sz w:val="19"/>
              </w:rPr>
              <w:t>31 of 1991</w:t>
            </w:r>
          </w:p>
        </w:tc>
        <w:tc>
          <w:tcPr>
            <w:tcW w:w="1134" w:type="dxa"/>
          </w:tcPr>
          <w:p>
            <w:pPr>
              <w:pStyle w:val="nTable"/>
              <w:spacing w:before="50" w:after="50"/>
              <w:rPr>
                <w:sz w:val="19"/>
              </w:rPr>
            </w:pPr>
            <w:r>
              <w:rPr>
                <w:sz w:val="19"/>
              </w:rPr>
              <w:t>23 Nov 1991</w:t>
            </w:r>
          </w:p>
        </w:tc>
        <w:tc>
          <w:tcPr>
            <w:tcW w:w="2552" w:type="dxa"/>
          </w:tcPr>
          <w:p>
            <w:pPr>
              <w:pStyle w:val="nTable"/>
              <w:spacing w:before="50" w:after="50"/>
              <w:rPr>
                <w:sz w:val="19"/>
              </w:rPr>
            </w:pPr>
            <w:r>
              <w:rPr>
                <w:sz w:val="19"/>
              </w:rPr>
              <w:t>23 Nov 1991 (see s. 2)</w:t>
            </w:r>
          </w:p>
        </w:tc>
      </w:tr>
      <w:tr>
        <w:trPr>
          <w:cantSplit/>
        </w:trPr>
        <w:tc>
          <w:tcPr>
            <w:tcW w:w="2268" w:type="dxa"/>
          </w:tcPr>
          <w:p>
            <w:pPr>
              <w:pStyle w:val="nTable"/>
              <w:spacing w:before="50" w:after="50"/>
              <w:rPr>
                <w:sz w:val="19"/>
              </w:rPr>
            </w:pPr>
            <w:r>
              <w:rPr>
                <w:i/>
                <w:sz w:val="19"/>
              </w:rPr>
              <w:t>Financial Administration Legislation Amendment Act 1993</w:t>
            </w:r>
            <w:r>
              <w:rPr>
                <w:sz w:val="19"/>
              </w:rPr>
              <w:t xml:space="preserve"> s. 11</w:t>
            </w:r>
          </w:p>
        </w:tc>
        <w:tc>
          <w:tcPr>
            <w:tcW w:w="1134" w:type="dxa"/>
          </w:tcPr>
          <w:p>
            <w:pPr>
              <w:pStyle w:val="nTable"/>
              <w:spacing w:before="50" w:after="50"/>
              <w:rPr>
                <w:sz w:val="19"/>
              </w:rPr>
            </w:pPr>
            <w:r>
              <w:rPr>
                <w:sz w:val="19"/>
              </w:rPr>
              <w:t>6 of 1993</w:t>
            </w:r>
          </w:p>
        </w:tc>
        <w:tc>
          <w:tcPr>
            <w:tcW w:w="1134" w:type="dxa"/>
          </w:tcPr>
          <w:p>
            <w:pPr>
              <w:pStyle w:val="nTable"/>
              <w:spacing w:before="50" w:after="50"/>
              <w:rPr>
                <w:sz w:val="19"/>
              </w:rPr>
            </w:pPr>
            <w:r>
              <w:rPr>
                <w:sz w:val="19"/>
              </w:rPr>
              <w:t>27 Aug 1993</w:t>
            </w:r>
          </w:p>
        </w:tc>
        <w:tc>
          <w:tcPr>
            <w:tcW w:w="2552" w:type="dxa"/>
          </w:tcPr>
          <w:p>
            <w:pPr>
              <w:pStyle w:val="nTable"/>
              <w:spacing w:before="50" w:after="50"/>
              <w:rPr>
                <w:sz w:val="19"/>
              </w:rPr>
            </w:pPr>
            <w:r>
              <w:rPr>
                <w:sz w:val="19"/>
              </w:rPr>
              <w:t>1 Jul 1993 (see s. 2(1))</w:t>
            </w:r>
          </w:p>
        </w:tc>
      </w:tr>
      <w:tr>
        <w:trPr>
          <w:cantSplit/>
        </w:trPr>
        <w:tc>
          <w:tcPr>
            <w:tcW w:w="2268" w:type="dxa"/>
          </w:tcPr>
          <w:p>
            <w:pPr>
              <w:pStyle w:val="nTable"/>
              <w:spacing w:before="50" w:after="50"/>
              <w:rPr>
                <w:sz w:val="19"/>
              </w:rPr>
            </w:pPr>
            <w:r>
              <w:rPr>
                <w:i/>
                <w:sz w:val="19"/>
              </w:rPr>
              <w:t>Hospitals Amendment Act 1994</w:t>
            </w:r>
            <w:r>
              <w:rPr>
                <w:sz w:val="19"/>
              </w:rPr>
              <w:t xml:space="preserve"> s. 18</w:t>
            </w:r>
          </w:p>
        </w:tc>
        <w:tc>
          <w:tcPr>
            <w:tcW w:w="1134" w:type="dxa"/>
          </w:tcPr>
          <w:p>
            <w:pPr>
              <w:pStyle w:val="nTable"/>
              <w:spacing w:before="50" w:after="50"/>
              <w:rPr>
                <w:sz w:val="19"/>
              </w:rPr>
            </w:pPr>
            <w:r>
              <w:rPr>
                <w:sz w:val="19"/>
              </w:rPr>
              <w:t>103 of 1994</w:t>
            </w:r>
          </w:p>
        </w:tc>
        <w:tc>
          <w:tcPr>
            <w:tcW w:w="1134" w:type="dxa"/>
          </w:tcPr>
          <w:p>
            <w:pPr>
              <w:pStyle w:val="nTable"/>
              <w:spacing w:before="50" w:after="50"/>
              <w:rPr>
                <w:sz w:val="19"/>
              </w:rPr>
            </w:pPr>
            <w:r>
              <w:rPr>
                <w:sz w:val="19"/>
              </w:rPr>
              <w:t>11 Jan 1995</w:t>
            </w:r>
          </w:p>
        </w:tc>
        <w:tc>
          <w:tcPr>
            <w:tcW w:w="2552" w:type="dxa"/>
          </w:tcPr>
          <w:p>
            <w:pPr>
              <w:pStyle w:val="nTable"/>
              <w:spacing w:before="50" w:after="5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50" w:after="50"/>
              <w:rPr>
                <w:sz w:val="19"/>
              </w:rPr>
            </w:pPr>
            <w:r>
              <w:rPr>
                <w:i/>
                <w:sz w:val="19"/>
              </w:rPr>
              <w:t>Coroners Act 1996</w:t>
            </w:r>
            <w:r>
              <w:rPr>
                <w:sz w:val="19"/>
              </w:rPr>
              <w:t xml:space="preserve"> s. 61</w:t>
            </w:r>
          </w:p>
        </w:tc>
        <w:tc>
          <w:tcPr>
            <w:tcW w:w="1134" w:type="dxa"/>
          </w:tcPr>
          <w:p>
            <w:pPr>
              <w:pStyle w:val="nTable"/>
              <w:spacing w:before="50" w:after="50"/>
              <w:rPr>
                <w:sz w:val="19"/>
              </w:rPr>
            </w:pPr>
            <w:r>
              <w:rPr>
                <w:sz w:val="19"/>
              </w:rPr>
              <w:t>2 of 1996</w:t>
            </w:r>
          </w:p>
        </w:tc>
        <w:tc>
          <w:tcPr>
            <w:tcW w:w="1134" w:type="dxa"/>
          </w:tcPr>
          <w:p>
            <w:pPr>
              <w:pStyle w:val="nTable"/>
              <w:spacing w:before="50" w:after="50"/>
              <w:rPr>
                <w:sz w:val="19"/>
              </w:rPr>
            </w:pPr>
            <w:r>
              <w:rPr>
                <w:sz w:val="19"/>
              </w:rPr>
              <w:t>24 May 1996</w:t>
            </w:r>
          </w:p>
        </w:tc>
        <w:tc>
          <w:tcPr>
            <w:tcW w:w="2552" w:type="dxa"/>
          </w:tcPr>
          <w:p>
            <w:pPr>
              <w:pStyle w:val="nTable"/>
              <w:spacing w:before="50" w:after="5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50" w:after="50"/>
              <w:rPr>
                <w:sz w:val="19"/>
              </w:rPr>
            </w:pPr>
            <w:r>
              <w:rPr>
                <w:i/>
                <w:sz w:val="19"/>
              </w:rPr>
              <w:t>Financial Legislation Amendment Act 1996</w:t>
            </w:r>
            <w:r>
              <w:rPr>
                <w:sz w:val="19"/>
              </w:rPr>
              <w:t xml:space="preserve"> s. 64</w:t>
            </w:r>
          </w:p>
        </w:tc>
        <w:tc>
          <w:tcPr>
            <w:tcW w:w="1134" w:type="dxa"/>
          </w:tcPr>
          <w:p>
            <w:pPr>
              <w:pStyle w:val="nTable"/>
              <w:spacing w:before="50" w:after="50"/>
              <w:rPr>
                <w:sz w:val="19"/>
              </w:rPr>
            </w:pPr>
            <w:r>
              <w:rPr>
                <w:sz w:val="19"/>
              </w:rPr>
              <w:t>49 of 1996</w:t>
            </w:r>
          </w:p>
        </w:tc>
        <w:tc>
          <w:tcPr>
            <w:tcW w:w="1134" w:type="dxa"/>
          </w:tcPr>
          <w:p>
            <w:pPr>
              <w:pStyle w:val="nTable"/>
              <w:spacing w:before="50" w:after="50"/>
              <w:rPr>
                <w:sz w:val="19"/>
              </w:rPr>
            </w:pPr>
            <w:r>
              <w:rPr>
                <w:sz w:val="19"/>
              </w:rPr>
              <w:t>25 Oct 1996</w:t>
            </w:r>
          </w:p>
        </w:tc>
        <w:tc>
          <w:tcPr>
            <w:tcW w:w="2552" w:type="dxa"/>
          </w:tcPr>
          <w:p>
            <w:pPr>
              <w:pStyle w:val="nTable"/>
              <w:spacing w:before="50" w:after="50"/>
              <w:rPr>
                <w:sz w:val="19"/>
              </w:rPr>
            </w:pPr>
            <w:r>
              <w:rPr>
                <w:sz w:val="19"/>
              </w:rPr>
              <w:t>25 Oct 1996 (see s. 2(1))</w:t>
            </w:r>
          </w:p>
        </w:tc>
      </w:tr>
      <w:tr>
        <w:trPr>
          <w:cantSplit/>
        </w:trPr>
        <w:tc>
          <w:tcPr>
            <w:tcW w:w="2268" w:type="dxa"/>
          </w:tcPr>
          <w:p>
            <w:pPr>
              <w:pStyle w:val="nTable"/>
              <w:spacing w:before="50" w:after="50"/>
              <w:rPr>
                <w:sz w:val="19"/>
              </w:rPr>
            </w:pPr>
            <w:r>
              <w:rPr>
                <w:i/>
                <w:sz w:val="19"/>
              </w:rPr>
              <w:t>Trustees Amendment Act 1997</w:t>
            </w:r>
            <w:r>
              <w:rPr>
                <w:sz w:val="19"/>
              </w:rPr>
              <w:t xml:space="preserve"> s. 18</w:t>
            </w:r>
          </w:p>
        </w:tc>
        <w:tc>
          <w:tcPr>
            <w:tcW w:w="1134" w:type="dxa"/>
          </w:tcPr>
          <w:p>
            <w:pPr>
              <w:pStyle w:val="nTable"/>
              <w:spacing w:before="50" w:after="50"/>
              <w:rPr>
                <w:sz w:val="19"/>
              </w:rPr>
            </w:pPr>
            <w:r>
              <w:rPr>
                <w:sz w:val="19"/>
              </w:rPr>
              <w:t>1 of 1997</w:t>
            </w:r>
          </w:p>
        </w:tc>
        <w:tc>
          <w:tcPr>
            <w:tcW w:w="1134" w:type="dxa"/>
          </w:tcPr>
          <w:p>
            <w:pPr>
              <w:pStyle w:val="nTable"/>
              <w:spacing w:before="50" w:after="50"/>
              <w:rPr>
                <w:sz w:val="19"/>
              </w:rPr>
            </w:pPr>
            <w:r>
              <w:rPr>
                <w:sz w:val="19"/>
              </w:rPr>
              <w:t>6 May 1997</w:t>
            </w:r>
          </w:p>
        </w:tc>
        <w:tc>
          <w:tcPr>
            <w:tcW w:w="2552" w:type="dxa"/>
          </w:tcPr>
          <w:p>
            <w:pPr>
              <w:pStyle w:val="nTable"/>
              <w:spacing w:before="50" w:after="5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50" w:after="5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Pr>
          <w:p>
            <w:pPr>
              <w:pStyle w:val="nTable"/>
              <w:spacing w:before="50" w:after="5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before="50" w:after="50"/>
              <w:rPr>
                <w:sz w:val="19"/>
              </w:rPr>
            </w:pPr>
            <w:r>
              <w:rPr>
                <w:sz w:val="19"/>
              </w:rPr>
              <w:t>61 of 2004</w:t>
            </w:r>
          </w:p>
        </w:tc>
        <w:tc>
          <w:tcPr>
            <w:tcW w:w="1134" w:type="dxa"/>
          </w:tcPr>
          <w:p>
            <w:pPr>
              <w:pStyle w:val="nTable"/>
              <w:spacing w:before="50" w:after="50"/>
              <w:rPr>
                <w:sz w:val="19"/>
              </w:rPr>
            </w:pPr>
            <w:r>
              <w:rPr>
                <w:sz w:val="19"/>
              </w:rPr>
              <w:t>24 Nov 2004</w:t>
            </w:r>
          </w:p>
        </w:tc>
        <w:tc>
          <w:tcPr>
            <w:tcW w:w="2552" w:type="dxa"/>
          </w:tcPr>
          <w:p>
            <w:pPr>
              <w:pStyle w:val="nTable"/>
              <w:spacing w:before="50" w:after="50"/>
              <w:rPr>
                <w:sz w:val="19"/>
              </w:rPr>
            </w:pPr>
            <w:r>
              <w:rPr>
                <w:spacing w:val="-2"/>
                <w:sz w:val="19"/>
              </w:rPr>
              <w:t>24 Nov 2004 (see s. 2)</w:t>
            </w:r>
          </w:p>
        </w:tc>
      </w:tr>
      <w:tr>
        <w:trPr>
          <w:cantSplit/>
        </w:trPr>
        <w:tc>
          <w:tcPr>
            <w:tcW w:w="2268" w:type="dxa"/>
          </w:tcPr>
          <w:p>
            <w:pPr>
              <w:pStyle w:val="nTable"/>
              <w:spacing w:before="50" w:after="50"/>
              <w:rPr>
                <w:i/>
                <w:snapToGrid w:val="0"/>
                <w:sz w:val="19"/>
              </w:rPr>
            </w:pPr>
            <w:r>
              <w:rPr>
                <w:i/>
                <w:snapToGrid w:val="0"/>
                <w:sz w:val="19"/>
              </w:rPr>
              <w:t xml:space="preserve">Financial Legislation Amendment and Repeal Act 2006 </w:t>
            </w:r>
            <w:r>
              <w:rPr>
                <w:snapToGrid w:val="0"/>
                <w:sz w:val="19"/>
              </w:rPr>
              <w:t>s. 4 and Sch. 1 cl. 141</w:t>
            </w:r>
          </w:p>
        </w:tc>
        <w:tc>
          <w:tcPr>
            <w:tcW w:w="1134" w:type="dxa"/>
          </w:tcPr>
          <w:p>
            <w:pPr>
              <w:pStyle w:val="nTable"/>
              <w:spacing w:before="50" w:after="50"/>
              <w:rPr>
                <w:snapToGrid w:val="0"/>
                <w:sz w:val="19"/>
              </w:rPr>
            </w:pPr>
            <w:r>
              <w:rPr>
                <w:snapToGrid w:val="0"/>
                <w:sz w:val="19"/>
              </w:rPr>
              <w:t xml:space="preserve">77 of 2006 </w:t>
            </w:r>
          </w:p>
        </w:tc>
        <w:tc>
          <w:tcPr>
            <w:tcW w:w="1134" w:type="dxa"/>
          </w:tcPr>
          <w:p>
            <w:pPr>
              <w:pStyle w:val="nTable"/>
              <w:spacing w:before="50" w:after="50"/>
              <w:rPr>
                <w:sz w:val="19"/>
              </w:rPr>
            </w:pPr>
            <w:r>
              <w:rPr>
                <w:snapToGrid w:val="0"/>
                <w:sz w:val="19"/>
              </w:rPr>
              <w:t>21 Dec 2006</w:t>
            </w:r>
          </w:p>
        </w:tc>
        <w:tc>
          <w:tcPr>
            <w:tcW w:w="2552" w:type="dxa"/>
          </w:tcPr>
          <w:p>
            <w:pPr>
              <w:pStyle w:val="nTable"/>
              <w:spacing w:before="50" w:after="5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before="50" w:after="50"/>
              <w:rPr>
                <w:i/>
                <w:snapToGrid w:val="0"/>
                <w:sz w:val="19"/>
              </w:rPr>
            </w:pPr>
            <w:r>
              <w:rPr>
                <w:i/>
                <w:snapToGrid w:val="0"/>
                <w:sz w:val="19"/>
              </w:rPr>
              <w:t>Medical Practitioners Act 2008</w:t>
            </w:r>
            <w:r>
              <w:rPr>
                <w:sz w:val="19"/>
              </w:rPr>
              <w:t xml:space="preserve"> Sch. 3 cl. 50</w:t>
            </w:r>
          </w:p>
        </w:tc>
        <w:tc>
          <w:tcPr>
            <w:tcW w:w="1134" w:type="dxa"/>
          </w:tcPr>
          <w:p>
            <w:pPr>
              <w:pStyle w:val="nTable"/>
              <w:spacing w:before="50" w:after="50"/>
              <w:rPr>
                <w:snapToGrid w:val="0"/>
                <w:sz w:val="19"/>
              </w:rPr>
            </w:pPr>
            <w:r>
              <w:rPr>
                <w:sz w:val="19"/>
              </w:rPr>
              <w:t>22 of 2008</w:t>
            </w:r>
          </w:p>
        </w:tc>
        <w:tc>
          <w:tcPr>
            <w:tcW w:w="1134" w:type="dxa"/>
          </w:tcPr>
          <w:p>
            <w:pPr>
              <w:pStyle w:val="nTable"/>
              <w:spacing w:before="50" w:after="50"/>
              <w:rPr>
                <w:snapToGrid w:val="0"/>
                <w:sz w:val="19"/>
              </w:rPr>
            </w:pPr>
            <w:r>
              <w:rPr>
                <w:sz w:val="19"/>
              </w:rPr>
              <w:t>27 May 2008</w:t>
            </w:r>
          </w:p>
        </w:tc>
        <w:tc>
          <w:tcPr>
            <w:tcW w:w="2552" w:type="dxa"/>
          </w:tcPr>
          <w:p>
            <w:pPr>
              <w:pStyle w:val="nTable"/>
              <w:spacing w:before="50" w:after="5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7088" w:type="dxa"/>
            <w:gridSpan w:val="4"/>
          </w:tcPr>
          <w:p>
            <w:pPr>
              <w:pStyle w:val="nTable"/>
              <w:spacing w:before="50" w:after="50"/>
              <w:rPr>
                <w:snapToGrid w:val="0"/>
                <w:sz w:val="19"/>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Pr>
          <w:p>
            <w:pPr>
              <w:pStyle w:val="nTable"/>
              <w:spacing w:before="50" w:after="50"/>
              <w:ind w:right="113"/>
              <w:rPr>
                <w:iCs/>
                <w:sz w:val="19"/>
              </w:rPr>
            </w:pPr>
            <w:r>
              <w:rPr>
                <w:i/>
                <w:sz w:val="19"/>
              </w:rPr>
              <w:t>Statutes (Repeals and Miscellaneous Amendments) Act 2009</w:t>
            </w:r>
            <w:r>
              <w:rPr>
                <w:iCs/>
                <w:sz w:val="19"/>
              </w:rPr>
              <w:t xml:space="preserve"> s. 105</w:t>
            </w:r>
          </w:p>
        </w:tc>
        <w:tc>
          <w:tcPr>
            <w:tcW w:w="1134" w:type="dxa"/>
          </w:tcPr>
          <w:p>
            <w:pPr>
              <w:pStyle w:val="nTable"/>
              <w:spacing w:before="50" w:after="50"/>
              <w:rPr>
                <w:sz w:val="19"/>
              </w:rPr>
            </w:pPr>
            <w:r>
              <w:rPr>
                <w:sz w:val="19"/>
              </w:rPr>
              <w:t xml:space="preserve">8 of 2009 </w:t>
            </w:r>
          </w:p>
        </w:tc>
        <w:tc>
          <w:tcPr>
            <w:tcW w:w="1134" w:type="dxa"/>
          </w:tcPr>
          <w:p>
            <w:pPr>
              <w:pStyle w:val="nTable"/>
              <w:spacing w:before="50" w:after="50"/>
              <w:rPr>
                <w:sz w:val="19"/>
              </w:rPr>
            </w:pPr>
            <w:r>
              <w:rPr>
                <w:sz w:val="19"/>
              </w:rPr>
              <w:t>21 May 2009</w:t>
            </w:r>
          </w:p>
        </w:tc>
        <w:tc>
          <w:tcPr>
            <w:tcW w:w="2552" w:type="dxa"/>
          </w:tcPr>
          <w:p>
            <w:pPr>
              <w:pStyle w:val="nTable"/>
              <w:spacing w:before="50" w:after="50"/>
              <w:rPr>
                <w:sz w:val="19"/>
              </w:rPr>
            </w:pPr>
            <w:r>
              <w:rPr>
                <w:sz w:val="19"/>
              </w:rPr>
              <w:t>22 May 2009 (see s. 2(b))</w:t>
            </w:r>
          </w:p>
        </w:tc>
      </w:tr>
      <w:tr>
        <w:trPr>
          <w:cantSplit/>
        </w:trPr>
        <w:tc>
          <w:tcPr>
            <w:tcW w:w="2268"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27 and 51</w:t>
            </w:r>
          </w:p>
        </w:tc>
        <w:tc>
          <w:tcPr>
            <w:tcW w:w="1134" w:type="dxa"/>
          </w:tcPr>
          <w:p>
            <w:pPr>
              <w:pStyle w:val="nTable"/>
              <w:spacing w:before="50" w:after="50"/>
              <w:rPr>
                <w:snapToGrid w:val="0"/>
                <w:sz w:val="19"/>
              </w:rPr>
            </w:pPr>
            <w:r>
              <w:rPr>
                <w:snapToGrid w:val="0"/>
                <w:sz w:val="19"/>
              </w:rPr>
              <w:t>19 of 2010</w:t>
            </w:r>
          </w:p>
        </w:tc>
        <w:tc>
          <w:tcPr>
            <w:tcW w:w="1134" w:type="dxa"/>
          </w:tcPr>
          <w:p>
            <w:pPr>
              <w:pStyle w:val="nTable"/>
              <w:spacing w:before="50" w:after="50"/>
              <w:rPr>
                <w:snapToGrid w:val="0"/>
                <w:sz w:val="19"/>
              </w:rPr>
            </w:pPr>
            <w:r>
              <w:rPr>
                <w:snapToGrid w:val="0"/>
                <w:sz w:val="19"/>
              </w:rPr>
              <w:t>28 Jun 2010</w:t>
            </w:r>
          </w:p>
        </w:tc>
        <w:tc>
          <w:tcPr>
            <w:tcW w:w="2552"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before="50" w:after="50"/>
              <w:ind w:right="113"/>
              <w:rPr>
                <w:i/>
                <w:snapToGrid w:val="0"/>
                <w:sz w:val="19"/>
              </w:rPr>
            </w:pPr>
            <w:r>
              <w:rPr>
                <w:i/>
                <w:snapToGrid w:val="0"/>
                <w:sz w:val="19"/>
              </w:rPr>
              <w:t>Health Practitioner Regulation National Law (WA) Act 2010</w:t>
            </w:r>
            <w:r>
              <w:rPr>
                <w:iCs/>
                <w:snapToGrid w:val="0"/>
                <w:sz w:val="19"/>
              </w:rPr>
              <w:t xml:space="preserve"> Pt. 5 Div. 43</w:t>
            </w:r>
          </w:p>
        </w:tc>
        <w:tc>
          <w:tcPr>
            <w:tcW w:w="1134" w:type="dxa"/>
          </w:tcPr>
          <w:p>
            <w:pPr>
              <w:pStyle w:val="nTable"/>
              <w:spacing w:before="50" w:after="50"/>
              <w:rPr>
                <w:snapToGrid w:val="0"/>
                <w:sz w:val="19"/>
              </w:rPr>
            </w:pPr>
            <w:r>
              <w:rPr>
                <w:snapToGrid w:val="0"/>
                <w:sz w:val="19"/>
              </w:rPr>
              <w:t>35 of 2010</w:t>
            </w:r>
          </w:p>
        </w:tc>
        <w:tc>
          <w:tcPr>
            <w:tcW w:w="1134" w:type="dxa"/>
          </w:tcPr>
          <w:p>
            <w:pPr>
              <w:pStyle w:val="nTable"/>
              <w:spacing w:before="50" w:after="50"/>
              <w:rPr>
                <w:snapToGrid w:val="0"/>
                <w:sz w:val="19"/>
              </w:rPr>
            </w:pPr>
            <w:r>
              <w:rPr>
                <w:snapToGrid w:val="0"/>
                <w:sz w:val="19"/>
              </w:rPr>
              <w:t>30 Aug 2010</w:t>
            </w:r>
          </w:p>
        </w:tc>
        <w:tc>
          <w:tcPr>
            <w:tcW w:w="2552" w:type="dxa"/>
          </w:tcPr>
          <w:p>
            <w:pPr>
              <w:pStyle w:val="nTable"/>
              <w:spacing w:before="50" w:after="5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before="50" w:after="50"/>
              <w:ind w:right="113"/>
              <w:rPr>
                <w:snapToGrid w:val="0"/>
                <w:sz w:val="19"/>
              </w:rPr>
            </w:pPr>
            <w:r>
              <w:rPr>
                <w:i/>
                <w:snapToGrid w:val="0"/>
                <w:sz w:val="19"/>
              </w:rPr>
              <w:t>Statutes (Repeals and Minor Amendments) Act 2011</w:t>
            </w:r>
            <w:r>
              <w:rPr>
                <w:snapToGrid w:val="0"/>
                <w:sz w:val="19"/>
              </w:rPr>
              <w:t xml:space="preserve"> s. 27</w:t>
            </w:r>
          </w:p>
        </w:tc>
        <w:tc>
          <w:tcPr>
            <w:tcW w:w="1134" w:type="dxa"/>
          </w:tcPr>
          <w:p>
            <w:pPr>
              <w:pStyle w:val="nTable"/>
              <w:spacing w:before="50" w:after="50"/>
              <w:rPr>
                <w:snapToGrid w:val="0"/>
                <w:sz w:val="19"/>
              </w:rPr>
            </w:pPr>
            <w:r>
              <w:rPr>
                <w:snapToGrid w:val="0"/>
                <w:sz w:val="19"/>
              </w:rPr>
              <w:t>47 of 2011</w:t>
            </w:r>
          </w:p>
        </w:tc>
        <w:tc>
          <w:tcPr>
            <w:tcW w:w="1134" w:type="dxa"/>
          </w:tcPr>
          <w:p>
            <w:pPr>
              <w:pStyle w:val="nTable"/>
              <w:spacing w:before="50" w:after="50"/>
              <w:rPr>
                <w:snapToGrid w:val="0"/>
                <w:sz w:val="19"/>
              </w:rPr>
            </w:pPr>
            <w:r>
              <w:rPr>
                <w:snapToGrid w:val="0"/>
                <w:sz w:val="19"/>
              </w:rPr>
              <w:t>25 Oct 2011</w:t>
            </w:r>
          </w:p>
        </w:tc>
        <w:tc>
          <w:tcPr>
            <w:tcW w:w="2552" w:type="dxa"/>
          </w:tcPr>
          <w:p>
            <w:pPr>
              <w:pStyle w:val="nTable"/>
              <w:spacing w:before="50" w:after="50"/>
              <w:rPr>
                <w:snapToGrid w:val="0"/>
                <w:sz w:val="19"/>
              </w:rPr>
            </w:pPr>
            <w:r>
              <w:rPr>
                <w:snapToGrid w:val="0"/>
                <w:sz w:val="19"/>
              </w:rPr>
              <w:t>26 Oct 2011 (see s. 2(b))</w:t>
            </w:r>
          </w:p>
        </w:tc>
      </w:tr>
      <w:tr>
        <w:trPr>
          <w:cantSplit/>
        </w:trPr>
        <w:tc>
          <w:tcPr>
            <w:tcW w:w="2268" w:type="dxa"/>
            <w:shd w:val="clear" w:color="auto" w:fill="auto"/>
          </w:tcPr>
          <w:p>
            <w:pPr>
              <w:pStyle w:val="nTable"/>
              <w:spacing w:before="50" w:after="50"/>
              <w:ind w:right="113"/>
              <w:rPr>
                <w:i/>
                <w:snapToGrid w:val="0"/>
                <w:sz w:val="19"/>
              </w:rPr>
            </w:pPr>
            <w:r>
              <w:rPr>
                <w:i/>
                <w:snapToGrid w:val="0"/>
                <w:sz w:val="19"/>
              </w:rPr>
              <w:t>Queen Elizabeth II Medical Centre Amendment Act 2013</w:t>
            </w:r>
          </w:p>
        </w:tc>
        <w:tc>
          <w:tcPr>
            <w:tcW w:w="1134" w:type="dxa"/>
            <w:shd w:val="clear" w:color="auto" w:fill="auto"/>
          </w:tcPr>
          <w:p>
            <w:pPr>
              <w:pStyle w:val="nTable"/>
              <w:spacing w:before="50" w:after="50"/>
              <w:rPr>
                <w:snapToGrid w:val="0"/>
                <w:sz w:val="19"/>
              </w:rPr>
            </w:pPr>
            <w:r>
              <w:rPr>
                <w:snapToGrid w:val="0"/>
                <w:sz w:val="19"/>
              </w:rPr>
              <w:t>6 of 2013</w:t>
            </w:r>
          </w:p>
        </w:tc>
        <w:tc>
          <w:tcPr>
            <w:tcW w:w="1134" w:type="dxa"/>
            <w:shd w:val="clear" w:color="auto" w:fill="auto"/>
          </w:tcPr>
          <w:p>
            <w:pPr>
              <w:pStyle w:val="nTable"/>
              <w:spacing w:before="50" w:after="50"/>
              <w:rPr>
                <w:snapToGrid w:val="0"/>
                <w:sz w:val="19"/>
              </w:rPr>
            </w:pPr>
            <w:r>
              <w:rPr>
                <w:snapToGrid w:val="0"/>
                <w:sz w:val="19"/>
              </w:rPr>
              <w:t>19 Aug 2013</w:t>
            </w:r>
          </w:p>
        </w:tc>
        <w:tc>
          <w:tcPr>
            <w:tcW w:w="2552" w:type="dxa"/>
            <w:shd w:val="clear" w:color="auto" w:fill="auto"/>
          </w:tcPr>
          <w:p>
            <w:pPr>
              <w:pStyle w:val="nTable"/>
              <w:spacing w:before="50" w:after="50"/>
              <w:rPr>
                <w:snapToGrid w:val="0"/>
                <w:sz w:val="19"/>
              </w:rPr>
            </w:pPr>
            <w:r>
              <w:rPr>
                <w:snapToGrid w:val="0"/>
                <w:sz w:val="19"/>
              </w:rPr>
              <w:t>s. 1 and 2: 19 Aug 2013 (see s. 2(a));</w:t>
            </w:r>
            <w:r>
              <w:rPr>
                <w:snapToGrid w:val="0"/>
                <w:sz w:val="19"/>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before="50" w:after="50"/>
              <w:rPr>
                <w:snapToGrid w:val="0"/>
                <w:sz w:val="19"/>
              </w:rPr>
            </w:pPr>
            <w:r>
              <w:rPr>
                <w:b/>
                <w:sz w:val="19"/>
              </w:rPr>
              <w:t xml:space="preserve">Reprint 5: The </w:t>
            </w:r>
            <w:r>
              <w:rPr>
                <w:b/>
                <w:i/>
                <w:sz w:val="19"/>
              </w:rPr>
              <w:t>Queen Elizabeth II Medical Centre Act 1966</w:t>
            </w:r>
            <w:r>
              <w:rPr>
                <w:b/>
                <w:sz w:val="19"/>
              </w:rPr>
              <w:t xml:space="preserve"> as at 13 Dec 2013</w:t>
            </w:r>
            <w:r>
              <w:rPr>
                <w:b/>
                <w:sz w:val="19"/>
              </w:rPr>
              <w:br/>
            </w:r>
            <w:r>
              <w:rPr>
                <w:sz w:val="19"/>
              </w:rPr>
              <w:t>(includes amendments listed above)</w:t>
            </w:r>
          </w:p>
        </w:tc>
      </w:tr>
    </w:tbl>
    <w:p>
      <w:pPr>
        <w:pStyle w:val="nSubsection"/>
        <w:keepNext/>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
      <w:pPr>
        <w:pStyle w:val="nHeading2"/>
        <w:rPr>
          <w:sz w:val="28"/>
        </w:rPr>
      </w:pPr>
      <w:bookmarkStart w:id="31" w:name="_Toc382381539"/>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delegate</w:t>
      </w:r>
      <w:r>
        <w:tab/>
        <w:t>13(2a)</w:t>
      </w:r>
    </w:p>
    <w:p>
      <w:pPr>
        <w:pStyle w:val="DefinedTerms"/>
      </w:pPr>
      <w:r>
        <w:t>former delegate</w:t>
      </w:r>
      <w:r>
        <w:tab/>
        <w:t>13(2l)(a)</w:t>
      </w:r>
    </w:p>
    <w:p>
      <w:pPr>
        <w:pStyle w:val="DefinedTerms"/>
      </w:pPr>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reserve</w:t>
      </w:r>
      <w:r>
        <w:tab/>
        <w:t>3(1)</w:t>
      </w:r>
    </w:p>
    <w:p>
      <w:pPr>
        <w:pStyle w:val="DefinedTerms"/>
      </w:pPr>
      <w:r>
        <w:t>Schedule</w:t>
      </w:r>
      <w:r>
        <w:tab/>
        <w:t>3(1)</w:t>
      </w:r>
    </w:p>
    <w:p>
      <w:pPr>
        <w:pStyle w:val="DefinedTerms"/>
      </w:pPr>
      <w:r>
        <w:t>Senate</w:t>
      </w:r>
      <w:r>
        <w:tab/>
        <w:t>3(1)</w:t>
      </w:r>
    </w:p>
    <w:p>
      <w:pPr>
        <w:pStyle w:val="DefinedTerms"/>
      </w:pPr>
      <w:r>
        <w:t>site</w:t>
      </w:r>
      <w:r>
        <w:tab/>
        <w:t>13(2a)</w:t>
      </w:r>
    </w:p>
    <w:p>
      <w:pPr>
        <w:pStyle w:val="DefinedTerms"/>
      </w:pPr>
      <w:r>
        <w:t>specified</w:t>
      </w:r>
      <w:r>
        <w:tab/>
        <w:t>20(1b)</w:t>
      </w:r>
    </w:p>
    <w:p>
      <w:pPr>
        <w:pStyle w:val="DefinedTerms"/>
      </w:pPr>
      <w:r>
        <w:t>teaching hospital</w:t>
      </w:r>
      <w:r>
        <w:tab/>
        <w:t>16(8)</w:t>
      </w:r>
    </w:p>
    <w:p>
      <w:pPr>
        <w:pStyle w:val="DefinedTerms"/>
      </w:pPr>
      <w:r>
        <w:t>Trust</w:t>
      </w:r>
      <w:r>
        <w:tab/>
        <w:t>3(1)</w:t>
      </w:r>
    </w:p>
    <w:p>
      <w:pPr>
        <w:pStyle w:val="DefinedTerms"/>
      </w:pPr>
    </w:p>
    <w:p/>
    <w:p/>
    <w:p/>
    <w:p/>
    <w:p/>
    <w:p/>
    <w:p/>
    <w:p/>
    <w:p/>
    <w:p/>
    <w:p>
      <w:pPr>
        <w:spacing w:before="120"/>
      </w:pPr>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Queen Elizabeth II Medical Centre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Medical centre land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715" w:type="dxa"/>
        </w:tcPr>
        <w:p>
          <w:pPr>
            <w:pStyle w:val="HeaderTextLeft"/>
          </w:pPr>
          <w:fldSimple w:instr=" styleref CharSDivText ">
            <w:r>
              <w:rPr>
                <w:noProof/>
              </w:rPr>
              <w:t>Original land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751"/>
    <w:docVar w:name="WAFER_20140312094751" w:val="RemoveTocBookmarks,RemoveUnusedBookmarks,RemoveLanguageTags,UsedStyles,ResetPageSize"/>
    <w:docVar w:name="WAFER_20140312094751_GUID" w:val="4ea8424f-c2cc-422b-baac-79f252510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8980</Words>
  <Characters>41580</Characters>
  <Application>Microsoft Office Word</Application>
  <DocSecurity>0</DocSecurity>
  <Lines>1188</Lines>
  <Paragraphs>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1966 - 05-00-01</dc:title>
  <dc:subject/>
  <dc:creator/>
  <cp:keywords/>
  <dc:description/>
  <cp:lastModifiedBy>svcMRProcess</cp:lastModifiedBy>
  <cp:revision>4</cp:revision>
  <cp:lastPrinted>2013-12-18T23:50:00Z</cp:lastPrinted>
  <dcterms:created xsi:type="dcterms:W3CDTF">2020-04-23T01:52:00Z</dcterms:created>
  <dcterms:modified xsi:type="dcterms:W3CDTF">2020-04-23T01:52:00Z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650</vt:i4>
  </property>
  <property fmtid="{D5CDD505-2E9C-101B-9397-08002B2CF9AE}" pid="6" name="AsAtDate">
    <vt:lpwstr>13 Dec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2013-12-12T16:00:00Z</vt:filetime>
  </property>
</Properties>
</file>