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Electricity Corporations Act 2005</w:t>
      </w:r>
    </w:p>
    <w:p>
      <w:pPr>
        <w:pStyle w:val="NameofActRegPage1"/>
        <w:spacing w:before="1800" w:after="420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_Toc380393649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_Toc380393650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_Toc380393651 \h </w:instrText>
      </w:r>
      <w:r>
        <w:fldChar w:fldCharType="separate"/>
      </w:r>
      <w:r>
        <w:t>1</w:t>
      </w:r>
      <w:r>
        <w:fldChar w:fldCharType="end"/>
      </w:r>
    </w:p>
    <w:p>
      <w:pPr>
        <w:pStyle w:val="TOC8"/>
        <w:rPr>
          <w:rFonts w:asciiTheme="minorHAnsi" w:eastAsiaTheme="minorEastAsia" w:hAnsiTheme="minorHAnsi" w:cstheme="minorBidi"/>
          <w:szCs w:val="22"/>
        </w:rPr>
      </w:pPr>
      <w:r>
        <w:t>4.</w:t>
      </w:r>
      <w:r>
        <w:tab/>
        <w:t>New contestable customer arrangement</w:t>
      </w:r>
      <w:r>
        <w:tab/>
      </w:r>
      <w:r>
        <w:fldChar w:fldCharType="begin"/>
      </w:r>
      <w:r>
        <w:instrText xml:space="preserve"> PAGEREF _Toc380393652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Segregation</w:t>
      </w:r>
    </w:p>
    <w:p>
      <w:pPr>
        <w:pStyle w:val="TOC4"/>
        <w:tabs>
          <w:tab w:val="right" w:leader="dot" w:pos="7086"/>
        </w:tabs>
        <w:rPr>
          <w:rFonts w:asciiTheme="minorHAnsi" w:eastAsiaTheme="minorEastAsia" w:hAnsiTheme="minorHAnsi" w:cstheme="minorBidi"/>
          <w:b w:val="0"/>
          <w:szCs w:val="22"/>
        </w:rPr>
      </w:pPr>
      <w:r>
        <w:t>Division 1 — Segmentation of EGRC operations</w:t>
      </w:r>
    </w:p>
    <w:p>
      <w:pPr>
        <w:pStyle w:val="TOC8"/>
        <w:rPr>
          <w:rFonts w:asciiTheme="minorHAnsi" w:eastAsiaTheme="minorEastAsia" w:hAnsiTheme="minorHAnsi" w:cstheme="minorBidi"/>
          <w:szCs w:val="22"/>
        </w:rPr>
      </w:pPr>
      <w:r>
        <w:t>5.</w:t>
      </w:r>
      <w:r>
        <w:tab/>
        <w:t>Division of EGRC operations into segments</w:t>
      </w:r>
      <w:r>
        <w:tab/>
      </w:r>
      <w:r>
        <w:fldChar w:fldCharType="begin"/>
      </w:r>
      <w:r>
        <w:instrText xml:space="preserve"> PAGEREF _Toc380393655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Financial administration</w:t>
      </w:r>
    </w:p>
    <w:p>
      <w:pPr>
        <w:pStyle w:val="TOC6"/>
        <w:tabs>
          <w:tab w:val="right" w:leader="dot" w:pos="7086"/>
        </w:tabs>
        <w:rPr>
          <w:rFonts w:asciiTheme="minorHAnsi" w:eastAsiaTheme="minorEastAsia" w:hAnsiTheme="minorHAnsi" w:cstheme="minorBidi"/>
          <w:b w:val="0"/>
          <w:sz w:val="22"/>
          <w:szCs w:val="22"/>
        </w:rPr>
      </w:pPr>
      <w:r>
        <w:t>Subdivision 1 — Reporting</w:t>
      </w:r>
    </w:p>
    <w:p>
      <w:pPr>
        <w:pStyle w:val="TOC8"/>
        <w:rPr>
          <w:rFonts w:asciiTheme="minorHAnsi" w:eastAsiaTheme="minorEastAsia" w:hAnsiTheme="minorHAnsi" w:cstheme="minorBidi"/>
          <w:szCs w:val="22"/>
        </w:rPr>
      </w:pPr>
      <w:r>
        <w:t>6.</w:t>
      </w:r>
      <w:r>
        <w:tab/>
        <w:t>Quarterly statements of financial performance</w:t>
      </w:r>
      <w:r>
        <w:tab/>
      </w:r>
      <w:r>
        <w:fldChar w:fldCharType="begin"/>
      </w:r>
      <w:r>
        <w:instrText xml:space="preserve"> PAGEREF _Toc380393658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of AASB 8</w:t>
      </w:r>
      <w:r>
        <w:tab/>
      </w:r>
      <w:r>
        <w:fldChar w:fldCharType="begin"/>
      </w:r>
      <w:r>
        <w:instrText xml:space="preserve"> PAGEREF _Toc380393659 \h </w:instrText>
      </w:r>
      <w:r>
        <w:fldChar w:fldCharType="separate"/>
      </w:r>
      <w:r>
        <w:t>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Arrangements and records in respect of certain transactions</w:t>
      </w:r>
    </w:p>
    <w:p>
      <w:pPr>
        <w:pStyle w:val="TOC8"/>
        <w:rPr>
          <w:rFonts w:asciiTheme="minorHAnsi" w:eastAsiaTheme="minorEastAsia" w:hAnsiTheme="minorHAnsi" w:cstheme="minorBidi"/>
          <w:szCs w:val="22"/>
        </w:rPr>
      </w:pPr>
      <w:r>
        <w:t>8.</w:t>
      </w:r>
      <w:r>
        <w:tab/>
        <w:t>Transactions</w:t>
      </w:r>
      <w:r>
        <w:tab/>
      </w:r>
      <w:r>
        <w:fldChar w:fldCharType="begin"/>
      </w:r>
      <w:r>
        <w:instrText xml:space="preserve"> PAGEREF _Toc380393661 \h </w:instrText>
      </w:r>
      <w:r>
        <w:fldChar w:fldCharType="separate"/>
      </w:r>
      <w:r>
        <w:t>8</w:t>
      </w:r>
      <w:r>
        <w:fldChar w:fldCharType="end"/>
      </w:r>
    </w:p>
    <w:p>
      <w:pPr>
        <w:pStyle w:val="TOC8"/>
        <w:rPr>
          <w:rFonts w:asciiTheme="minorHAnsi" w:eastAsiaTheme="minorEastAsia" w:hAnsiTheme="minorHAnsi" w:cstheme="minorBidi"/>
          <w:szCs w:val="22"/>
        </w:rPr>
      </w:pPr>
      <w:r>
        <w:t>9.</w:t>
      </w:r>
      <w:r>
        <w:tab/>
        <w:t>Supply arrangements</w:t>
      </w:r>
      <w:r>
        <w:tab/>
      </w:r>
      <w:r>
        <w:fldChar w:fldCharType="begin"/>
      </w:r>
      <w:r>
        <w:instrText xml:space="preserve"> PAGEREF _Toc380393662 \h </w:instrText>
      </w:r>
      <w:r>
        <w:fldChar w:fldCharType="separate"/>
      </w:r>
      <w:r>
        <w:t>9</w:t>
      </w:r>
      <w:r>
        <w:fldChar w:fldCharType="end"/>
      </w:r>
    </w:p>
    <w:p>
      <w:pPr>
        <w:pStyle w:val="TOC8"/>
        <w:rPr>
          <w:rFonts w:asciiTheme="minorHAnsi" w:eastAsiaTheme="minorEastAsia" w:hAnsiTheme="minorHAnsi" w:cstheme="minorBidi"/>
          <w:szCs w:val="22"/>
        </w:rPr>
      </w:pPr>
      <w:r>
        <w:t>10.</w:t>
      </w:r>
      <w:r>
        <w:tab/>
        <w:t>Records of transactions</w:t>
      </w:r>
      <w:r>
        <w:tab/>
      </w:r>
      <w:r>
        <w:fldChar w:fldCharType="begin"/>
      </w:r>
      <w:r>
        <w:instrText xml:space="preserve"> PAGEREF _Toc380393663 \h </w:instrText>
      </w:r>
      <w:r>
        <w:fldChar w:fldCharType="separate"/>
      </w:r>
      <w:r>
        <w:t>10</w:t>
      </w:r>
      <w:r>
        <w:fldChar w:fldCharType="end"/>
      </w:r>
    </w:p>
    <w:p>
      <w:pPr>
        <w:pStyle w:val="TOC6"/>
        <w:tabs>
          <w:tab w:val="right" w:leader="dot" w:pos="7086"/>
        </w:tabs>
        <w:rPr>
          <w:rFonts w:asciiTheme="minorHAnsi" w:eastAsiaTheme="minorEastAsia" w:hAnsiTheme="minorHAnsi" w:cstheme="minorBidi"/>
          <w:b w:val="0"/>
          <w:sz w:val="22"/>
          <w:szCs w:val="22"/>
        </w:rPr>
      </w:pPr>
      <w:r>
        <w:t>Subdivision 3 — Foundation transfer price mechanism</w:t>
      </w:r>
    </w:p>
    <w:p>
      <w:pPr>
        <w:pStyle w:val="TOC8"/>
        <w:rPr>
          <w:rFonts w:asciiTheme="minorHAnsi" w:eastAsiaTheme="minorEastAsia" w:hAnsiTheme="minorHAnsi" w:cstheme="minorBidi"/>
          <w:szCs w:val="22"/>
        </w:rPr>
      </w:pPr>
      <w:r>
        <w:t>11.</w:t>
      </w:r>
      <w:r>
        <w:tab/>
        <w:t>Foundation transfer price mechanism</w:t>
      </w:r>
      <w:r>
        <w:tab/>
      </w:r>
      <w:r>
        <w:fldChar w:fldCharType="begin"/>
      </w:r>
      <w:r>
        <w:instrText xml:space="preserve"> PAGEREF _Toc380393665 \h </w:instrText>
      </w:r>
      <w:r>
        <w:fldChar w:fldCharType="separate"/>
      </w:r>
      <w:r>
        <w:t>10</w:t>
      </w:r>
      <w:r>
        <w:fldChar w:fldCharType="end"/>
      </w:r>
    </w:p>
    <w:p>
      <w:pPr>
        <w:pStyle w:val="TOC8"/>
        <w:rPr>
          <w:rFonts w:asciiTheme="minorHAnsi" w:eastAsiaTheme="minorEastAsia" w:hAnsiTheme="minorHAnsi" w:cstheme="minorBidi"/>
          <w:szCs w:val="22"/>
        </w:rPr>
      </w:pPr>
      <w:r>
        <w:t>12.</w:t>
      </w:r>
      <w:r>
        <w:tab/>
        <w:t>Revision of foundation transfer price mechanism</w:t>
      </w:r>
      <w:r>
        <w:tab/>
      </w:r>
      <w:r>
        <w:fldChar w:fldCharType="begin"/>
      </w:r>
      <w:r>
        <w:instrText xml:space="preserve"> PAGEREF _Toc380393666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Other segregation obligations</w:t>
      </w:r>
    </w:p>
    <w:p>
      <w:pPr>
        <w:pStyle w:val="TOC8"/>
        <w:rPr>
          <w:rFonts w:asciiTheme="minorHAnsi" w:eastAsiaTheme="minorEastAsia" w:hAnsiTheme="minorHAnsi" w:cstheme="minorBidi"/>
          <w:szCs w:val="22"/>
        </w:rPr>
      </w:pPr>
      <w:r>
        <w:t>13.</w:t>
      </w:r>
      <w:r>
        <w:tab/>
        <w:t>Disclosure of restricted information</w:t>
      </w:r>
      <w:r>
        <w:tab/>
      </w:r>
      <w:r>
        <w:fldChar w:fldCharType="begin"/>
      </w:r>
      <w:r>
        <w:instrText xml:space="preserve"> PAGEREF _Toc380393668 \h </w:instrText>
      </w:r>
      <w:r>
        <w:fldChar w:fldCharType="separate"/>
      </w:r>
      <w:r>
        <w:t>12</w:t>
      </w:r>
      <w:r>
        <w:fldChar w:fldCharType="end"/>
      </w:r>
    </w:p>
    <w:p>
      <w:pPr>
        <w:pStyle w:val="TOC8"/>
        <w:rPr>
          <w:rFonts w:asciiTheme="minorHAnsi" w:eastAsiaTheme="minorEastAsia" w:hAnsiTheme="minorHAnsi" w:cstheme="minorBidi"/>
          <w:szCs w:val="22"/>
        </w:rPr>
      </w:pPr>
      <w:r>
        <w:t>14.</w:t>
      </w:r>
      <w:r>
        <w:tab/>
        <w:t>Information technology access controls</w:t>
      </w:r>
      <w:r>
        <w:tab/>
      </w:r>
      <w:r>
        <w:fldChar w:fldCharType="begin"/>
      </w:r>
      <w:r>
        <w:instrText xml:space="preserve"> PAGEREF _Toc380393669 \h </w:instrText>
      </w:r>
      <w:r>
        <w:fldChar w:fldCharType="separate"/>
      </w:r>
      <w:r>
        <w:t>12</w:t>
      </w:r>
      <w:r>
        <w:fldChar w:fldCharType="end"/>
      </w:r>
    </w:p>
    <w:p>
      <w:pPr>
        <w:pStyle w:val="TOC8"/>
        <w:rPr>
          <w:rFonts w:asciiTheme="minorHAnsi" w:eastAsiaTheme="minorEastAsia" w:hAnsiTheme="minorHAnsi" w:cstheme="minorBidi"/>
          <w:szCs w:val="22"/>
        </w:rPr>
      </w:pPr>
      <w:r>
        <w:t>15.</w:t>
      </w:r>
      <w:r>
        <w:tab/>
        <w:t>Training</w:t>
      </w:r>
      <w:r>
        <w:tab/>
      </w:r>
      <w:r>
        <w:fldChar w:fldCharType="begin"/>
      </w:r>
      <w:r>
        <w:instrText xml:space="preserve"> PAGEREF _Toc380393670 \h </w:instrText>
      </w:r>
      <w:r>
        <w:fldChar w:fldCharType="separate"/>
      </w:r>
      <w:r>
        <w:t>12</w:t>
      </w:r>
      <w:r>
        <w:fldChar w:fldCharType="end"/>
      </w:r>
    </w:p>
    <w:p>
      <w:pPr>
        <w:pStyle w:val="TOC8"/>
        <w:rPr>
          <w:rFonts w:asciiTheme="minorHAnsi" w:eastAsiaTheme="minorEastAsia" w:hAnsiTheme="minorHAnsi" w:cstheme="minorBidi"/>
          <w:szCs w:val="22"/>
        </w:rPr>
      </w:pPr>
      <w:r>
        <w:t>16.</w:t>
      </w:r>
      <w:r>
        <w:tab/>
        <w:t>Separate work areas</w:t>
      </w:r>
      <w:r>
        <w:tab/>
      </w:r>
      <w:r>
        <w:fldChar w:fldCharType="begin"/>
      </w:r>
      <w:r>
        <w:instrText xml:space="preserve"> PAGEREF _Toc380393671 \h </w:instrText>
      </w:r>
      <w:r>
        <w:fldChar w:fldCharType="separate"/>
      </w:r>
      <w:r>
        <w:t>13</w:t>
      </w:r>
      <w:r>
        <w:fldChar w:fldCharType="end"/>
      </w:r>
    </w:p>
    <w:p>
      <w:pPr>
        <w:pStyle w:val="TOC8"/>
        <w:rPr>
          <w:rFonts w:asciiTheme="minorHAnsi" w:eastAsiaTheme="minorEastAsia" w:hAnsiTheme="minorHAnsi" w:cstheme="minorBidi"/>
          <w:szCs w:val="22"/>
        </w:rPr>
      </w:pPr>
      <w:r>
        <w:t>17.</w:t>
      </w:r>
      <w:r>
        <w:tab/>
        <w:t>Separation of management roles</w:t>
      </w:r>
      <w:r>
        <w:tab/>
      </w:r>
      <w:r>
        <w:fldChar w:fldCharType="begin"/>
      </w:r>
      <w:r>
        <w:instrText xml:space="preserve"> PAGEREF _Toc380393672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Segregation arrangements</w:t>
      </w:r>
    </w:p>
    <w:p>
      <w:pPr>
        <w:pStyle w:val="TOC8"/>
        <w:rPr>
          <w:rFonts w:asciiTheme="minorHAnsi" w:eastAsiaTheme="minorEastAsia" w:hAnsiTheme="minorHAnsi" w:cstheme="minorBidi"/>
          <w:szCs w:val="22"/>
        </w:rPr>
      </w:pPr>
      <w:r>
        <w:t>18.</w:t>
      </w:r>
      <w:r>
        <w:tab/>
        <w:t>Minister may approve arrangements</w:t>
      </w:r>
      <w:r>
        <w:tab/>
      </w:r>
      <w:r>
        <w:fldChar w:fldCharType="begin"/>
      </w:r>
      <w:r>
        <w:instrText xml:space="preserve"> PAGEREF _Toc380393674 \h </w:instrText>
      </w:r>
      <w:r>
        <w:fldChar w:fldCharType="separate"/>
      </w:r>
      <w:r>
        <w:t>14</w:t>
      </w:r>
      <w:r>
        <w:fldChar w:fldCharType="end"/>
      </w:r>
    </w:p>
    <w:p>
      <w:pPr>
        <w:pStyle w:val="TOC8"/>
        <w:rPr>
          <w:rFonts w:asciiTheme="minorHAnsi" w:eastAsiaTheme="minorEastAsia" w:hAnsiTheme="minorHAnsi" w:cstheme="minorBidi"/>
          <w:szCs w:val="22"/>
        </w:rPr>
      </w:pPr>
      <w:r>
        <w:t>19.</w:t>
      </w:r>
      <w:r>
        <w:tab/>
        <w:t>Commencement of segregation arrangements</w:t>
      </w:r>
      <w:r>
        <w:tab/>
      </w:r>
      <w:r>
        <w:fldChar w:fldCharType="begin"/>
      </w:r>
      <w:r>
        <w:instrText xml:space="preserve"> PAGEREF _Toc380393675 \h </w:instrText>
      </w:r>
      <w:r>
        <w:fldChar w:fldCharType="separate"/>
      </w:r>
      <w:r>
        <w:t>14</w:t>
      </w:r>
      <w:r>
        <w:fldChar w:fldCharType="end"/>
      </w:r>
    </w:p>
    <w:p>
      <w:pPr>
        <w:pStyle w:val="TOC8"/>
        <w:rPr>
          <w:rFonts w:asciiTheme="minorHAnsi" w:eastAsiaTheme="minorEastAsia" w:hAnsiTheme="minorHAnsi" w:cstheme="minorBidi"/>
          <w:szCs w:val="22"/>
        </w:rPr>
      </w:pPr>
      <w:r>
        <w:t>20.</w:t>
      </w:r>
      <w:r>
        <w:tab/>
        <w:t>Amendment or repeal of segregation arrangements</w:t>
      </w:r>
      <w:r>
        <w:tab/>
      </w:r>
      <w:r>
        <w:fldChar w:fldCharType="begin"/>
      </w:r>
      <w:r>
        <w:instrText xml:space="preserve"> PAGEREF _Toc380393676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Wholesale acquisition or supply of electricity</w:t>
      </w:r>
    </w:p>
    <w:p>
      <w:pPr>
        <w:pStyle w:val="TOC4"/>
        <w:tabs>
          <w:tab w:val="right" w:leader="dot" w:pos="7086"/>
        </w:tabs>
        <w:rPr>
          <w:rFonts w:asciiTheme="minorHAnsi" w:eastAsiaTheme="minorEastAsia" w:hAnsiTheme="minorHAnsi" w:cstheme="minorBidi"/>
          <w:b w:val="0"/>
          <w:szCs w:val="22"/>
        </w:rPr>
      </w:pPr>
      <w:r>
        <w:t>Division 1 — Wholesaling obligations</w:t>
      </w:r>
    </w:p>
    <w:p>
      <w:pPr>
        <w:pStyle w:val="TOC8"/>
        <w:rPr>
          <w:rFonts w:asciiTheme="minorHAnsi" w:eastAsiaTheme="minorEastAsia" w:hAnsiTheme="minorHAnsi" w:cstheme="minorBidi"/>
          <w:szCs w:val="22"/>
        </w:rPr>
      </w:pPr>
      <w:r>
        <w:t>21.</w:t>
      </w:r>
      <w:r>
        <w:tab/>
        <w:t>Wholesale supply to retail business unit</w:t>
      </w:r>
      <w:r>
        <w:tab/>
      </w:r>
      <w:r>
        <w:fldChar w:fldCharType="begin"/>
      </w:r>
      <w:r>
        <w:instrText xml:space="preserve"> PAGEREF _Toc380393679 \h </w:instrText>
      </w:r>
      <w:r>
        <w:fldChar w:fldCharType="separate"/>
      </w:r>
      <w:r>
        <w:t>16</w:t>
      </w:r>
      <w:r>
        <w:fldChar w:fldCharType="end"/>
      </w:r>
    </w:p>
    <w:p>
      <w:pPr>
        <w:pStyle w:val="TOC8"/>
        <w:rPr>
          <w:rFonts w:asciiTheme="minorHAnsi" w:eastAsiaTheme="minorEastAsia" w:hAnsiTheme="minorHAnsi" w:cstheme="minorBidi"/>
          <w:szCs w:val="22"/>
        </w:rPr>
      </w:pPr>
      <w:r>
        <w:t>22.</w:t>
      </w:r>
      <w:r>
        <w:tab/>
        <w:t>EGRC not to discriminate between retail business unit and competitors when offering wholesale supply</w:t>
      </w:r>
      <w:r>
        <w:tab/>
      </w:r>
      <w:r>
        <w:fldChar w:fldCharType="begin"/>
      </w:r>
      <w:r>
        <w:instrText xml:space="preserve"> PAGEREF _Toc380393680 \h </w:instrText>
      </w:r>
      <w:r>
        <w:fldChar w:fldCharType="separate"/>
      </w:r>
      <w:r>
        <w:t>16</w:t>
      </w:r>
      <w:r>
        <w:fldChar w:fldCharType="end"/>
      </w:r>
    </w:p>
    <w:p>
      <w:pPr>
        <w:pStyle w:val="TOC8"/>
        <w:rPr>
          <w:rFonts w:asciiTheme="minorHAnsi" w:eastAsiaTheme="minorEastAsia" w:hAnsiTheme="minorHAnsi" w:cstheme="minorBidi"/>
          <w:szCs w:val="22"/>
        </w:rPr>
      </w:pPr>
      <w:r>
        <w:t>23.</w:t>
      </w:r>
      <w:r>
        <w:tab/>
        <w:t>Policy for determining terms and conditions for wholesale supply of electricity</w:t>
      </w:r>
      <w:r>
        <w:tab/>
      </w:r>
      <w:r>
        <w:fldChar w:fldCharType="begin"/>
      </w:r>
      <w:r>
        <w:instrText xml:space="preserve"> PAGEREF _Toc380393681 \h </w:instrText>
      </w:r>
      <w:r>
        <w:fldChar w:fldCharType="separate"/>
      </w:r>
      <w:r>
        <w:t>16</w:t>
      </w:r>
      <w:r>
        <w:fldChar w:fldCharType="end"/>
      </w:r>
    </w:p>
    <w:p>
      <w:pPr>
        <w:pStyle w:val="TOC8"/>
        <w:rPr>
          <w:rFonts w:asciiTheme="minorHAnsi" w:eastAsiaTheme="minorEastAsia" w:hAnsiTheme="minorHAnsi" w:cstheme="minorBidi"/>
          <w:szCs w:val="22"/>
        </w:rPr>
      </w:pPr>
      <w:r>
        <w:t>24.</w:t>
      </w:r>
      <w:r>
        <w:tab/>
        <w:t>Requests for wholesale supply of electricity</w:t>
      </w:r>
      <w:r>
        <w:tab/>
      </w:r>
      <w:r>
        <w:fldChar w:fldCharType="begin"/>
      </w:r>
      <w:r>
        <w:instrText xml:space="preserve"> PAGEREF _Toc380393682 \h </w:instrText>
      </w:r>
      <w:r>
        <w:fldChar w:fldCharType="separate"/>
      </w:r>
      <w:r>
        <w:t>17</w:t>
      </w:r>
      <w:r>
        <w:fldChar w:fldCharType="end"/>
      </w:r>
    </w:p>
    <w:p>
      <w:pPr>
        <w:pStyle w:val="TOC8"/>
        <w:rPr>
          <w:rFonts w:asciiTheme="minorHAnsi" w:eastAsiaTheme="minorEastAsia" w:hAnsiTheme="minorHAnsi" w:cstheme="minorBidi"/>
          <w:szCs w:val="22"/>
        </w:rPr>
      </w:pPr>
      <w:r>
        <w:t>25.</w:t>
      </w:r>
      <w:r>
        <w:tab/>
        <w:t>Records</w:t>
      </w:r>
      <w:r>
        <w:tab/>
      </w:r>
      <w:r>
        <w:fldChar w:fldCharType="begin"/>
      </w:r>
      <w:r>
        <w:instrText xml:space="preserve"> PAGEREF _Toc380393683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Wholesale arrangements</w:t>
      </w:r>
    </w:p>
    <w:p>
      <w:pPr>
        <w:pStyle w:val="TOC8"/>
        <w:rPr>
          <w:rFonts w:asciiTheme="minorHAnsi" w:eastAsiaTheme="minorEastAsia" w:hAnsiTheme="minorHAnsi" w:cstheme="minorBidi"/>
          <w:szCs w:val="22"/>
        </w:rPr>
      </w:pPr>
      <w:r>
        <w:t>26.</w:t>
      </w:r>
      <w:r>
        <w:tab/>
        <w:t>Minister may approve arrangements</w:t>
      </w:r>
      <w:r>
        <w:tab/>
      </w:r>
      <w:r>
        <w:fldChar w:fldCharType="begin"/>
      </w:r>
      <w:r>
        <w:instrText xml:space="preserve"> PAGEREF _Toc380393685 \h </w:instrText>
      </w:r>
      <w:r>
        <w:fldChar w:fldCharType="separate"/>
      </w:r>
      <w:r>
        <w:t>19</w:t>
      </w:r>
      <w:r>
        <w:fldChar w:fldCharType="end"/>
      </w:r>
    </w:p>
    <w:p>
      <w:pPr>
        <w:pStyle w:val="TOC8"/>
        <w:rPr>
          <w:rFonts w:asciiTheme="minorHAnsi" w:eastAsiaTheme="minorEastAsia" w:hAnsiTheme="minorHAnsi" w:cstheme="minorBidi"/>
          <w:szCs w:val="22"/>
        </w:rPr>
      </w:pPr>
      <w:r>
        <w:t>27.</w:t>
      </w:r>
      <w:r>
        <w:tab/>
        <w:t>Commencement of wholesale arrangements</w:t>
      </w:r>
      <w:r>
        <w:tab/>
      </w:r>
      <w:r>
        <w:fldChar w:fldCharType="begin"/>
      </w:r>
      <w:r>
        <w:instrText xml:space="preserve"> PAGEREF _Toc380393686 \h </w:instrText>
      </w:r>
      <w:r>
        <w:fldChar w:fldCharType="separate"/>
      </w:r>
      <w:r>
        <w:t>19</w:t>
      </w:r>
      <w:r>
        <w:fldChar w:fldCharType="end"/>
      </w:r>
    </w:p>
    <w:p>
      <w:pPr>
        <w:pStyle w:val="TOC8"/>
        <w:rPr>
          <w:rFonts w:asciiTheme="minorHAnsi" w:eastAsiaTheme="minorEastAsia" w:hAnsiTheme="minorHAnsi" w:cstheme="minorBidi"/>
          <w:szCs w:val="22"/>
        </w:rPr>
      </w:pPr>
      <w:r>
        <w:t>28.</w:t>
      </w:r>
      <w:r>
        <w:tab/>
        <w:t>Amendment or repeal of wholesale arrangements</w:t>
      </w:r>
      <w:r>
        <w:tab/>
      </w:r>
      <w:r>
        <w:fldChar w:fldCharType="begin"/>
      </w:r>
      <w:r>
        <w:instrText xml:space="preserve"> PAGEREF _Toc380393687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Audit</w:t>
      </w:r>
    </w:p>
    <w:p>
      <w:pPr>
        <w:pStyle w:val="TOC8"/>
        <w:rPr>
          <w:rFonts w:asciiTheme="minorHAnsi" w:eastAsiaTheme="minorEastAsia" w:hAnsiTheme="minorHAnsi" w:cstheme="minorBidi"/>
          <w:szCs w:val="22"/>
        </w:rPr>
      </w:pPr>
      <w:r>
        <w:t>29.</w:t>
      </w:r>
      <w:r>
        <w:tab/>
        <w:t>Audit: financial year</w:t>
      </w:r>
      <w:r>
        <w:tab/>
      </w:r>
      <w:r>
        <w:fldChar w:fldCharType="begin"/>
      </w:r>
      <w:r>
        <w:instrText xml:space="preserve"> PAGEREF _Toc380393689 \h </w:instrText>
      </w:r>
      <w:r>
        <w:fldChar w:fldCharType="separate"/>
      </w:r>
      <w:r>
        <w:t>21</w:t>
      </w:r>
      <w:r>
        <w:fldChar w:fldCharType="end"/>
      </w:r>
    </w:p>
    <w:p>
      <w:pPr>
        <w:pStyle w:val="TOC8"/>
        <w:rPr>
          <w:rFonts w:asciiTheme="minorHAnsi" w:eastAsiaTheme="minorEastAsia" w:hAnsiTheme="minorHAnsi" w:cstheme="minorBidi"/>
          <w:szCs w:val="22"/>
        </w:rPr>
      </w:pPr>
      <w:r>
        <w:t>30.</w:t>
      </w:r>
      <w:r>
        <w:tab/>
        <w:t>Audit: calendar year</w:t>
      </w:r>
      <w:r>
        <w:tab/>
      </w:r>
      <w:r>
        <w:fldChar w:fldCharType="begin"/>
      </w:r>
      <w:r>
        <w:instrText xml:space="preserve"> PAGEREF _Toc380393690 \h </w:instrText>
      </w:r>
      <w:r>
        <w:fldChar w:fldCharType="separate"/>
      </w:r>
      <w:r>
        <w:t>21</w:t>
      </w:r>
      <w:r>
        <w:fldChar w:fldCharType="end"/>
      </w:r>
    </w:p>
    <w:p>
      <w:pPr>
        <w:pStyle w:val="TOC8"/>
        <w:rPr>
          <w:rFonts w:asciiTheme="minorHAnsi" w:eastAsiaTheme="minorEastAsia" w:hAnsiTheme="minorHAnsi" w:cstheme="minorBidi"/>
          <w:szCs w:val="22"/>
        </w:rPr>
      </w:pPr>
      <w:r>
        <w:t>31.</w:t>
      </w:r>
      <w:r>
        <w:tab/>
        <w:t>Reports on audit</w:t>
      </w:r>
      <w:r>
        <w:tab/>
      </w:r>
      <w:r>
        <w:fldChar w:fldCharType="begin"/>
      </w:r>
      <w:r>
        <w:instrText xml:space="preserve"> PAGEREF _Toc380393691 \h </w:instrText>
      </w:r>
      <w:r>
        <w:fldChar w:fldCharType="separate"/>
      </w:r>
      <w:r>
        <w:t>21</w:t>
      </w:r>
      <w:r>
        <w:fldChar w:fldCharType="end"/>
      </w:r>
    </w:p>
    <w:p>
      <w:pPr>
        <w:pStyle w:val="TOC8"/>
        <w:rPr>
          <w:rFonts w:asciiTheme="minorHAnsi" w:eastAsiaTheme="minorEastAsia" w:hAnsiTheme="minorHAnsi" w:cstheme="minorBidi"/>
          <w:szCs w:val="22"/>
        </w:rPr>
      </w:pPr>
      <w:r>
        <w:t>32.</w:t>
      </w:r>
      <w:r>
        <w:tab/>
        <w:t>Deletion of commercially sensitive matters from Auditor General’s report</w:t>
      </w:r>
      <w:r>
        <w:tab/>
      </w:r>
      <w:r>
        <w:fldChar w:fldCharType="begin"/>
      </w:r>
      <w:r>
        <w:instrText xml:space="preserve"> PAGEREF _Toc380393692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w:t>
      </w:r>
    </w:p>
    <w:p>
      <w:pPr>
        <w:pStyle w:val="TOC4"/>
        <w:tabs>
          <w:tab w:val="right" w:leader="dot" w:pos="7086"/>
        </w:tabs>
        <w:rPr>
          <w:rFonts w:asciiTheme="minorHAnsi" w:eastAsiaTheme="minorEastAsia" w:hAnsiTheme="minorHAnsi" w:cstheme="minorBidi"/>
          <w:b w:val="0"/>
          <w:szCs w:val="22"/>
        </w:rPr>
      </w:pPr>
      <w:r>
        <w:t>Division 1 — Investigation</w:t>
      </w:r>
    </w:p>
    <w:p>
      <w:pPr>
        <w:pStyle w:val="TOC8"/>
        <w:rPr>
          <w:rFonts w:asciiTheme="minorHAnsi" w:eastAsiaTheme="minorEastAsia" w:hAnsiTheme="minorHAnsi" w:cstheme="minorBidi"/>
          <w:szCs w:val="22"/>
        </w:rPr>
      </w:pPr>
      <w:r>
        <w:t>33.</w:t>
      </w:r>
      <w:r>
        <w:tab/>
        <w:t>Authority has investigative role</w:t>
      </w:r>
      <w:r>
        <w:tab/>
      </w:r>
      <w:r>
        <w:fldChar w:fldCharType="begin"/>
      </w:r>
      <w:r>
        <w:instrText xml:space="preserve"> PAGEREF _Toc380393695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Imposition of civil penalties</w:t>
      </w:r>
    </w:p>
    <w:p>
      <w:pPr>
        <w:pStyle w:val="TOC8"/>
        <w:rPr>
          <w:rFonts w:asciiTheme="minorHAnsi" w:eastAsiaTheme="minorEastAsia" w:hAnsiTheme="minorHAnsi" w:cstheme="minorBidi"/>
          <w:szCs w:val="22"/>
        </w:rPr>
      </w:pPr>
      <w:r>
        <w:t>34.</w:t>
      </w:r>
      <w:r>
        <w:tab/>
        <w:t>Civil penalty provisions and penalty amounts</w:t>
      </w:r>
      <w:r>
        <w:tab/>
      </w:r>
      <w:r>
        <w:fldChar w:fldCharType="begin"/>
      </w:r>
      <w:r>
        <w:instrText xml:space="preserve"> PAGEREF _Toc380393697 \h </w:instrText>
      </w:r>
      <w:r>
        <w:fldChar w:fldCharType="separate"/>
      </w:r>
      <w:r>
        <w:t>23</w:t>
      </w:r>
      <w:r>
        <w:fldChar w:fldCharType="end"/>
      </w:r>
    </w:p>
    <w:p>
      <w:pPr>
        <w:pStyle w:val="TOC8"/>
        <w:rPr>
          <w:rFonts w:asciiTheme="minorHAnsi" w:eastAsiaTheme="minorEastAsia" w:hAnsiTheme="minorHAnsi" w:cstheme="minorBidi"/>
          <w:szCs w:val="22"/>
        </w:rPr>
      </w:pPr>
      <w:r>
        <w:t>35.</w:t>
      </w:r>
      <w:r>
        <w:tab/>
        <w:t>Daily amounts</w:t>
      </w:r>
      <w:r>
        <w:tab/>
      </w:r>
      <w:r>
        <w:fldChar w:fldCharType="begin"/>
      </w:r>
      <w:r>
        <w:instrText xml:space="preserve"> PAGEREF _Toc380393698 \h </w:instrText>
      </w:r>
      <w:r>
        <w:fldChar w:fldCharType="separate"/>
      </w:r>
      <w:r>
        <w:t>23</w:t>
      </w:r>
      <w:r>
        <w:fldChar w:fldCharType="end"/>
      </w:r>
    </w:p>
    <w:p>
      <w:pPr>
        <w:pStyle w:val="TOC8"/>
        <w:rPr>
          <w:rFonts w:asciiTheme="minorHAnsi" w:eastAsiaTheme="minorEastAsia" w:hAnsiTheme="minorHAnsi" w:cstheme="minorBidi"/>
          <w:szCs w:val="22"/>
        </w:rPr>
      </w:pPr>
      <w:r>
        <w:t>36.</w:t>
      </w:r>
      <w:r>
        <w:tab/>
        <w:t>Requirement for investigation</w:t>
      </w:r>
      <w:r>
        <w:tab/>
      </w:r>
      <w:r>
        <w:fldChar w:fldCharType="begin"/>
      </w:r>
      <w:r>
        <w:instrText xml:space="preserve"> PAGEREF _Toc380393699 \h </w:instrText>
      </w:r>
      <w:r>
        <w:fldChar w:fldCharType="separate"/>
      </w:r>
      <w:r>
        <w:t>24</w:t>
      </w:r>
      <w:r>
        <w:fldChar w:fldCharType="end"/>
      </w:r>
    </w:p>
    <w:p>
      <w:pPr>
        <w:pStyle w:val="TOC8"/>
        <w:rPr>
          <w:rFonts w:asciiTheme="minorHAnsi" w:eastAsiaTheme="minorEastAsia" w:hAnsiTheme="minorHAnsi" w:cstheme="minorBidi"/>
          <w:szCs w:val="22"/>
        </w:rPr>
      </w:pPr>
      <w:r>
        <w:t>37.</w:t>
      </w:r>
      <w:r>
        <w:tab/>
        <w:t>Warning notice</w:t>
      </w:r>
      <w:r>
        <w:tab/>
      </w:r>
      <w:r>
        <w:fldChar w:fldCharType="begin"/>
      </w:r>
      <w:r>
        <w:instrText xml:space="preserve"> PAGEREF _Toc380393700 \h </w:instrText>
      </w:r>
      <w:r>
        <w:fldChar w:fldCharType="separate"/>
      </w:r>
      <w:r>
        <w:t>24</w:t>
      </w:r>
      <w:r>
        <w:fldChar w:fldCharType="end"/>
      </w:r>
    </w:p>
    <w:p>
      <w:pPr>
        <w:pStyle w:val="TOC8"/>
        <w:rPr>
          <w:rFonts w:asciiTheme="minorHAnsi" w:eastAsiaTheme="minorEastAsia" w:hAnsiTheme="minorHAnsi" w:cstheme="minorBidi"/>
          <w:szCs w:val="22"/>
        </w:rPr>
      </w:pPr>
      <w:r>
        <w:t>38.</w:t>
      </w:r>
      <w:r>
        <w:tab/>
        <w:t>Authority may impose civil penalty</w:t>
      </w:r>
      <w:r>
        <w:tab/>
      </w:r>
      <w:r>
        <w:fldChar w:fldCharType="begin"/>
      </w:r>
      <w:r>
        <w:instrText xml:space="preserve"> PAGEREF _Toc380393701 \h </w:instrText>
      </w:r>
      <w:r>
        <w:fldChar w:fldCharType="separate"/>
      </w:r>
      <w:r>
        <w:t>24</w:t>
      </w:r>
      <w:r>
        <w:fldChar w:fldCharType="end"/>
      </w:r>
    </w:p>
    <w:p>
      <w:pPr>
        <w:pStyle w:val="TOC8"/>
        <w:rPr>
          <w:rFonts w:asciiTheme="minorHAnsi" w:eastAsiaTheme="minorEastAsia" w:hAnsiTheme="minorHAnsi" w:cstheme="minorBidi"/>
          <w:szCs w:val="22"/>
        </w:rPr>
      </w:pPr>
      <w:r>
        <w:t>39.</w:t>
      </w:r>
      <w:r>
        <w:tab/>
        <w:t>Board may order payment</w:t>
      </w:r>
      <w:r>
        <w:tab/>
      </w:r>
      <w:r>
        <w:fldChar w:fldCharType="begin"/>
      </w:r>
      <w:r>
        <w:instrText xml:space="preserve"> PAGEREF _Toc380393702 \h </w:instrText>
      </w:r>
      <w:r>
        <w:fldChar w:fldCharType="separate"/>
      </w:r>
      <w:r>
        <w:t>25</w:t>
      </w:r>
      <w:r>
        <w:fldChar w:fldCharType="end"/>
      </w:r>
    </w:p>
    <w:p>
      <w:pPr>
        <w:pStyle w:val="TOC8"/>
        <w:rPr>
          <w:rFonts w:asciiTheme="minorHAnsi" w:eastAsiaTheme="minorEastAsia" w:hAnsiTheme="minorHAnsi" w:cstheme="minorBidi"/>
          <w:szCs w:val="22"/>
        </w:rPr>
      </w:pPr>
      <w:r>
        <w:t>40.</w:t>
      </w:r>
      <w:r>
        <w:tab/>
        <w:t>Enforcement of order of Board</w:t>
      </w:r>
      <w:r>
        <w:tab/>
      </w:r>
      <w:r>
        <w:fldChar w:fldCharType="begin"/>
      </w:r>
      <w:r>
        <w:instrText xml:space="preserve"> PAGEREF _Toc380393703 \h </w:instrText>
      </w:r>
      <w:r>
        <w:fldChar w:fldCharType="separate"/>
      </w:r>
      <w:r>
        <w:t>26</w:t>
      </w:r>
      <w:r>
        <w:fldChar w:fldCharType="end"/>
      </w:r>
    </w:p>
    <w:p>
      <w:pPr>
        <w:pStyle w:val="TOC8"/>
        <w:rPr>
          <w:rFonts w:asciiTheme="minorHAnsi" w:eastAsiaTheme="minorEastAsia" w:hAnsiTheme="minorHAnsi" w:cstheme="minorBidi"/>
          <w:szCs w:val="22"/>
        </w:rPr>
      </w:pPr>
      <w:r>
        <w:t>41.</w:t>
      </w:r>
      <w:r>
        <w:tab/>
        <w:t>Civil penalties to be credited to Consolidated Account</w:t>
      </w:r>
      <w:r>
        <w:tab/>
      </w:r>
      <w:r>
        <w:fldChar w:fldCharType="begin"/>
      </w:r>
      <w:r>
        <w:instrText xml:space="preserve"> PAGEREF _Toc380393704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Review of civil penalty decisions</w:t>
      </w:r>
    </w:p>
    <w:p>
      <w:pPr>
        <w:pStyle w:val="TOC8"/>
        <w:rPr>
          <w:rFonts w:asciiTheme="minorHAnsi" w:eastAsiaTheme="minorEastAsia" w:hAnsiTheme="minorHAnsi" w:cstheme="minorBidi"/>
          <w:szCs w:val="22"/>
        </w:rPr>
      </w:pPr>
      <w:r>
        <w:t>42.</w:t>
      </w:r>
      <w:r>
        <w:tab/>
        <w:t>Review by Board</w:t>
      </w:r>
      <w:r>
        <w:tab/>
      </w:r>
      <w:r>
        <w:fldChar w:fldCharType="begin"/>
      </w:r>
      <w:r>
        <w:instrText xml:space="preserve"> PAGEREF _Toc380393706 \h </w:instrText>
      </w:r>
      <w:r>
        <w:fldChar w:fldCharType="separate"/>
      </w:r>
      <w:r>
        <w:t>27</w:t>
      </w:r>
      <w:r>
        <w:fldChar w:fldCharType="end"/>
      </w:r>
    </w:p>
    <w:p>
      <w:pPr>
        <w:pStyle w:val="TOC8"/>
        <w:rPr>
          <w:rFonts w:asciiTheme="minorHAnsi" w:eastAsiaTheme="minorEastAsia" w:hAnsiTheme="minorHAnsi" w:cstheme="minorBidi"/>
          <w:szCs w:val="22"/>
        </w:rPr>
      </w:pPr>
      <w:r>
        <w:t>43.</w:t>
      </w:r>
      <w:r>
        <w:tab/>
        <w:t>Application for review</w:t>
      </w:r>
      <w:r>
        <w:tab/>
      </w:r>
      <w:r>
        <w:fldChar w:fldCharType="begin"/>
      </w:r>
      <w:r>
        <w:instrText xml:space="preserve"> PAGEREF _Toc380393707 \h </w:instrText>
      </w:r>
      <w:r>
        <w:fldChar w:fldCharType="separate"/>
      </w:r>
      <w:r>
        <w:t>27</w:t>
      </w:r>
      <w:r>
        <w:fldChar w:fldCharType="end"/>
      </w:r>
    </w:p>
    <w:p>
      <w:pPr>
        <w:pStyle w:val="TOC8"/>
        <w:rPr>
          <w:rFonts w:asciiTheme="minorHAnsi" w:eastAsiaTheme="minorEastAsia" w:hAnsiTheme="minorHAnsi" w:cstheme="minorBidi"/>
          <w:szCs w:val="22"/>
        </w:rPr>
      </w:pPr>
      <w:r>
        <w:t>44.</w:t>
      </w:r>
      <w:r>
        <w:tab/>
        <w:t>Procedure on review</w:t>
      </w:r>
      <w:r>
        <w:tab/>
      </w:r>
      <w:r>
        <w:fldChar w:fldCharType="begin"/>
      </w:r>
      <w:r>
        <w:instrText xml:space="preserve"> PAGEREF _Toc380393708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 — Proceedings</w:t>
      </w:r>
    </w:p>
    <w:p>
      <w:pPr>
        <w:pStyle w:val="TOC8"/>
        <w:rPr>
          <w:rFonts w:asciiTheme="minorHAnsi" w:eastAsiaTheme="minorEastAsia" w:hAnsiTheme="minorHAnsi" w:cstheme="minorBidi"/>
          <w:szCs w:val="22"/>
        </w:rPr>
      </w:pPr>
      <w:r>
        <w:t>45.</w:t>
      </w:r>
      <w:r>
        <w:tab/>
        <w:t>Proceedings before Board</w:t>
      </w:r>
      <w:r>
        <w:tab/>
      </w:r>
      <w:r>
        <w:fldChar w:fldCharType="begin"/>
      </w:r>
      <w:r>
        <w:instrText xml:space="preserve"> PAGEREF _Toc380393710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Retention of records and documents</w:t>
      </w:r>
      <w:r>
        <w:tab/>
      </w:r>
      <w:r>
        <w:fldChar w:fldCharType="begin"/>
      </w:r>
      <w:r>
        <w:instrText xml:space="preserve"> PAGEREF _Toc380393712 \h </w:instrText>
      </w:r>
      <w:r>
        <w:fldChar w:fldCharType="separate"/>
      </w:r>
      <w:r>
        <w:t>29</w:t>
      </w:r>
      <w:r>
        <w:fldChar w:fldCharType="end"/>
      </w:r>
    </w:p>
    <w:p>
      <w:pPr>
        <w:pStyle w:val="TOC8"/>
        <w:rPr>
          <w:rFonts w:asciiTheme="minorHAnsi" w:eastAsiaTheme="minorEastAsia" w:hAnsiTheme="minorHAnsi" w:cstheme="minorBidi"/>
          <w:szCs w:val="22"/>
        </w:rPr>
      </w:pPr>
      <w:r>
        <w:t>47.</w:t>
      </w:r>
      <w:r>
        <w:tab/>
        <w:t>Exemption</w:t>
      </w:r>
      <w:r>
        <w:tab/>
      </w:r>
      <w:r>
        <w:fldChar w:fldCharType="begin"/>
      </w:r>
      <w:r>
        <w:instrText xml:space="preserve"> PAGEREF _Toc380393713 \h </w:instrText>
      </w:r>
      <w:r>
        <w:fldChar w:fldCharType="separate"/>
      </w:r>
      <w:r>
        <w:t>29</w:t>
      </w:r>
      <w:r>
        <w:fldChar w:fldCharType="end"/>
      </w:r>
    </w:p>
    <w:p>
      <w:pPr>
        <w:pStyle w:val="TOC8"/>
        <w:rPr>
          <w:rFonts w:asciiTheme="minorHAnsi" w:eastAsiaTheme="minorEastAsia" w:hAnsiTheme="minorHAnsi" w:cstheme="minorBidi"/>
          <w:szCs w:val="22"/>
        </w:rPr>
      </w:pPr>
      <w:r>
        <w:t>48.</w:t>
      </w:r>
      <w:r>
        <w:tab/>
        <w:t>Review of EGRC regulatory scheme</w:t>
      </w:r>
      <w:r>
        <w:tab/>
      </w:r>
      <w:r>
        <w:fldChar w:fldCharType="begin"/>
      </w:r>
      <w:r>
        <w:instrText xml:space="preserve"> PAGEREF _Toc380393714 \h </w:instrText>
      </w:r>
      <w:r>
        <w:fldChar w:fldCharType="separate"/>
      </w:r>
      <w:r>
        <w:t>29</w:t>
      </w:r>
      <w:r>
        <w:fldChar w:fldCharType="end"/>
      </w:r>
    </w:p>
    <w:p>
      <w:pPr>
        <w:pStyle w:val="TOC8"/>
        <w:rPr>
          <w:rFonts w:asciiTheme="minorHAnsi" w:eastAsiaTheme="minorEastAsia" w:hAnsiTheme="minorHAnsi" w:cstheme="minorBidi"/>
          <w:szCs w:val="22"/>
        </w:rPr>
      </w:pPr>
      <w:r>
        <w:t>49.</w:t>
      </w:r>
      <w:r>
        <w:tab/>
        <w:t>Deletion of commercially sensitive matters from Authority’s report</w:t>
      </w:r>
      <w:r>
        <w:tab/>
      </w:r>
      <w:r>
        <w:fldChar w:fldCharType="begin"/>
      </w:r>
      <w:r>
        <w:instrText xml:space="preserve"> PAGEREF _Toc380393715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Schedule 1 — Civil penalty provisions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_Toc380393718 \h </w:instrText>
      </w:r>
      <w:r>
        <w:fldChar w:fldCharType="separate"/>
      </w:r>
      <w:r>
        <w:t>32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1" w:name="_Toc38039364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0393649"/>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4" w:name="_Toc38039365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5" w:name="_Toc38039365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AASB 8</w:t>
      </w:r>
      <w:r>
        <w:t xml:space="preserve"> means Australian Accounting Standard AASB 8 </w:t>
      </w:r>
      <w:r>
        <w:rPr>
          <w:i/>
        </w:rPr>
        <w:t>Operating Segments</w:t>
      </w:r>
      <w:r>
        <w:t>, made under the Corporations Act section 334, as amended from time to time;</w:t>
      </w:r>
    </w:p>
    <w:p>
      <w:pPr>
        <w:pStyle w:val="Defstart"/>
      </w:pPr>
      <w:r>
        <w:tab/>
      </w:r>
      <w:r>
        <w:rPr>
          <w:rStyle w:val="CharDefText"/>
        </w:rPr>
        <w:t>applicable provision</w:t>
      </w:r>
      <w:r>
        <w:t xml:space="preserve"> means a provision of another written law, segregation arrangements, or market rules made under the </w:t>
      </w:r>
      <w:r>
        <w:rPr>
          <w:i/>
        </w:rPr>
        <w:t>Electricity Industry Act 2004</w:t>
      </w:r>
      <w:r>
        <w:t xml:space="preserve"> Part 9, that is expressed to apply to the foundation transfer price mechanism;</w:t>
      </w:r>
    </w:p>
    <w:p>
      <w:pPr>
        <w:pStyle w:val="Defstart"/>
      </w:pPr>
      <w:r>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52(2)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rStyle w:val="DraftersNotes"/>
        </w:rPr>
      </w:pPr>
      <w:r>
        <w:tab/>
      </w:r>
      <w:r>
        <w:rPr>
          <w:rStyle w:val="CharDefText"/>
        </w:rPr>
        <w:t>foundation transfer price</w:t>
      </w:r>
      <w:r>
        <w:t>, for a supply of electricity referred to in regulation 9(2)(a), means the price determined for that supply in accordance with the foundation transfer price mechanism;</w:t>
      </w:r>
    </w:p>
    <w:p>
      <w:pPr>
        <w:pStyle w:val="Defstart"/>
      </w:pPr>
      <w:r>
        <w:tab/>
      </w:r>
      <w:r>
        <w:rPr>
          <w:rStyle w:val="CharDefText"/>
        </w:rPr>
        <w:t>foundation transfer price mechanism</w:t>
      </w:r>
      <w:r>
        <w:t xml:space="preserve"> means the foundation transfer price mechanism given to the Minister under regulation 11(1), or any replacement foundation transfer price mechanism given to the Minister under regulation 11(3), as in force from time to time;</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generation restricted information</w:t>
      </w:r>
      <w:r>
        <w:t xml:space="preserve"> means information relating to a generation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generation competitor if disclosed to generation staff,</w:t>
      </w:r>
    </w:p>
    <w:p>
      <w:pPr>
        <w:pStyle w:val="Defstart"/>
      </w:pPr>
      <w:r>
        <w:tab/>
        <w:t xml:space="preserve">unless the information also relates to generating works (as defined in the </w:t>
      </w:r>
      <w:r>
        <w:rPr>
          <w:i/>
        </w:rPr>
        <w:t>Electricity Industry Act 2004</w:t>
      </w:r>
      <w:r>
        <w:t xml:space="preserve"> section 3) owned, controlled or operated by the EGRC;</w:t>
      </w:r>
    </w:p>
    <w:p>
      <w:pPr>
        <w:pStyle w:val="Defstart"/>
      </w:pPr>
      <w:r>
        <w:tab/>
      </w:r>
      <w:r>
        <w:rPr>
          <w:rStyle w:val="CharDefText"/>
        </w:rPr>
        <w:t>generation staff</w:t>
      </w:r>
      <w:r>
        <w:t xml:space="preserve"> means staff, other than shared services staff, who are involved in the conduct of the generation business;</w:t>
      </w:r>
    </w:p>
    <w:p>
      <w:pPr>
        <w:pStyle w:val="Defstart"/>
      </w:pPr>
      <w:r>
        <w:tab/>
      </w:r>
      <w:r>
        <w:rPr>
          <w:rStyle w:val="CharDefText"/>
        </w:rPr>
        <w:t>member of staff</w:t>
      </w:r>
      <w:r>
        <w:t xml:space="preserve"> has the meaning given in section 3(1) of the Act;</w:t>
      </w:r>
    </w:p>
    <w:p>
      <w:pPr>
        <w:pStyle w:val="Defstart"/>
      </w:pPr>
      <w:r>
        <w:tab/>
      </w:r>
      <w:r>
        <w:rPr>
          <w:rStyle w:val="CharDefText"/>
        </w:rPr>
        <w:t>merger time</w:t>
      </w:r>
      <w:r>
        <w:t xml:space="preserve"> has the meaning given in section 194 of the Act;</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restricted information</w:t>
      </w:r>
      <w:r>
        <w:t xml:space="preserve"> means generation restricted information or retail restricted information;</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pPr>
      <w:r>
        <w:tab/>
      </w:r>
      <w:r>
        <w:rPr>
          <w:rStyle w:val="CharDefText"/>
        </w:rPr>
        <w:t>wholesale staff</w:t>
      </w:r>
      <w:r>
        <w:t xml:space="preserve"> means staff, other than shared services staff, who are involved in the conduct of the wholesale business.</w:t>
      </w:r>
    </w:p>
    <w:p>
      <w:pPr>
        <w:pStyle w:val="Heading5"/>
      </w:pPr>
      <w:bookmarkStart w:id="6" w:name="_Toc380393652"/>
      <w:r>
        <w:rPr>
          <w:rStyle w:val="CharSectno"/>
        </w:rPr>
        <w:t>4</w:t>
      </w:r>
      <w:r>
        <w:t>.</w:t>
      </w:r>
      <w:r>
        <w:tab/>
        <w:t>New contestable customer arrangement</w:t>
      </w:r>
      <w:bookmarkEnd w:id="6"/>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the merger time.</w:t>
      </w:r>
    </w:p>
    <w:p>
      <w:pPr>
        <w:pStyle w:val="Subsection"/>
      </w:pPr>
      <w:r>
        <w:tab/>
        <w:t>(2)</w:t>
      </w:r>
      <w:r>
        <w:tab/>
        <w:t xml:space="preserve">Despite subregulation (1), an arrangement is not a new contestable customer arrangement if — </w:t>
      </w:r>
    </w:p>
    <w:p>
      <w:pPr>
        <w:pStyle w:val="Indenta"/>
      </w:pPr>
      <w:r>
        <w:tab/>
        <w:t>(a)</w:t>
      </w:r>
      <w:r>
        <w:tab/>
        <w:t>the arrangement becomes legally binding on the EGRC after the merger time as a result of the contestable customer accepting, on or before 31 March 2014 and without amendment, an offer for the retail supply of electricity that was made by the EGRC to the contestable customer before the merger time; or</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at the merger time, but is varied by agreement after the merger time, subregulation (1)(b) applies as if the arrangement became legally binding on the EGRC when the variation took effect.</w:t>
      </w:r>
    </w:p>
    <w:p>
      <w:pPr>
        <w:pStyle w:val="Heading2"/>
      </w:pPr>
      <w:bookmarkStart w:id="7" w:name="_Toc380393653"/>
      <w:r>
        <w:rPr>
          <w:rStyle w:val="CharPartNo"/>
        </w:rPr>
        <w:t>Part 2</w:t>
      </w:r>
      <w:r>
        <w:t> — </w:t>
      </w:r>
      <w:r>
        <w:rPr>
          <w:rStyle w:val="CharPartText"/>
        </w:rPr>
        <w:t>Segregation</w:t>
      </w:r>
      <w:bookmarkEnd w:id="7"/>
    </w:p>
    <w:p>
      <w:pPr>
        <w:pStyle w:val="Heading3"/>
      </w:pPr>
      <w:bookmarkStart w:id="8" w:name="_Toc380393654"/>
      <w:r>
        <w:rPr>
          <w:rStyle w:val="CharDivNo"/>
        </w:rPr>
        <w:t>Division 1</w:t>
      </w:r>
      <w:r>
        <w:t> — </w:t>
      </w:r>
      <w:r>
        <w:rPr>
          <w:rStyle w:val="CharDivText"/>
        </w:rPr>
        <w:t>Segmentation of EGRC operations</w:t>
      </w:r>
      <w:bookmarkEnd w:id="8"/>
    </w:p>
    <w:p>
      <w:pPr>
        <w:pStyle w:val="Heading5"/>
      </w:pPr>
      <w:bookmarkStart w:id="9" w:name="_Toc380393655"/>
      <w:r>
        <w:rPr>
          <w:rStyle w:val="CharSectno"/>
        </w:rPr>
        <w:t>5</w:t>
      </w:r>
      <w:r>
        <w:t>.</w:t>
      </w:r>
      <w:r>
        <w:tab/>
        <w:t>Division of EGRC operations into segments</w:t>
      </w:r>
      <w:bookmarkEnd w:id="9"/>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tab/>
        <w:t>(4)</w:t>
      </w:r>
      <w:r>
        <w:tab/>
        <w:t>The EGRC must keep a record of the details of the segments required under subregulation (1) and of any changes to those segments.</w:t>
      </w:r>
    </w:p>
    <w:p>
      <w:pPr>
        <w:pStyle w:val="Heading3"/>
      </w:pPr>
      <w:bookmarkStart w:id="10" w:name="_Toc380393656"/>
      <w:r>
        <w:rPr>
          <w:rStyle w:val="CharDivNo"/>
        </w:rPr>
        <w:t>Division 2</w:t>
      </w:r>
      <w:r>
        <w:t> — </w:t>
      </w:r>
      <w:r>
        <w:rPr>
          <w:rStyle w:val="CharDivText"/>
        </w:rPr>
        <w:t>Financial administration</w:t>
      </w:r>
      <w:bookmarkEnd w:id="10"/>
    </w:p>
    <w:p>
      <w:pPr>
        <w:pStyle w:val="Heading4"/>
      </w:pPr>
      <w:bookmarkStart w:id="11" w:name="_Toc380393657"/>
      <w:r>
        <w:t>Subdivision 1 — Reporting</w:t>
      </w:r>
      <w:bookmarkEnd w:id="11"/>
    </w:p>
    <w:p>
      <w:pPr>
        <w:pStyle w:val="Heading5"/>
      </w:pPr>
      <w:bookmarkStart w:id="12" w:name="_Toc380393658"/>
      <w:r>
        <w:rPr>
          <w:rStyle w:val="CharSectno"/>
        </w:rPr>
        <w:t>6</w:t>
      </w:r>
      <w:r>
        <w:t>.</w:t>
      </w:r>
      <w:r>
        <w:tab/>
        <w:t>Quarterly statements of financial performance</w:t>
      </w:r>
      <w:bookmarkEnd w:id="12"/>
    </w:p>
    <w:p>
      <w:pPr>
        <w:pStyle w:val="Subsection"/>
      </w:pPr>
      <w:r>
        <w:tab/>
        <w:t>(1)</w:t>
      </w:r>
      <w:r>
        <w:tab/>
        <w:t>The EGRC must ensure that each quarterly report under section 106 of the Act includes a separate statement of financial performance for each EGRC business unit for the quarter to which the report relates.</w:t>
      </w:r>
    </w:p>
    <w:p>
      <w:pPr>
        <w:pStyle w:val="Subsection"/>
      </w:pPr>
      <w:r>
        <w:tab/>
        <w:t>(2)</w:t>
      </w:r>
      <w:r>
        <w:tab/>
        <w:t>The EGRC must ensure that the separate statements of financial performance are prepared in accordance with AASB 8.</w:t>
      </w:r>
    </w:p>
    <w:p>
      <w:pPr>
        <w:pStyle w:val="Heading5"/>
      </w:pPr>
      <w:bookmarkStart w:id="13" w:name="_Toc380393659"/>
      <w:r>
        <w:rPr>
          <w:rStyle w:val="CharSectno"/>
        </w:rPr>
        <w:t>7</w:t>
      </w:r>
      <w:r>
        <w:t>.</w:t>
      </w:r>
      <w:r>
        <w:tab/>
        <w:t>Application of AASB 8</w:t>
      </w:r>
      <w:bookmarkEnd w:id="13"/>
    </w:p>
    <w:p>
      <w:pPr>
        <w:pStyle w:val="Subsection"/>
      </w:pPr>
      <w:r>
        <w:tab/>
        <w:t>(1)</w:t>
      </w:r>
      <w:r>
        <w:tab/>
        <w:t xml:space="preserve">In this regulation — </w:t>
      </w:r>
    </w:p>
    <w:p>
      <w:pPr>
        <w:pStyle w:val="Defstart"/>
      </w:pPr>
      <w:r>
        <w:tab/>
      </w:r>
      <w:r>
        <w:rPr>
          <w:rStyle w:val="CharDefText"/>
        </w:rPr>
        <w:t>operating segment</w:t>
      </w:r>
      <w:r>
        <w:t xml:space="preserve"> has the meaning given in AASB 8.</w:t>
      </w:r>
    </w:p>
    <w:p>
      <w:pPr>
        <w:pStyle w:val="Subsection"/>
      </w:pPr>
      <w:r>
        <w:tab/>
        <w:t>(2)</w:t>
      </w:r>
      <w:r>
        <w:tab/>
        <w:t xml:space="preserve">Each EGRC business unit is to be regarded as an operating segment for the purposes of the application of AASB 8 — </w:t>
      </w:r>
    </w:p>
    <w:p>
      <w:pPr>
        <w:pStyle w:val="Indenta"/>
      </w:pPr>
      <w:r>
        <w:tab/>
        <w:t>(a)</w:t>
      </w:r>
      <w:r>
        <w:tab/>
        <w:t>under regulation 6(2) to the separate statements of financial performance; and</w:t>
      </w:r>
    </w:p>
    <w:p>
      <w:pPr>
        <w:pStyle w:val="Indenta"/>
      </w:pPr>
      <w:r>
        <w:tab/>
        <w:t>(b)</w:t>
      </w:r>
      <w:r>
        <w:tab/>
        <w:t>under Schedule 4 clause 8(1) of the Act to the financial reports of the EGRC.</w:t>
      </w:r>
    </w:p>
    <w:p>
      <w:pPr>
        <w:pStyle w:val="Heading4"/>
      </w:pPr>
      <w:bookmarkStart w:id="14" w:name="_Toc380393660"/>
      <w:r>
        <w:t>Subdivision 2 — Arrangements and records in respect of certain transactions</w:t>
      </w:r>
      <w:bookmarkEnd w:id="14"/>
    </w:p>
    <w:p>
      <w:pPr>
        <w:pStyle w:val="Heading5"/>
      </w:pPr>
      <w:bookmarkStart w:id="15" w:name="_Toc380393661"/>
      <w:r>
        <w:rPr>
          <w:rStyle w:val="CharSectno"/>
        </w:rPr>
        <w:t>8</w:t>
      </w:r>
      <w:r>
        <w:t>.</w:t>
      </w:r>
      <w:r>
        <w:tab/>
        <w:t>Transactions</w:t>
      </w:r>
      <w:bookmarkEnd w:id="15"/>
    </w:p>
    <w:p>
      <w:pPr>
        <w:pStyle w:val="Subsection"/>
      </w:pPr>
      <w:r>
        <w:tab/>
      </w:r>
      <w:r>
        <w:tab/>
        <w:t xml:space="preserve">In this Subdivision — </w:t>
      </w:r>
    </w:p>
    <w:p>
      <w:pPr>
        <w:pStyle w:val="Indenta"/>
      </w:pPr>
      <w:r>
        <w:tab/>
        <w:t>(a)</w:t>
      </w:r>
      <w:r>
        <w:tab/>
        <w:t>a reference to a supply transaction is a reference to a transaction between the wholesale business unit and the retail business unit for the wholesale supply of electricity to the retail business unit; and</w:t>
      </w:r>
    </w:p>
    <w:p>
      <w:pPr>
        <w:pStyle w:val="Indenta"/>
      </w:pPr>
      <w:r>
        <w:tab/>
        <w:t>(b)</w:t>
      </w:r>
      <w:r>
        <w:tab/>
        <w:t>a reference to a products transaction is a reference to a transaction between the wholesale business unit and the retail business unit for the supply of wholesale products to the retail business unit.</w:t>
      </w:r>
    </w:p>
    <w:p>
      <w:pPr>
        <w:pStyle w:val="Heading5"/>
      </w:pPr>
      <w:bookmarkStart w:id="16" w:name="_Toc380393662"/>
      <w:r>
        <w:rPr>
          <w:rStyle w:val="CharSectno"/>
        </w:rPr>
        <w:t>9</w:t>
      </w:r>
      <w:r>
        <w:t>.</w:t>
      </w:r>
      <w:r>
        <w:tab/>
        <w:t>Supply arrangements</w:t>
      </w:r>
      <w:bookmarkEnd w:id="16"/>
    </w:p>
    <w:p>
      <w:pPr>
        <w:pStyle w:val="Subsection"/>
      </w:pPr>
      <w:r>
        <w:tab/>
        <w:t>(1)</w:t>
      </w:r>
      <w:r>
        <w:tab/>
        <w:t>Before any supply transaction for the purposes of a retail supply of electricity to a customer (otherwise than under a new contestable customer arrangement) is entered into, the EGRC must have in place a written arrangement that set outs the terms and conditions that are to apply to supply transactions of that kind.</w:t>
      </w:r>
    </w:p>
    <w:p>
      <w:pPr>
        <w:pStyle w:val="Subsection"/>
      </w:pPr>
      <w:r>
        <w:tab/>
        <w:t>(2)</w:t>
      </w:r>
      <w:r>
        <w:tab/>
        <w:t xml:space="preserve">The written arrangement referred to in subregulation (1) must — </w:t>
      </w:r>
    </w:p>
    <w:p>
      <w:pPr>
        <w:pStyle w:val="Indenta"/>
      </w:pPr>
      <w:r>
        <w:tab/>
        <w:t>(a)</w:t>
      </w:r>
      <w:r>
        <w:tab/>
        <w:t>state that the transfer price for a wholesale supply of electricity under a supply transaction to which the arrangement applies is the foundation transfer price for that supply; and</w:t>
      </w:r>
    </w:p>
    <w:p>
      <w:pPr>
        <w:pStyle w:val="Indenta"/>
      </w:pPr>
      <w:r>
        <w:tab/>
        <w:t>(b)</w:t>
      </w:r>
      <w:r>
        <w:tab/>
        <w:t>comply with segregation arrangements and wholesale arrangements.</w:t>
      </w:r>
    </w:p>
    <w:p>
      <w:pPr>
        <w:pStyle w:val="Subsection"/>
      </w:pPr>
      <w:r>
        <w:tab/>
        <w:t>(3)</w:t>
      </w:r>
      <w:r>
        <w:tab/>
        <w: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t>
      </w:r>
    </w:p>
    <w:p>
      <w:pPr>
        <w:pStyle w:val="Subsection"/>
      </w:pPr>
      <w:r>
        <w:tab/>
        <w:t>(4)</w:t>
      </w:r>
      <w:r>
        <w:tab/>
        <w:t xml:space="preserve">A written arrangement referred to in subregulation (3) must — </w:t>
      </w:r>
    </w:p>
    <w:p>
      <w:pPr>
        <w:pStyle w:val="Indenta"/>
      </w:pPr>
      <w:r>
        <w:tab/>
        <w:t>(a)</w:t>
      </w:r>
      <w:r>
        <w:tab/>
        <w:t>set out, or include a mechanism for determining, the transfer price for a wholesale supply of electricity under a supply transaction to which the arrangement applies; and</w:t>
      </w:r>
    </w:p>
    <w:p>
      <w:pPr>
        <w:pStyle w:val="Indenta"/>
      </w:pPr>
      <w:r>
        <w:tab/>
        <w:t>(b)</w:t>
      </w:r>
      <w:r>
        <w:tab/>
        <w:t>comply with Part 3 Division 1, segregation arrangements and wholesale arrangements.</w:t>
      </w:r>
    </w:p>
    <w:p>
      <w:pPr>
        <w:pStyle w:val="Subsection"/>
      </w:pPr>
      <w:r>
        <w:tab/>
        <w:t>(5)</w:t>
      </w:r>
      <w:r>
        <w:tab/>
        <w:t>For the purposes of subregulations (1) and (3), a supply transaction is entered into for the purposes of a retail supply of electricity whether or not that retail supply of electricity actually occurs.</w:t>
      </w:r>
    </w:p>
    <w:p>
      <w:pPr>
        <w:pStyle w:val="Subsection"/>
      </w:pPr>
      <w:r>
        <w:tab/>
        <w:t>(6)</w:t>
      </w:r>
      <w:r>
        <w:tab/>
        <w:t>Before any products transaction is entered into, the EGRC must have in place one or more written arrangements that set out the terms and conditions that are to apply to products transactions.</w:t>
      </w:r>
    </w:p>
    <w:p>
      <w:pPr>
        <w:pStyle w:val="Subsection"/>
      </w:pPr>
      <w:r>
        <w:tab/>
        <w:t>(7)</w:t>
      </w:r>
      <w:r>
        <w:tab/>
        <w:t>A written arrangement referred to in subregulation (6) must comply with segregation arrangements and wholesale arrangements.</w:t>
      </w:r>
    </w:p>
    <w:p>
      <w:pPr>
        <w:pStyle w:val="Heading5"/>
      </w:pPr>
      <w:bookmarkStart w:id="17" w:name="_Toc380393663"/>
      <w:r>
        <w:rPr>
          <w:rStyle w:val="CharSectno"/>
        </w:rPr>
        <w:t>10</w:t>
      </w:r>
      <w:r>
        <w:t>.</w:t>
      </w:r>
      <w:r>
        <w:tab/>
        <w:t>Records of transactions</w:t>
      </w:r>
      <w:bookmarkEnd w:id="17"/>
    </w:p>
    <w:p>
      <w:pPr>
        <w:pStyle w:val="Subsection"/>
      </w:pPr>
      <w:r>
        <w:tab/>
      </w:r>
      <w:r>
        <w:tab/>
        <w:t>The EGRC must keep records of each supply transaction and each products transaction.</w:t>
      </w:r>
    </w:p>
    <w:p>
      <w:pPr>
        <w:pStyle w:val="Heading4"/>
      </w:pPr>
      <w:bookmarkStart w:id="18" w:name="_Toc380393664"/>
      <w:r>
        <w:t>Subdivision 3 — Foundation transfer price mechanism</w:t>
      </w:r>
      <w:bookmarkEnd w:id="18"/>
    </w:p>
    <w:p>
      <w:pPr>
        <w:pStyle w:val="Heading5"/>
      </w:pPr>
      <w:bookmarkStart w:id="19" w:name="_Toc380393665"/>
      <w:r>
        <w:rPr>
          <w:rStyle w:val="CharSectno"/>
        </w:rPr>
        <w:t>11</w:t>
      </w:r>
      <w:r>
        <w:t>.</w:t>
      </w:r>
      <w:r>
        <w:tab/>
        <w:t>Foundation transfer price mechanism</w:t>
      </w:r>
      <w:bookmarkEnd w:id="19"/>
    </w:p>
    <w:p>
      <w:pPr>
        <w:pStyle w:val="Subsection"/>
      </w:pPr>
      <w:r>
        <w:tab/>
        <w:t>(1)</w:t>
      </w:r>
      <w:r>
        <w:tab/>
        <w:t xml:space="preserve">The EGRC must — </w:t>
      </w:r>
    </w:p>
    <w:p>
      <w:pPr>
        <w:pStyle w:val="Indenta"/>
      </w:pPr>
      <w:r>
        <w:tab/>
        <w:t>(a)</w:t>
      </w:r>
      <w:r>
        <w:tab/>
        <w:t xml:space="preserve">prepare an instrument (the </w:t>
      </w:r>
      <w:r>
        <w:rPr>
          <w:rStyle w:val="CharDefText"/>
        </w:rPr>
        <w:t>foundation transfer price mechanism</w:t>
      </w:r>
      <w:r>
        <w:t>) that sets out the means by which the foundation transfer price is to be determined; and</w:t>
      </w:r>
    </w:p>
    <w:p>
      <w:pPr>
        <w:pStyle w:val="Indenta"/>
      </w:pPr>
      <w:r>
        <w:tab/>
        <w:t>(b)</w:t>
      </w:r>
      <w:r>
        <w:tab/>
        <w:t>give the foundation transfer price mechanism to the Minister.</w:t>
      </w:r>
    </w:p>
    <w:p>
      <w:pPr>
        <w:pStyle w:val="Subsection"/>
      </w:pPr>
      <w:r>
        <w:tab/>
        <w:t>(2)</w:t>
      </w:r>
      <w:r>
        <w:tab/>
        <w:t>The foundation transfer price mechanism given to the Minister under subregulation (1) comes into force when it is given to the Minister and remains in force until 30 June 2017 or a later day approved in writing by the Minister.</w:t>
      </w:r>
    </w:p>
    <w:p>
      <w:pPr>
        <w:pStyle w:val="Subsection"/>
      </w:pPr>
      <w:r>
        <w:tab/>
        <w:t>(3)</w:t>
      </w:r>
      <w:r>
        <w:tab/>
        <w:t xml:space="preserve">At least 6 months before the day on which the foundation transfer price mechanism given to the Minister under subregulation (1), or any replacement foundation transfer price mechanism given to the Minister under this subregulation, is to expire, the EGRC must — </w:t>
      </w:r>
    </w:p>
    <w:p>
      <w:pPr>
        <w:pStyle w:val="Indenta"/>
      </w:pPr>
      <w:r>
        <w:tab/>
        <w:t>(a)</w:t>
      </w:r>
      <w:r>
        <w:tab/>
        <w:t>prepare a replacement foundation transfer price mechanism; and</w:t>
      </w:r>
    </w:p>
    <w:p>
      <w:pPr>
        <w:pStyle w:val="Indenta"/>
      </w:pPr>
      <w:r>
        <w:tab/>
        <w:t>(b)</w:t>
      </w:r>
      <w:r>
        <w:tab/>
        <w:t>give the replacement foundation transfer price mechanism to the Minister.</w:t>
      </w:r>
    </w:p>
    <w:p>
      <w:pPr>
        <w:pStyle w:val="Subsection"/>
      </w:pPr>
      <w:r>
        <w:tab/>
        <w:t>(4)</w:t>
      </w:r>
      <w:r>
        <w:tab/>
        <w:t xml:space="preserve">A replacement foundation transfer price mechanism given to the Minister under subregulation (3) — </w:t>
      </w:r>
    </w:p>
    <w:p>
      <w:pPr>
        <w:pStyle w:val="Indenta"/>
      </w:pPr>
      <w:r>
        <w:tab/>
        <w:t>(a)</w:t>
      </w:r>
      <w:r>
        <w:tab/>
        <w:t>comes into force on the day after the day on which the previous foundation transfer price mechanism expires; and</w:t>
      </w:r>
    </w:p>
    <w:p>
      <w:pPr>
        <w:pStyle w:val="Indenta"/>
      </w:pPr>
      <w:r>
        <w:tab/>
        <w:t>(b)</w:t>
      </w:r>
      <w:r>
        <w:tab/>
        <w:t>remains in force for a period of 3 years or a longer period approved in writing by the Minister.</w:t>
      </w:r>
    </w:p>
    <w:p>
      <w:pPr>
        <w:pStyle w:val="Subsection"/>
      </w:pPr>
      <w:r>
        <w:tab/>
        <w:t>(5)</w:t>
      </w:r>
      <w:r>
        <w:tab/>
        <w:t>The EGRC must ensure that the foundation transfer price mechanism given to the Minister under subregulation (1), and any replacement foundation transfer price mechanism given to the Minister under subregulation (3), complies with each applicable provision.</w:t>
      </w:r>
    </w:p>
    <w:p>
      <w:pPr>
        <w:pStyle w:val="Heading5"/>
      </w:pPr>
      <w:bookmarkStart w:id="20" w:name="_Toc380393666"/>
      <w:r>
        <w:rPr>
          <w:rStyle w:val="CharSectno"/>
        </w:rPr>
        <w:t>12</w:t>
      </w:r>
      <w:r>
        <w:t>.</w:t>
      </w:r>
      <w:r>
        <w:tab/>
        <w:t>Revision of foundation transfer price mechanism</w:t>
      </w:r>
      <w:bookmarkEnd w:id="20"/>
    </w:p>
    <w:p>
      <w:pPr>
        <w:pStyle w:val="Subsection"/>
      </w:pPr>
      <w:r>
        <w:tab/>
        <w:t>(1)</w:t>
      </w:r>
      <w:r>
        <w:tab/>
        <w:t xml:space="preserve">If an applicable provision comes into operation or is amended or repealed, the EGRC must as soon as practicable — </w:t>
      </w:r>
    </w:p>
    <w:p>
      <w:pPr>
        <w:pStyle w:val="Indenta"/>
      </w:pPr>
      <w:r>
        <w:tab/>
        <w:t>(a)</w:t>
      </w:r>
      <w:r>
        <w:tab/>
        <w:t>revise the foundation transfer price mechanism to the extent necessary to ensure that it complies with each applicable provision; and</w:t>
      </w:r>
    </w:p>
    <w:p>
      <w:pPr>
        <w:pStyle w:val="Indenta"/>
      </w:pPr>
      <w:r>
        <w:tab/>
        <w:t>(b)</w:t>
      </w:r>
      <w:r>
        <w:tab/>
        <w:t>give the revised foundation transfer price mechanism to the Minister.</w:t>
      </w:r>
    </w:p>
    <w:p>
      <w:pPr>
        <w:pStyle w:val="Subsection"/>
      </w:pPr>
      <w:r>
        <w:tab/>
        <w:t>(2)</w:t>
      </w:r>
      <w:r>
        <w:tab/>
        <w:t xml:space="preserve">The EGRC may at any time — </w:t>
      </w:r>
    </w:p>
    <w:p>
      <w:pPr>
        <w:pStyle w:val="Indenta"/>
      </w:pPr>
      <w:r>
        <w:tab/>
        <w:t>(a)</w:t>
      </w:r>
      <w:r>
        <w:tab/>
        <w:t>revise the foundation transfer price mechanism to make a change of a minor or technical nature; and</w:t>
      </w:r>
    </w:p>
    <w:p>
      <w:pPr>
        <w:pStyle w:val="Indenta"/>
      </w:pPr>
      <w:r>
        <w:tab/>
        <w:t>(b)</w:t>
      </w:r>
      <w:r>
        <w:tab/>
        <w:t>give the revised foundation transfer price mechanism to the Minister.</w:t>
      </w:r>
    </w:p>
    <w:p>
      <w:pPr>
        <w:pStyle w:val="Subsection"/>
      </w:pPr>
      <w:r>
        <w:tab/>
        <w:t>(3)</w:t>
      </w:r>
      <w:r>
        <w:tab/>
        <w:t>A revision of the foundation transfer price mechanism under subregulation (1) or (2) comes into force when it is given to the Minister.</w:t>
      </w:r>
    </w:p>
    <w:p>
      <w:pPr>
        <w:pStyle w:val="Subsection"/>
      </w:pPr>
      <w:r>
        <w:tab/>
        <w:t>(4)</w:t>
      </w:r>
      <w:r>
        <w:tab/>
        <w:t>A revision of the foundation transfer price mechanism under subregulation (1) or (2) does not affect the day on which the foundation transfer price mechanism expires.</w:t>
      </w:r>
    </w:p>
    <w:p>
      <w:pPr>
        <w:pStyle w:val="Subsection"/>
      </w:pPr>
      <w:r>
        <w:tab/>
        <w:t>(5)</w:t>
      </w:r>
      <w:r>
        <w:tab/>
        <w:t>The EGRC must not revise the foundation transfer price mechanism otherwise than in accordance with subregulation (1) or (2).</w:t>
      </w:r>
    </w:p>
    <w:p>
      <w:pPr>
        <w:pStyle w:val="Heading3"/>
      </w:pPr>
      <w:bookmarkStart w:id="21" w:name="_Toc380393667"/>
      <w:r>
        <w:rPr>
          <w:rStyle w:val="CharDivNo"/>
        </w:rPr>
        <w:t>Division 3</w:t>
      </w:r>
      <w:r>
        <w:t> — </w:t>
      </w:r>
      <w:r>
        <w:rPr>
          <w:rStyle w:val="CharDivText"/>
        </w:rPr>
        <w:t>Other segregation obligations</w:t>
      </w:r>
      <w:bookmarkEnd w:id="21"/>
    </w:p>
    <w:p>
      <w:pPr>
        <w:pStyle w:val="Heading5"/>
      </w:pPr>
      <w:bookmarkStart w:id="22" w:name="_Toc380393668"/>
      <w:r>
        <w:rPr>
          <w:rStyle w:val="CharSectno"/>
        </w:rPr>
        <w:t>13</w:t>
      </w:r>
      <w:r>
        <w:t>.</w:t>
      </w:r>
      <w:r>
        <w:tab/>
        <w:t>Disclosure of restricted information</w:t>
      </w:r>
      <w:bookmarkEnd w:id="22"/>
    </w:p>
    <w:p>
      <w:pPr>
        <w:pStyle w:val="Subsection"/>
      </w:pPr>
      <w:r>
        <w:tab/>
        <w:t>(1)</w:t>
      </w:r>
      <w:r>
        <w:tab/>
        <w:t xml:space="preserve">The EGRC must ensure that — </w:t>
      </w:r>
    </w:p>
    <w:p>
      <w:pPr>
        <w:pStyle w:val="Indenta"/>
      </w:pPr>
      <w:r>
        <w:tab/>
        <w:t>(a)</w:t>
      </w:r>
      <w:r>
        <w:tab/>
        <w:t>retail restricted information is not disclosed to retail staff; and</w:t>
      </w:r>
    </w:p>
    <w:p>
      <w:pPr>
        <w:pStyle w:val="Indenta"/>
      </w:pPr>
      <w:r>
        <w:tab/>
        <w:t>(b)</w:t>
      </w:r>
      <w:r>
        <w:tab/>
        <w:t>generation restricted information is not disclosed to generation staff.</w:t>
      </w:r>
    </w:p>
    <w:p>
      <w:pPr>
        <w:pStyle w:val="Subsection"/>
      </w:pPr>
      <w:r>
        <w:tab/>
        <w:t>(2)</w:t>
      </w:r>
      <w:r>
        <w:tab/>
        <w:t xml:space="preserve">The EGRC is not required to comply with subregulation (1) if — </w:t>
      </w:r>
    </w:p>
    <w:p>
      <w:pPr>
        <w:pStyle w:val="Indenta"/>
      </w:pPr>
      <w:r>
        <w:tab/>
        <w:t>(a)</w:t>
      </w:r>
      <w:r>
        <w:tab/>
        <w:t>the restricted information is publicly available at the time the disclosure is made; or</w:t>
      </w:r>
    </w:p>
    <w:p>
      <w:pPr>
        <w:pStyle w:val="Indenta"/>
      </w:pPr>
      <w:r>
        <w:tab/>
        <w:t>(b)</w:t>
      </w:r>
      <w:r>
        <w:tab/>
        <w:t>the disclosure of the restricted information is required by law.</w:t>
      </w:r>
    </w:p>
    <w:p>
      <w:pPr>
        <w:pStyle w:val="Heading5"/>
      </w:pPr>
      <w:bookmarkStart w:id="23" w:name="_Toc380393669"/>
      <w:r>
        <w:rPr>
          <w:rStyle w:val="CharSectno"/>
        </w:rPr>
        <w:t>14</w:t>
      </w:r>
      <w:r>
        <w:t>.</w:t>
      </w:r>
      <w:r>
        <w:tab/>
        <w:t>Information technology access controls</w:t>
      </w:r>
      <w:bookmarkEnd w:id="23"/>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24" w:name="_Toc380393670"/>
      <w:r>
        <w:rPr>
          <w:rStyle w:val="CharSectno"/>
        </w:rPr>
        <w:t>15</w:t>
      </w:r>
      <w:r>
        <w:t>.</w:t>
      </w:r>
      <w:r>
        <w:tab/>
        <w:t>Training</w:t>
      </w:r>
      <w:bookmarkEnd w:id="24"/>
    </w:p>
    <w:p>
      <w:pPr>
        <w:pStyle w:val="Subsection"/>
      </w:pPr>
      <w:r>
        <w:tab/>
        <w:t>(1)</w:t>
      </w:r>
      <w:r>
        <w:tab/>
        <w:t>The EGRC must develop, implement and maintain appropriate policies, procedures and systems for the purpose of ensuring that staff who receive or have access to 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Heading5"/>
      </w:pPr>
      <w:bookmarkStart w:id="25" w:name="_Toc380393671"/>
      <w:r>
        <w:rPr>
          <w:rStyle w:val="CharSectno"/>
        </w:rPr>
        <w:t>16</w:t>
      </w:r>
      <w:r>
        <w:t>.</w:t>
      </w:r>
      <w:r>
        <w:tab/>
        <w:t>Separate work areas</w:t>
      </w:r>
      <w:bookmarkEnd w:id="25"/>
    </w:p>
    <w:p>
      <w:pPr>
        <w:pStyle w:val="Subsection"/>
      </w:pPr>
      <w:r>
        <w:tab/>
        <w:t>(1)</w:t>
      </w:r>
      <w:r>
        <w:tab/>
        <w:t>The EGRC must ensure that wholesale staff who have access to restricted information occupy work areas that are separate from work areas occupied by generation staff or retail staff.</w:t>
      </w:r>
    </w:p>
    <w:p>
      <w:pPr>
        <w:pStyle w:val="Subsection"/>
      </w:pPr>
      <w:r>
        <w:tab/>
        <w:t>(2)</w:t>
      </w:r>
      <w:r>
        <w:tab/>
        <w:t>For the purposes of subregulation (1), work areas are separate from work areas occupied by generation staff or retail staff if the work areas are protected by controls that prevent generation staff and retail staff from entering them.</w:t>
      </w:r>
    </w:p>
    <w:p>
      <w:pPr>
        <w:pStyle w:val="Heading5"/>
      </w:pPr>
      <w:bookmarkStart w:id="26" w:name="_Toc380393672"/>
      <w:r>
        <w:rPr>
          <w:rStyle w:val="CharSectno"/>
        </w:rPr>
        <w:t>17</w:t>
      </w:r>
      <w:r>
        <w:t>.</w:t>
      </w:r>
      <w:r>
        <w:tab/>
        <w:t>Separation of management roles</w:t>
      </w:r>
      <w:bookmarkEnd w:id="26"/>
    </w:p>
    <w:p>
      <w:pPr>
        <w:pStyle w:val="Subsection"/>
      </w:pPr>
      <w:r>
        <w:tab/>
        <w:t>(1)</w:t>
      </w:r>
      <w:r>
        <w:tab/>
        <w:t xml:space="preserve">In this regulation — </w:t>
      </w:r>
    </w:p>
    <w:p>
      <w:pPr>
        <w:pStyle w:val="Defstart"/>
      </w:pPr>
      <w:r>
        <w:tab/>
      </w:r>
      <w:r>
        <w:rPr>
          <w:rStyle w:val="CharDefText"/>
        </w:rPr>
        <w:t>member of staff</w:t>
      </w:r>
      <w:r>
        <w:t xml:space="preserve"> does not include a member of shared services staff.</w:t>
      </w:r>
    </w:p>
    <w:p>
      <w:pPr>
        <w:pStyle w:val="Subsection"/>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Heading3"/>
      </w:pPr>
      <w:bookmarkStart w:id="27" w:name="_Toc380393673"/>
      <w:r>
        <w:rPr>
          <w:rStyle w:val="CharDivNo"/>
        </w:rPr>
        <w:t>Division 4</w:t>
      </w:r>
      <w:r>
        <w:t> — </w:t>
      </w:r>
      <w:r>
        <w:rPr>
          <w:rStyle w:val="CharDivText"/>
        </w:rPr>
        <w:t>Segregation arrangements</w:t>
      </w:r>
      <w:bookmarkEnd w:id="27"/>
    </w:p>
    <w:p>
      <w:pPr>
        <w:pStyle w:val="Heading5"/>
      </w:pPr>
      <w:bookmarkStart w:id="28" w:name="_Toc380393674"/>
      <w:r>
        <w:rPr>
          <w:rStyle w:val="CharSectno"/>
        </w:rPr>
        <w:t>18</w:t>
      </w:r>
      <w:r>
        <w:t>.</w:t>
      </w:r>
      <w:r>
        <w:tab/>
        <w:t>Minister may approve arrangements</w:t>
      </w:r>
      <w:bookmarkEnd w:id="28"/>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29" w:name="_Toc380393675"/>
      <w:r>
        <w:rPr>
          <w:rStyle w:val="CharSectno"/>
        </w:rPr>
        <w:t>19</w:t>
      </w:r>
      <w:r>
        <w:t>.</w:t>
      </w:r>
      <w:r>
        <w:tab/>
        <w:t>Commencement of segregation arrangements</w:t>
      </w:r>
      <w:bookmarkEnd w:id="29"/>
    </w:p>
    <w:p>
      <w:pPr>
        <w:pStyle w:val="Subsection"/>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30" w:name="_Toc380393676"/>
      <w:r>
        <w:rPr>
          <w:rStyle w:val="CharSectno"/>
        </w:rPr>
        <w:t>20</w:t>
      </w:r>
      <w:r>
        <w:t>.</w:t>
      </w:r>
      <w:r>
        <w:tab/>
        <w:t>Amendment or repeal of segregation arrangements</w:t>
      </w:r>
      <w:bookmarkEnd w:id="30"/>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31" w:name="_Toc380393677"/>
      <w:r>
        <w:rPr>
          <w:rStyle w:val="CharPartNo"/>
        </w:rPr>
        <w:t>Part 3</w:t>
      </w:r>
      <w:r>
        <w:t> — </w:t>
      </w:r>
      <w:r>
        <w:rPr>
          <w:rStyle w:val="CharPartText"/>
        </w:rPr>
        <w:t>Wholesale acquisition or supply of electricity</w:t>
      </w:r>
      <w:bookmarkEnd w:id="31"/>
    </w:p>
    <w:p>
      <w:pPr>
        <w:pStyle w:val="Heading3"/>
      </w:pPr>
      <w:bookmarkStart w:id="32" w:name="_Toc380393678"/>
      <w:r>
        <w:rPr>
          <w:rStyle w:val="CharDivNo"/>
        </w:rPr>
        <w:t>Division 1</w:t>
      </w:r>
      <w:r>
        <w:t> — </w:t>
      </w:r>
      <w:r>
        <w:rPr>
          <w:rStyle w:val="CharDivText"/>
        </w:rPr>
        <w:t>Wholesaling obligations</w:t>
      </w:r>
      <w:bookmarkEnd w:id="32"/>
    </w:p>
    <w:p>
      <w:pPr>
        <w:pStyle w:val="Heading5"/>
      </w:pPr>
      <w:bookmarkStart w:id="33" w:name="_Toc380393679"/>
      <w:r>
        <w:rPr>
          <w:rStyle w:val="CharSectno"/>
        </w:rPr>
        <w:t>21</w:t>
      </w:r>
      <w:r>
        <w:t>.</w:t>
      </w:r>
      <w:r>
        <w:tab/>
        <w:t>Wholesale supply to retail business unit</w:t>
      </w:r>
      <w:bookmarkEnd w:id="33"/>
    </w:p>
    <w:p>
      <w:pPr>
        <w:pStyle w:val="Subsection"/>
      </w:pPr>
      <w:r>
        <w:tab/>
      </w:r>
      <w:r>
        <w:tab/>
        <w:t>In this Division a reference to a wholesale supply of electricity to the retail business unit is a reference to a supply of electricity under a supply transaction to which a written arrangement referred to in regulation 9(3) applies.</w:t>
      </w:r>
    </w:p>
    <w:p>
      <w:pPr>
        <w:pStyle w:val="Heading5"/>
      </w:pPr>
      <w:bookmarkStart w:id="34" w:name="_Toc380393680"/>
      <w:r>
        <w:rPr>
          <w:rStyle w:val="CharSectno"/>
        </w:rPr>
        <w:t>22</w:t>
      </w:r>
      <w:r>
        <w:t>.</w:t>
      </w:r>
      <w:r>
        <w:tab/>
        <w:t>EGRC not to discriminate between retail business unit and competitors when offering wholesale supply</w:t>
      </w:r>
      <w:bookmarkEnd w:id="34"/>
    </w:p>
    <w:p>
      <w:pPr>
        <w:pStyle w:val="Subsection"/>
      </w:pPr>
      <w:r>
        <w:tab/>
      </w:r>
      <w:r>
        <w:tab/>
        <w:t xml:space="preserve">The EGRC must ensure that — </w:t>
      </w:r>
    </w:p>
    <w:p>
      <w:pPr>
        <w:pStyle w:val="Indenta"/>
      </w:pPr>
      <w:r>
        <w:tab/>
        <w:t>(a)</w:t>
      </w:r>
      <w:r>
        <w:tab/>
        <w: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t>
      </w:r>
    </w:p>
    <w:p>
      <w:pPr>
        <w:pStyle w:val="Indenta"/>
      </w:pPr>
      <w:r>
        <w:tab/>
        <w:t>(b)</w:t>
      </w:r>
      <w:r>
        <w:tab/>
        <w:t>the financial interests of the retail business unit are not taken into account in determining the terms and conditions on which a wholesale supply of electricity is offered to retail competitors or generation competitors.</w:t>
      </w:r>
    </w:p>
    <w:p>
      <w:pPr>
        <w:pStyle w:val="Heading5"/>
      </w:pPr>
      <w:bookmarkStart w:id="35" w:name="_Toc380393681"/>
      <w:r>
        <w:rPr>
          <w:rStyle w:val="CharSectno"/>
        </w:rPr>
        <w:t>23</w:t>
      </w:r>
      <w:r>
        <w:t>.</w:t>
      </w:r>
      <w:r>
        <w:tab/>
        <w:t>Policy for determining terms and conditions for wholesale supply of electricity</w:t>
      </w:r>
      <w:bookmarkEnd w:id="35"/>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36" w:name="_Toc380393682"/>
      <w:r>
        <w:rPr>
          <w:rStyle w:val="CharSectno"/>
        </w:rPr>
        <w:t>24</w:t>
      </w:r>
      <w:r>
        <w:t>.</w:t>
      </w:r>
      <w:r>
        <w:tab/>
        <w:t>Requests for wholesale supply of electricity</w:t>
      </w:r>
      <w:bookmarkEnd w:id="36"/>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37" w:name="_Toc380393683"/>
      <w:r>
        <w:rPr>
          <w:rStyle w:val="CharSectno"/>
        </w:rPr>
        <w:t>25</w:t>
      </w:r>
      <w:r>
        <w:t>.</w:t>
      </w:r>
      <w:r>
        <w:tab/>
        <w:t>Records</w:t>
      </w:r>
      <w:bookmarkEnd w:id="37"/>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38" w:name="_Toc380393684"/>
      <w:r>
        <w:rPr>
          <w:rStyle w:val="CharDivNo"/>
        </w:rPr>
        <w:t>Division 2</w:t>
      </w:r>
      <w:r>
        <w:t> — </w:t>
      </w:r>
      <w:r>
        <w:rPr>
          <w:rStyle w:val="CharDivText"/>
        </w:rPr>
        <w:t>Wholesale arrangements</w:t>
      </w:r>
      <w:bookmarkEnd w:id="38"/>
    </w:p>
    <w:p>
      <w:pPr>
        <w:pStyle w:val="Heading5"/>
      </w:pPr>
      <w:bookmarkStart w:id="39" w:name="_Toc380393685"/>
      <w:r>
        <w:rPr>
          <w:rStyle w:val="CharSectno"/>
        </w:rPr>
        <w:t>26</w:t>
      </w:r>
      <w:r>
        <w:t>.</w:t>
      </w:r>
      <w:r>
        <w:tab/>
        <w:t>Minister may approve arrangements</w:t>
      </w:r>
      <w:bookmarkEnd w:id="39"/>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40" w:name="_Toc380393686"/>
      <w:r>
        <w:rPr>
          <w:rStyle w:val="CharSectno"/>
        </w:rPr>
        <w:t>27</w:t>
      </w:r>
      <w:r>
        <w:t>.</w:t>
      </w:r>
      <w:r>
        <w:tab/>
        <w:t>Commencement of wholesale arrangements</w:t>
      </w:r>
      <w:bookmarkEnd w:id="40"/>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41" w:name="_Toc380393687"/>
      <w:r>
        <w:rPr>
          <w:rStyle w:val="CharSectno"/>
        </w:rPr>
        <w:t>28</w:t>
      </w:r>
      <w:r>
        <w:t>.</w:t>
      </w:r>
      <w:r>
        <w:tab/>
        <w:t>Amendment or repeal of wholesale arrangements</w:t>
      </w:r>
      <w:bookmarkEnd w:id="41"/>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42" w:name="_Toc380393688"/>
      <w:r>
        <w:rPr>
          <w:rStyle w:val="CharPartNo"/>
        </w:rPr>
        <w:t>Part 4</w:t>
      </w:r>
      <w:r>
        <w:rPr>
          <w:rStyle w:val="CharDivNo"/>
        </w:rPr>
        <w:t> </w:t>
      </w:r>
      <w:r>
        <w:t>—</w:t>
      </w:r>
      <w:r>
        <w:rPr>
          <w:rStyle w:val="CharDivText"/>
        </w:rPr>
        <w:t> </w:t>
      </w:r>
      <w:r>
        <w:rPr>
          <w:rStyle w:val="CharPartText"/>
        </w:rPr>
        <w:t>Audit</w:t>
      </w:r>
      <w:bookmarkEnd w:id="42"/>
    </w:p>
    <w:p>
      <w:pPr>
        <w:pStyle w:val="Heading5"/>
      </w:pPr>
      <w:bookmarkStart w:id="43" w:name="_Toc380393689"/>
      <w:r>
        <w:rPr>
          <w:rStyle w:val="CharSectno"/>
        </w:rPr>
        <w:t>29</w:t>
      </w:r>
      <w:r>
        <w:t>.</w:t>
      </w:r>
      <w:r>
        <w:tab/>
        <w:t>Audit: financial year</w:t>
      </w:r>
      <w:bookmarkEnd w:id="43"/>
    </w:p>
    <w:p>
      <w:pPr>
        <w:pStyle w:val="Subsection"/>
      </w:pPr>
      <w:r>
        <w:tab/>
        <w:t>(1)</w:t>
      </w:r>
      <w:r>
        <w:tab/>
        <w:t xml:space="preserve">As soon as practicable after the end of each financial year the Auditor General must conduct an audit of the EGRC’s operations in the financial year for the purposes of examining the EGRC’s compliance with the following — </w:t>
      </w:r>
    </w:p>
    <w:p>
      <w:pPr>
        <w:pStyle w:val="Indenta"/>
      </w:pPr>
      <w:r>
        <w:tab/>
        <w:t>(a)</w:t>
      </w:r>
      <w:r>
        <w:tab/>
        <w:t>Part 2 Divisions 1 and 2 and segregation arrangements;</w:t>
      </w:r>
    </w:p>
    <w:p>
      <w:pPr>
        <w:pStyle w:val="Indenta"/>
      </w:pPr>
      <w:r>
        <w:tab/>
        <w:t>(b)</w:t>
      </w:r>
      <w:r>
        <w:tab/>
        <w:t>Part 3 Division 1 and wholesale arrangements.</w:t>
      </w:r>
    </w:p>
    <w:p>
      <w:pPr>
        <w:pStyle w:val="Subsection"/>
      </w:pPr>
      <w:r>
        <w:tab/>
        <w:t>(2)</w:t>
      </w:r>
      <w:r>
        <w:tab/>
        <w:t>For the purposes of the first audit conducted under subregulation (1), the period beginning at the merger time and ending on 30 June 2014 is to be taken to be a financial year.</w:t>
      </w:r>
    </w:p>
    <w:p>
      <w:pPr>
        <w:pStyle w:val="Subsection"/>
      </w:pPr>
      <w:r>
        <w:tab/>
        <w:t>(3)</w:t>
      </w:r>
      <w:r>
        <w:tab/>
        <w:t xml:space="preserve">The Auditor General must form an opinion about the following — </w:t>
      </w:r>
    </w:p>
    <w:p>
      <w:pPr>
        <w:pStyle w:val="Indenta"/>
      </w:pPr>
      <w:r>
        <w:tab/>
        <w:t>(a)</w:t>
      </w:r>
      <w:r>
        <w:tab/>
        <w:t>whether the EGRC has complied with Part 2 Divisions 1 and 2 and segregation arrangements;</w:t>
      </w:r>
    </w:p>
    <w:p>
      <w:pPr>
        <w:pStyle w:val="Indenta"/>
      </w:pPr>
      <w:r>
        <w:tab/>
        <w:t>(b)</w:t>
      </w:r>
      <w:r>
        <w:tab/>
        <w:t>whether the EGRC has complied with Part 3 Division 1 and wholesale arrangements.</w:t>
      </w:r>
    </w:p>
    <w:p>
      <w:pPr>
        <w:pStyle w:val="Heading5"/>
      </w:pPr>
      <w:bookmarkStart w:id="44" w:name="_Toc380393690"/>
      <w:r>
        <w:rPr>
          <w:rStyle w:val="CharSectno"/>
        </w:rPr>
        <w:t>30</w:t>
      </w:r>
      <w:r>
        <w:t>.</w:t>
      </w:r>
      <w:r>
        <w:tab/>
        <w:t>Audit: calendar year</w:t>
      </w:r>
      <w:bookmarkEnd w:id="44"/>
    </w:p>
    <w:p>
      <w:pPr>
        <w:pStyle w:val="Subsection"/>
      </w:pPr>
      <w:r>
        <w:tab/>
        <w:t>(1)</w:t>
      </w:r>
      <w:r>
        <w:tab/>
        <w:t>As soon as practicable after 31 December each year the Auditor General must conduct an audit of the EGRC’s operations in the year for the purposes of examining the EGRC’s compliance with Part 2 Division 3.</w:t>
      </w:r>
    </w:p>
    <w:p>
      <w:pPr>
        <w:pStyle w:val="Subsection"/>
      </w:pPr>
      <w:r>
        <w:tab/>
        <w:t>(2)</w:t>
      </w:r>
      <w:r>
        <w:tab/>
        <w:t>The Auditor General must form an opinion about whether the EGRC has complied with Part 2 Division 3.</w:t>
      </w:r>
    </w:p>
    <w:p>
      <w:pPr>
        <w:pStyle w:val="Heading5"/>
      </w:pPr>
      <w:bookmarkStart w:id="45" w:name="_Toc380393691"/>
      <w:r>
        <w:rPr>
          <w:rStyle w:val="CharSectno"/>
        </w:rPr>
        <w:t>31</w:t>
      </w:r>
      <w:r>
        <w:t>.</w:t>
      </w:r>
      <w:r>
        <w:tab/>
        <w:t>Reports on audit</w:t>
      </w:r>
      <w:bookmarkEnd w:id="45"/>
    </w:p>
    <w:p>
      <w:pPr>
        <w:pStyle w:val="Subsection"/>
      </w:pPr>
      <w:r>
        <w:tab/>
        <w:t>(1)</w:t>
      </w:r>
      <w:r>
        <w:tab/>
        <w:t xml:space="preserve">The Auditor General must give the Minister a report on each audit conducted under regulation 29(1) or 30(1) and include in the report details of — </w:t>
      </w:r>
    </w:p>
    <w:p>
      <w:pPr>
        <w:pStyle w:val="Indenta"/>
      </w:pPr>
      <w:r>
        <w:tab/>
        <w:t>(a)</w:t>
      </w:r>
      <w:r>
        <w:tab/>
        <w:t>the opinion formed under regulation 29(3) or 30(2), as the case requires; and</w:t>
      </w:r>
    </w:p>
    <w:p>
      <w:pPr>
        <w:pStyle w:val="Indenta"/>
      </w:pPr>
      <w:r>
        <w:tab/>
        <w:t>(b)</w:t>
      </w:r>
      <w:r>
        <w:tab/>
        <w:t>any deficiency, failure or shortcoming in respect of the matters referred to in regulation 29(3) or 30(2), as the case requires.</w:t>
      </w:r>
    </w:p>
    <w:p>
      <w:pPr>
        <w:pStyle w:val="Subsection"/>
      </w:pPr>
      <w:r>
        <w:tab/>
        <w:t>(2)</w:t>
      </w:r>
      <w:r>
        <w:tab/>
        <w:t>The Auditor General must give a copy of the report to the board of the EGRC and to the Authority as soon as practicable after the report is given to the Minister.</w:t>
      </w:r>
    </w:p>
    <w:p>
      <w:pPr>
        <w:pStyle w:val="Subsection"/>
      </w:pPr>
      <w:r>
        <w:tab/>
        <w:t>(3)</w:t>
      </w:r>
      <w:r>
        <w:tab/>
        <w:t>The Minister must cause a copy of the report to be laid before each House of Parliament within 21 sitting days of that House after the day on which the Minister receives the report.</w:t>
      </w:r>
    </w:p>
    <w:p>
      <w:pPr>
        <w:pStyle w:val="Heading5"/>
      </w:pPr>
      <w:bookmarkStart w:id="46" w:name="_Toc380393692"/>
      <w:r>
        <w:rPr>
          <w:rStyle w:val="CharSectno"/>
        </w:rPr>
        <w:t>32</w:t>
      </w:r>
      <w:r>
        <w:t>.</w:t>
      </w:r>
      <w:r>
        <w:tab/>
        <w:t>Deletion of commercially sensitive matters from Auditor General’s report</w:t>
      </w:r>
      <w:bookmarkEnd w:id="46"/>
    </w:p>
    <w:p>
      <w:pPr>
        <w:pStyle w:val="Subsection"/>
      </w:pPr>
      <w:r>
        <w:tab/>
        <w:t>(1)</w:t>
      </w:r>
      <w:r>
        <w:tab/>
        <w:t>The board of the EGRC may request the Minister to delete a matter that is of a commercially sensitive nature from a copy of a report that is to be laid before a House of Parliament under regulation 31(3).</w:t>
      </w:r>
    </w:p>
    <w:p>
      <w:pPr>
        <w:pStyle w:val="Subsection"/>
      </w:pPr>
      <w:r>
        <w:tab/>
        <w:t>(2)</w:t>
      </w:r>
      <w:r>
        <w:tab/>
        <w:t>The Minister may, despite regulation 31(3), comply with a request under subregulation (1).</w:t>
      </w:r>
    </w:p>
    <w:p>
      <w:pPr>
        <w:pStyle w:val="Subsection"/>
      </w:pPr>
      <w:r>
        <w:tab/>
        <w:t>(3)</w:t>
      </w:r>
      <w:r>
        <w:tab/>
        <w:t>If the Minister complies with a request under subregulation (1) the copy of the report is to include a statement that a matter has been deleted from it under this regulation.</w:t>
      </w:r>
    </w:p>
    <w:p>
      <w:pPr>
        <w:pStyle w:val="Heading2"/>
      </w:pPr>
      <w:bookmarkStart w:id="47" w:name="_Toc380393693"/>
      <w:r>
        <w:rPr>
          <w:rStyle w:val="CharPartNo"/>
        </w:rPr>
        <w:t>Part 5</w:t>
      </w:r>
      <w:r>
        <w:t> — </w:t>
      </w:r>
      <w:r>
        <w:rPr>
          <w:rStyle w:val="CharPartText"/>
        </w:rPr>
        <w:t>Enforcement</w:t>
      </w:r>
      <w:bookmarkEnd w:id="47"/>
    </w:p>
    <w:p>
      <w:pPr>
        <w:pStyle w:val="Heading3"/>
      </w:pPr>
      <w:bookmarkStart w:id="48" w:name="_Toc380393694"/>
      <w:r>
        <w:rPr>
          <w:rStyle w:val="CharDivNo"/>
        </w:rPr>
        <w:t>Division 1</w:t>
      </w:r>
      <w:r>
        <w:t> — </w:t>
      </w:r>
      <w:r>
        <w:rPr>
          <w:rStyle w:val="CharDivText"/>
        </w:rPr>
        <w:t>Investigation</w:t>
      </w:r>
      <w:bookmarkEnd w:id="48"/>
    </w:p>
    <w:p>
      <w:pPr>
        <w:pStyle w:val="Heading5"/>
      </w:pPr>
      <w:bookmarkStart w:id="49" w:name="_Toc380393695"/>
      <w:r>
        <w:rPr>
          <w:rStyle w:val="CharSectno"/>
        </w:rPr>
        <w:t>33</w:t>
      </w:r>
      <w:r>
        <w:t>.</w:t>
      </w:r>
      <w:r>
        <w:tab/>
        <w:t>Authority has investigative role</w:t>
      </w:r>
      <w:bookmarkEnd w:id="49"/>
    </w:p>
    <w:p>
      <w:pPr>
        <w:pStyle w:val="Subsection"/>
      </w:pPr>
      <w:r>
        <w:tab/>
      </w:r>
      <w:r>
        <w:tab/>
        <w:t>If the Auditor General has formed an opinion, as detailed in a report under regulation 31, that the EGRC has not complied with one or more provisions of the EGRC regulatory scheme, it is a function of the Authority to investigate the matter.</w:t>
      </w:r>
    </w:p>
    <w:p>
      <w:pPr>
        <w:pStyle w:val="Heading3"/>
      </w:pPr>
      <w:bookmarkStart w:id="50" w:name="_Toc380393696"/>
      <w:r>
        <w:rPr>
          <w:rStyle w:val="CharDivNo"/>
        </w:rPr>
        <w:t>Division 2</w:t>
      </w:r>
      <w:r>
        <w:t> — </w:t>
      </w:r>
      <w:r>
        <w:rPr>
          <w:rStyle w:val="CharDivText"/>
        </w:rPr>
        <w:t>Imposition of civil penalties</w:t>
      </w:r>
      <w:bookmarkEnd w:id="50"/>
    </w:p>
    <w:p>
      <w:pPr>
        <w:pStyle w:val="Heading5"/>
      </w:pPr>
      <w:bookmarkStart w:id="51" w:name="_Toc380393697"/>
      <w:r>
        <w:rPr>
          <w:rStyle w:val="CharSectno"/>
        </w:rPr>
        <w:t>34</w:t>
      </w:r>
      <w:r>
        <w:t>.</w:t>
      </w:r>
      <w:r>
        <w:tab/>
        <w:t>Civil penalty provisions and penalty amounts</w:t>
      </w:r>
      <w:bookmarkEnd w:id="51"/>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52" w:name="_Toc380393698"/>
      <w:r>
        <w:rPr>
          <w:rStyle w:val="CharSectno"/>
        </w:rPr>
        <w:t>35</w:t>
      </w:r>
      <w:r>
        <w:t>.</w:t>
      </w:r>
      <w:r>
        <w:tab/>
        <w:t>Daily amounts</w:t>
      </w:r>
      <w:bookmarkEnd w:id="52"/>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53" w:name="_Toc380393699"/>
      <w:r>
        <w:rPr>
          <w:rStyle w:val="CharSectno"/>
        </w:rPr>
        <w:t>36</w:t>
      </w:r>
      <w:r>
        <w:t>.</w:t>
      </w:r>
      <w:r>
        <w:tab/>
        <w:t>Requirement for investigation</w:t>
      </w:r>
      <w:bookmarkEnd w:id="53"/>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54" w:name="_Toc380393700"/>
      <w:r>
        <w:rPr>
          <w:rStyle w:val="CharSectno"/>
        </w:rPr>
        <w:t>37</w:t>
      </w:r>
      <w:r>
        <w:t>.</w:t>
      </w:r>
      <w:r>
        <w:tab/>
        <w:t>Warning notice</w:t>
      </w:r>
      <w:bookmarkEnd w:id="54"/>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55" w:name="_Toc380393701"/>
      <w:r>
        <w:rPr>
          <w:rStyle w:val="CharSectno"/>
        </w:rPr>
        <w:t>38</w:t>
      </w:r>
      <w:r>
        <w:t>.</w:t>
      </w:r>
      <w:r>
        <w:tab/>
        <w:t>Authority may impose civil penalty</w:t>
      </w:r>
      <w:bookmarkEnd w:id="55"/>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56" w:name="_Toc380393702"/>
      <w:r>
        <w:rPr>
          <w:rStyle w:val="CharSectno"/>
        </w:rPr>
        <w:t>39</w:t>
      </w:r>
      <w:r>
        <w:t>.</w:t>
      </w:r>
      <w:r>
        <w:tab/>
        <w:t>Board may order payment</w:t>
      </w:r>
      <w:bookmarkEnd w:id="56"/>
    </w:p>
    <w:p>
      <w:pPr>
        <w:pStyle w:val="Subsection"/>
      </w:pPr>
      <w:r>
        <w:tab/>
        <w:t>(1)</w:t>
      </w:r>
      <w:r>
        <w:tab/>
        <w:t xml:space="preserve">The Authority may apply to the Board for an order for the payment of a civil penalty specified in a notice given to the 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57" w:name="_Toc380393703"/>
      <w:r>
        <w:rPr>
          <w:rStyle w:val="CharSectno"/>
        </w:rPr>
        <w:t>40</w:t>
      </w:r>
      <w:r>
        <w:t>.</w:t>
      </w:r>
      <w:r>
        <w:tab/>
        <w:t>Enforcement of order of Board</w:t>
      </w:r>
      <w:bookmarkEnd w:id="57"/>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58" w:name="_Toc380393704"/>
      <w:r>
        <w:rPr>
          <w:rStyle w:val="CharSectno"/>
        </w:rPr>
        <w:t>41</w:t>
      </w:r>
      <w:r>
        <w:t>.</w:t>
      </w:r>
      <w:r>
        <w:tab/>
        <w:t>Civil penalties to be credited to Consolidated Account</w:t>
      </w:r>
      <w:bookmarkEnd w:id="58"/>
    </w:p>
    <w:p>
      <w:pPr>
        <w:pStyle w:val="Subsection"/>
      </w:pPr>
      <w:r>
        <w:tab/>
      </w:r>
      <w:r>
        <w:tab/>
        <w:t>A civil penalty paid to the Authority must be credited to the Consolidated Account.</w:t>
      </w:r>
    </w:p>
    <w:p>
      <w:pPr>
        <w:pStyle w:val="Heading3"/>
      </w:pPr>
      <w:bookmarkStart w:id="59" w:name="_Toc380393705"/>
      <w:r>
        <w:rPr>
          <w:rStyle w:val="CharDivNo"/>
        </w:rPr>
        <w:t>Division 3</w:t>
      </w:r>
      <w:r>
        <w:t> — </w:t>
      </w:r>
      <w:r>
        <w:rPr>
          <w:rStyle w:val="CharDivText"/>
        </w:rPr>
        <w:t>Review of civil penalty decisions</w:t>
      </w:r>
      <w:bookmarkEnd w:id="59"/>
    </w:p>
    <w:p>
      <w:pPr>
        <w:pStyle w:val="Heading5"/>
      </w:pPr>
      <w:bookmarkStart w:id="60" w:name="_Toc380393706"/>
      <w:r>
        <w:rPr>
          <w:rStyle w:val="CharSectno"/>
        </w:rPr>
        <w:t>42</w:t>
      </w:r>
      <w:r>
        <w:t>.</w:t>
      </w:r>
      <w:r>
        <w:tab/>
        <w:t>Review by Board</w:t>
      </w:r>
      <w:bookmarkEnd w:id="60"/>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61" w:name="_Toc380393707"/>
      <w:r>
        <w:rPr>
          <w:rStyle w:val="CharSectno"/>
        </w:rPr>
        <w:t>43</w:t>
      </w:r>
      <w:r>
        <w:t>.</w:t>
      </w:r>
      <w:r>
        <w:tab/>
        <w:t>Application for review</w:t>
      </w:r>
      <w:bookmarkEnd w:id="61"/>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62" w:name="_Toc380393708"/>
      <w:r>
        <w:rPr>
          <w:rStyle w:val="CharSectno"/>
        </w:rPr>
        <w:t>44</w:t>
      </w:r>
      <w:r>
        <w:t>.</w:t>
      </w:r>
      <w:r>
        <w:tab/>
        <w:t>Procedure on review</w:t>
      </w:r>
      <w:bookmarkEnd w:id="62"/>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63" w:name="_Toc380393709"/>
      <w:r>
        <w:rPr>
          <w:rStyle w:val="CharDivNo"/>
        </w:rPr>
        <w:t>Division 4</w:t>
      </w:r>
      <w:r>
        <w:t> — </w:t>
      </w:r>
      <w:r>
        <w:rPr>
          <w:rStyle w:val="CharDivText"/>
        </w:rPr>
        <w:t>Proceedings</w:t>
      </w:r>
      <w:bookmarkEnd w:id="63"/>
    </w:p>
    <w:p>
      <w:pPr>
        <w:pStyle w:val="Heading5"/>
      </w:pPr>
      <w:bookmarkStart w:id="64" w:name="_Toc380393710"/>
      <w:r>
        <w:rPr>
          <w:rStyle w:val="CharSectno"/>
        </w:rPr>
        <w:t>45</w:t>
      </w:r>
      <w:r>
        <w:t>.</w:t>
      </w:r>
      <w:r>
        <w:tab/>
        <w:t>Proceedings before Board</w:t>
      </w:r>
      <w:bookmarkEnd w:id="64"/>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65" w:name="_Toc380393711"/>
      <w:r>
        <w:rPr>
          <w:rStyle w:val="CharPartNo"/>
        </w:rPr>
        <w:t>Part 6</w:t>
      </w:r>
      <w:r>
        <w:rPr>
          <w:rStyle w:val="CharDivNo"/>
        </w:rPr>
        <w:t> </w:t>
      </w:r>
      <w:r>
        <w:t>—</w:t>
      </w:r>
      <w:r>
        <w:rPr>
          <w:rStyle w:val="CharDivText"/>
        </w:rPr>
        <w:t> </w:t>
      </w:r>
      <w:r>
        <w:rPr>
          <w:rStyle w:val="CharPartText"/>
        </w:rPr>
        <w:t>Miscellaneous</w:t>
      </w:r>
      <w:bookmarkEnd w:id="65"/>
    </w:p>
    <w:p>
      <w:pPr>
        <w:pStyle w:val="Heading5"/>
      </w:pPr>
      <w:bookmarkStart w:id="66" w:name="_Toc380393712"/>
      <w:r>
        <w:rPr>
          <w:rStyle w:val="CharSectno"/>
        </w:rPr>
        <w:t>46</w:t>
      </w:r>
      <w:r>
        <w:t>.</w:t>
      </w:r>
      <w:r>
        <w:tab/>
        <w:t>Retention of records and documents</w:t>
      </w:r>
      <w:bookmarkEnd w:id="66"/>
    </w:p>
    <w:p>
      <w:pPr>
        <w:pStyle w:val="Subsection"/>
      </w:pPr>
      <w:r>
        <w:tab/>
      </w:r>
      <w:r>
        <w:tab/>
        <w:t>The EGRC must ensure that each record or document created for the purposes of these regulations is retained for at least 7 years after its creation.</w:t>
      </w:r>
    </w:p>
    <w:p>
      <w:pPr>
        <w:pStyle w:val="Heading5"/>
      </w:pPr>
      <w:bookmarkStart w:id="67" w:name="_Toc380393713"/>
      <w:r>
        <w:rPr>
          <w:rStyle w:val="CharSectno"/>
        </w:rPr>
        <w:t>47</w:t>
      </w:r>
      <w:r>
        <w:t>.</w:t>
      </w:r>
      <w:r>
        <w:tab/>
        <w:t>Exemption</w:t>
      </w:r>
      <w:bookmarkEnd w:id="67"/>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68" w:name="_Toc380393714"/>
      <w:r>
        <w:rPr>
          <w:rStyle w:val="CharSectno"/>
        </w:rPr>
        <w:t>48</w:t>
      </w:r>
      <w:r>
        <w:t>.</w:t>
      </w:r>
      <w:r>
        <w:tab/>
        <w:t>Review of EGRC regulatory scheme</w:t>
      </w:r>
      <w:bookmarkEnd w:id="68"/>
    </w:p>
    <w:p>
      <w:pPr>
        <w:pStyle w:val="Subsection"/>
      </w:pPr>
      <w:r>
        <w:tab/>
        <w:t>(1)</w:t>
      </w:r>
      <w:r>
        <w:tab/>
        <w:t>At least once each year the Authority must carry out a review of the operation of the EGRC regulatory scheme for the purpose of assessing its effectiveness.</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Subsection"/>
      </w:pPr>
      <w:r>
        <w:tab/>
        <w:t>(3)</w:t>
      </w:r>
      <w:r>
        <w:tab/>
        <w:t>The Authority must give the Minister a report based on the review not later than 2 months after the review is completed.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Heading5"/>
      </w:pPr>
      <w:bookmarkStart w:id="69" w:name="_Toc380393715"/>
      <w:r>
        <w:rPr>
          <w:rStyle w:val="CharSectno"/>
        </w:rPr>
        <w:t>49</w:t>
      </w:r>
      <w:r>
        <w:t>.</w:t>
      </w:r>
      <w:r>
        <w:tab/>
        <w:t>Deletion of commercially sensitive matters from Authority’s report</w:t>
      </w:r>
      <w:bookmarkEnd w:id="69"/>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0" w:name="_Toc380393716"/>
      <w:r>
        <w:rPr>
          <w:rStyle w:val="CharSchNo"/>
        </w:rPr>
        <w:t>Schedule 1</w:t>
      </w:r>
      <w:r>
        <w:rPr>
          <w:rStyle w:val="CharSDivNo"/>
        </w:rPr>
        <w:t> </w:t>
      </w:r>
      <w:r>
        <w:t>—</w:t>
      </w:r>
      <w:bookmarkStart w:id="71" w:name="AutoSch"/>
      <w:bookmarkEnd w:id="71"/>
      <w:r>
        <w:rPr>
          <w:rStyle w:val="CharSDivText"/>
        </w:rPr>
        <w:t> </w:t>
      </w:r>
      <w:r>
        <w:rPr>
          <w:rStyle w:val="CharSchText"/>
        </w:rPr>
        <w:t>Civil penalty provisions</w:t>
      </w:r>
      <w:bookmarkEnd w:id="70"/>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2" w:name="_Toc380393717"/>
      <w:r>
        <w:t>Notes</w:t>
      </w:r>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(Electricity Generation and Retail Corporation) Regulations 2013</w:t>
      </w:r>
      <w:r>
        <w:rPr>
          <w:snapToGrid w:val="0"/>
        </w:rPr>
        <w:t xml:space="preserve">.  The following table contains information about those regulations. </w:t>
      </w:r>
    </w:p>
    <w:p>
      <w:pPr>
        <w:pStyle w:val="nHeading3"/>
      </w:pPr>
      <w:bookmarkStart w:id="73" w:name="_Toc380393718"/>
      <w:r>
        <w:t>Compilation table</w:t>
      </w:r>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Electricity Corporations (Electricity Generation and Retail Corporation) Regulations 2013</w:t>
            </w:r>
          </w:p>
        </w:tc>
        <w:tc>
          <w:tcPr>
            <w:tcW w:w="1276" w:type="dxa"/>
          </w:tcPr>
          <w:p>
            <w:pPr>
              <w:pStyle w:val="nTable"/>
              <w:spacing w:after="40"/>
              <w:rPr>
                <w:sz w:val="19"/>
              </w:rPr>
            </w:pPr>
            <w:r>
              <w:rPr>
                <w:sz w:val="19"/>
              </w:rPr>
              <w:t>27 Dec 2013 p. 6487</w:t>
            </w:r>
            <w:r>
              <w:rPr>
                <w:sz w:val="19"/>
              </w:rPr>
              <w:noBreakHyphen/>
              <w:t>523</w:t>
            </w:r>
          </w:p>
        </w:tc>
        <w:tc>
          <w:tcPr>
            <w:tcW w:w="2693" w:type="dxa"/>
          </w:tcPr>
          <w:p>
            <w:pPr>
              <w:pStyle w:val="nTable"/>
              <w:spacing w:after="40"/>
              <w:rPr>
                <w:sz w:val="19"/>
              </w:rPr>
            </w:pPr>
            <w:r>
              <w:rPr>
                <w:snapToGrid w:val="0"/>
                <w:spacing w:val="-2"/>
                <w:sz w:val="19"/>
              </w:rPr>
              <w:t>r. 1 and 2: 27 Dec  2013 (see r. 2(a));</w:t>
            </w:r>
            <w:r>
              <w:rPr>
                <w:snapToGrid w:val="0"/>
                <w:spacing w:val="-2"/>
                <w:sz w:val="19"/>
              </w:rPr>
              <w:br/>
              <w:t xml:space="preserve">Regulations other than r. 1 and 2: 1 Jan 2014 (see. r. 2(b) and </w:t>
            </w:r>
            <w:r>
              <w:rPr>
                <w:i/>
                <w:snapToGrid w:val="0"/>
                <w:spacing w:val="-2"/>
                <w:sz w:val="19"/>
              </w:rPr>
              <w:t>Gazette</w:t>
            </w:r>
            <w:r>
              <w:rPr>
                <w:snapToGrid w:val="0"/>
                <w:spacing w:val="-2"/>
                <w:sz w:val="19"/>
              </w:rPr>
              <w:t xml:space="preserve"> 27 Dec  2013 p. 6465)</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pgSz w:w="11906" w:h="16838"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(Electricity Generation and Retail Corporation)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Corporations (Electricity Generation and Retail Corporation)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Corporations (Electricity Generation and Retail Corporation)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Corporations (Electricity Generation and Retail Corporation) Regulations 2013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Corporations (Electricity Generation and Retail Corporation) Regulations 2013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(Electricity Generation and Retail Corporation) Regulations 2013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(Electricity Generation and Retail Corporation) Regulations 2013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Corporations (Electricity Generation and Retail Corporation)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Corporations (Electricity Generation and Retail Corporation)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8950BB"/>
    <w:multiLevelType w:val="hybridMultilevel"/>
    <w:tmpl w:val="2B4A30C4"/>
    <w:lvl w:ilvl="0" w:tplc="0C090001">
      <w:start w:val="1"/>
      <w:numFmt w:val="bullet"/>
      <w:lvlText w:val=""/>
      <w:lvlJc w:val="left"/>
      <w:pPr>
        <w:ind w:left="1596" w:hanging="360"/>
      </w:pPr>
      <w:rPr>
        <w:rFonts w:ascii="Symbol" w:hAnsi="Symbol" w:hint="default"/>
      </w:rPr>
    </w:lvl>
    <w:lvl w:ilvl="1" w:tplc="0C090003" w:tentative="1">
      <w:start w:val="1"/>
      <w:numFmt w:val="bullet"/>
      <w:lvlText w:val="o"/>
      <w:lvlJc w:val="left"/>
      <w:pPr>
        <w:ind w:left="2316" w:hanging="360"/>
      </w:pPr>
      <w:rPr>
        <w:rFonts w:ascii="Courier New" w:hAnsi="Courier New" w:cs="Courier New" w:hint="default"/>
      </w:rPr>
    </w:lvl>
    <w:lvl w:ilvl="2" w:tplc="0C090005" w:tentative="1">
      <w:start w:val="1"/>
      <w:numFmt w:val="bullet"/>
      <w:lvlText w:val=""/>
      <w:lvlJc w:val="left"/>
      <w:pPr>
        <w:ind w:left="3036" w:hanging="360"/>
      </w:pPr>
      <w:rPr>
        <w:rFonts w:ascii="Wingdings" w:hAnsi="Wingdings" w:hint="default"/>
      </w:rPr>
    </w:lvl>
    <w:lvl w:ilvl="3" w:tplc="0C090001" w:tentative="1">
      <w:start w:val="1"/>
      <w:numFmt w:val="bullet"/>
      <w:lvlText w:val=""/>
      <w:lvlJc w:val="left"/>
      <w:pPr>
        <w:ind w:left="3756" w:hanging="360"/>
      </w:pPr>
      <w:rPr>
        <w:rFonts w:ascii="Symbol" w:hAnsi="Symbol" w:hint="default"/>
      </w:rPr>
    </w:lvl>
    <w:lvl w:ilvl="4" w:tplc="0C090003" w:tentative="1">
      <w:start w:val="1"/>
      <w:numFmt w:val="bullet"/>
      <w:lvlText w:val="o"/>
      <w:lvlJc w:val="left"/>
      <w:pPr>
        <w:ind w:left="4476" w:hanging="360"/>
      </w:pPr>
      <w:rPr>
        <w:rFonts w:ascii="Courier New" w:hAnsi="Courier New" w:cs="Courier New" w:hint="default"/>
      </w:rPr>
    </w:lvl>
    <w:lvl w:ilvl="5" w:tplc="0C090005" w:tentative="1">
      <w:start w:val="1"/>
      <w:numFmt w:val="bullet"/>
      <w:lvlText w:val=""/>
      <w:lvlJc w:val="left"/>
      <w:pPr>
        <w:ind w:left="5196" w:hanging="360"/>
      </w:pPr>
      <w:rPr>
        <w:rFonts w:ascii="Wingdings" w:hAnsi="Wingdings" w:hint="default"/>
      </w:rPr>
    </w:lvl>
    <w:lvl w:ilvl="6" w:tplc="0C090001" w:tentative="1">
      <w:start w:val="1"/>
      <w:numFmt w:val="bullet"/>
      <w:lvlText w:val=""/>
      <w:lvlJc w:val="left"/>
      <w:pPr>
        <w:ind w:left="5916" w:hanging="360"/>
      </w:pPr>
      <w:rPr>
        <w:rFonts w:ascii="Symbol" w:hAnsi="Symbol" w:hint="default"/>
      </w:rPr>
    </w:lvl>
    <w:lvl w:ilvl="7" w:tplc="0C090003" w:tentative="1">
      <w:start w:val="1"/>
      <w:numFmt w:val="bullet"/>
      <w:lvlText w:val="o"/>
      <w:lvlJc w:val="left"/>
      <w:pPr>
        <w:ind w:left="6636" w:hanging="360"/>
      </w:pPr>
      <w:rPr>
        <w:rFonts w:ascii="Courier New" w:hAnsi="Courier New" w:cs="Courier New" w:hint="default"/>
      </w:rPr>
    </w:lvl>
    <w:lvl w:ilvl="8" w:tplc="0C090005" w:tentative="1">
      <w:start w:val="1"/>
      <w:numFmt w:val="bullet"/>
      <w:lvlText w:val=""/>
      <w:lvlJc w:val="left"/>
      <w:pPr>
        <w:ind w:left="7356"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9A876CE"/>
    <w:multiLevelType w:val="hybridMultilevel"/>
    <w:tmpl w:val="07464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8D821A1"/>
    <w:multiLevelType w:val="hybridMultilevel"/>
    <w:tmpl w:val="391AFF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AEF29C0"/>
    <w:multiLevelType w:val="hybridMultilevel"/>
    <w:tmpl w:val="13B8B80A"/>
    <w:lvl w:ilvl="0" w:tplc="85C0B484">
      <w:start w:val="1"/>
      <w:numFmt w:val="bullet"/>
      <w:lvlText w:val=""/>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6"/>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18"/>
  </w:num>
  <w:num w:numId="19">
    <w:abstractNumId w:val="11"/>
  </w:num>
  <w:num w:numId="20">
    <w:abstractNumId w:val="32"/>
  </w:num>
  <w:num w:numId="21">
    <w:abstractNumId w:val="33"/>
  </w:num>
  <w:num w:numId="22">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7094444"/>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2AED9-4DC4-48C7-BBA0-4F70FE3F3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7145</Words>
  <Characters>37154</Characters>
  <Application>Microsoft Office Word</Application>
  <DocSecurity>0</DocSecurity>
  <Lines>1004</Lines>
  <Paragraphs>590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2013 - 00-a0-02</dc:title>
  <dc:subject/>
  <dc:creator/>
  <cp:keywords/>
  <dc:description/>
  <cp:lastModifiedBy>svcMRProcess</cp:lastModifiedBy>
  <cp:revision>4</cp:revision>
  <cp:lastPrinted>2013-12-12T02:11:00Z</cp:lastPrinted>
  <dcterms:created xsi:type="dcterms:W3CDTF">2018-09-19T06:20:00Z</dcterms:created>
  <dcterms:modified xsi:type="dcterms:W3CDTF">2018-09-19T06:21:00Z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CommencementDate">
    <vt:lpwstr>20140101</vt:lpwstr>
  </property>
  <property fmtid="{D5CDD505-2E9C-101B-9397-08002B2CF9AE}" pid="4" name="AsAtDate">
    <vt:lpwstr>01 Jan 2014</vt:lpwstr>
  </property>
  <property fmtid="{D5CDD505-2E9C-101B-9397-08002B2CF9AE}" pid="5" name="Suffix">
    <vt:lpwstr>00-a0-02</vt:lpwstr>
  </property>
  <property fmtid="{D5CDD505-2E9C-101B-9397-08002B2CF9AE}" pid="6" name="DocumentType">
    <vt:lpwstr>Reg</vt:lpwstr>
  </property>
</Properties>
</file>