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1.1</w:t>
      </w:r>
      <w:r>
        <w:tab/>
        <w:t>Title</w:t>
      </w:r>
      <w:r>
        <w:tab/>
      </w:r>
      <w:r>
        <w:fldChar w:fldCharType="begin"/>
      </w:r>
      <w:r>
        <w:instrText xml:space="preserve"> PAGEREF _Toc418678324 \h </w:instrText>
      </w:r>
      <w:r>
        <w:fldChar w:fldCharType="separate"/>
      </w:r>
      <w:r>
        <w:t>1</w:t>
      </w:r>
      <w:r>
        <w:fldChar w:fldCharType="end"/>
      </w:r>
    </w:p>
    <w:p>
      <w:pPr>
        <w:pStyle w:val="TOC8"/>
        <w:rPr>
          <w:rFonts w:asciiTheme="minorHAnsi" w:eastAsiaTheme="minorEastAsia" w:hAnsiTheme="minorHAnsi" w:cstheme="minorBidi"/>
          <w:szCs w:val="22"/>
        </w:rPr>
      </w:pPr>
      <w:r>
        <w:t>1.2</w:t>
      </w:r>
      <w:r>
        <w:rPr>
          <w:spacing w:val="-2"/>
        </w:rPr>
        <w:tab/>
        <w:t>Authority</w:t>
      </w:r>
      <w:r>
        <w:tab/>
      </w:r>
      <w:r>
        <w:fldChar w:fldCharType="begin"/>
      </w:r>
      <w:r>
        <w:instrText xml:space="preserve"> PAGEREF _Toc418678325 \h </w:instrText>
      </w:r>
      <w:r>
        <w:fldChar w:fldCharType="separate"/>
      </w:r>
      <w:r>
        <w:t>1</w:t>
      </w:r>
      <w:r>
        <w:fldChar w:fldCharType="end"/>
      </w:r>
    </w:p>
    <w:p>
      <w:pPr>
        <w:pStyle w:val="TOC8"/>
        <w:rPr>
          <w:rFonts w:asciiTheme="minorHAnsi" w:eastAsiaTheme="minorEastAsia" w:hAnsiTheme="minorHAnsi" w:cstheme="minorBidi"/>
          <w:szCs w:val="22"/>
        </w:rPr>
      </w:pPr>
      <w:r>
        <w:rPr>
          <w:spacing w:val="-2"/>
        </w:rPr>
        <w:t>1.3</w:t>
      </w:r>
      <w:r>
        <w:rPr>
          <w:spacing w:val="-2"/>
        </w:rPr>
        <w:tab/>
        <w:t>Commencement</w:t>
      </w:r>
      <w:r>
        <w:tab/>
      </w:r>
      <w:r>
        <w:fldChar w:fldCharType="begin"/>
      </w:r>
      <w:r>
        <w:instrText xml:space="preserve"> PAGEREF _Toc418678326 \h </w:instrText>
      </w:r>
      <w:r>
        <w:fldChar w:fldCharType="separate"/>
      </w:r>
      <w:r>
        <w:t>1</w:t>
      </w:r>
      <w:r>
        <w:fldChar w:fldCharType="end"/>
      </w:r>
    </w:p>
    <w:p>
      <w:pPr>
        <w:pStyle w:val="TOC8"/>
        <w:rPr>
          <w:rFonts w:asciiTheme="minorHAnsi" w:eastAsiaTheme="minorEastAsia" w:hAnsiTheme="minorHAnsi" w:cstheme="minorBidi"/>
          <w:szCs w:val="22"/>
        </w:rPr>
      </w:pPr>
      <w:r>
        <w:rPr>
          <w:spacing w:val="-2"/>
        </w:rPr>
        <w:t>1.4</w:t>
      </w:r>
      <w:r>
        <w:rPr>
          <w:spacing w:val="-2"/>
        </w:rPr>
        <w:tab/>
        <w:t>Interpretation</w:t>
      </w:r>
      <w:r>
        <w:tab/>
      </w:r>
      <w:r>
        <w:fldChar w:fldCharType="begin"/>
      </w:r>
      <w:r>
        <w:instrText xml:space="preserve"> PAGEREF _Toc418678327 \h </w:instrText>
      </w:r>
      <w:r>
        <w:fldChar w:fldCharType="separate"/>
      </w:r>
      <w:r>
        <w:t>1</w:t>
      </w:r>
      <w:r>
        <w:fldChar w:fldCharType="end"/>
      </w:r>
    </w:p>
    <w:p>
      <w:pPr>
        <w:pStyle w:val="TOC8"/>
        <w:rPr>
          <w:rFonts w:asciiTheme="minorHAnsi" w:eastAsiaTheme="minorEastAsia" w:hAnsiTheme="minorHAnsi" w:cstheme="minorBidi"/>
          <w:szCs w:val="22"/>
        </w:rPr>
      </w:pPr>
      <w:r>
        <w:t>1.5</w:t>
      </w:r>
      <w:r>
        <w:rPr>
          <w:spacing w:val="-2"/>
        </w:rPr>
        <w:t>.</w:t>
      </w:r>
      <w:r>
        <w:rPr>
          <w:spacing w:val="-2"/>
        </w:rPr>
        <w:tab/>
        <w:t>Definitions</w:t>
      </w:r>
      <w:r>
        <w:tab/>
      </w:r>
      <w:r>
        <w:fldChar w:fldCharType="begin"/>
      </w:r>
      <w:r>
        <w:instrText xml:space="preserve"> PAGEREF _Toc418678328 \h </w:instrText>
      </w:r>
      <w:r>
        <w:fldChar w:fldCharType="separate"/>
      </w:r>
      <w:r>
        <w:t>2</w:t>
      </w:r>
      <w:r>
        <w:fldChar w:fldCharType="end"/>
      </w:r>
    </w:p>
    <w:p>
      <w:pPr>
        <w:pStyle w:val="TOC8"/>
        <w:rPr>
          <w:rFonts w:asciiTheme="minorHAnsi" w:eastAsiaTheme="minorEastAsia" w:hAnsiTheme="minorHAnsi" w:cstheme="minorBidi"/>
          <w:szCs w:val="22"/>
        </w:rPr>
      </w:pPr>
      <w:r>
        <w:rPr>
          <w:spacing w:val="-2"/>
        </w:rPr>
        <w:t>1.6.</w:t>
      </w:r>
      <w:r>
        <w:rPr>
          <w:spacing w:val="-2"/>
        </w:rPr>
        <w:tab/>
        <w:t>Application</w:t>
      </w:r>
      <w:r>
        <w:tab/>
      </w:r>
      <w:r>
        <w:fldChar w:fldCharType="begin"/>
      </w:r>
      <w:r>
        <w:instrText xml:space="preserve"> PAGEREF _Toc418678329 \h </w:instrText>
      </w:r>
      <w:r>
        <w:fldChar w:fldCharType="separate"/>
      </w:r>
      <w:r>
        <w:t>6</w:t>
      </w:r>
      <w:r>
        <w:fldChar w:fldCharType="end"/>
      </w:r>
    </w:p>
    <w:p>
      <w:pPr>
        <w:pStyle w:val="TOC8"/>
        <w:rPr>
          <w:rFonts w:asciiTheme="minorHAnsi" w:eastAsiaTheme="minorEastAsia" w:hAnsiTheme="minorHAnsi" w:cstheme="minorBidi"/>
          <w:szCs w:val="22"/>
        </w:rPr>
      </w:pPr>
      <w:r>
        <w:rPr>
          <w:spacing w:val="-2"/>
        </w:rPr>
        <w:t>1.7.</w:t>
      </w:r>
      <w:r>
        <w:rPr>
          <w:spacing w:val="-2"/>
        </w:rPr>
        <w:tab/>
        <w:t>Purpose</w:t>
      </w:r>
      <w:r>
        <w:tab/>
      </w:r>
      <w:r>
        <w:fldChar w:fldCharType="begin"/>
      </w:r>
      <w:r>
        <w:instrText xml:space="preserve"> PAGEREF _Toc418678330 \h </w:instrText>
      </w:r>
      <w:r>
        <w:fldChar w:fldCharType="separate"/>
      </w:r>
      <w:r>
        <w:t>7</w:t>
      </w:r>
      <w:r>
        <w:fldChar w:fldCharType="end"/>
      </w:r>
    </w:p>
    <w:p>
      <w:pPr>
        <w:pStyle w:val="TOC8"/>
        <w:rPr>
          <w:rFonts w:asciiTheme="minorHAnsi" w:eastAsiaTheme="minorEastAsia" w:hAnsiTheme="minorHAnsi" w:cstheme="minorBidi"/>
          <w:szCs w:val="22"/>
        </w:rPr>
      </w:pPr>
      <w:r>
        <w:rPr>
          <w:spacing w:val="-2"/>
        </w:rPr>
        <w:t>1.8.</w:t>
      </w:r>
      <w:r>
        <w:rPr>
          <w:spacing w:val="-2"/>
        </w:rPr>
        <w:tab/>
        <w:t>Objectives</w:t>
      </w:r>
      <w:r>
        <w:tab/>
      </w:r>
      <w:r>
        <w:fldChar w:fldCharType="begin"/>
      </w:r>
      <w:r>
        <w:instrText xml:space="preserve"> PAGEREF _Toc418678331 \h </w:instrText>
      </w:r>
      <w:r>
        <w:fldChar w:fldCharType="separate"/>
      </w:r>
      <w:r>
        <w:t>7</w:t>
      </w:r>
      <w:r>
        <w:fldChar w:fldCharType="end"/>
      </w:r>
    </w:p>
    <w:p>
      <w:pPr>
        <w:pStyle w:val="TOC8"/>
        <w:rPr>
          <w:rFonts w:asciiTheme="minorHAnsi" w:eastAsiaTheme="minorEastAsia" w:hAnsiTheme="minorHAnsi" w:cstheme="minorBidi"/>
          <w:szCs w:val="22"/>
        </w:rPr>
      </w:pPr>
      <w:r>
        <w:rPr>
          <w:spacing w:val="-2"/>
        </w:rPr>
        <w:t>1.9.</w:t>
      </w:r>
      <w:r>
        <w:rPr>
          <w:spacing w:val="-2"/>
        </w:rPr>
        <w:tab/>
        <w:t>Amendment and Review</w:t>
      </w:r>
      <w:r>
        <w:tab/>
      </w:r>
      <w:r>
        <w:fldChar w:fldCharType="begin"/>
      </w:r>
      <w:r>
        <w:instrText xml:space="preserve"> PAGEREF _Toc418678332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Obligations particular to retailers</w:t>
      </w:r>
    </w:p>
    <w:p>
      <w:pPr>
        <w:pStyle w:val="TOC8"/>
        <w:rPr>
          <w:rFonts w:asciiTheme="minorHAnsi" w:eastAsiaTheme="minorEastAsia" w:hAnsiTheme="minorHAnsi" w:cstheme="minorBidi"/>
          <w:szCs w:val="22"/>
        </w:rPr>
      </w:pPr>
      <w:r>
        <w:rPr>
          <w:spacing w:val="-2"/>
        </w:rPr>
        <w:t>2.1.</w:t>
      </w:r>
      <w:r>
        <w:rPr>
          <w:spacing w:val="-2"/>
        </w:rPr>
        <w:tab/>
        <w:t>Retailers to ensure representatives comply with this Part</w:t>
      </w:r>
      <w:r>
        <w:tab/>
      </w:r>
      <w:r>
        <w:fldChar w:fldCharType="begin"/>
      </w:r>
      <w:r>
        <w:instrText xml:space="preserve"> PAGEREF _Toc418678335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customers</w:t>
      </w:r>
    </w:p>
    <w:p>
      <w:pPr>
        <w:pStyle w:val="TOC8"/>
        <w:rPr>
          <w:rFonts w:asciiTheme="minorHAnsi" w:eastAsiaTheme="minorEastAsia" w:hAnsiTheme="minorHAnsi" w:cstheme="minorBidi"/>
          <w:szCs w:val="22"/>
        </w:rPr>
      </w:pPr>
      <w:r>
        <w:rPr>
          <w:spacing w:val="-2"/>
        </w:rPr>
        <w:t>2.2.</w:t>
      </w:r>
      <w:r>
        <w:rPr>
          <w:spacing w:val="-2"/>
        </w:rPr>
        <w:tab/>
        <w:t>Entering into a standard form contract</w:t>
      </w:r>
      <w:r>
        <w:tab/>
      </w:r>
      <w:r>
        <w:fldChar w:fldCharType="begin"/>
      </w:r>
      <w:r>
        <w:instrText xml:space="preserve"> PAGEREF _Toc418678337 \h </w:instrText>
      </w:r>
      <w:r>
        <w:fldChar w:fldCharType="separate"/>
      </w:r>
      <w:r>
        <w:t>8</w:t>
      </w:r>
      <w:r>
        <w:fldChar w:fldCharType="end"/>
      </w:r>
    </w:p>
    <w:p>
      <w:pPr>
        <w:pStyle w:val="TOC8"/>
        <w:rPr>
          <w:rFonts w:asciiTheme="minorHAnsi" w:eastAsiaTheme="minorEastAsia" w:hAnsiTheme="minorHAnsi" w:cstheme="minorBidi"/>
          <w:szCs w:val="22"/>
        </w:rPr>
      </w:pPr>
      <w:r>
        <w:rPr>
          <w:spacing w:val="-2"/>
        </w:rPr>
        <w:t>2.3.</w:t>
      </w:r>
      <w:r>
        <w:rPr>
          <w:spacing w:val="-2"/>
        </w:rPr>
        <w:tab/>
        <w:t>Entering into a non-standard contract</w:t>
      </w:r>
      <w:r>
        <w:tab/>
      </w:r>
      <w:r>
        <w:fldChar w:fldCharType="begin"/>
      </w:r>
      <w:r>
        <w:instrText xml:space="preserve"> PAGEREF _Toc418678338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rPr>
          <w:spacing w:val="-2"/>
        </w:rPr>
        <w:t>2.4.</w:t>
      </w:r>
      <w:r>
        <w:rPr>
          <w:spacing w:val="-2"/>
        </w:rPr>
        <w:tab/>
        <w:t>Standards of conduct</w:t>
      </w:r>
      <w:r>
        <w:tab/>
      </w:r>
      <w:r>
        <w:fldChar w:fldCharType="begin"/>
      </w:r>
      <w:r>
        <w:instrText xml:space="preserve"> PAGEREF _Toc418678340 \h </w:instrText>
      </w:r>
      <w:r>
        <w:fldChar w:fldCharType="separate"/>
      </w:r>
      <w:r>
        <w:t>12</w:t>
      </w:r>
      <w:r>
        <w:fldChar w:fldCharType="end"/>
      </w:r>
    </w:p>
    <w:p>
      <w:pPr>
        <w:pStyle w:val="TOC8"/>
        <w:rPr>
          <w:rFonts w:asciiTheme="minorHAnsi" w:eastAsiaTheme="minorEastAsia" w:hAnsiTheme="minorHAnsi" w:cstheme="minorBidi"/>
          <w:szCs w:val="22"/>
        </w:rPr>
      </w:pPr>
      <w:r>
        <w:rPr>
          <w:spacing w:val="-2"/>
        </w:rPr>
        <w:t>2.5.</w:t>
      </w:r>
      <w:r>
        <w:rPr>
          <w:spacing w:val="-2"/>
        </w:rPr>
        <w:tab/>
        <w:t>Contact for the purposes of marketing</w:t>
      </w:r>
      <w:r>
        <w:tab/>
      </w:r>
      <w:r>
        <w:fldChar w:fldCharType="begin"/>
      </w:r>
      <w:r>
        <w:instrText xml:space="preserve"> PAGEREF _Toc418678341 \h </w:instrText>
      </w:r>
      <w:r>
        <w:fldChar w:fldCharType="separate"/>
      </w:r>
      <w:r>
        <w:t>12</w:t>
      </w:r>
      <w:r>
        <w:fldChar w:fldCharType="end"/>
      </w:r>
    </w:p>
    <w:p>
      <w:pPr>
        <w:pStyle w:val="TOC8"/>
        <w:rPr>
          <w:rFonts w:asciiTheme="minorHAnsi" w:eastAsiaTheme="minorEastAsia" w:hAnsiTheme="minorHAnsi" w:cstheme="minorBidi"/>
          <w:szCs w:val="22"/>
        </w:rPr>
      </w:pPr>
      <w:r>
        <w:rPr>
          <w:spacing w:val="-2"/>
        </w:rPr>
        <w:t>2.6.</w:t>
      </w:r>
      <w:r>
        <w:rPr>
          <w:spacing w:val="-2"/>
        </w:rPr>
        <w:tab/>
        <w:t>No canvassing or advertising signs</w:t>
      </w:r>
      <w:r>
        <w:tab/>
      </w:r>
      <w:r>
        <w:fldChar w:fldCharType="begin"/>
      </w:r>
      <w:r>
        <w:instrText xml:space="preserve"> PAGEREF _Toc418678342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rPr>
          <w:spacing w:val="-2"/>
        </w:rPr>
        <w:t>2.7.</w:t>
      </w:r>
      <w:r>
        <w:rPr>
          <w:spacing w:val="-2"/>
        </w:rPr>
        <w:tab/>
        <w:t>Presumption of authority</w:t>
      </w:r>
      <w:r>
        <w:tab/>
      </w:r>
      <w:r>
        <w:fldChar w:fldCharType="begin"/>
      </w:r>
      <w:r>
        <w:instrText xml:space="preserve"> PAGEREF _Toc418678344 \h </w:instrText>
      </w:r>
      <w:r>
        <w:fldChar w:fldCharType="separate"/>
      </w:r>
      <w:r>
        <w:t>13</w:t>
      </w:r>
      <w:r>
        <w:fldChar w:fldCharType="end"/>
      </w:r>
    </w:p>
    <w:p>
      <w:pPr>
        <w:pStyle w:val="TOC8"/>
        <w:rPr>
          <w:rFonts w:asciiTheme="minorHAnsi" w:eastAsiaTheme="minorEastAsia" w:hAnsiTheme="minorHAnsi" w:cstheme="minorBidi"/>
          <w:szCs w:val="22"/>
        </w:rPr>
      </w:pPr>
      <w:r>
        <w:rPr>
          <w:spacing w:val="-2"/>
        </w:rPr>
        <w:t>2.8.</w:t>
      </w:r>
      <w:r>
        <w:rPr>
          <w:spacing w:val="-2"/>
        </w:rPr>
        <w:tab/>
        <w:t>Gas marketing agent complaints</w:t>
      </w:r>
      <w:r>
        <w:tab/>
      </w:r>
      <w:r>
        <w:fldChar w:fldCharType="begin"/>
      </w:r>
      <w:r>
        <w:instrText xml:space="preserve"> PAGEREF _Toc418678345 \h </w:instrText>
      </w:r>
      <w:r>
        <w:fldChar w:fldCharType="separate"/>
      </w:r>
      <w:r>
        <w:t>14</w:t>
      </w:r>
      <w:r>
        <w:fldChar w:fldCharType="end"/>
      </w:r>
    </w:p>
    <w:p>
      <w:pPr>
        <w:pStyle w:val="TOC8"/>
        <w:rPr>
          <w:rFonts w:asciiTheme="minorHAnsi" w:eastAsiaTheme="minorEastAsia" w:hAnsiTheme="minorHAnsi" w:cstheme="minorBidi"/>
          <w:szCs w:val="22"/>
        </w:rPr>
      </w:pPr>
      <w:r>
        <w:rPr>
          <w:spacing w:val="-2"/>
        </w:rPr>
        <w:t>2.9.</w:t>
      </w:r>
      <w:r>
        <w:rPr>
          <w:spacing w:val="-2"/>
        </w:rPr>
        <w:tab/>
        <w:t>Records to be kept</w:t>
      </w:r>
      <w:r>
        <w:tab/>
      </w:r>
      <w:r>
        <w:fldChar w:fldCharType="begin"/>
      </w:r>
      <w:r>
        <w:instrText xml:space="preserve"> PAGEREF _Toc418678346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_Toc418678348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after="0"/>
      </w:pPr>
      <w:r>
        <w:t>Energy Coordination Act 1994</w:t>
      </w:r>
    </w:p>
    <w:p>
      <w:pPr>
        <w:pStyle w:val="NameofActReg"/>
      </w:pPr>
      <w:r>
        <w:t>Gas Marketing Code of Conduct 2014</w:t>
      </w:r>
    </w:p>
    <w:p>
      <w:pPr>
        <w:pStyle w:val="Heading2"/>
        <w:pageBreakBefore w:val="0"/>
        <w:spacing w:before="240"/>
      </w:pPr>
      <w:bookmarkStart w:id="3" w:name="_Toc375148345"/>
      <w:bookmarkStart w:id="4" w:name="_Toc375565090"/>
      <w:bookmarkStart w:id="5" w:name="_Toc375565363"/>
      <w:bookmarkStart w:id="6" w:name="_Toc375566945"/>
      <w:bookmarkStart w:id="7" w:name="_Toc376240533"/>
      <w:bookmarkStart w:id="8" w:name="_Toc418678297"/>
      <w:bookmarkStart w:id="9" w:name="_Toc41867832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6240534"/>
      <w:bookmarkStart w:id="11" w:name="_Toc418678324"/>
      <w:r>
        <w:rPr>
          <w:rStyle w:val="CharSectno"/>
        </w:rPr>
        <w:t>1.1</w:t>
      </w:r>
      <w:r>
        <w:tab/>
        <w:t>Title</w:t>
      </w:r>
      <w:bookmarkEnd w:id="10"/>
      <w:bookmarkEnd w:id="11"/>
    </w:p>
    <w:p>
      <w:pPr>
        <w:pStyle w:val="Subsection"/>
        <w:ind w:right="282"/>
      </w:pPr>
      <w:r>
        <w:tab/>
      </w:r>
      <w:r>
        <w:tab/>
        <w:t xml:space="preserve">The </w:t>
      </w:r>
      <w:r>
        <w:rPr>
          <w:b/>
          <w:i/>
        </w:rPr>
        <w:t>Code</w:t>
      </w:r>
      <w:r>
        <w:t xml:space="preserve"> may be cited as the </w:t>
      </w:r>
      <w:r>
        <w:rPr>
          <w:i/>
        </w:rPr>
        <w:t>Gas Marketing Code of Conduct 2014</w:t>
      </w:r>
      <w:r>
        <w:t>.</w:t>
      </w:r>
    </w:p>
    <w:p>
      <w:pPr>
        <w:pStyle w:val="Heading5"/>
        <w:rPr>
          <w:spacing w:val="-2"/>
        </w:rPr>
      </w:pPr>
      <w:bookmarkStart w:id="12" w:name="_Toc376240535"/>
      <w:bookmarkStart w:id="13" w:name="_Toc418678325"/>
      <w:r>
        <w:rPr>
          <w:rStyle w:val="CharSectno"/>
        </w:rPr>
        <w:t>1.2</w:t>
      </w:r>
      <w:r>
        <w:rPr>
          <w:spacing w:val="-2"/>
        </w:rPr>
        <w:tab/>
        <w:t>Authority</w:t>
      </w:r>
      <w:bookmarkEnd w:id="12"/>
      <w:bookmarkEnd w:id="13"/>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4" w:name="_Toc376240536"/>
      <w:bookmarkStart w:id="15" w:name="_Toc418678326"/>
      <w:r>
        <w:rPr>
          <w:spacing w:val="-2"/>
        </w:rPr>
        <w:t>1.3</w:t>
      </w:r>
      <w:r>
        <w:rPr>
          <w:spacing w:val="-2"/>
        </w:rPr>
        <w:tab/>
        <w:t>Commencement</w:t>
      </w:r>
      <w:bookmarkEnd w:id="14"/>
      <w:bookmarkEnd w:id="15"/>
    </w:p>
    <w:p>
      <w:pPr>
        <w:pStyle w:val="Subsection"/>
      </w:pPr>
      <w:r>
        <w:tab/>
      </w:r>
      <w:r>
        <w:tab/>
        <w:t xml:space="preserve">The </w:t>
      </w:r>
      <w:r>
        <w:rPr>
          <w:b/>
          <w:i/>
        </w:rPr>
        <w:t>Code</w:t>
      </w:r>
      <w:r>
        <w:t xml:space="preserve"> comes into operation upon the day prescribed by the </w:t>
      </w:r>
      <w:r>
        <w:rPr>
          <w:b/>
          <w:i/>
        </w:rPr>
        <w:t>Authority</w:t>
      </w:r>
      <w:r>
        <w:t>.</w:t>
      </w:r>
    </w:p>
    <w:p>
      <w:pPr>
        <w:pStyle w:val="Heading5"/>
        <w:rPr>
          <w:spacing w:val="-2"/>
        </w:rPr>
      </w:pPr>
      <w:bookmarkStart w:id="16" w:name="_Toc376240537"/>
      <w:bookmarkStart w:id="17" w:name="_Toc418678327"/>
      <w:r>
        <w:rPr>
          <w:spacing w:val="-2"/>
        </w:rPr>
        <w:t>1.4</w:t>
      </w:r>
      <w:r>
        <w:rPr>
          <w:spacing w:val="-2"/>
        </w:rPr>
        <w:tab/>
        <w:t>Interpretation</w:t>
      </w:r>
      <w:bookmarkEnd w:id="16"/>
      <w:bookmarkEnd w:id="17"/>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t xml:space="preserve">Other parts of speech and grammatical forms of a word or phrase defined in the </w:t>
      </w:r>
      <w:r>
        <w:rPr>
          <w:b/>
          <w:i/>
        </w:rPr>
        <w:t>Code</w:t>
      </w:r>
      <w:r>
        <w:t xml:space="preserve"> have a corresponding meaning.</w:t>
      </w:r>
    </w:p>
    <w:p>
      <w:pPr>
        <w:pStyle w:val="Subsection"/>
      </w:pPr>
      <w:r>
        <w:tab/>
        <w:t>(6)</w:t>
      </w:r>
      <w:r>
        <w:tab/>
        <w:t xml:space="preserve">A reference to a </w:t>
      </w:r>
      <w:r>
        <w:rPr>
          <w:b/>
          <w:i/>
        </w:rPr>
        <w:t>gas marketing agent</w:t>
      </w:r>
      <w:r>
        <w:t xml:space="preserve"> arranging a </w:t>
      </w:r>
      <w:r>
        <w:rPr>
          <w:b/>
          <w:i/>
        </w:rPr>
        <w:t>contract</w:t>
      </w:r>
      <w:r>
        <w:t xml:space="preserve"> is to be read as a reference to a </w:t>
      </w:r>
      <w:r>
        <w:rPr>
          <w:b/>
          <w:i/>
        </w:rPr>
        <w:t>gas marketing agent</w:t>
      </w:r>
      <w:r>
        <w:t xml:space="preserve"> entering into the </w:t>
      </w:r>
      <w:r>
        <w:rPr>
          <w:b/>
          <w:i/>
        </w:rPr>
        <w:t>contract</w:t>
      </w:r>
      <w:r>
        <w:t xml:space="preserve"> on the </w:t>
      </w:r>
      <w:r>
        <w:rPr>
          <w:b/>
          <w:i/>
        </w:rPr>
        <w:t>retailer’s</w:t>
      </w:r>
      <w:r>
        <w:t xml:space="preserve"> or </w:t>
      </w:r>
      <w:r>
        <w:rPr>
          <w:b/>
          <w:i/>
        </w:rPr>
        <w:t>customer’s</w:t>
      </w:r>
      <w:r>
        <w:t xml:space="preserve"> behalf, or arranging the </w:t>
      </w:r>
      <w:r>
        <w:rPr>
          <w:b/>
          <w:i/>
        </w:rPr>
        <w:t>contract</w:t>
      </w:r>
      <w:r>
        <w:t xml:space="preserve"> on behalf of another person (whichever is relevant).</w:t>
      </w:r>
    </w:p>
    <w:p>
      <w:pPr>
        <w:pStyle w:val="Heading5"/>
        <w:rPr>
          <w:spacing w:val="-2"/>
        </w:rPr>
      </w:pPr>
      <w:bookmarkStart w:id="18" w:name="_Toc376240538"/>
      <w:bookmarkStart w:id="19" w:name="_Toc418678328"/>
      <w:r>
        <w:rPr>
          <w:rStyle w:val="CharSectno"/>
        </w:rPr>
        <w:t>1.5</w:t>
      </w:r>
      <w:r>
        <w:rPr>
          <w:spacing w:val="-2"/>
        </w:rPr>
        <w:t>.</w:t>
      </w:r>
      <w:r>
        <w:rPr>
          <w:spacing w:val="-2"/>
        </w:rPr>
        <w:tab/>
        <w:t>Definitions</w:t>
      </w:r>
      <w:bookmarkEnd w:id="18"/>
      <w:bookmarkEnd w:id="19"/>
    </w:p>
    <w:p>
      <w:pPr>
        <w:pStyle w:val="Subsection"/>
      </w:pPr>
      <w:r>
        <w:tab/>
      </w:r>
      <w:r>
        <w:tab/>
        <w:t xml:space="preserve">In the Code, unless the contrary intention appears — </w:t>
      </w:r>
    </w:p>
    <w:p>
      <w:pPr>
        <w:pStyle w:val="Defstart"/>
      </w:pPr>
      <w:r>
        <w:rPr>
          <w:b/>
          <w:bCs/>
        </w:rPr>
        <w:tab/>
      </w:r>
      <w:r>
        <w:rPr>
          <w:rStyle w:val="CharDefText"/>
        </w:rPr>
        <w:t>Act</w:t>
      </w:r>
      <w:r>
        <w:rPr>
          <w:b/>
          <w:bCs/>
        </w:rPr>
        <w:t xml:space="preserve"> </w:t>
      </w:r>
      <w:r>
        <w:t>means the Energy Coordination Act 1994.</w:t>
      </w:r>
    </w:p>
    <w:p>
      <w:pPr>
        <w:pStyle w:val="Defstart"/>
      </w:pPr>
      <w:r>
        <w:tab/>
      </w:r>
      <w:r>
        <w:rPr>
          <w:rStyle w:val="CharDefText"/>
        </w:rPr>
        <w:t>alternative tariff</w:t>
      </w:r>
      <w:r>
        <w:t xml:space="preserve"> means a tariff other than the tariff under which the </w:t>
      </w:r>
      <w:r>
        <w:rPr>
          <w:b/>
          <w:i/>
        </w:rPr>
        <w:t>customer</w:t>
      </w:r>
      <w:r>
        <w:t xml:space="preserve"> is currently supplied gas.</w:t>
      </w:r>
    </w:p>
    <w:p>
      <w:pPr>
        <w:pStyle w:val="Defstart"/>
      </w:pPr>
      <w:r>
        <w:tab/>
      </w:r>
      <w:r>
        <w:rPr>
          <w:rStyle w:val="CharDefText"/>
        </w:rPr>
        <w:t>Australian Consumer Law (WA)</w:t>
      </w:r>
      <w:r>
        <w:t xml:space="preserve"> means schedule 2 to the Competition and Consumer Act 2010 (Cth) as modified by section 36 of the </w:t>
      </w:r>
      <w:r>
        <w:rPr>
          <w:i/>
        </w:rPr>
        <w:t>Fair Trading Act (WA) 2010</w:t>
      </w:r>
      <w:r>
        <w:t>.</w:t>
      </w:r>
    </w:p>
    <w:p>
      <w:pPr>
        <w:pStyle w:val="Defstart"/>
      </w:pPr>
      <w:r>
        <w:tab/>
      </w:r>
      <w:r>
        <w:rPr>
          <w:rStyle w:val="CharDefText"/>
        </w:rPr>
        <w:t>Authority</w:t>
      </w:r>
      <w:r>
        <w:t xml:space="preserve"> means the Economic Regulation Authority established under the </w:t>
      </w:r>
      <w:r>
        <w:rPr>
          <w:i/>
        </w:rPr>
        <w:t>Economic Regulation Authority Act 2003</w:t>
      </w:r>
      <w:r>
        <w:t>.</w:t>
      </w:r>
    </w:p>
    <w:p>
      <w:pPr>
        <w:pStyle w:val="Defstart"/>
      </w:pPr>
      <w:r>
        <w:tab/>
      </w:r>
      <w:r>
        <w:rPr>
          <w:rStyle w:val="CharDefText"/>
        </w:rPr>
        <w:t>basic living needs</w:t>
      </w:r>
      <w:r>
        <w:t xml:space="preserve"> includes — </w:t>
      </w:r>
    </w:p>
    <w:p>
      <w:pPr>
        <w:pStyle w:val="Indenta"/>
      </w:pPr>
      <w:r>
        <w:tab/>
        <w:t>(a)</w:t>
      </w:r>
      <w:r>
        <w:tab/>
        <w:t>rent or mortgage;</w:t>
      </w:r>
    </w:p>
    <w:p>
      <w:pPr>
        <w:pStyle w:val="Indenta"/>
      </w:pPr>
      <w:r>
        <w:tab/>
        <w:t>(b)</w:t>
      </w:r>
      <w:r>
        <w:tab/>
        <w:t>other utilities (e.g. electricity, phone and water);</w:t>
      </w:r>
    </w:p>
    <w:p>
      <w:pPr>
        <w:pStyle w:val="Indenta"/>
      </w:pPr>
      <w:r>
        <w:tab/>
        <w:t>(c)</w:t>
      </w:r>
      <w:r>
        <w:tab/>
        <w:t>food and groceries;</w:t>
      </w:r>
    </w:p>
    <w:p>
      <w:pPr>
        <w:pStyle w:val="Indenta"/>
      </w:pPr>
      <w:r>
        <w:tab/>
        <w:t>(d)</w:t>
      </w:r>
      <w:r>
        <w:tab/>
        <w:t>transport (including petrol and car expenses);</w:t>
      </w:r>
    </w:p>
    <w:p>
      <w:pPr>
        <w:pStyle w:val="Indenta"/>
      </w:pPr>
      <w:r>
        <w:tab/>
        <w:t>(e)</w:t>
      </w:r>
      <w:r>
        <w:tab/>
        <w:t>childcare and school fees;</w:t>
      </w:r>
    </w:p>
    <w:p>
      <w:pPr>
        <w:pStyle w:val="Indenta"/>
      </w:pPr>
      <w:r>
        <w:tab/>
        <w:t>(f)</w:t>
      </w:r>
      <w:r>
        <w:tab/>
        <w:t>clothing; and</w:t>
      </w:r>
    </w:p>
    <w:p>
      <w:pPr>
        <w:pStyle w:val="Indenta"/>
      </w:pPr>
      <w:r>
        <w:tab/>
        <w:t>(g)</w:t>
      </w:r>
      <w:r>
        <w:tab/>
        <w:t>medical and dental expenses.</w:t>
      </w:r>
    </w:p>
    <w:p>
      <w:pPr>
        <w:pStyle w:val="Defstart"/>
      </w:pPr>
      <w:r>
        <w:tab/>
      </w:r>
      <w:r>
        <w:rPr>
          <w:rStyle w:val="CharDefText"/>
        </w:rPr>
        <w:t>business day</w:t>
      </w:r>
      <w:r>
        <w:t xml:space="preserve"> means any day except a Saturday, Sunday or </w:t>
      </w:r>
      <w:r>
        <w:rPr>
          <w:b/>
          <w:i/>
        </w:rPr>
        <w:t>public holiday</w:t>
      </w:r>
      <w:r>
        <w:t>.</w:t>
      </w:r>
    </w:p>
    <w:p>
      <w:pPr>
        <w:pStyle w:val="Defstart"/>
      </w:pPr>
      <w:r>
        <w:tab/>
      </w:r>
      <w:r>
        <w:rPr>
          <w:rStyle w:val="CharDefText"/>
        </w:rPr>
        <w:t>change in personal circumstances</w:t>
      </w:r>
      <w:r>
        <w:t xml:space="preserve"> includes — </w:t>
      </w:r>
    </w:p>
    <w:p>
      <w:pPr>
        <w:pStyle w:val="Indent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Indenta"/>
      </w:pPr>
      <w:r>
        <w:tab/>
        <w:t>(b)</w:t>
      </w:r>
      <w:r>
        <w:tab/>
        <w:t xml:space="preserve">loss of or damage to property of the </w:t>
      </w:r>
      <w:r>
        <w:rPr>
          <w:b/>
          <w:i/>
        </w:rPr>
        <w:t>residential customer</w:t>
      </w:r>
      <w:r>
        <w:t>; or</w:t>
      </w:r>
    </w:p>
    <w:p>
      <w:pPr>
        <w:pStyle w:val="Indenta"/>
      </w:pPr>
      <w:r>
        <w:tab/>
        <w:t>(c)</w:t>
      </w:r>
      <w:r>
        <w:tab/>
        <w:t xml:space="preserve">other similar unforeseeable circumstances arising as a result of events beyond the control of the </w:t>
      </w:r>
      <w:r>
        <w:rPr>
          <w:b/>
          <w:i/>
        </w:rPr>
        <w:t>residential customer</w:t>
      </w:r>
      <w:r>
        <w:t>.</w:t>
      </w:r>
    </w:p>
    <w:p>
      <w:pPr>
        <w:pStyle w:val="Defstart"/>
      </w:pPr>
      <w:r>
        <w:tab/>
      </w:r>
      <w:r>
        <w:rPr>
          <w:rStyle w:val="CharDefText"/>
        </w:rPr>
        <w:t>Code</w:t>
      </w:r>
      <w:r>
        <w:t xml:space="preserve"> means this </w:t>
      </w:r>
      <w:r>
        <w:rPr>
          <w:i/>
        </w:rPr>
        <w:t>Gas Marketing Code of Conduct 2014</w:t>
      </w:r>
      <w:r>
        <w:t xml:space="preserve"> as amended by the </w:t>
      </w:r>
      <w:r>
        <w:rPr>
          <w:b/>
          <w:i/>
        </w:rPr>
        <w:t>Authority</w:t>
      </w:r>
      <w:r>
        <w:t>.</w:t>
      </w:r>
    </w:p>
    <w:p>
      <w:pPr>
        <w:pStyle w:val="Defstart"/>
      </w:pPr>
      <w:r>
        <w:tab/>
      </w:r>
      <w:r>
        <w:rPr>
          <w:rStyle w:val="CharDefText"/>
        </w:rPr>
        <w:t xml:space="preserve">Compendium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t xml:space="preserve"> means contact that is face to face, by </w:t>
      </w:r>
      <w:r>
        <w:rPr>
          <w:b/>
          <w:i/>
        </w:rPr>
        <w:t xml:space="preserve">telephone </w:t>
      </w:r>
      <w:r>
        <w:t xml:space="preserve">or by post, facsimile or electronic communication. </w:t>
      </w:r>
    </w:p>
    <w:p>
      <w:pPr>
        <w:pStyle w:val="Defstart"/>
      </w:pPr>
      <w:r>
        <w:tab/>
      </w:r>
      <w:r>
        <w:rPr>
          <w:rStyle w:val="CharDefText"/>
        </w:rPr>
        <w:t xml:space="preserve">contract </w:t>
      </w:r>
      <w:r>
        <w:t xml:space="preserve">means a </w:t>
      </w:r>
      <w:r>
        <w:rPr>
          <w:b/>
          <w:i/>
        </w:rPr>
        <w:t>standard form contract</w:t>
      </w:r>
      <w:r>
        <w:t xml:space="preserve"> or a </w:t>
      </w:r>
      <w:r>
        <w:rPr>
          <w:b/>
          <w:i/>
        </w:rPr>
        <w:t>non-standard 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door to door marketing</w:t>
      </w:r>
      <w:r>
        <w:t xml:space="preserve"> means the </w:t>
      </w:r>
      <w:r>
        <w:rPr>
          <w:b/>
          <w:i/>
        </w:rPr>
        <w:t>marketing</w:t>
      </w:r>
      <w:r>
        <w:t xml:space="preserve"> practice under which — </w:t>
      </w:r>
    </w:p>
    <w:p>
      <w:pPr>
        <w:pStyle w:val="Indenta"/>
      </w:pPr>
      <w:r>
        <w:tab/>
        <w:t>(a)</w:t>
      </w:r>
      <w:r>
        <w:tab/>
        <w:t xml:space="preserve">the </w:t>
      </w:r>
      <w:r>
        <w:rPr>
          <w:b/>
          <w:i/>
        </w:rPr>
        <w:t>retailer</w:t>
      </w:r>
      <w:r>
        <w:t xml:space="preserve"> or </w:t>
      </w:r>
      <w:r>
        <w:rPr>
          <w:b/>
          <w:i/>
        </w:rPr>
        <w:t>gas marketing agent</w:t>
      </w:r>
      <w:r>
        <w:t xml:space="preserve"> goes from place to place seeking out persons who may be prepared to enter, as </w:t>
      </w:r>
      <w:r>
        <w:rPr>
          <w:b/>
          <w:i/>
        </w:rPr>
        <w:t>customers</w:t>
      </w:r>
      <w:r>
        <w:t xml:space="preserve">, into </w:t>
      </w:r>
      <w:r>
        <w:rPr>
          <w:b/>
          <w:i/>
        </w:rPr>
        <w:t>contracts</w:t>
      </w:r>
      <w:r>
        <w:t>; and</w:t>
      </w:r>
    </w:p>
    <w:p>
      <w:pPr>
        <w:pStyle w:val="Indenta"/>
      </w:pPr>
      <w:r>
        <w:tab/>
        <w:t>(b)</w:t>
      </w:r>
      <w:r>
        <w:tab/>
        <w:t xml:space="preserve">the </w:t>
      </w:r>
      <w:r>
        <w:rPr>
          <w:b/>
          <w:i/>
        </w:rPr>
        <w:t>retailer</w:t>
      </w:r>
      <w:r>
        <w:t xml:space="preserve"> or the </w:t>
      </w:r>
      <w:r>
        <w:rPr>
          <w:b/>
          <w:i/>
        </w:rPr>
        <w:t>gas marketing agent</w:t>
      </w:r>
      <w:r>
        <w:t xml:space="preserve"> or some other </w:t>
      </w:r>
      <w:r>
        <w:rPr>
          <w:b/>
          <w:i/>
        </w:rPr>
        <w:t>gas marketing agent</w:t>
      </w:r>
      <w:r>
        <w:t xml:space="preserve"> then or subsequently enters into negotiations with those prospective </w:t>
      </w:r>
      <w:r>
        <w:rPr>
          <w:b/>
          <w:i/>
        </w:rPr>
        <w:t>customers</w:t>
      </w:r>
      <w:r>
        <w:t xml:space="preserve"> with a view to arranging </w:t>
      </w:r>
      <w:r>
        <w:rPr>
          <w:b/>
          <w:i/>
        </w:rPr>
        <w:t>contracts</w:t>
      </w:r>
      <w:r>
        <w:t xml:space="preserve"> on behalf of, or for the benefit of, the </w:t>
      </w:r>
      <w:r>
        <w:rPr>
          <w:b/>
          <w:i/>
        </w:rPr>
        <w:t>retailer</w:t>
      </w:r>
      <w:r>
        <w:t xml:space="preserve"> or party other than the </w:t>
      </w:r>
      <w:r>
        <w:rPr>
          <w:b/>
          <w:i/>
        </w:rPr>
        <w:t>customer</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 xml:space="preserve">basic living </w:t>
      </w:r>
      <w:r>
        <w:rPr>
          <w:rStyle w:val="CharDefText"/>
        </w:rPr>
        <w:t>needs</w:t>
      </w:r>
      <w:r>
        <w:t xml:space="preserve"> of the </w:t>
      </w:r>
      <w:r>
        <w:rPr>
          <w:b/>
          <w:i/>
        </w:rPr>
        <w:t>residential customer</w:t>
      </w:r>
      <w:r>
        <w:t xml:space="preserve"> or a dependant of the </w:t>
      </w:r>
      <w:r>
        <w:rPr>
          <w:b/>
          <w:i/>
        </w:rPr>
        <w:t>residential customer</w:t>
      </w:r>
      <w:r>
        <w:t>.</w:t>
      </w:r>
    </w:p>
    <w:p>
      <w:pPr>
        <w:pStyle w:val="Defstart"/>
      </w:pPr>
      <w:r>
        <w:tab/>
      </w:r>
      <w:r>
        <w:rPr>
          <w:b/>
          <w:i/>
        </w:rPr>
        <w:t>gas customer safety awareness program</w:t>
      </w:r>
      <w:r>
        <w:t xml:space="preserve"> means a program to communicate information to </w:t>
      </w:r>
      <w:r>
        <w:rPr>
          <w:b/>
          <w:i/>
        </w:rPr>
        <w:t>customers</w:t>
      </w:r>
      <w:r>
        <w:rPr>
          <w:i/>
        </w:rPr>
        <w:t xml:space="preserve"> </w:t>
      </w:r>
      <w:r>
        <w:t xml:space="preserve">regarding safety in the use of gas and must address, at a minimum, provision of the following information to </w:t>
      </w:r>
      <w:r>
        <w:rPr>
          <w:b/>
          <w:i/>
        </w:rPr>
        <w:t>customers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bCs/>
          <w:i/>
          <w:iCs/>
        </w:rPr>
        <w:t>customers</w:t>
      </w:r>
      <w:r>
        <w:t xml:space="preserve"> for the licensee; or</w:t>
      </w:r>
    </w:p>
    <w:p>
      <w:pPr>
        <w:pStyle w:val="Indenti"/>
      </w:pPr>
      <w:r>
        <w:tab/>
        <w:t>(ii)</w:t>
      </w:r>
      <w:r>
        <w:tab/>
        <w:t xml:space="preserve">in dealings with existing </w:t>
      </w:r>
      <w:r>
        <w:rPr>
          <w:b/>
          <w:bCs/>
          <w:i/>
          <w:iCs/>
        </w:rPr>
        <w:t>customers</w:t>
      </w:r>
      <w:r>
        <w:t xml:space="preserve"> in relation to </w:t>
      </w:r>
      <w:r>
        <w:rPr>
          <w:b/>
          <w:bCs/>
          <w:i/>
          <w:iCs/>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rPr>
        <w:t xml:space="preserve">Authority </w:t>
      </w:r>
      <w:r>
        <w:t xml:space="preserve">pursuant to section 11ZPZ of the </w:t>
      </w:r>
      <w:r>
        <w:rPr>
          <w:b/>
          <w:i/>
        </w:rPr>
        <w:t>Act</w:t>
      </w:r>
      <w:r>
        <w:t>.</w:t>
      </w:r>
    </w:p>
    <w:p>
      <w:pPr>
        <w:pStyle w:val="NotesPerm"/>
        <w:ind w:left="1440" w:hanging="1440"/>
      </w:pPr>
      <w:r>
        <w:tab/>
        <w:t>[Note: 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rPr>
        <w:t xml:space="preserve">telephone </w:t>
      </w:r>
      <w:r>
        <w:t xml:space="preserve">or other electronic means — </w:t>
      </w:r>
    </w:p>
    <w:p>
      <w:pPr>
        <w:pStyle w:val="Indenta"/>
      </w:pPr>
      <w:r>
        <w:tab/>
        <w:t>(a)</w:t>
      </w:r>
      <w:r>
        <w:tab/>
        <w:t xml:space="preserve">negotiations for, or dealings in respect of, a </w:t>
      </w:r>
      <w:r>
        <w:rPr>
          <w:b/>
          <w:i/>
        </w:rPr>
        <w:t>contract</w:t>
      </w:r>
      <w:r>
        <w:t xml:space="preserve"> for the supply of gas to a </w:t>
      </w:r>
      <w:r>
        <w:rPr>
          <w:b/>
          <w:i/>
        </w:rPr>
        <w:t>customer</w:t>
      </w:r>
      <w:r>
        <w:t>; or</w:t>
      </w:r>
    </w:p>
    <w:p>
      <w:pPr>
        <w:pStyle w:val="Indenta"/>
      </w:pPr>
      <w:r>
        <w:tab/>
        <w:t>(b)</w:t>
      </w:r>
      <w:r>
        <w:tab/>
        <w:t xml:space="preserve">advertising, promotion, market research or public relations in relation to the supply of gas to </w:t>
      </w:r>
      <w:r>
        <w:rPr>
          <w:b/>
          <w:i/>
        </w:rPr>
        <w:t>customers</w:t>
      </w:r>
      <w: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 xml:space="preserve">premises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 xml:space="preserve">retailer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 xml:space="preserve">telephone </w:t>
      </w:r>
      <w:r>
        <w:t>means a device which is used to transmit and receive voice frequency signals.</w:t>
      </w:r>
    </w:p>
    <w:p>
      <w:pPr>
        <w:pStyle w:val="Defstart"/>
      </w:pPr>
      <w:r>
        <w:tab/>
      </w:r>
      <w:r>
        <w:rPr>
          <w:rStyle w:val="CharDefText"/>
        </w:rPr>
        <w:t xml:space="preserve">TTY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Heading5"/>
        <w:rPr>
          <w:spacing w:val="-2"/>
        </w:rPr>
      </w:pPr>
      <w:bookmarkStart w:id="20" w:name="_Toc376240539"/>
      <w:bookmarkStart w:id="21" w:name="_Toc418678329"/>
      <w:r>
        <w:rPr>
          <w:spacing w:val="-2"/>
        </w:rPr>
        <w:t>1.6.</w:t>
      </w:r>
      <w:r>
        <w:rPr>
          <w:spacing w:val="-2"/>
        </w:rPr>
        <w:tab/>
        <w:t>Application</w:t>
      </w:r>
      <w:bookmarkEnd w:id="20"/>
      <w:bookmarkEnd w:id="21"/>
    </w:p>
    <w:p>
      <w:pPr>
        <w:pStyle w:val="Subsection"/>
      </w:pPr>
      <w:r>
        <w:tab/>
      </w:r>
      <w:r>
        <w:tab/>
        <w:t xml:space="preserve">The Code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22" w:name="_Toc376240540"/>
      <w:bookmarkStart w:id="23" w:name="_Toc418678330"/>
      <w:r>
        <w:rPr>
          <w:spacing w:val="-2"/>
        </w:rPr>
        <w:t>1.7.</w:t>
      </w:r>
      <w:r>
        <w:rPr>
          <w:spacing w:val="-2"/>
        </w:rPr>
        <w:tab/>
        <w:t>Purpose</w:t>
      </w:r>
      <w:bookmarkEnd w:id="22"/>
      <w:bookmarkEnd w:id="23"/>
    </w:p>
    <w:p>
      <w:pPr>
        <w:pStyle w:val="Subsection"/>
      </w:pPr>
      <w:r>
        <w:tab/>
      </w:r>
      <w:r>
        <w:tab/>
        <w:t xml:space="preserve">The </w:t>
      </w:r>
      <w:r>
        <w:rPr>
          <w:b/>
          <w:i/>
        </w:rPr>
        <w:t xml:space="preserve">Code </w:t>
      </w:r>
      <w:r>
        <w:t xml:space="preserve">regulates and controls the conduct of </w:t>
      </w:r>
      <w:r>
        <w:rPr>
          <w:b/>
          <w:i/>
          <w:u w:val="single"/>
        </w:rPr>
        <w:t>gas marketing agents</w:t>
      </w:r>
      <w:r>
        <w:t xml:space="preserve"> and </w:t>
      </w:r>
      <w:r>
        <w:rPr>
          <w:b/>
          <w:i/>
        </w:rPr>
        <w:t>retailers</w:t>
      </w:r>
      <w:r>
        <w:t>.</w:t>
      </w:r>
    </w:p>
    <w:p>
      <w:pPr>
        <w:pStyle w:val="NotesPerm"/>
        <w:ind w:left="1440" w:hanging="1440"/>
      </w:pPr>
      <w:r>
        <w:tab/>
        <w:t xml:space="preserve">[Note: 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4" w:name="_Toc376240541"/>
      <w:bookmarkStart w:id="25" w:name="_Toc418678331"/>
      <w:r>
        <w:rPr>
          <w:spacing w:val="-2"/>
        </w:rPr>
        <w:t>1.8.</w:t>
      </w:r>
      <w:r>
        <w:rPr>
          <w:spacing w:val="-2"/>
        </w:rPr>
        <w:tab/>
        <w:t>Objectives</w:t>
      </w:r>
      <w:bookmarkEnd w:id="24"/>
      <w:bookmarkEnd w:id="25"/>
    </w:p>
    <w:p>
      <w:pPr>
        <w:pStyle w:val="Subsection"/>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26" w:name="_Toc376240542"/>
      <w:bookmarkStart w:id="27" w:name="_Toc418678332"/>
      <w:r>
        <w:rPr>
          <w:spacing w:val="-2"/>
        </w:rPr>
        <w:t>1.9.</w:t>
      </w:r>
      <w:r>
        <w:rPr>
          <w:spacing w:val="-2"/>
        </w:rPr>
        <w:tab/>
        <w:t>Amendment and Review</w:t>
      </w:r>
      <w:bookmarkEnd w:id="26"/>
      <w:bookmarkEnd w:id="27"/>
    </w:p>
    <w:p>
      <w:pPr>
        <w:pStyle w:val="Subsection"/>
      </w:pPr>
      <w:r>
        <w:tab/>
      </w:r>
      <w:r>
        <w:tab/>
        <w:t xml:space="preserve">The </w:t>
      </w:r>
      <w:r>
        <w:rPr>
          <w:b/>
          <w:i/>
        </w:rPr>
        <w:t>Code</w:t>
      </w:r>
      <w:r>
        <w:t xml:space="preserve"> will be amended in accordance with Part 2C of the Act.</w:t>
      </w:r>
    </w:p>
    <w:p>
      <w:pPr>
        <w:pStyle w:val="Heading2"/>
      </w:pPr>
      <w:bookmarkStart w:id="28" w:name="_Toc375565100"/>
      <w:bookmarkStart w:id="29" w:name="_Toc375565373"/>
      <w:bookmarkStart w:id="30" w:name="_Toc375566955"/>
      <w:bookmarkStart w:id="31" w:name="_Toc376240543"/>
      <w:bookmarkStart w:id="32" w:name="_Toc418678307"/>
      <w:bookmarkStart w:id="33" w:name="_Toc418678333"/>
      <w:r>
        <w:rPr>
          <w:rStyle w:val="CharPartNo"/>
        </w:rPr>
        <w:t>Part 2</w:t>
      </w:r>
      <w:r>
        <w:t> — </w:t>
      </w:r>
      <w:r>
        <w:rPr>
          <w:rStyle w:val="CharPartText"/>
        </w:rPr>
        <w:t>Marketing</w:t>
      </w:r>
      <w:bookmarkEnd w:id="28"/>
      <w:bookmarkEnd w:id="29"/>
      <w:bookmarkEnd w:id="30"/>
      <w:bookmarkEnd w:id="31"/>
      <w:bookmarkEnd w:id="32"/>
      <w:bookmarkEnd w:id="33"/>
    </w:p>
    <w:p>
      <w:pPr>
        <w:pStyle w:val="Heading3"/>
      </w:pPr>
      <w:bookmarkStart w:id="34" w:name="_Toc375565101"/>
      <w:bookmarkStart w:id="35" w:name="_Toc375565374"/>
      <w:bookmarkStart w:id="36" w:name="_Toc375566956"/>
      <w:bookmarkStart w:id="37" w:name="_Toc376240544"/>
      <w:bookmarkStart w:id="38" w:name="_Toc418678308"/>
      <w:bookmarkStart w:id="39" w:name="_Toc418678334"/>
      <w:r>
        <w:rPr>
          <w:rStyle w:val="CharDivNo"/>
        </w:rPr>
        <w:t>Division 1</w:t>
      </w:r>
      <w:r>
        <w:t> — </w:t>
      </w:r>
      <w:r>
        <w:rPr>
          <w:rStyle w:val="CharDivText"/>
        </w:rPr>
        <w:t>Obligations particular to retailers</w:t>
      </w:r>
      <w:bookmarkEnd w:id="34"/>
      <w:bookmarkEnd w:id="35"/>
      <w:bookmarkEnd w:id="36"/>
      <w:bookmarkEnd w:id="37"/>
      <w:bookmarkEnd w:id="38"/>
      <w:bookmarkEnd w:id="39"/>
    </w:p>
    <w:p>
      <w:pPr>
        <w:pStyle w:val="Heading5"/>
        <w:rPr>
          <w:spacing w:val="-2"/>
        </w:rPr>
      </w:pPr>
      <w:bookmarkStart w:id="40" w:name="_Toc376240545"/>
      <w:bookmarkStart w:id="41" w:name="_Toc418678335"/>
      <w:r>
        <w:rPr>
          <w:spacing w:val="-2"/>
        </w:rPr>
        <w:t>2.1.</w:t>
      </w:r>
      <w:r>
        <w:rPr>
          <w:spacing w:val="-2"/>
        </w:rPr>
        <w:tab/>
        <w:t>Retailers to ensure representatives comply with this Part</w:t>
      </w:r>
      <w:bookmarkEnd w:id="40"/>
      <w:bookmarkEnd w:id="41"/>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42" w:name="_Toc375565103"/>
      <w:bookmarkStart w:id="43" w:name="_Toc375565376"/>
      <w:bookmarkStart w:id="44" w:name="_Toc375566958"/>
      <w:bookmarkStart w:id="45" w:name="_Toc376240546"/>
      <w:bookmarkStart w:id="46" w:name="_Toc418678310"/>
      <w:bookmarkStart w:id="47" w:name="_Toc418678336"/>
      <w:r>
        <w:rPr>
          <w:rStyle w:val="CharDivNo"/>
        </w:rPr>
        <w:t>Division 2</w:t>
      </w:r>
      <w:r>
        <w:t> — </w:t>
      </w:r>
      <w:r>
        <w:rPr>
          <w:rStyle w:val="CharDivText"/>
        </w:rPr>
        <w:t>Contracts and information to be provided to customers</w:t>
      </w:r>
      <w:bookmarkEnd w:id="42"/>
      <w:bookmarkEnd w:id="43"/>
      <w:bookmarkEnd w:id="44"/>
      <w:bookmarkEnd w:id="45"/>
      <w:bookmarkEnd w:id="46"/>
      <w:bookmarkEnd w:id="47"/>
    </w:p>
    <w:p>
      <w:pPr>
        <w:pStyle w:val="Heading5"/>
        <w:rPr>
          <w:spacing w:val="-2"/>
        </w:rPr>
      </w:pPr>
      <w:bookmarkStart w:id="48" w:name="_Toc376240547"/>
      <w:bookmarkStart w:id="49" w:name="_Toc418678337"/>
      <w:r>
        <w:rPr>
          <w:spacing w:val="-2"/>
        </w:rPr>
        <w:t>2.2.</w:t>
      </w:r>
      <w:r>
        <w:rPr>
          <w:spacing w:val="-2"/>
        </w:rPr>
        <w:tab/>
        <w:t>Entering into a standard form contract</w:t>
      </w:r>
      <w:bookmarkEnd w:id="48"/>
      <w:bookmarkEnd w:id="49"/>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retailer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a </w:t>
      </w:r>
      <w:r>
        <w:rPr>
          <w:b/>
          <w:i/>
        </w:rPr>
        <w:t>retailer</w:t>
      </w:r>
      <w:r>
        <w:t xml:space="preserve"> or </w:t>
      </w:r>
      <w:r>
        <w:rPr>
          <w:b/>
          <w:i/>
        </w:rPr>
        <w:t>gas marketing agent</w:t>
      </w:r>
      <w:r>
        <w:t xml:space="preserve"> must give the following information to a </w:t>
      </w:r>
      <w:r>
        <w:rPr>
          <w:b/>
          <w:i/>
        </w:rPr>
        <w:t>customer</w:t>
      </w:r>
      <w:r>
        <w:t xml:space="preserve"> no later than on or with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the </w:t>
      </w:r>
      <w:r>
        <w:rPr>
          <w:b/>
          <w:i/>
        </w:rPr>
        <w:t xml:space="preserve">concessions </w:t>
      </w:r>
      <w:r>
        <w:t xml:space="preserve">that may apply to the </w:t>
      </w:r>
      <w:r>
        <w:rPr>
          <w:b/>
          <w:i/>
        </w:rPr>
        <w:t>residential customer</w:t>
      </w:r>
      <w:r>
        <w:t xml:space="preserve">; </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how the </w:t>
      </w:r>
      <w:r>
        <w:rPr>
          <w:b/>
          <w:i/>
        </w:rPr>
        <w:t>residential customer</w:t>
      </w:r>
      <w:r>
        <w:t xml:space="preserve"> may access the </w:t>
      </w:r>
      <w:r>
        <w:rPr>
          <w:b/>
          <w:i/>
        </w:rPr>
        <w:t>retailer’s</w:t>
      </w:r>
      <w:r>
        <w:t>—</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(h)</w:t>
      </w:r>
      <w:r>
        <w:tab/>
        <w:t xml:space="preserve">how to make an enquiry of, or </w:t>
      </w:r>
      <w:r>
        <w:rPr>
          <w:b/>
          <w:i/>
        </w:rPr>
        <w:t>complaint</w:t>
      </w:r>
      <w:r>
        <w:t xml:space="preserve"> to, the </w:t>
      </w:r>
      <w:r>
        <w:rPr>
          <w:b/>
          <w:i/>
        </w:rPr>
        <w:t>retailer</w:t>
      </w:r>
      <w:r>
        <w:t>; and</w:t>
      </w:r>
    </w:p>
    <w:p>
      <w:pPr>
        <w:pStyle w:val="Indenta"/>
      </w:pPr>
      <w:r>
        <w:tab/>
        <w:t>(i)</w:t>
      </w:r>
      <w:r>
        <w:tab/>
        <w:t xml:space="preserve">general information on the </w:t>
      </w:r>
      <w:r>
        <w:rPr>
          <w:b/>
          <w:i/>
        </w:rPr>
        <w:t>retailer’s gas customer safety awareness program</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Heading5"/>
        <w:rPr>
          <w:spacing w:val="-2"/>
        </w:rPr>
      </w:pPr>
      <w:bookmarkStart w:id="50" w:name="_Toc376240548"/>
      <w:bookmarkStart w:id="51" w:name="_Toc418678338"/>
      <w:r>
        <w:rPr>
          <w:spacing w:val="-2"/>
        </w:rPr>
        <w:t>2.3.</w:t>
      </w:r>
      <w:r>
        <w:rPr>
          <w:spacing w:val="-2"/>
        </w:rPr>
        <w:tab/>
        <w:t>Entering into a non-standard contract</w:t>
      </w:r>
      <w:bookmarkEnd w:id="50"/>
      <w:bookmarkEnd w:id="51"/>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rPr>
        <w:t>customer’s verifiable consent</w:t>
      </w:r>
      <w:r>
        <w:t xml:space="preserve"> that the </w:t>
      </w:r>
      <w:r>
        <w:rPr>
          <w:b/>
        </w:rPr>
        <w:t>non-standard contract</w:t>
      </w:r>
      <w:r>
        <w:t xml:space="preserve"> has been entered into, and</w:t>
      </w:r>
    </w:p>
    <w:p>
      <w:pPr>
        <w:pStyle w:val="Indenta"/>
      </w:pPr>
      <w:r>
        <w:tab/>
        <w:t>(b)</w:t>
      </w:r>
      <w:r>
        <w:tab/>
        <w:t xml:space="preserve">give, or make available to the </w:t>
      </w:r>
      <w:r>
        <w:rPr>
          <w:b/>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 xml:space="preserve">; </w:t>
      </w:r>
    </w:p>
    <w:p>
      <w:pPr>
        <w:pStyle w:val="Indenta"/>
      </w:pPr>
      <w:r>
        <w:tab/>
        <w:t>(d)</w:t>
      </w:r>
      <w:r>
        <w:tab/>
        <w:t xml:space="preserve">how the </w:t>
      </w:r>
      <w:r>
        <w:rPr>
          <w:b/>
          <w:i/>
        </w:rPr>
        <w:t xml:space="preserve">customer </w:t>
      </w:r>
      <w:r>
        <w:t>may obtain—</w:t>
      </w:r>
    </w:p>
    <w:p>
      <w:pPr>
        <w:pStyle w:val="Indenti"/>
      </w:pPr>
      <w:r>
        <w:tab/>
        <w:t>(iii)</w:t>
      </w:r>
      <w:r>
        <w:tab/>
        <w:t xml:space="preserve">a copy of the </w:t>
      </w:r>
      <w:r>
        <w:rPr>
          <w:b/>
          <w:i/>
        </w:rPr>
        <w:t xml:space="preserve">Code </w:t>
      </w:r>
      <w:r>
        <w:t xml:space="preserve">and the </w:t>
      </w:r>
      <w:r>
        <w:rPr>
          <w:b/>
          <w:i/>
        </w:rPr>
        <w:t>Compendium</w:t>
      </w:r>
      <w:r>
        <w:t>; and</w:t>
      </w:r>
    </w:p>
    <w:p>
      <w:pPr>
        <w:pStyle w:val="Indenti"/>
      </w:pPr>
      <w:r>
        <w:tab/>
        <w:t>(iv)</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(e)</w:t>
      </w:r>
      <w:r>
        <w:tab/>
        <w:t xml:space="preserve">the scope of the </w:t>
      </w:r>
      <w:r>
        <w:rPr>
          <w:b/>
          <w:i/>
        </w:rPr>
        <w:t>Code</w:t>
      </w:r>
      <w:r>
        <w:t xml:space="preserve">; </w:t>
      </w:r>
    </w:p>
    <w:p>
      <w:pPr>
        <w:pStyle w:val="Indenta"/>
      </w:pPr>
      <w:r>
        <w:tab/>
        <w:t>(f)</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(g)</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(h)</w:t>
      </w:r>
      <w:r>
        <w:tab/>
        <w:t xml:space="preserve">with respect to a </w:t>
      </w:r>
      <w:r>
        <w:rPr>
          <w:b/>
          <w:i/>
        </w:rPr>
        <w:t>residential customer</w:t>
      </w:r>
      <w:r>
        <w:t xml:space="preserve">, the </w:t>
      </w:r>
      <w:r>
        <w:rPr>
          <w:b/>
          <w:i/>
        </w:rPr>
        <w:t>concessions</w:t>
      </w:r>
      <w:r>
        <w:t xml:space="preserve"> that may apply to the </w:t>
      </w:r>
      <w:r>
        <w:rPr>
          <w:b/>
          <w:i/>
        </w:rPr>
        <w:t>residential customer</w:t>
      </w:r>
      <w:r>
        <w:t>;</w:t>
      </w:r>
    </w:p>
    <w:p>
      <w:pPr>
        <w:pStyle w:val="Indenta"/>
      </w:pPr>
      <w:r>
        <w:tab/>
        <w:t>(i)</w:t>
      </w:r>
      <w:r>
        <w:tab/>
        <w:t xml:space="preserve">the </w:t>
      </w:r>
      <w:r>
        <w:rPr>
          <w:b/>
          <w:i/>
        </w:rPr>
        <w:t>distributor’s</w:t>
      </w:r>
      <w:r>
        <w:t xml:space="preserve"> 24 hour </w:t>
      </w:r>
      <w:r>
        <w:rPr>
          <w:b/>
          <w:i/>
        </w:rPr>
        <w:t>telephone</w:t>
      </w:r>
      <w:r>
        <w:t xml:space="preserve"> number for faults and emergencies;</w:t>
      </w:r>
    </w:p>
    <w:p>
      <w:pPr>
        <w:pStyle w:val="Indenta"/>
      </w:pPr>
      <w:r>
        <w:tab/>
        <w:t>(j)</w:t>
      </w:r>
      <w:r>
        <w:tab/>
        <w:t xml:space="preserve">with respect to a </w:t>
      </w:r>
      <w:r>
        <w:rPr>
          <w:b/>
          <w:i/>
        </w:rPr>
        <w:t>residential customer</w:t>
      </w:r>
      <w:r>
        <w:t xml:space="preserve">, how the </w:t>
      </w:r>
      <w:r>
        <w:rPr>
          <w:b/>
          <w:i/>
        </w:rPr>
        <w:t>residential customer</w:t>
      </w:r>
      <w:r>
        <w:t xml:space="preserve"> may access the </w:t>
      </w:r>
      <w:r>
        <w:rPr>
          <w:b/>
          <w:i/>
        </w:rPr>
        <w:t>retailer’s</w:t>
      </w:r>
      <w:r>
        <w:t xml:space="preserve"> — </w:t>
      </w:r>
    </w:p>
    <w:p>
      <w:pPr>
        <w:pStyle w:val="Indenti"/>
      </w:pPr>
      <w:r>
        <w:tab/>
        <w:t>(i)</w:t>
      </w:r>
      <w:r>
        <w:tab/>
        <w:t xml:space="preserve">multi-lingual services (in languages reflective of the </w:t>
      </w:r>
      <w:r>
        <w:rPr>
          <w:b/>
          <w:i/>
        </w:rPr>
        <w:t>retailer’s customer base</w:t>
      </w:r>
      <w:r>
        <w:t>); and</w:t>
      </w:r>
    </w:p>
    <w:p>
      <w:pPr>
        <w:pStyle w:val="Indenti"/>
      </w:pPr>
      <w:r>
        <w:tab/>
        <w:t>(ii)</w:t>
      </w:r>
      <w:r>
        <w:tab/>
      </w:r>
      <w:r>
        <w:rPr>
          <w:b/>
          <w:i/>
        </w:rPr>
        <w:t>TTY</w:t>
      </w:r>
      <w:r>
        <w:t xml:space="preserve"> services; </w:t>
      </w:r>
    </w:p>
    <w:p>
      <w:pPr>
        <w:pStyle w:val="Indenta"/>
      </w:pPr>
      <w:r>
        <w:tab/>
        <w:t>(k)</w:t>
      </w:r>
      <w:r>
        <w:tab/>
        <w:t xml:space="preserve">how to make an enquiry of, or </w:t>
      </w:r>
      <w:r>
        <w:rPr>
          <w:b/>
          <w:i/>
        </w:rPr>
        <w:t>complaint</w:t>
      </w:r>
      <w:r>
        <w:t xml:space="preserve"> to, the </w:t>
      </w:r>
      <w:r>
        <w:rPr>
          <w:b/>
          <w:i/>
        </w:rPr>
        <w:t>retailer</w:t>
      </w:r>
      <w:r>
        <w:t>; and</w:t>
      </w:r>
    </w:p>
    <w:p>
      <w:pPr>
        <w:pStyle w:val="Indenta"/>
      </w:pPr>
      <w:r>
        <w:tab/>
        <w:t>(l)</w:t>
      </w:r>
      <w:r>
        <w:tab/>
        <w:t xml:space="preserve">general information on the </w:t>
      </w:r>
      <w:r>
        <w:rPr>
          <w:b/>
          <w:i/>
        </w:rPr>
        <w:t>retailer’s gas customer safety awareness program</w:t>
      </w:r>
      <w:r>
        <w:t xml:space="preserve">. </w:t>
      </w:r>
    </w:p>
    <w:p>
      <w:pPr>
        <w:pStyle w:val="Subsection"/>
      </w:pPr>
      <w:r>
        <w:tab/>
        <w:t>(3)</w:t>
      </w:r>
      <w:r>
        <w:tab/>
        <w:t xml:space="preserve">For the purposes of subclauses (2)(d)-(l),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Subject to subclause (3), the </w:t>
      </w:r>
      <w:r>
        <w:rPr>
          <w:b/>
          <w:i/>
        </w:rPr>
        <w:t xml:space="preserve">retailer </w:t>
      </w:r>
      <w:r>
        <w:t xml:space="preserve">or </w:t>
      </w:r>
      <w:r>
        <w:rPr>
          <w:b/>
          <w:i/>
        </w:rPr>
        <w:t>gas marketing agent</w:t>
      </w:r>
      <w:r>
        <w:t xml:space="preserve"> must obtain the </w:t>
      </w:r>
      <w:r>
        <w:rPr>
          <w:b/>
          <w:i/>
        </w:rPr>
        <w:t xml:space="preserve">customer’s verifiable consent </w:t>
      </w:r>
      <w:r>
        <w:t>that the information in clause 2.3(2) has been given.</w:t>
      </w:r>
    </w:p>
    <w:p>
      <w:pPr>
        <w:pStyle w:val="Heading3"/>
      </w:pPr>
      <w:bookmarkStart w:id="52" w:name="_Toc375565106"/>
      <w:bookmarkStart w:id="53" w:name="_Toc375565379"/>
      <w:bookmarkStart w:id="54" w:name="_Toc375566961"/>
      <w:bookmarkStart w:id="55" w:name="_Toc376240549"/>
      <w:bookmarkStart w:id="56" w:name="_Toc418678313"/>
      <w:bookmarkStart w:id="57" w:name="_Toc418678339"/>
      <w:r>
        <w:rPr>
          <w:rStyle w:val="CharDivNo"/>
        </w:rPr>
        <w:t>Division 3</w:t>
      </w:r>
      <w:r>
        <w:t> — </w:t>
      </w:r>
      <w:r>
        <w:rPr>
          <w:rStyle w:val="CharDivText"/>
        </w:rPr>
        <w:t>Marketing conduct</w:t>
      </w:r>
      <w:bookmarkEnd w:id="52"/>
      <w:bookmarkEnd w:id="53"/>
      <w:bookmarkEnd w:id="54"/>
      <w:bookmarkEnd w:id="55"/>
      <w:bookmarkEnd w:id="56"/>
      <w:bookmarkEnd w:id="57"/>
    </w:p>
    <w:p>
      <w:pPr>
        <w:pStyle w:val="Heading5"/>
        <w:rPr>
          <w:spacing w:val="-2"/>
        </w:rPr>
      </w:pPr>
      <w:bookmarkStart w:id="58" w:name="_Toc376240550"/>
      <w:bookmarkStart w:id="59" w:name="_Toc418678340"/>
      <w:r>
        <w:rPr>
          <w:spacing w:val="-2"/>
        </w:rPr>
        <w:t>2.4.</w:t>
      </w:r>
      <w:r>
        <w:rPr>
          <w:spacing w:val="-2"/>
        </w:rPr>
        <w:tab/>
        <w:t>Standards of conduct</w:t>
      </w:r>
      <w:bookmarkEnd w:id="58"/>
      <w:bookmarkEnd w:id="59"/>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60" w:name="_Toc376240551"/>
      <w:bookmarkStart w:id="61" w:name="_Toc418678341"/>
      <w:r>
        <w:rPr>
          <w:spacing w:val="-2"/>
        </w:rPr>
        <w:t>2.5.</w:t>
      </w:r>
      <w:r>
        <w:rPr>
          <w:spacing w:val="-2"/>
        </w:rPr>
        <w:tab/>
        <w:t>Contact for the purposes of marketing</w:t>
      </w:r>
      <w:bookmarkEnd w:id="60"/>
      <w:bookmarkEnd w:id="61"/>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as soon as practicable, 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Heading5"/>
        <w:rPr>
          <w:spacing w:val="-2"/>
        </w:rPr>
      </w:pPr>
      <w:bookmarkStart w:id="62" w:name="_Toc376240552"/>
      <w:bookmarkStart w:id="63" w:name="_Toc418678342"/>
      <w:r>
        <w:rPr>
          <w:spacing w:val="-2"/>
        </w:rPr>
        <w:t>2.6.</w:t>
      </w:r>
      <w:r>
        <w:rPr>
          <w:spacing w:val="-2"/>
        </w:rPr>
        <w:tab/>
        <w:t>No canvassing or advertising signs</w:t>
      </w:r>
      <w:bookmarkEnd w:id="62"/>
      <w:bookmarkEnd w:id="63"/>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64" w:name="_Toc375565110"/>
      <w:bookmarkStart w:id="65" w:name="_Toc375565383"/>
      <w:bookmarkStart w:id="66" w:name="_Toc375566965"/>
      <w:bookmarkStart w:id="67" w:name="_Toc376240553"/>
      <w:bookmarkStart w:id="68" w:name="_Toc418678317"/>
      <w:bookmarkStart w:id="69" w:name="_Toc418678343"/>
      <w:r>
        <w:rPr>
          <w:rStyle w:val="CharDivNo"/>
        </w:rPr>
        <w:t>Division 4</w:t>
      </w:r>
      <w:r>
        <w:t> — </w:t>
      </w:r>
      <w:r>
        <w:rPr>
          <w:rStyle w:val="CharDivText"/>
        </w:rPr>
        <w:t>Miscellaneous</w:t>
      </w:r>
      <w:bookmarkEnd w:id="64"/>
      <w:bookmarkEnd w:id="65"/>
      <w:bookmarkEnd w:id="66"/>
      <w:bookmarkEnd w:id="67"/>
      <w:bookmarkEnd w:id="68"/>
      <w:bookmarkEnd w:id="69"/>
    </w:p>
    <w:p>
      <w:pPr>
        <w:pStyle w:val="Heading5"/>
        <w:rPr>
          <w:spacing w:val="-2"/>
        </w:rPr>
      </w:pPr>
      <w:bookmarkStart w:id="70" w:name="_Toc376240554"/>
      <w:bookmarkStart w:id="71" w:name="_Toc418678344"/>
      <w:r>
        <w:rPr>
          <w:spacing w:val="-2"/>
        </w:rPr>
        <w:t>2.7.</w:t>
      </w:r>
      <w:r>
        <w:rPr>
          <w:spacing w:val="-2"/>
        </w:rPr>
        <w:tab/>
        <w:t>Presumption of authority</w:t>
      </w:r>
      <w:bookmarkEnd w:id="70"/>
      <w:bookmarkEnd w:id="71"/>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72" w:name="_Toc376240555"/>
      <w:bookmarkStart w:id="73" w:name="_Toc418678345"/>
      <w:r>
        <w:rPr>
          <w:spacing w:val="-2"/>
        </w:rPr>
        <w:t>2.8.</w:t>
      </w:r>
      <w:r>
        <w:rPr>
          <w:spacing w:val="-2"/>
        </w:rPr>
        <w:tab/>
        <w:t>Gas marketing agent complaints</w:t>
      </w:r>
      <w:bookmarkEnd w:id="72"/>
      <w:bookmarkEnd w:id="73"/>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74" w:name="_Toc376240556"/>
      <w:bookmarkStart w:id="75" w:name="_Toc418678346"/>
      <w:r>
        <w:rPr>
          <w:spacing w:val="-2"/>
        </w:rPr>
        <w:t>2.9.</w:t>
      </w:r>
      <w:r>
        <w:rPr>
          <w:spacing w:val="-2"/>
        </w:rPr>
        <w:tab/>
        <w:t>Records to be kept</w:t>
      </w:r>
      <w:bookmarkEnd w:id="74"/>
      <w:bookmarkEnd w:id="75"/>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NotesPerm"/>
        <w:ind w:left="1440" w:hanging="1440"/>
      </w:pPr>
      <w:r>
        <w:tab/>
        <w:t xml:space="preserve">[Note: Clause 13.1(1) of the </w:t>
      </w:r>
      <w:r>
        <w:rPr>
          <w:i/>
        </w:rPr>
        <w:t>Compendium</w:t>
      </w:r>
      <w:r>
        <w:t xml:space="preserve"> sets out record keeping obligations that apply to retailers in relation to records to be kept under this </w:t>
      </w:r>
      <w:r>
        <w:rPr>
          <w:i/>
        </w:rPr>
        <w:t>Code</w:t>
      </w:r>
      <w:r>
        <w:t>.]</w:t>
      </w:r>
    </w:p>
    <w:p>
      <w:pPr>
        <w:pStyle w:val="BlankClose"/>
      </w:pPr>
    </w:p>
    <w:p/>
    <w:p>
      <w:pPr>
        <w:pStyle w:val="Ednotepart"/>
      </w:pP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6" w:name="_Toc375148348"/>
      <w:bookmarkStart w:id="77" w:name="_Toc375565114"/>
      <w:bookmarkStart w:id="78" w:name="_Toc375565387"/>
      <w:bookmarkStart w:id="79" w:name="_Toc375566969"/>
      <w:bookmarkStart w:id="80" w:name="_Toc376240557"/>
      <w:bookmarkStart w:id="81" w:name="_Toc418678321"/>
      <w:bookmarkStart w:id="82" w:name="_Toc418678347"/>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rPr>
        <w:t>Gas Marketing Code of Conduct 2014.</w:t>
      </w:r>
      <w:r>
        <w:t xml:space="preserve">  </w:t>
      </w:r>
      <w:r>
        <w:rPr>
          <w:snapToGrid w:val="0"/>
        </w:rPr>
        <w:t>The following table contains information about that Code.</w:t>
      </w:r>
    </w:p>
    <w:p>
      <w:pPr>
        <w:pStyle w:val="nHeading3"/>
      </w:pPr>
      <w:bookmarkStart w:id="83" w:name="_Toc376240558"/>
      <w:bookmarkStart w:id="84" w:name="_Toc418678348"/>
      <w:r>
        <w:t>Compilation table</w:t>
      </w:r>
      <w:bookmarkEnd w:id="83"/>
      <w:bookmarkEnd w:id="8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before="60" w:after="60"/>
              <w:rPr>
                <w:b/>
              </w:rPr>
            </w:pPr>
            <w:r>
              <w:rPr>
                <w:b/>
              </w:rPr>
              <w:t>Citation</w:t>
            </w:r>
          </w:p>
        </w:tc>
        <w:tc>
          <w:tcPr>
            <w:tcW w:w="1276" w:type="dxa"/>
          </w:tcPr>
          <w:p>
            <w:pPr>
              <w:pStyle w:val="nTable"/>
              <w:spacing w:before="60" w:after="60"/>
              <w:rPr>
                <w:b/>
              </w:rPr>
            </w:pPr>
            <w:r>
              <w:rPr>
                <w:b/>
              </w:rPr>
              <w:t>Gazettal</w:t>
            </w:r>
          </w:p>
        </w:tc>
        <w:tc>
          <w:tcPr>
            <w:tcW w:w="2693" w:type="dxa"/>
          </w:tcPr>
          <w:p>
            <w:pPr>
              <w:pStyle w:val="nTable"/>
              <w:spacing w:before="60" w:after="60"/>
              <w:rPr>
                <w:b/>
              </w:rPr>
            </w:pPr>
            <w:r>
              <w:rPr>
                <w:b/>
              </w:rPr>
              <w:t>Commencement</w:t>
            </w:r>
          </w:p>
        </w:tc>
      </w:tr>
      <w:tr>
        <w:tc>
          <w:tcPr>
            <w:tcW w:w="3118" w:type="dxa"/>
          </w:tcPr>
          <w:p>
            <w:pPr>
              <w:pStyle w:val="nTable"/>
              <w:rPr>
                <w:iCs/>
              </w:rPr>
            </w:pPr>
            <w:r>
              <w:rPr>
                <w:i/>
              </w:rPr>
              <w:t>Gas Marketing Code of Conduct 2014</w:t>
            </w:r>
          </w:p>
        </w:tc>
        <w:tc>
          <w:tcPr>
            <w:tcW w:w="1276" w:type="dxa"/>
          </w:tcPr>
          <w:p>
            <w:pPr>
              <w:pStyle w:val="nTable"/>
            </w:pPr>
            <w:r>
              <w:t>6 Dec 2013 p. 5725</w:t>
            </w:r>
            <w:r>
              <w:noBreakHyphen/>
              <w:t>32</w:t>
            </w:r>
          </w:p>
        </w:tc>
        <w:tc>
          <w:tcPr>
            <w:tcW w:w="2693" w:type="dxa"/>
          </w:tcPr>
          <w:p>
            <w:pPr>
              <w:pStyle w:val="nTable"/>
            </w:pPr>
            <w:r>
              <w:t xml:space="preserve">1 Jan 2014 (see cl. 1.3 and </w:t>
            </w:r>
            <w:r>
              <w:rPr>
                <w:i/>
              </w:rPr>
              <w:t>Gazette</w:t>
            </w:r>
            <w:r>
              <w:t xml:space="preserve"> 6 Dec 2013 p. 5725)</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6" w:name="_Toc418678349"/>
      <w:r>
        <w:rPr>
          <w:sz w:val="28"/>
        </w:rPr>
        <w:t>Defined terms</w:t>
      </w:r>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w:t>
      </w:r>
    </w:p>
    <w:p>
      <w:pPr>
        <w:pStyle w:val="DefinedTerms"/>
      </w:pPr>
      <w:r>
        <w:t>alternative tariff</w:t>
      </w:r>
      <w:r>
        <w:tab/>
        <w:t>1</w:t>
      </w:r>
    </w:p>
    <w:p>
      <w:pPr>
        <w:pStyle w:val="DefinedTerms"/>
      </w:pPr>
      <w:r>
        <w:t>Australian Consumer Law (WA)</w:t>
      </w:r>
      <w:r>
        <w:tab/>
        <w:t>1</w:t>
      </w:r>
    </w:p>
    <w:p>
      <w:pPr>
        <w:pStyle w:val="DefinedTerms"/>
      </w:pPr>
      <w:r>
        <w:t>Authority</w:t>
      </w:r>
      <w:r>
        <w:tab/>
        <w:t>1</w:t>
      </w:r>
    </w:p>
    <w:p>
      <w:pPr>
        <w:pStyle w:val="DefinedTerms"/>
      </w:pPr>
      <w:r>
        <w:t>basic living needs</w:t>
      </w:r>
      <w:r>
        <w:tab/>
        <w:t>1</w:t>
      </w:r>
    </w:p>
    <w:p>
      <w:pPr>
        <w:pStyle w:val="DefinedTerms"/>
      </w:pPr>
      <w:r>
        <w:t>business day</w:t>
      </w:r>
      <w:r>
        <w:tab/>
        <w:t>1</w:t>
      </w:r>
    </w:p>
    <w:p>
      <w:pPr>
        <w:pStyle w:val="DefinedTerms"/>
      </w:pPr>
      <w:r>
        <w:t>change in personal circumstances</w:t>
      </w:r>
      <w:r>
        <w:tab/>
        <w:t>1</w:t>
      </w:r>
    </w:p>
    <w:p>
      <w:pPr>
        <w:pStyle w:val="DefinedTerms"/>
      </w:pPr>
      <w:r>
        <w:t>Code</w:t>
      </w:r>
      <w:r>
        <w:tab/>
        <w:t>1</w:t>
      </w:r>
    </w:p>
    <w:p>
      <w:pPr>
        <w:pStyle w:val="DefinedTerms"/>
      </w:pPr>
      <w:r>
        <w:t xml:space="preserve">Compendium </w:t>
      </w:r>
      <w:r>
        <w:tab/>
        <w:t>1</w:t>
      </w:r>
    </w:p>
    <w:p>
      <w:pPr>
        <w:pStyle w:val="DefinedTerms"/>
      </w:pPr>
      <w:r>
        <w:t>complaint</w:t>
      </w:r>
      <w:r>
        <w:tab/>
        <w:t>1</w:t>
      </w:r>
    </w:p>
    <w:p>
      <w:pPr>
        <w:pStyle w:val="DefinedTerms"/>
      </w:pPr>
      <w:r>
        <w:t>concession</w:t>
      </w:r>
      <w:r>
        <w:tab/>
        <w:t>1</w:t>
      </w:r>
    </w:p>
    <w:p>
      <w:pPr>
        <w:pStyle w:val="DefinedTerms"/>
      </w:pPr>
      <w:r>
        <w:t>contact</w:t>
      </w:r>
      <w:r>
        <w:tab/>
        <w:t>1</w:t>
      </w:r>
    </w:p>
    <w:p>
      <w:pPr>
        <w:pStyle w:val="DefinedTerms"/>
      </w:pPr>
      <w:r>
        <w:t xml:space="preserve">contract </w:t>
      </w:r>
      <w:r>
        <w:tab/>
        <w:t>1</w:t>
      </w:r>
    </w:p>
    <w:p>
      <w:pPr>
        <w:pStyle w:val="DefinedTerms"/>
      </w:pPr>
      <w:r>
        <w:t>cooling-off period</w:t>
      </w:r>
      <w:r>
        <w:tab/>
        <w:t>1</w:t>
      </w:r>
    </w:p>
    <w:p>
      <w:pPr>
        <w:pStyle w:val="DefinedTerms"/>
      </w:pPr>
      <w:r>
        <w:t>customer</w:t>
      </w:r>
      <w:r>
        <w:tab/>
        <w:t>1</w:t>
      </w:r>
    </w:p>
    <w:p>
      <w:pPr>
        <w:pStyle w:val="DefinedTerms"/>
      </w:pPr>
      <w:r>
        <w:t>distributor</w:t>
      </w:r>
      <w:r>
        <w:tab/>
        <w:t>1</w:t>
      </w:r>
    </w:p>
    <w:p>
      <w:pPr>
        <w:pStyle w:val="DefinedTerms"/>
      </w:pPr>
      <w:r>
        <w:t>door to door marketing</w:t>
      </w:r>
      <w:r>
        <w:tab/>
        <w:t>1</w:t>
      </w:r>
    </w:p>
    <w:p>
      <w:pPr>
        <w:pStyle w:val="DefinedTerms"/>
      </w:pPr>
      <w:r>
        <w:t>emergency</w:t>
      </w:r>
      <w:r>
        <w:tab/>
        <w:t>1</w:t>
      </w:r>
    </w:p>
    <w:p>
      <w:pPr>
        <w:pStyle w:val="DefinedTerms"/>
      </w:pPr>
      <w:r>
        <w:t>financial hardship</w:t>
      </w:r>
      <w:r>
        <w:tab/>
        <w:t>1</w:t>
      </w:r>
    </w:p>
    <w:p>
      <w:pPr>
        <w:pStyle w:val="DefinedTerms"/>
      </w:pPr>
      <w:r>
        <w:t>gas marketing agent</w:t>
      </w:r>
      <w:r>
        <w:tab/>
        <w:t>1</w:t>
      </w:r>
    </w:p>
    <w:p>
      <w:pPr>
        <w:pStyle w:val="DefinedTerms"/>
      </w:pPr>
      <w:r>
        <w:t>gas ombudsman</w:t>
      </w:r>
      <w:r>
        <w:tab/>
        <w:t>1</w:t>
      </w:r>
    </w:p>
    <w:p>
      <w:pPr>
        <w:pStyle w:val="DefinedTerms"/>
      </w:pPr>
      <w:r>
        <w:t>marketing</w:t>
      </w:r>
      <w:r>
        <w:tab/>
        <w:t>1</w:t>
      </w:r>
    </w:p>
    <w:p>
      <w:pPr>
        <w:pStyle w:val="DefinedTerms"/>
      </w:pPr>
      <w:r>
        <w:t>marketing identification number</w:t>
      </w:r>
      <w:r>
        <w:tab/>
        <w:t>1</w:t>
      </w:r>
    </w:p>
    <w:p>
      <w:pPr>
        <w:pStyle w:val="DefinedTerms"/>
      </w:pPr>
      <w:r>
        <w:t>needs</w:t>
      </w:r>
      <w:r>
        <w:tab/>
        <w:t>1</w:t>
      </w:r>
    </w:p>
    <w:p>
      <w:pPr>
        <w:pStyle w:val="DefinedTerms"/>
      </w:pPr>
      <w:r>
        <w:t>non-standard contract</w:t>
      </w:r>
      <w:r>
        <w:tab/>
        <w:t>1</w:t>
      </w:r>
    </w:p>
    <w:p>
      <w:pPr>
        <w:pStyle w:val="DefinedTerms"/>
      </w:pPr>
      <w:r>
        <w:t>payment difficulties</w:t>
      </w:r>
      <w:r>
        <w:tab/>
        <w:t>1</w:t>
      </w:r>
    </w:p>
    <w:p>
      <w:pPr>
        <w:pStyle w:val="DefinedTerms"/>
      </w:pPr>
      <w:r>
        <w:t xml:space="preserve">premises </w:t>
      </w:r>
      <w:r>
        <w:tab/>
        <w:t>1</w:t>
      </w:r>
    </w:p>
    <w:p>
      <w:pPr>
        <w:pStyle w:val="DefinedTerms"/>
      </w:pPr>
      <w:r>
        <w:t>public holiday</w:t>
      </w:r>
      <w:r>
        <w:tab/>
        <w:t>1</w:t>
      </w:r>
    </w:p>
    <w:p>
      <w:pPr>
        <w:pStyle w:val="DefinedTerms"/>
      </w:pPr>
      <w:r>
        <w:t>residential customer</w:t>
      </w:r>
      <w:r>
        <w:tab/>
        <w:t>1</w:t>
      </w:r>
    </w:p>
    <w:p>
      <w:pPr>
        <w:pStyle w:val="DefinedTerms"/>
      </w:pPr>
      <w:r>
        <w:t xml:space="preserve">retailer </w:t>
      </w:r>
      <w:r>
        <w:tab/>
        <w:t>1</w:t>
      </w:r>
    </w:p>
    <w:p>
      <w:pPr>
        <w:pStyle w:val="DefinedTerms"/>
      </w:pPr>
      <w:r>
        <w:t>standard form contract</w:t>
      </w:r>
      <w:r>
        <w:tab/>
        <w:t>1</w:t>
      </w:r>
    </w:p>
    <w:p>
      <w:pPr>
        <w:pStyle w:val="DefinedTerms"/>
      </w:pPr>
      <w:r>
        <w:t xml:space="preserve">telephone </w:t>
      </w:r>
      <w:r>
        <w:tab/>
        <w:t>1</w:t>
      </w:r>
    </w:p>
    <w:p>
      <w:pPr>
        <w:pStyle w:val="DefinedTerms"/>
      </w:pPr>
      <w:r>
        <w:t xml:space="preserve">TTY </w:t>
      </w:r>
      <w:r>
        <w:tab/>
        <w:t>1</w:t>
      </w:r>
    </w:p>
    <w:p>
      <w:pPr>
        <w:pStyle w:val="DefinedTerms"/>
      </w:pPr>
      <w:r>
        <w:t>unsolicited consumer agreement</w:t>
      </w:r>
      <w:r>
        <w:tab/>
        <w:t>1</w:t>
      </w:r>
    </w:p>
    <w:p>
      <w:pPr>
        <w:pStyle w:val="DefinedTerms"/>
      </w:pPr>
      <w:r>
        <w:t>verifiable consent</w:t>
      </w:r>
      <w:r>
        <w:tab/>
        <w:t>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F52EB"/>
    <w:multiLevelType w:val="multilevel"/>
    <w:tmpl w:val="9C9A61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0"/>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4457"/>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noProof/>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NotesPerm2">
    <w:name w:val="NotesPerm(2)"/>
    <w:basedOn w:val="NotesPerm"/>
    <w:pPr>
      <w:numPr>
        <w:numId w:val="3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4" w:uiPriority="39"/>
    <w:lsdException w:name="toc 8" w:uiPriority="39"/>
    <w:lsdException w:name="Normal Indent" w:semiHidden="1"/>
    <w:lsdException w:name="caption" w:semiHidden="1" w:unhideWhenUsed="1" w:qFormat="1"/>
    <w:lsdException w:name="table of figures" w:semiHidden="1"/>
    <w:lsdException w:name="page number" w:semiHidden="1"/>
    <w:lsdException w:name="table of authorities" w:semiHidden="1"/>
    <w:lsdException w:name="macro" w:semiHidden="1"/>
    <w:lsdException w:name="toa heading" w:semiHidden="1"/>
    <w:lsdException w:name="Title" w:semiHidden="1"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Note Heading" w:semiHidden="1"/>
    <w:lsdException w:name="Strong" w:semiHidden="1" w:qFormat="1"/>
    <w:lsdException w:name="Emphasis" w:qFormat="1"/>
    <w:lsdException w:name="Plain Text" w:semiHidden="1"/>
    <w:lsdException w:name="Normal (Web)" w:semiHidden="1"/>
    <w:lsdException w:name="No Lis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rPr>
      <w:rFonts w:ascii="Arial" w:hAnsi="Arial"/>
      <w:noProof/>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style>
  <w:style w:type="paragraph" w:customStyle="1" w:styleId="Ednotedefpara">
    <w:name w:val="Ednote(defpara)"/>
    <w:basedOn w:val="Defpara"/>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NotesPerm2">
    <w:name w:val="NotesPerm(2)"/>
    <w:basedOn w:val="NotesPerm"/>
    <w:pPr>
      <w:numPr>
        <w:numId w:val="3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3430</Words>
  <Characters>17562</Characters>
  <Application>Microsoft Office Word</Application>
  <DocSecurity>0</DocSecurity>
  <Lines>532</Lines>
  <Paragraphs>338</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20654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2014 - 00-b0-02</dc:title>
  <dc:subject/>
  <dc:creator/>
  <cp:keywords/>
  <dc:description/>
  <cp:lastModifiedBy>svcMRProcess</cp:lastModifiedBy>
  <cp:revision>4</cp:revision>
  <cp:lastPrinted>2013-12-04T04:51:00Z</cp:lastPrinted>
  <dcterms:created xsi:type="dcterms:W3CDTF">2018-09-19T06:43:00Z</dcterms:created>
  <dcterms:modified xsi:type="dcterms:W3CDTF">2018-09-19T06:43:00Z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20140101</vt:lpwstr>
  </property>
  <property fmtid="{D5CDD505-2E9C-101B-9397-08002B2CF9AE}" pid="3" name="ID">
    <vt:lpwstr>6 Dec 2013 p 5725-32</vt:lpwstr>
  </property>
  <property fmtid="{D5CDD505-2E9C-101B-9397-08002B2CF9AE}" pid="4" name="DocumentType">
    <vt:lpwstr>Reg</vt:lpwstr>
  </property>
  <property fmtid="{D5CDD505-2E9C-101B-9397-08002B2CF9AE}" pid="5" name="AsAtDate">
    <vt:lpwstr>01 Jan 2014</vt:lpwstr>
  </property>
  <property fmtid="{D5CDD505-2E9C-101B-9397-08002B2CF9AE}" pid="6" name="Suffix">
    <vt:lpwstr>00-b0-02</vt:lpwstr>
  </property>
</Properties>
</file>