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rPr>
          <w:i/>
        </w:rPr>
      </w:pPr>
      <w:r>
        <w:t>Land Tax Assessment Act 2002</w:t>
      </w:r>
      <w:r>
        <w:br/>
        <w:t>Taxation Administration Act 2003</w:t>
      </w:r>
    </w:p>
    <w:p>
      <w:pPr>
        <w:pStyle w:val="NameofActRegPage1"/>
        <w:tabs>
          <w:tab w:val="left" w:pos="6960"/>
        </w:tabs>
        <w:spacing w:before="120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Tax Assessment Regulations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_Toc378945294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rPr>
          <w:spacing w:val="-2"/>
        </w:rPr>
        <w:t xml:space="preserve"> and application</w:t>
      </w:r>
      <w:r>
        <w:tab/>
      </w:r>
      <w:r>
        <w:fldChar w:fldCharType="begin"/>
      </w:r>
      <w:r>
        <w:instrText xml:space="preserve"> PAGEREF _Toc378945295 \h </w:instrText>
      </w:r>
      <w:r>
        <w:fldChar w:fldCharType="separate"/>
      </w:r>
      <w:r>
        <w:t>1</w:t>
      </w:r>
      <w:r>
        <w:fldChar w:fldCharType="end"/>
      </w:r>
    </w:p>
    <w:p>
      <w:pPr>
        <w:pStyle w:val="TOC8"/>
        <w:rPr>
          <w:rFonts w:asciiTheme="minorHAnsi" w:eastAsiaTheme="minorEastAsia" w:hAnsiTheme="minorHAnsi" w:cstheme="minorBidi"/>
          <w:szCs w:val="22"/>
        </w:rPr>
      </w:pPr>
      <w:r>
        <w:t>3.</w:t>
      </w:r>
      <w:r>
        <w:tab/>
        <w:t>Terms and abbreviations used in these regulations</w:t>
      </w:r>
      <w:r>
        <w:tab/>
      </w:r>
      <w:r>
        <w:fldChar w:fldCharType="begin"/>
      </w:r>
      <w:r>
        <w:instrText xml:space="preserve"> PAGEREF _Toc378945296 \h </w:instrText>
      </w:r>
      <w:r>
        <w:fldChar w:fldCharType="separate"/>
      </w:r>
      <w:r>
        <w:t>1</w:t>
      </w:r>
      <w:r>
        <w:fldChar w:fldCharType="end"/>
      </w:r>
    </w:p>
    <w:p>
      <w:pPr>
        <w:pStyle w:val="TOC8"/>
        <w:rPr>
          <w:rFonts w:asciiTheme="minorHAnsi" w:eastAsiaTheme="minorEastAsia" w:hAnsiTheme="minorHAnsi" w:cstheme="minorBidi"/>
          <w:szCs w:val="22"/>
        </w:rPr>
      </w:pPr>
      <w:r>
        <w:t>4.</w:t>
      </w:r>
      <w:r>
        <w:tab/>
        <w:t>Tax payment arrangements not affected</w:t>
      </w:r>
      <w:r>
        <w:tab/>
      </w:r>
      <w:r>
        <w:fldChar w:fldCharType="begin"/>
      </w:r>
      <w:r>
        <w:instrText xml:space="preserve"> PAGEREF _Toc378945297 \h </w:instrText>
      </w:r>
      <w:r>
        <w:fldChar w:fldCharType="separate"/>
      </w:r>
      <w:r>
        <w:t>3</w:t>
      </w:r>
      <w:r>
        <w:fldChar w:fldCharType="end"/>
      </w:r>
    </w:p>
    <w:p>
      <w:pPr>
        <w:pStyle w:val="TOC8"/>
        <w:rPr>
          <w:rFonts w:asciiTheme="minorHAnsi" w:eastAsiaTheme="minorEastAsia" w:hAnsiTheme="minorHAnsi" w:cstheme="minorBidi"/>
          <w:szCs w:val="22"/>
        </w:rPr>
      </w:pPr>
      <w:r>
        <w:t>5.</w:t>
      </w:r>
      <w:r>
        <w:tab/>
        <w:t>Taxpayer’s options in discharging liability to pay assessed amount</w:t>
      </w:r>
      <w:r>
        <w:tab/>
      </w:r>
      <w:r>
        <w:fldChar w:fldCharType="begin"/>
      </w:r>
      <w:r>
        <w:instrText xml:space="preserve"> PAGEREF _Toc378945298 \h </w:instrText>
      </w:r>
      <w:r>
        <w:fldChar w:fldCharType="separate"/>
      </w:r>
      <w:r>
        <w:t>3</w:t>
      </w:r>
      <w:r>
        <w:fldChar w:fldCharType="end"/>
      </w:r>
    </w:p>
    <w:p>
      <w:pPr>
        <w:pStyle w:val="TOC8"/>
        <w:rPr>
          <w:rFonts w:asciiTheme="minorHAnsi" w:eastAsiaTheme="minorEastAsia" w:hAnsiTheme="minorHAnsi" w:cstheme="minorBidi"/>
          <w:szCs w:val="22"/>
        </w:rPr>
      </w:pPr>
      <w:r>
        <w:t>6.</w:t>
      </w:r>
      <w:r>
        <w:tab/>
        <w:t>Paying assessed amount in one discounted payment (option 1)</w:t>
      </w:r>
      <w:r>
        <w:tab/>
      </w:r>
      <w:r>
        <w:fldChar w:fldCharType="begin"/>
      </w:r>
      <w:r>
        <w:instrText xml:space="preserve"> PAGEREF _Toc378945299 \h </w:instrText>
      </w:r>
      <w:r>
        <w:fldChar w:fldCharType="separate"/>
      </w:r>
      <w:r>
        <w:t>3</w:t>
      </w:r>
      <w:r>
        <w:fldChar w:fldCharType="end"/>
      </w:r>
    </w:p>
    <w:p>
      <w:pPr>
        <w:pStyle w:val="TOC8"/>
        <w:rPr>
          <w:rFonts w:asciiTheme="minorHAnsi" w:eastAsiaTheme="minorEastAsia" w:hAnsiTheme="minorHAnsi" w:cstheme="minorBidi"/>
          <w:szCs w:val="22"/>
        </w:rPr>
      </w:pPr>
      <w:r>
        <w:t>7.</w:t>
      </w:r>
      <w:r>
        <w:tab/>
        <w:t>Paying assessed amount in 2 instalments (option 2)</w:t>
      </w:r>
      <w:r>
        <w:tab/>
      </w:r>
      <w:r>
        <w:fldChar w:fldCharType="begin"/>
      </w:r>
      <w:r>
        <w:instrText xml:space="preserve"> PAGEREF _Toc378945300 \h </w:instrText>
      </w:r>
      <w:r>
        <w:fldChar w:fldCharType="separate"/>
      </w:r>
      <w:r>
        <w:t>3</w:t>
      </w:r>
      <w:r>
        <w:fldChar w:fldCharType="end"/>
      </w:r>
    </w:p>
    <w:p>
      <w:pPr>
        <w:pStyle w:val="TOC8"/>
        <w:rPr>
          <w:rFonts w:asciiTheme="minorHAnsi" w:eastAsiaTheme="minorEastAsia" w:hAnsiTheme="minorHAnsi" w:cstheme="minorBidi"/>
          <w:szCs w:val="22"/>
        </w:rPr>
      </w:pPr>
      <w:r>
        <w:t>8.</w:t>
      </w:r>
      <w:r>
        <w:tab/>
        <w:t>Paying assessed amount in 3 instalments (option 3)</w:t>
      </w:r>
      <w:r>
        <w:tab/>
      </w:r>
      <w:r>
        <w:fldChar w:fldCharType="begin"/>
      </w:r>
      <w:r>
        <w:instrText xml:space="preserve"> PAGEREF _Toc378945301 \h </w:instrText>
      </w:r>
      <w:r>
        <w:fldChar w:fldCharType="separate"/>
      </w:r>
      <w:r>
        <w:t>4</w:t>
      </w:r>
      <w:r>
        <w:fldChar w:fldCharType="end"/>
      </w:r>
    </w:p>
    <w:p>
      <w:pPr>
        <w:pStyle w:val="TOC8"/>
        <w:rPr>
          <w:rFonts w:asciiTheme="minorHAnsi" w:eastAsiaTheme="minorEastAsia" w:hAnsiTheme="minorHAnsi" w:cstheme="minorBidi"/>
          <w:szCs w:val="22"/>
        </w:rPr>
      </w:pPr>
      <w:r>
        <w:t>9.</w:t>
      </w:r>
      <w:r>
        <w:tab/>
        <w:t>Other arrangements for paying assessed amount</w:t>
      </w:r>
      <w:r>
        <w:tab/>
      </w:r>
      <w:r>
        <w:fldChar w:fldCharType="begin"/>
      </w:r>
      <w:r>
        <w:instrText xml:space="preserve"> PAGEREF _Toc378945302 \h </w:instrText>
      </w:r>
      <w:r>
        <w:fldChar w:fldCharType="separate"/>
      </w:r>
      <w:r>
        <w:t>4</w:t>
      </w:r>
      <w:r>
        <w:fldChar w:fldCharType="end"/>
      </w:r>
    </w:p>
    <w:p>
      <w:pPr>
        <w:pStyle w:val="TOC8"/>
        <w:rPr>
          <w:rFonts w:asciiTheme="minorHAnsi" w:eastAsiaTheme="minorEastAsia" w:hAnsiTheme="minorHAnsi" w:cstheme="minorBidi"/>
          <w:szCs w:val="22"/>
        </w:rPr>
      </w:pPr>
      <w:r>
        <w:t>10.</w:t>
      </w:r>
      <w:r>
        <w:tab/>
        <w:t>Instalments to be multiples of 5 cents</w:t>
      </w:r>
      <w:r>
        <w:tab/>
      </w:r>
      <w:r>
        <w:fldChar w:fldCharType="begin"/>
      </w:r>
      <w:r>
        <w:instrText xml:space="preserve"> PAGEREF _Toc378945303 \h </w:instrText>
      </w:r>
      <w:r>
        <w:fldChar w:fldCharType="separate"/>
      </w:r>
      <w:r>
        <w:t>5</w:t>
      </w:r>
      <w:r>
        <w:fldChar w:fldCharType="end"/>
      </w:r>
    </w:p>
    <w:p>
      <w:pPr>
        <w:pStyle w:val="TOC8"/>
        <w:rPr>
          <w:rFonts w:asciiTheme="minorHAnsi" w:eastAsiaTheme="minorEastAsia" w:hAnsiTheme="minorHAnsi" w:cstheme="minorBidi"/>
          <w:szCs w:val="22"/>
        </w:rPr>
      </w:pPr>
      <w:r>
        <w:t>11.</w:t>
      </w:r>
      <w:r>
        <w:tab/>
        <w:t>When full amount of land tax becomes due and payable</w:t>
      </w:r>
      <w:r>
        <w:tab/>
      </w:r>
      <w:r>
        <w:fldChar w:fldCharType="begin"/>
      </w:r>
      <w:r>
        <w:instrText xml:space="preserve"> PAGEREF _Toc378945304 \h </w:instrText>
      </w:r>
      <w:r>
        <w:fldChar w:fldCharType="separate"/>
      </w:r>
      <w:r>
        <w:t>5</w:t>
      </w:r>
      <w:r>
        <w:fldChar w:fldCharType="end"/>
      </w:r>
    </w:p>
    <w:p>
      <w:pPr>
        <w:pStyle w:val="TOC8"/>
        <w:rPr>
          <w:rFonts w:asciiTheme="minorHAnsi" w:eastAsiaTheme="minorEastAsia" w:hAnsiTheme="minorHAnsi" w:cstheme="minorBidi"/>
          <w:szCs w:val="22"/>
        </w:rPr>
      </w:pPr>
      <w:r>
        <w:t>12.</w:t>
      </w:r>
      <w:r>
        <w:tab/>
        <w:t>Taxable authorities</w:t>
      </w:r>
      <w:r>
        <w:tab/>
      </w:r>
      <w:r>
        <w:fldChar w:fldCharType="begin"/>
      </w:r>
      <w:r>
        <w:instrText xml:space="preserve"> PAGEREF _Toc378945305 \h </w:instrText>
      </w:r>
      <w:r>
        <w:fldChar w:fldCharType="separate"/>
      </w:r>
      <w:r>
        <w:t>6</w:t>
      </w:r>
      <w:r>
        <w:fldChar w:fldCharType="end"/>
      </w:r>
    </w:p>
    <w:p>
      <w:pPr>
        <w:pStyle w:val="TOC8"/>
        <w:rPr>
          <w:rFonts w:asciiTheme="minorHAnsi" w:eastAsiaTheme="minorEastAsia" w:hAnsiTheme="minorHAnsi" w:cstheme="minorBidi"/>
          <w:szCs w:val="22"/>
        </w:rPr>
      </w:pPr>
      <w:r>
        <w:t>13A.</w:t>
      </w:r>
      <w:r>
        <w:tab/>
        <w:t>Taxable value — prescribed percentage</w:t>
      </w:r>
      <w:r>
        <w:tab/>
      </w:r>
      <w:r>
        <w:fldChar w:fldCharType="begin"/>
      </w:r>
      <w:r>
        <w:instrText xml:space="preserve"> PAGEREF _Toc378945306 \h </w:instrText>
      </w:r>
      <w:r>
        <w:fldChar w:fldCharType="separate"/>
      </w:r>
      <w:r>
        <w:t>7</w:t>
      </w:r>
      <w:r>
        <w:fldChar w:fldCharType="end"/>
      </w:r>
    </w:p>
    <w:p>
      <w:pPr>
        <w:pStyle w:val="TOC8"/>
        <w:rPr>
          <w:rFonts w:asciiTheme="minorHAnsi" w:eastAsiaTheme="minorEastAsia" w:hAnsiTheme="minorHAnsi" w:cstheme="minorBidi"/>
          <w:szCs w:val="22"/>
        </w:rPr>
      </w:pPr>
      <w:r>
        <w:t>13.</w:t>
      </w:r>
      <w:r>
        <w:tab/>
        <w:t>Inner city area</w:t>
      </w:r>
      <w:r>
        <w:tab/>
      </w:r>
      <w:r>
        <w:fldChar w:fldCharType="begin"/>
      </w:r>
      <w:r>
        <w:instrText xml:space="preserve"> PAGEREF _Toc378945307 \h </w:instrText>
      </w:r>
      <w:r>
        <w:fldChar w:fldCharType="separate"/>
      </w:r>
      <w:r>
        <w:t>7</w:t>
      </w:r>
      <w:r>
        <w:fldChar w:fldCharType="end"/>
      </w:r>
    </w:p>
    <w:p>
      <w:pPr>
        <w:pStyle w:val="TOC8"/>
        <w:rPr>
          <w:rFonts w:asciiTheme="minorHAnsi" w:eastAsiaTheme="minorEastAsia" w:hAnsiTheme="minorHAnsi" w:cstheme="minorBidi"/>
          <w:szCs w:val="22"/>
        </w:rPr>
      </w:pPr>
      <w:r>
        <w:t>14.</w:t>
      </w:r>
      <w:r>
        <w:tab/>
        <w:t>Repeal and savings</w:t>
      </w:r>
      <w:r>
        <w:tab/>
      </w:r>
      <w:r>
        <w:fldChar w:fldCharType="begin"/>
      </w:r>
      <w:r>
        <w:instrText xml:space="preserve"> PAGEREF _Toc378945308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Schedule 1 — Inner city area</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_Toc378945311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 w:name="_Toc378945294"/>
      <w:r>
        <w:rPr>
          <w:rStyle w:val="CharSectno"/>
        </w:rPr>
        <w:t>1</w:t>
      </w:r>
      <w:r>
        <w:t>.</w:t>
      </w:r>
      <w:r>
        <w:tab/>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2" w:name="_Toc378945295"/>
      <w:r>
        <w:rPr>
          <w:rStyle w:val="CharSectno"/>
        </w:rPr>
        <w:t>2</w:t>
      </w:r>
      <w:r>
        <w:rPr>
          <w:spacing w:val="-2"/>
        </w:rPr>
        <w:t>.</w:t>
      </w:r>
      <w:r>
        <w:rPr>
          <w:spacing w:val="-2"/>
        </w:rPr>
        <w:tab/>
      </w:r>
      <w:r>
        <w:t>Commencement</w:t>
      </w:r>
      <w:r>
        <w:rPr>
          <w:spacing w:val="-2"/>
        </w:rPr>
        <w:t xml:space="preserve"> and application</w:t>
      </w:r>
      <w:bookmarkEnd w:id="2"/>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3" w:name="_Toc378945296"/>
      <w:r>
        <w:rPr>
          <w:rStyle w:val="CharSectno"/>
        </w:rPr>
        <w:t>3</w:t>
      </w:r>
      <w:r>
        <w:t>.</w:t>
      </w:r>
      <w:r>
        <w:tab/>
        <w:t>Terms and abbreviations used in these regulations</w:t>
      </w:r>
      <w:bookmarkEnd w:id="3"/>
    </w:p>
    <w:p>
      <w:pPr>
        <w:pStyle w:val="Subsection"/>
        <w:keepNext/>
        <w:keepLines/>
      </w:pPr>
      <w:r>
        <w:tab/>
        <w:t>(1)</w:t>
      </w:r>
      <w:r>
        <w:tab/>
        <w:t xml:space="preserve">In these regulations — </w:t>
      </w:r>
    </w:p>
    <w:p>
      <w:pPr>
        <w:pStyle w:val="Defstar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w:t>
      </w:r>
    </w:p>
    <w:p>
      <w:pPr>
        <w:pStyle w:val="Defpara"/>
      </w:pPr>
      <w:r>
        <w:tab/>
        <w:t>(b)</w:t>
      </w:r>
      <w:r>
        <w:tab/>
        <w:t xml:space="preserve">any penalty tax under the </w:t>
      </w:r>
      <w:r>
        <w:rPr>
          <w:i/>
        </w:rPr>
        <w:t>Taxation Administration Act 2003</w:t>
      </w:r>
      <w:r>
        <w:t xml:space="preserve"> section 26 or 27 that is due and payable in relation to land tax;</w:t>
      </w:r>
    </w:p>
    <w:p>
      <w:pPr>
        <w:pStyle w:val="Defpara"/>
      </w:pPr>
      <w:r>
        <w:tab/>
        <w:t>(c)</w:t>
      </w:r>
      <w:r>
        <w:tab/>
        <w:t xml:space="preserve">any interest under the </w:t>
      </w:r>
      <w:r>
        <w:rPr>
          <w:i/>
        </w:rPr>
        <w:t>Taxation Administration Act 2003</w:t>
      </w:r>
      <w:r>
        <w:t xml:space="preserve"> section 47 that is due and payable in relation to land tax;</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4" w:name="_Toc378945297"/>
      <w:r>
        <w:rPr>
          <w:rStyle w:val="CharSectno"/>
        </w:rPr>
        <w:t>4</w:t>
      </w:r>
      <w:r>
        <w:t>.</w:t>
      </w:r>
      <w:r>
        <w:tab/>
        <w:t>Tax payment arrangements not affected</w:t>
      </w:r>
      <w:bookmarkEnd w:id="4"/>
    </w:p>
    <w:p>
      <w:pPr>
        <w:pStyle w:val="Subsection"/>
        <w:spacing w:before="180"/>
      </w:pPr>
      <w:r>
        <w:tab/>
      </w:r>
      <w:r>
        <w:tab/>
        <w:t>Nothing in these regulations affects the payment of land tax under a tax payment arrangement.</w:t>
      </w:r>
    </w:p>
    <w:p>
      <w:pPr>
        <w:pStyle w:val="Heading5"/>
        <w:spacing w:before="240"/>
      </w:pPr>
      <w:bookmarkStart w:id="5" w:name="_Toc378945298"/>
      <w:r>
        <w:rPr>
          <w:rStyle w:val="CharSectno"/>
        </w:rPr>
        <w:t>5</w:t>
      </w:r>
      <w:r>
        <w:t>.</w:t>
      </w:r>
      <w:r>
        <w:tab/>
        <w:t>Taxpayer’s options in discharging liability to pay assessed amount</w:t>
      </w:r>
      <w:bookmarkEnd w:id="5"/>
    </w:p>
    <w:p>
      <w:pPr>
        <w:pStyle w:val="Subsection"/>
        <w:spacing w:before="180"/>
      </w:pPr>
      <w:r>
        <w:tab/>
      </w:r>
      <w:r>
        <w:tab/>
        <w:t>A taxpayer may discharge a liability to pay an assessed amount by paying in accordance with regulation 6, 7, 8 or 9.</w:t>
      </w:r>
    </w:p>
    <w:p>
      <w:pPr>
        <w:pStyle w:val="Heading5"/>
        <w:spacing w:before="240"/>
      </w:pPr>
      <w:bookmarkStart w:id="6" w:name="_Toc378945299"/>
      <w:r>
        <w:rPr>
          <w:rStyle w:val="CharSectno"/>
        </w:rPr>
        <w:t>6</w:t>
      </w:r>
      <w:r>
        <w:t>.</w:t>
      </w:r>
      <w:r>
        <w:tab/>
        <w:t>Paying assessed amount in one discounted payment (option 1)</w:t>
      </w:r>
      <w:bookmarkEnd w:id="6"/>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pt;height:15.75pt" o:ole="">
            <v:imagedata r:id="rId20" o:title=""/>
          </v:shape>
          <o:OLEObject Type="Embed" ProgID="Equation.3" ShapeID="_x0000_i1025" DrawAspect="Content" ObjectID="_1644212638" r:id="rId21"/>
        </w:object>
      </w:r>
    </w:p>
    <w:p>
      <w:pPr>
        <w:pStyle w:val="Heading5"/>
        <w:spacing w:before="240"/>
      </w:pPr>
      <w:bookmarkStart w:id="7" w:name="_Toc378945300"/>
      <w:r>
        <w:rPr>
          <w:rStyle w:val="CharSectno"/>
        </w:rPr>
        <w:t>7</w:t>
      </w:r>
      <w:r>
        <w:t>.</w:t>
      </w:r>
      <w:r>
        <w:tab/>
        <w:t>Paying assessed amount in 2 instalments (option 2)</w:t>
      </w:r>
      <w:bookmarkEnd w:id="7"/>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59.75pt;height:30.75pt" o:ole="">
            <v:imagedata r:id="rId22" o:title=""/>
          </v:shape>
          <o:OLEObject Type="Embed" ProgID="Equation.3" ShapeID="_x0000_i1026" DrawAspect="Content" ObjectID="_1644212639" r:id="rId23"/>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060" w:dyaOrig="620">
          <v:shape id="_x0000_i1027" type="#_x0000_t75" style="width:153pt;height:30.75pt" o:ole="">
            <v:imagedata r:id="rId24" o:title=""/>
          </v:shape>
          <o:OLEObject Type="Embed" ProgID="Equation.3" ShapeID="_x0000_i1027" DrawAspect="Content" ObjectID="_1644212640" r:id="rId25"/>
        </w:object>
      </w:r>
    </w:p>
    <w:p>
      <w:pPr>
        <w:pStyle w:val="Footnotesection"/>
      </w:pPr>
      <w:r>
        <w:tab/>
        <w:t>[Regulation 7 amended in Gazette 17 Nov 2009 p. 4633.]</w:t>
      </w:r>
    </w:p>
    <w:p>
      <w:pPr>
        <w:pStyle w:val="Heading5"/>
      </w:pPr>
      <w:bookmarkStart w:id="8" w:name="_Toc378945301"/>
      <w:r>
        <w:rPr>
          <w:rStyle w:val="CharSectno"/>
        </w:rPr>
        <w:t>8</w:t>
      </w:r>
      <w:r>
        <w:t>.</w:t>
      </w:r>
      <w:r>
        <w:tab/>
        <w:t>Paying assessed amount in 3 instalments (option 3)</w:t>
      </w:r>
      <w:bookmarkEnd w:id="8"/>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760" w:dyaOrig="620">
          <v:shape id="_x0000_i1028" type="#_x0000_t75" style="width:188.25pt;height:30.75pt" o:ole="">
            <v:imagedata r:id="rId26" o:title=""/>
          </v:shape>
          <o:OLEObject Type="Embed" ProgID="Equation.3" ShapeID="_x0000_i1028" DrawAspect="Content" ObjectID="_1644212641" r:id="rId27"/>
        </w:obje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object w:dxaOrig="3640" w:dyaOrig="620">
          <v:shape id="_x0000_i1029" type="#_x0000_t75" style="width:182.25pt;height:30.75pt" o:ole="">
            <v:imagedata r:id="rId28" o:title=""/>
          </v:shape>
          <o:OLEObject Type="Embed" ProgID="Equation.3" ShapeID="_x0000_i1029" DrawAspect="Content" ObjectID="_1644212642" r:id="rId29"/>
        </w:object>
      </w:r>
    </w:p>
    <w:p>
      <w:pPr>
        <w:pStyle w:val="Subsection"/>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object w:dxaOrig="3440" w:dyaOrig="620">
          <v:shape id="_x0000_i1030" type="#_x0000_t75" style="width:171.75pt;height:30.75pt" o:ole="">
            <v:imagedata r:id="rId30" o:title=""/>
          </v:shape>
          <o:OLEObject Type="Embed" ProgID="Equation.3" ShapeID="_x0000_i1030" DrawAspect="Content" ObjectID="_1644212643" r:id="rId31"/>
        </w:object>
      </w:r>
    </w:p>
    <w:p>
      <w:pPr>
        <w:pStyle w:val="Footnotesection"/>
      </w:pPr>
      <w:r>
        <w:tab/>
        <w:t>[Regulation 8 amended in Gazette 17 Nov 2009 p. 4633.]</w:t>
      </w:r>
    </w:p>
    <w:p>
      <w:pPr>
        <w:pStyle w:val="Heading5"/>
      </w:pPr>
      <w:bookmarkStart w:id="9" w:name="_Toc378945302"/>
      <w:r>
        <w:rPr>
          <w:rStyle w:val="CharSectno"/>
        </w:rPr>
        <w:t>9</w:t>
      </w:r>
      <w:r>
        <w:t>.</w:t>
      </w:r>
      <w:r>
        <w:tab/>
        <w:t>Other arrangements for paying assessed amount</w:t>
      </w:r>
      <w:bookmarkEnd w:id="9"/>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 in Gazette 17 Nov 2009 p. 4633-4.]</w:t>
      </w:r>
    </w:p>
    <w:p>
      <w:pPr>
        <w:pStyle w:val="Heading5"/>
      </w:pPr>
      <w:bookmarkStart w:id="10" w:name="_Toc378945303"/>
      <w:r>
        <w:rPr>
          <w:rStyle w:val="CharSectno"/>
        </w:rPr>
        <w:t>10</w:t>
      </w:r>
      <w:r>
        <w:t>.</w:t>
      </w:r>
      <w:r>
        <w:tab/>
        <w:t>Instalments to be multiples of 5 cents</w:t>
      </w:r>
      <w:bookmarkEnd w:id="10"/>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11" w:name="_Toc378945304"/>
      <w:r>
        <w:rPr>
          <w:rStyle w:val="CharSectno"/>
        </w:rPr>
        <w:t>11</w:t>
      </w:r>
      <w:r>
        <w:t>.</w:t>
      </w:r>
      <w:r>
        <w:tab/>
        <w:t>When full amount of land tax becomes due and payable</w:t>
      </w:r>
      <w:bookmarkEnd w:id="11"/>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2" w:name="_Toc378945305"/>
      <w:r>
        <w:rPr>
          <w:rStyle w:val="CharSectno"/>
        </w:rPr>
        <w:t>12</w:t>
      </w:r>
      <w:r>
        <w:t>.</w:t>
      </w:r>
      <w:r>
        <w:tab/>
        <w:t>Taxable authorities</w:t>
      </w:r>
      <w:bookmarkEnd w:id="12"/>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rPr>
          <w:snapToGrid w:val="0"/>
        </w:rPr>
      </w:pPr>
      <w:r>
        <w:tab/>
        <w:t>(b)</w:t>
      </w:r>
      <w:r>
        <w:tab/>
      </w:r>
      <w:r>
        <w:rPr>
          <w:snapToGrid w:val="0"/>
        </w:rPr>
        <w:t xml:space="preserve">the Water Corporation established by the </w:t>
      </w:r>
      <w:r>
        <w:rPr>
          <w:i/>
          <w:snapToGrid w:val="0"/>
        </w:rPr>
        <w:t>Water Corporation Act 1995</w:t>
      </w:r>
      <w:r>
        <w:rPr>
          <w:snapToGrid w:val="0"/>
        </w:rPr>
        <w:t xml:space="preserve"> section 4;</w:t>
      </w:r>
    </w:p>
    <w:p>
      <w:pPr>
        <w:pStyle w:val="Indenta"/>
      </w:pPr>
      <w:r>
        <w:tab/>
        <w:t>(c)</w:t>
      </w:r>
      <w:r>
        <w:tab/>
        <w:t xml:space="preserve">the Western Australian Land Authority established by the </w:t>
      </w:r>
      <w:r>
        <w:rPr>
          <w:i/>
        </w:rPr>
        <w:t>Western Australian Land Authority Act 1992</w:t>
      </w:r>
      <w:r>
        <w:t xml:space="preserve"> section 5;</w:t>
      </w:r>
    </w:p>
    <w:p>
      <w:pPr>
        <w:pStyle w:val="Indenta"/>
        <w:rPr>
          <w:snapToGrid w:val="0"/>
        </w:rPr>
      </w:pPr>
      <w:r>
        <w:tab/>
        <w:t>(d)</w:t>
      </w:r>
      <w:r>
        <w:tab/>
      </w:r>
      <w:r>
        <w:rPr>
          <w:snapToGrid w:val="0"/>
        </w:rPr>
        <w:t xml:space="preserve">the Albany Port Authority established by the </w:t>
      </w:r>
      <w:r>
        <w:rPr>
          <w:i/>
          <w:snapToGrid w:val="0"/>
        </w:rPr>
        <w:t>Port Authorities Act 1999</w:t>
      </w:r>
      <w:r>
        <w:rPr>
          <w:snapToGrid w:val="0"/>
        </w:rPr>
        <w:t xml:space="preserve"> section 4;</w:t>
      </w:r>
    </w:p>
    <w:p>
      <w:pPr>
        <w:pStyle w:val="Indenta"/>
      </w:pPr>
      <w:r>
        <w:tab/>
        <w:t>(e)</w:t>
      </w:r>
      <w:r>
        <w:tab/>
        <w:t xml:space="preserve">the Broome Port Authority established by the </w:t>
      </w:r>
      <w:r>
        <w:rPr>
          <w:i/>
        </w:rPr>
        <w:t>Port Authorities Act 1999</w:t>
      </w:r>
      <w:r>
        <w:t xml:space="preserve"> </w:t>
      </w:r>
      <w:r>
        <w:rPr>
          <w:snapToGrid w:val="0"/>
        </w:rPr>
        <w:t>section 4;</w:t>
      </w:r>
    </w:p>
    <w:p>
      <w:pPr>
        <w:pStyle w:val="Indenta"/>
        <w:rPr>
          <w:snapToGrid w:val="0"/>
        </w:rPr>
      </w:pPr>
      <w:r>
        <w:tab/>
        <w:t>(f)</w:t>
      </w:r>
      <w:r>
        <w:tab/>
      </w:r>
      <w:r>
        <w:rPr>
          <w:snapToGrid w:val="0"/>
        </w:rPr>
        <w:t xml:space="preserve">the Bunbury Port Authority established by the </w:t>
      </w:r>
      <w:r>
        <w:rPr>
          <w:i/>
          <w:snapToGrid w:val="0"/>
        </w:rPr>
        <w:t>Port Authorities Act 1999</w:t>
      </w:r>
      <w:r>
        <w:rPr>
          <w:snapToGrid w:val="0"/>
        </w:rPr>
        <w:t xml:space="preserve"> section 4;</w:t>
      </w:r>
    </w:p>
    <w:p>
      <w:pPr>
        <w:pStyle w:val="Indenta"/>
        <w:rPr>
          <w:snapToGrid w:val="0"/>
        </w:rPr>
      </w:pPr>
      <w:r>
        <w:tab/>
        <w:t>(g)</w:t>
      </w:r>
      <w:r>
        <w:tab/>
      </w:r>
      <w:r>
        <w:rPr>
          <w:snapToGrid w:val="0"/>
        </w:rPr>
        <w:t xml:space="preserve">the Dampier Port Authority established by the </w:t>
      </w:r>
      <w:r>
        <w:rPr>
          <w:i/>
          <w:snapToGrid w:val="0"/>
        </w:rPr>
        <w:t>Port Authorities Act 1999</w:t>
      </w:r>
      <w:r>
        <w:rPr>
          <w:snapToGrid w:val="0"/>
        </w:rPr>
        <w:t xml:space="preserve"> section 4;</w:t>
      </w:r>
    </w:p>
    <w:p>
      <w:pPr>
        <w:pStyle w:val="Indenta"/>
        <w:rPr>
          <w:snapToGrid w:val="0"/>
        </w:rPr>
      </w:pPr>
      <w:r>
        <w:tab/>
        <w:t>(h)</w:t>
      </w:r>
      <w:r>
        <w:tab/>
      </w:r>
      <w:r>
        <w:rPr>
          <w:snapToGrid w:val="0"/>
        </w:rPr>
        <w:t xml:space="preserve">the Esperance Port Authority established by the </w:t>
      </w:r>
      <w:r>
        <w:rPr>
          <w:i/>
          <w:snapToGrid w:val="0"/>
        </w:rPr>
        <w:t>Port Authorities Act 1999</w:t>
      </w:r>
      <w:r>
        <w:rPr>
          <w:snapToGrid w:val="0"/>
        </w:rPr>
        <w:t xml:space="preserve"> section 4;</w:t>
      </w:r>
    </w:p>
    <w:p>
      <w:pPr>
        <w:pStyle w:val="Indenta"/>
        <w:rPr>
          <w:snapToGrid w:val="0"/>
        </w:rPr>
      </w:pPr>
      <w:r>
        <w:tab/>
        <w:t>(i)</w:t>
      </w:r>
      <w:r>
        <w:tab/>
      </w:r>
      <w:r>
        <w:rPr>
          <w:snapToGrid w:val="0"/>
        </w:rPr>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Geraldton Port Authority established by the </w:t>
      </w:r>
      <w:r>
        <w:rPr>
          <w:i/>
          <w:snapToGrid w:val="0"/>
        </w:rPr>
        <w:t>Port Authorities Act 1999</w:t>
      </w:r>
      <w:r>
        <w:rPr>
          <w:snapToGrid w:val="0"/>
        </w:rPr>
        <w:t xml:space="preserve"> section 4;</w:t>
      </w:r>
    </w:p>
    <w:p>
      <w:pPr>
        <w:pStyle w:val="Indenta"/>
        <w:rPr>
          <w:snapToGrid w:val="0"/>
        </w:rPr>
      </w:pPr>
      <w:r>
        <w:tab/>
        <w:t>(k)</w:t>
      </w:r>
      <w:r>
        <w:tab/>
        <w:t>t</w:t>
      </w:r>
      <w:r>
        <w:rPr>
          <w:snapToGrid w:val="0"/>
        </w:rPr>
        <w:t xml:space="preserve">he Port Hedland Port Authority established by the </w:t>
      </w:r>
      <w:r>
        <w:rPr>
          <w:i/>
          <w:snapToGrid w:val="0"/>
        </w:rPr>
        <w:t>Port Authorities Act 1999</w:t>
      </w:r>
      <w:r>
        <w:rPr>
          <w:snapToGrid w:val="0"/>
        </w:rPr>
        <w:t xml:space="preserve"> section 4;</w:t>
      </w:r>
    </w:p>
    <w:p>
      <w:pPr>
        <w:pStyle w:val="Indenta"/>
      </w:pPr>
      <w:r>
        <w:tab/>
        <w:t>(l)</w:t>
      </w:r>
      <w:r>
        <w:tab/>
        <w:t xml:space="preserve">the Western Australian Land Information Authority established by the </w:t>
      </w:r>
      <w:r>
        <w:rPr>
          <w:i/>
        </w:rPr>
        <w:t>Land Information Authority Act 2006</w:t>
      </w:r>
      <w: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in Gazette 31 Mar 2006 p. 1350</w:t>
      </w:r>
      <w:r>
        <w:noBreakHyphen/>
        <w:t>1; 20 Mar 2007 p. 1049; 4 Sep 2007 p. 4522; 30 May 2008 p. 2088; 27 Dec 2013 p. 6478.]</w:t>
      </w:r>
    </w:p>
    <w:p>
      <w:pPr>
        <w:pStyle w:val="Heading5"/>
      </w:pPr>
      <w:bookmarkStart w:id="13" w:name="_Toc378945306"/>
      <w:r>
        <w:rPr>
          <w:rStyle w:val="CharSectno"/>
        </w:rPr>
        <w:t>13A</w:t>
      </w:r>
      <w:r>
        <w:t>.</w:t>
      </w:r>
      <w:r>
        <w:tab/>
        <w:t>Taxable value — prescribed percentage</w:t>
      </w:r>
      <w:bookmarkEnd w:id="13"/>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13A inserted in Gazette 17 Nov 2009 p. 4634.]</w:t>
      </w:r>
    </w:p>
    <w:p>
      <w:pPr>
        <w:pStyle w:val="Heading5"/>
      </w:pPr>
      <w:bookmarkStart w:id="14" w:name="_Toc378945307"/>
      <w:r>
        <w:rPr>
          <w:rStyle w:val="CharSectno"/>
        </w:rPr>
        <w:t>13</w:t>
      </w:r>
      <w:r>
        <w:t>.</w:t>
      </w:r>
      <w:r>
        <w:tab/>
        <w:t>Inner city area</w:t>
      </w:r>
      <w:bookmarkEnd w:id="14"/>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pPr>
      <w:bookmarkStart w:id="15" w:name="_Toc378945308"/>
      <w:r>
        <w:rPr>
          <w:rStyle w:val="CharSectno"/>
        </w:rPr>
        <w:t>14</w:t>
      </w:r>
      <w:r>
        <w:t>.</w:t>
      </w:r>
      <w:r>
        <w:tab/>
        <w:t>Repeal and savings</w:t>
      </w:r>
      <w:bookmarkEnd w:id="15"/>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6" w:name="_Toc378945309"/>
      <w:r>
        <w:rPr>
          <w:rStyle w:val="CharSchNo"/>
        </w:rPr>
        <w:t>Schedule 1</w:t>
      </w:r>
      <w:r>
        <w:t xml:space="preserve"> — </w:t>
      </w:r>
      <w:r>
        <w:rPr>
          <w:rStyle w:val="CharSchText"/>
        </w:rPr>
        <w:t>Inner city area</w:t>
      </w:r>
      <w:bookmarkEnd w:id="16"/>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sectPr>
          <w:headerReference w:type="even" r:id="rId39"/>
          <w:headerReference w:type="default" r:id="rId40"/>
          <w:headerReference w:type="first" r:id="rId41"/>
          <w:endnotePr>
            <w:numFmt w:val="decimal"/>
          </w:endnotePr>
          <w:pgSz w:w="11906" w:h="16838" w:code="9"/>
          <w:pgMar w:top="2376" w:right="2405" w:bottom="3542" w:left="2405" w:header="706" w:footer="3380" w:gutter="0"/>
          <w:cols w:space="720"/>
          <w:noEndnote/>
          <w:docGrid w:linePitch="326"/>
        </w:sectPr>
      </w:pPr>
    </w:p>
    <w:p>
      <w:pPr>
        <w:pStyle w:val="nHeading2"/>
      </w:pPr>
      <w:bookmarkStart w:id="17" w:name="_Toc378945310"/>
      <w:r>
        <w:t>Notes</w:t>
      </w:r>
      <w:bookmarkEnd w:id="17"/>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Regulations 2003</w:t>
      </w:r>
      <w:r>
        <w:rPr>
          <w:snapToGrid w:val="0"/>
        </w:rPr>
        <w:t xml:space="preserve"> and includes the amendments made by the other written laws referred to in the following table</w:t>
      </w:r>
      <w:r>
        <w:rPr>
          <w:snapToGrid w:val="0"/>
          <w:vertAlign w:val="superscript"/>
        </w:rPr>
        <w:t> 3, 4</w:t>
      </w:r>
      <w:r>
        <w:rPr>
          <w:snapToGrid w:val="0"/>
        </w:rPr>
        <w:t>.  The table also contains information about any reprint.</w:t>
      </w:r>
    </w:p>
    <w:p>
      <w:pPr>
        <w:pStyle w:val="nHeading3"/>
      </w:pPr>
      <w:bookmarkStart w:id="18" w:name="_Toc378945311"/>
      <w:r>
        <w:t>Compilation table</w:t>
      </w:r>
      <w:bookmarkEnd w:id="1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Land Tax Assessment Regulations 2003</w:t>
            </w:r>
          </w:p>
        </w:tc>
        <w:tc>
          <w:tcPr>
            <w:tcW w:w="1276" w:type="dxa"/>
            <w:tcBorders>
              <w:top w:val="single" w:sz="8" w:space="0" w:color="auto"/>
            </w:tcBorders>
          </w:tcPr>
          <w:p>
            <w:pPr>
              <w:pStyle w:val="nTable"/>
              <w:spacing w:after="40"/>
              <w:rPr>
                <w:sz w:val="19"/>
              </w:rPr>
            </w:pPr>
            <w:r>
              <w:rPr>
                <w:sz w:val="19"/>
              </w:rPr>
              <w:t>27 Jun 2003 p. 2409</w:t>
            </w:r>
            <w:r>
              <w:rPr>
                <w:sz w:val="19"/>
              </w:rPr>
              <w:noBreakHyphen/>
              <w:t>14</w:t>
            </w:r>
          </w:p>
        </w:tc>
        <w:tc>
          <w:tcPr>
            <w:tcW w:w="2693" w:type="dxa"/>
            <w:tcBorders>
              <w:top w:val="single" w:sz="8" w:space="0" w:color="auto"/>
            </w:tcBorders>
          </w:tcPr>
          <w:p>
            <w:pPr>
              <w:pStyle w:val="nTable"/>
              <w:spacing w:after="40"/>
              <w:rPr>
                <w:sz w:val="19"/>
              </w:rPr>
            </w:pPr>
            <w:r>
              <w:rPr>
                <w:sz w:val="19"/>
              </w:rPr>
              <w:t xml:space="preserve">1 Jul 2003 (see r. 2(1) and </w:t>
            </w:r>
            <w:r>
              <w:rPr>
                <w:i/>
                <w:sz w:val="19"/>
              </w:rPr>
              <w:t>Gazette</w:t>
            </w:r>
            <w:r>
              <w:rPr>
                <w:sz w:val="19"/>
              </w:rPr>
              <w:t xml:space="preserve"> 27 Jun 2003 p. 2383)</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sz w:val="19"/>
              </w:rPr>
            </w:pPr>
            <w:r>
              <w:rPr>
                <w:i/>
                <w:noProof/>
                <w:snapToGrid w:val="0"/>
                <w:sz w:val="19"/>
              </w:rPr>
              <w:t>Land Tax Assessment Amendment Regulations 2007</w:t>
            </w:r>
          </w:p>
        </w:tc>
        <w:tc>
          <w:tcPr>
            <w:tcW w:w="1276" w:type="dxa"/>
          </w:tcPr>
          <w:p>
            <w:pPr>
              <w:pStyle w:val="nTable"/>
              <w:spacing w:after="40"/>
              <w:rPr>
                <w:sz w:val="19"/>
              </w:rPr>
            </w:pPr>
            <w:r>
              <w:rPr>
                <w:sz w:val="19"/>
              </w:rPr>
              <w:t>20 Mar 2007 p. 1049</w:t>
            </w:r>
          </w:p>
        </w:tc>
        <w:tc>
          <w:tcPr>
            <w:tcW w:w="2693" w:type="dxa"/>
          </w:tcPr>
          <w:p>
            <w:pPr>
              <w:pStyle w:val="nTable"/>
              <w:spacing w:after="40"/>
              <w:rPr>
                <w:sz w:val="19"/>
              </w:rPr>
            </w:pPr>
            <w:r>
              <w:rPr>
                <w:sz w:val="19"/>
              </w:rPr>
              <w:t>20 Mar 2007</w:t>
            </w:r>
          </w:p>
        </w:tc>
      </w:tr>
      <w:tr>
        <w:tc>
          <w:tcPr>
            <w:tcW w:w="3118" w:type="dxa"/>
          </w:tcPr>
          <w:p>
            <w:pPr>
              <w:pStyle w:val="nTable"/>
              <w:spacing w:after="40"/>
              <w:rPr>
                <w:i/>
                <w:noProof/>
                <w:snapToGrid w:val="0"/>
                <w:sz w:val="19"/>
              </w:rPr>
            </w:pPr>
            <w:r>
              <w:rPr>
                <w:i/>
                <w:noProof/>
                <w:snapToGrid w:val="0"/>
                <w:sz w:val="19"/>
              </w:rPr>
              <w:t>Land Tax Assessment Amendment Regulations (No. 2) 2007</w:t>
            </w:r>
          </w:p>
        </w:tc>
        <w:tc>
          <w:tcPr>
            <w:tcW w:w="1276" w:type="dxa"/>
          </w:tcPr>
          <w:p>
            <w:pPr>
              <w:pStyle w:val="nTable"/>
              <w:spacing w:after="40"/>
              <w:rPr>
                <w:sz w:val="19"/>
              </w:rPr>
            </w:pPr>
            <w:r>
              <w:rPr>
                <w:sz w:val="19"/>
              </w:rPr>
              <w:t>4 Sep 2007 p. 4521</w:t>
            </w:r>
            <w:r>
              <w:rPr>
                <w:sz w:val="19"/>
              </w:rPr>
              <w:noBreakHyphen/>
              <w:t>2</w:t>
            </w:r>
          </w:p>
        </w:tc>
        <w:tc>
          <w:tcPr>
            <w:tcW w:w="2693" w:type="dxa"/>
          </w:tcPr>
          <w:p>
            <w:pPr>
              <w:pStyle w:val="nTable"/>
              <w:spacing w:after="40"/>
              <w:rPr>
                <w:sz w:val="19"/>
              </w:rPr>
            </w:pPr>
            <w:r>
              <w:rPr>
                <w:snapToGrid w:val="0"/>
                <w:sz w:val="19"/>
              </w:rPr>
              <w:t>r. 1 and 2: 4 Sep 2007 (see r. 2(a));</w:t>
            </w:r>
            <w:r>
              <w:rPr>
                <w:snapToGrid w:val="0"/>
                <w:sz w:val="19"/>
              </w:rPr>
              <w:br/>
              <w:t>Regulations other than r. 1 and 2: 5 Sep 2007 (see r. 2(b))</w:t>
            </w:r>
          </w:p>
        </w:tc>
      </w:tr>
      <w:tr>
        <w:tc>
          <w:tcPr>
            <w:tcW w:w="3118" w:type="dxa"/>
          </w:tcPr>
          <w:p>
            <w:pPr>
              <w:pStyle w:val="nTable"/>
              <w:spacing w:after="40"/>
              <w:rPr>
                <w:i/>
                <w:noProof/>
                <w:snapToGrid w:val="0"/>
                <w:sz w:val="19"/>
              </w:rPr>
            </w:pPr>
            <w:r>
              <w:rPr>
                <w:i/>
                <w:noProof/>
                <w:snapToGrid w:val="0"/>
                <w:sz w:val="19"/>
              </w:rPr>
              <w:t>Land Tax Assessment Amendment Regulations 2008</w:t>
            </w:r>
          </w:p>
        </w:tc>
        <w:tc>
          <w:tcPr>
            <w:tcW w:w="1276" w:type="dxa"/>
          </w:tcPr>
          <w:p>
            <w:pPr>
              <w:pStyle w:val="nTable"/>
              <w:spacing w:after="40"/>
              <w:rPr>
                <w:sz w:val="19"/>
              </w:rPr>
            </w:pPr>
            <w:r>
              <w:rPr>
                <w:sz w:val="19"/>
              </w:rPr>
              <w:t>30 May 2008 p. 2088</w:t>
            </w:r>
          </w:p>
        </w:tc>
        <w:tc>
          <w:tcPr>
            <w:tcW w:w="2693" w:type="dxa"/>
          </w:tcPr>
          <w:p>
            <w:pPr>
              <w:pStyle w:val="nTable"/>
              <w:spacing w:after="40"/>
              <w:rPr>
                <w:snapToGrid w:val="0"/>
                <w:sz w:val="19"/>
              </w:rPr>
            </w:pPr>
            <w:r>
              <w:rPr>
                <w:snapToGrid w:val="0"/>
                <w:sz w:val="19"/>
              </w:rPr>
              <w:t>r. 1 and 2: 30 May 2008 (see r. 2(a));</w:t>
            </w:r>
            <w:r>
              <w:rPr>
                <w:snapToGrid w:val="0"/>
                <w:sz w:val="19"/>
              </w:rPr>
              <w:br/>
              <w:t>Regulations other than r. 1 and 2: 31 May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r>
              <w:rPr>
                <w:b/>
                <w:bCs/>
                <w:i/>
                <w:noProof/>
                <w:snapToGrid w:val="0"/>
                <w:sz w:val="19"/>
              </w:rPr>
              <w:t>Land Tax Assessment Regulations 2003</w:t>
            </w:r>
            <w:r>
              <w:rPr>
                <w:b/>
                <w:bCs/>
                <w:snapToGrid w:val="0"/>
                <w:sz w:val="19"/>
              </w:rPr>
              <w:t xml:space="preserve"> as at 5 Sep 2008</w:t>
            </w:r>
            <w:r>
              <w:rPr>
                <w:snapToGrid w:val="0"/>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Land Tax Assessment Amendment Regulations 2009</w:t>
            </w:r>
          </w:p>
        </w:tc>
        <w:tc>
          <w:tcPr>
            <w:tcW w:w="1276" w:type="dxa"/>
          </w:tcPr>
          <w:p>
            <w:pPr>
              <w:pStyle w:val="nTable"/>
              <w:spacing w:after="40"/>
              <w:rPr>
                <w:sz w:val="19"/>
              </w:rPr>
            </w:pPr>
            <w:r>
              <w:rPr>
                <w:sz w:val="19"/>
              </w:rPr>
              <w:t>17 Nov 2009 p. 4632-4</w:t>
            </w:r>
          </w:p>
        </w:tc>
        <w:tc>
          <w:tcPr>
            <w:tcW w:w="2693" w:type="dxa"/>
          </w:tcPr>
          <w:p>
            <w:pPr>
              <w:pStyle w:val="nTable"/>
              <w:spacing w:after="40"/>
              <w:rPr>
                <w:snapToGrid w:val="0"/>
                <w:sz w:val="19"/>
              </w:rPr>
            </w:pPr>
            <w:r>
              <w:rPr>
                <w:snapToGrid w:val="0"/>
                <w:sz w:val="19"/>
              </w:rPr>
              <w:t>r. 7: 1 Jul 2009 (see r. 2(b));</w:t>
            </w:r>
            <w:r>
              <w:rPr>
                <w:snapToGrid w:val="0"/>
                <w:sz w:val="19"/>
              </w:rPr>
              <w:br/>
              <w:t>r. 1 and 2: 17 Nov 2009 (see r. 2(a));</w:t>
            </w:r>
            <w:r>
              <w:rPr>
                <w:snapToGrid w:val="0"/>
                <w:sz w:val="19"/>
              </w:rPr>
              <w:br/>
              <w:t>Regulations other than r. 1, 2 and 7: 18 Nov 2009 (see r. 2(c))</w:t>
            </w:r>
          </w:p>
        </w:tc>
      </w:tr>
      <w:tr>
        <w:tc>
          <w:tcPr>
            <w:tcW w:w="3118" w:type="dxa"/>
            <w:tcBorders>
              <w:bottom w:val="single" w:sz="4" w:space="0" w:color="auto"/>
            </w:tcBorders>
          </w:tcPr>
          <w:p>
            <w:pPr>
              <w:pStyle w:val="nTable"/>
              <w:spacing w:after="40"/>
              <w:rPr>
                <w:i/>
                <w:noProof/>
                <w:snapToGrid w:val="0"/>
                <w:sz w:val="19"/>
              </w:rPr>
            </w:pPr>
            <w:r>
              <w:rPr>
                <w:i/>
                <w:sz w:val="19"/>
              </w:rPr>
              <w:t>Electricity Corporations (Consequential Amendments) Regulations 2013</w:t>
            </w:r>
            <w:r>
              <w:rPr>
                <w:sz w:val="19"/>
              </w:rPr>
              <w:t xml:space="preserve"> r. 13</w:t>
            </w:r>
          </w:p>
        </w:tc>
        <w:tc>
          <w:tcPr>
            <w:tcW w:w="1276" w:type="dxa"/>
            <w:tcBorders>
              <w:bottom w:val="single" w:sz="4" w:space="0" w:color="auto"/>
            </w:tcBorders>
          </w:tcPr>
          <w:p>
            <w:pPr>
              <w:pStyle w:val="nTable"/>
              <w:spacing w:after="40"/>
              <w:rPr>
                <w:sz w:val="19"/>
              </w:rPr>
            </w:pPr>
            <w:r>
              <w:rPr>
                <w:sz w:val="19"/>
              </w:rPr>
              <w:t>27 Dec 2013 p. 6469-79</w:t>
            </w:r>
          </w:p>
        </w:tc>
        <w:tc>
          <w:tcPr>
            <w:tcW w:w="2693" w:type="dxa"/>
            <w:tcBorders>
              <w:bottom w:val="single" w:sz="4" w:space="0" w:color="auto"/>
            </w:tcBorders>
          </w:tcPr>
          <w:p>
            <w:pPr>
              <w:pStyle w:val="nTable"/>
              <w:spacing w:after="40"/>
              <w:rPr>
                <w:snapToGrid w:val="0"/>
                <w:sz w:val="19"/>
              </w:rPr>
            </w:pPr>
            <w:r>
              <w:rPr>
                <w:sz w:val="19"/>
              </w:rPr>
              <w:t xml:space="preserve">1 Jan 2014 (see r. 2(c) and </w:t>
            </w:r>
            <w:r>
              <w:rPr>
                <w:i/>
                <w:sz w:val="19"/>
              </w:rPr>
              <w:t>Gazette</w:t>
            </w:r>
            <w:r>
              <w:rPr>
                <w:sz w:val="19"/>
              </w:rPr>
              <w:t xml:space="preserve"> 27 Dec 2013 p. 6465)</w:t>
            </w:r>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3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3 — The </w:t>
      </w:r>
      <w:r>
        <w:rPr>
          <w:i/>
          <w:iCs/>
        </w:rPr>
        <w:t>Land Tax Assessment Regulations 2003</w:t>
      </w:r>
    </w:p>
    <w:p>
      <w:pPr>
        <w:pStyle w:val="nzHeading5"/>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pPr>
      <w:r>
        <w:tab/>
      </w:r>
      <w:r>
        <w:tab/>
        <w:t xml:space="preserve">After regulation 3 the following regulation is inserted — </w:t>
      </w:r>
    </w:p>
    <w:p>
      <w:pPr>
        <w:pStyle w:val="MiscOpen"/>
      </w:pPr>
      <w:r>
        <w:t xml:space="preserve">“    </w:t>
      </w:r>
    </w:p>
    <w:p>
      <w:pPr>
        <w:pStyle w:val="nzHeading5"/>
        <w:rPr>
          <w:b w:val="0"/>
        </w:rPr>
      </w:pPr>
      <w:r>
        <w:rPr>
          <w:bCs/>
        </w:rPr>
        <w:t>3A.</w:t>
      </w:r>
      <w:r>
        <w:rPr>
          <w:b w:val="0"/>
        </w:rPr>
        <w:tab/>
      </w:r>
      <w:r>
        <w:t>Application of regulations in non</w:t>
      </w:r>
      <w:r>
        <w:noBreakHyphen/>
        <w:t>Commonwealth places</w:t>
      </w:r>
    </w:p>
    <w:p>
      <w:pPr>
        <w:pStyle w:val="nzSubsection"/>
        <w:rPr>
          <w:spacing w:val="-4"/>
        </w:rPr>
      </w:pPr>
      <w:r>
        <w:tab/>
        <w:t>(1)</w:t>
      </w:r>
      <w:r>
        <w:tab/>
        <w:t>In this regulation —</w:t>
      </w:r>
      <w:r>
        <w:rPr>
          <w:spacing w:val="-4"/>
        </w:rPr>
        <w:t xml:space="preserve"> </w:t>
      </w:r>
    </w:p>
    <w:p>
      <w:pPr>
        <w:pStyle w:val="nzDefstart"/>
        <w:rPr>
          <w:spacing w:val="-4"/>
        </w:rPr>
      </w:pPr>
      <w:r>
        <w:rPr>
          <w:i/>
          <w:iCs/>
          <w:spacing w:val="-4"/>
        </w:rPr>
        <w:tab/>
      </w:r>
      <w:r>
        <w:rPr>
          <w:b/>
          <w:i/>
          <w:iCs/>
          <w:snapToGrid/>
        </w:rPr>
        <w:t>applied</w:t>
      </w:r>
      <w:r>
        <w:rPr>
          <w:b/>
          <w:bCs/>
          <w:i/>
          <w:iCs/>
        </w:rPr>
        <w:t xml:space="preserve"> Land Tax Assessment Regulations</w:t>
      </w:r>
      <w:r>
        <w:t xml:space="preserve"> means the </w:t>
      </w:r>
      <w:r>
        <w:rPr>
          <w:i/>
        </w:rPr>
        <w:t>Land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a reference to these regulations is to be read as a reference to these regulations in their application as a law of Western Australia; and</w:t>
      </w:r>
    </w:p>
    <w:p>
      <w:pPr>
        <w:pStyle w:val="nzIndenta"/>
      </w:pPr>
      <w:r>
        <w:tab/>
        <w:t>(b)</w:t>
      </w:r>
      <w:r>
        <w:tab/>
        <w:t>a reference to the Act is to be read as a reference to the Act in its application as a law of Western Australia; and</w:t>
      </w:r>
    </w:p>
    <w:p>
      <w:pPr>
        <w:pStyle w:val="nzIndenta"/>
      </w:pPr>
      <w:r>
        <w:tab/>
        <w:t>(c)</w:t>
      </w:r>
      <w:r>
        <w:tab/>
        <w:t>a reference to the Land Tax Assessment Act 2002 is to be read as a reference to that Act in its application as a law of Western Australia; and</w:t>
      </w:r>
    </w:p>
    <w:p>
      <w:pPr>
        <w:pStyle w:val="nzIndenta"/>
      </w:pPr>
      <w:r>
        <w:tab/>
        <w:t>(d)</w:t>
      </w:r>
      <w:r>
        <w:tab/>
        <w:t>a reference to the Land Tax Assessment Act 1976 is to be read as a reference to that Act in its application, before 1 July 2003, as a law of Western Australia; and</w:t>
      </w:r>
    </w:p>
    <w:p>
      <w:pPr>
        <w:pStyle w:val="nzIndenta"/>
      </w:pPr>
      <w:r>
        <w:tab/>
        <w:t>(e)</w:t>
      </w:r>
      <w:r>
        <w:tab/>
        <w:t>a reference to the Land Tax Assessment Regulations 1976 is to be read as a reference to those regulations in their application, before 1 July 2003, as a law of Western Australia.</w:t>
      </w:r>
    </w:p>
    <w:p>
      <w:pPr>
        <w:pStyle w:val="nzSubsection"/>
        <w:keepNext/>
      </w:pPr>
      <w:r>
        <w:tab/>
        <w:t>(3)</w:t>
      </w:r>
      <w:r>
        <w:tab/>
        <w:t>These regulations are to be read with the applied Land Tax Assessment Regulations as a single body of law.</w:t>
      </w:r>
    </w:p>
    <w:p>
      <w:pPr>
        <w:pStyle w:val="MiscClose"/>
        <w:ind w:right="577"/>
      </w:pPr>
      <w:r>
        <w:t xml:space="preserve">    ”.</w:t>
      </w:r>
    </w:p>
    <w:p>
      <w:pPr>
        <w:pStyle w:val="MiscClose"/>
      </w:pPr>
      <w:r>
        <w:t>”.</w:t>
      </w:r>
    </w:p>
    <w:p>
      <w:pPr>
        <w:pStyle w:val="nSubsection"/>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3 Div. 3 of that notice read as follows:</w:t>
      </w:r>
    </w:p>
    <w:p>
      <w:pPr>
        <w:pStyle w:val="MiscOpen"/>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r>
        <w:rPr>
          <w:rStyle w:val="CharSectno"/>
        </w:rPr>
        <w:t>4</w:t>
      </w:r>
      <w:r>
        <w:t>.</w:t>
      </w:r>
      <w:r>
        <w:tab/>
        <w:t>Definitions</w:t>
      </w:r>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r>
        <w:rPr>
          <w:rStyle w:val="CharPartNo"/>
        </w:rPr>
        <w:t>Part 3</w:t>
      </w:r>
      <w:r>
        <w:t> — </w:t>
      </w:r>
      <w:r>
        <w:rPr>
          <w:rStyle w:val="CharPartText"/>
        </w:rPr>
        <w:t>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spacing w:before="60"/>
      </w:pPr>
      <w:r>
        <w:tab/>
      </w:r>
      <w:r>
        <w:tab/>
        <w:t xml:space="preserve">After regulation 3 the following regulation is inserted — </w:t>
      </w:r>
    </w:p>
    <w:p>
      <w:pPr>
        <w:pStyle w:val="MiscOpen"/>
        <w:spacing w:before="0"/>
      </w:pPr>
      <w:r>
        <w:t xml:space="preserve">“    </w:t>
      </w:r>
    </w:p>
    <w:p>
      <w:pPr>
        <w:pStyle w:val="nzHeading5"/>
        <w:spacing w:before="40"/>
      </w:pPr>
      <w:r>
        <w:t>3A.</w:t>
      </w:r>
      <w:r>
        <w:tab/>
        <w:t>Application of regulations in Commonwealth places</w:t>
      </w:r>
    </w:p>
    <w:p>
      <w:pPr>
        <w:pStyle w:val="nzSubsection"/>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MiscClose"/>
      </w:pPr>
      <w:r>
        <w:t>”.</w:t>
      </w:r>
    </w:p>
    <w:p/>
    <w:p>
      <w:pPr>
        <w:sectPr>
          <w:headerReference w:type="even" r:id="rId42"/>
          <w:headerReference w:type="default" r:id="rId43"/>
          <w:headerReference w:type="first" r:id="rId4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 w:name="_Toc378945312"/>
      <w:r>
        <w:rPr>
          <w:sz w:val="28"/>
        </w:rPr>
        <w:t>Defined terms</w:t>
      </w:r>
      <w:bookmarkEnd w:id="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 w:name="DefinedTerms"/>
      <w:bookmarkEnd w:id="20"/>
      <w:r>
        <w:t>A</w:t>
      </w:r>
      <w:r>
        <w:tab/>
        <w:t>3(2)</w:t>
      </w:r>
    </w:p>
    <w:p>
      <w:pPr>
        <w:pStyle w:val="DefinedTerms"/>
      </w:pPr>
      <w:r>
        <w:t>amount paid</w:t>
      </w:r>
      <w:r>
        <w:tab/>
        <w:t>9(1) and (2)</w:t>
      </w:r>
    </w:p>
    <w:p>
      <w:pPr>
        <w:pStyle w:val="DefinedTerms"/>
      </w:pPr>
      <w:r>
        <w:t>arrears</w:t>
      </w:r>
      <w:r>
        <w:tab/>
        <w:t>3(1)</w:t>
      </w:r>
    </w:p>
    <w:p>
      <w:pPr>
        <w:pStyle w:val="DefinedTerms"/>
      </w:pPr>
      <w:r>
        <w:t>assessed amount</w:t>
      </w:r>
      <w:r>
        <w:tab/>
        <w:t>3(1)</w:t>
      </w:r>
    </w:p>
    <w:p>
      <w:pPr>
        <w:pStyle w:val="DefinedTerms"/>
      </w:pPr>
      <w:r>
        <w:t>DA</w:t>
      </w:r>
      <w:r>
        <w:tab/>
        <w:t>3(2)</w:t>
      </w:r>
    </w:p>
    <w:p>
      <w:pPr>
        <w:pStyle w:val="DefinedTerms"/>
      </w:pPr>
      <w:r>
        <w:t>discountable amount</w:t>
      </w:r>
      <w:r>
        <w:tab/>
        <w:t>3(1)</w:t>
      </w:r>
    </w:p>
    <w:p>
      <w:pPr>
        <w:pStyle w:val="DefinedTerms"/>
      </w:pPr>
      <w:r>
        <w:t>option 1</w:t>
      </w:r>
      <w:r>
        <w:tab/>
        <w:t>3(1)</w:t>
      </w:r>
    </w:p>
    <w:p>
      <w:pPr>
        <w:pStyle w:val="DefinedTerms"/>
      </w:pPr>
      <w:r>
        <w:t>option 2</w:t>
      </w:r>
      <w:r>
        <w:tab/>
        <w:t>3(1)</w:t>
      </w:r>
    </w:p>
    <w:p>
      <w:pPr>
        <w:pStyle w:val="DefinedTerms"/>
      </w:pPr>
      <w:r>
        <w:t>option 3</w:t>
      </w:r>
      <w:r>
        <w:tab/>
        <w:t>3(1)</w:t>
      </w:r>
    </w:p>
    <w:p>
      <w:pPr>
        <w:pStyle w:val="DefinedTerms"/>
      </w:pPr>
      <w:r>
        <w:t>RA</w:t>
      </w:r>
      <w:r>
        <w:tab/>
        <w:t>3(2)</w:t>
      </w:r>
    </w:p>
    <w:p>
      <w:pPr>
        <w:pStyle w:val="DefinedTerms"/>
      </w:pPr>
      <w:r>
        <w:t>relevant assessment notice</w:t>
      </w:r>
      <w:r>
        <w:tab/>
        <w:t>3(1)</w:t>
      </w:r>
    </w:p>
    <w:p>
      <w:pPr>
        <w:pStyle w:val="DefinedTerms"/>
      </w:pPr>
      <w:r>
        <w:t>residual amount</w:t>
      </w:r>
      <w:r>
        <w:tab/>
        <w:t>3(1)</w:t>
      </w:r>
    </w:p>
    <w:p>
      <w:pPr>
        <w:pStyle w:val="DefinedTerms"/>
      </w:pPr>
    </w:p>
    <w:p>
      <w:pPr>
        <w:pStyle w:val="DefinedTerms"/>
        <w:sectPr>
          <w:headerReference w:type="even" r:id="rId45"/>
          <w:headerReference w:type="default" r:id="rId46"/>
          <w:headerReference w:type="first" r:id="rId47"/>
          <w:endnotePr>
            <w:numFmt w:val="decimal"/>
          </w:endnotePr>
          <w:pgSz w:w="11906" w:h="16838" w:code="9"/>
          <w:pgMar w:top="2376" w:right="2404" w:bottom="3544" w:left="2404" w:header="720" w:footer="3380" w:gutter="0"/>
          <w:cols w:space="720"/>
          <w:noEndnote/>
          <w:docGrid w:linePitch="326"/>
        </w:sectPr>
      </w:pPr>
    </w:p>
    <w:p/>
    <w:sectPr>
      <w:headerReference w:type="even" r:id="rId4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Land Tax Assessment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Land Tax Assessment Regulations 2003</w:t>
            </w:r>
          </w:fldSimple>
        </w:p>
      </w:tc>
    </w:tr>
    <w:t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Land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Land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16833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FB6C26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1152043"/>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footer" Target="footer7.xml"/><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3.bin"/><Relationship Id="rId33" Type="http://schemas.openxmlformats.org/officeDocument/2006/relationships/header" Target="header7.xml"/><Relationship Id="rId38" Type="http://schemas.openxmlformats.org/officeDocument/2006/relationships/image" Target="media/image8.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5.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4.wmf"/><Relationship Id="rId32" Type="http://schemas.openxmlformats.org/officeDocument/2006/relationships/header" Target="header6.xml"/><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header" Target="header8.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6.bin"/><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footer" Target="footer8.xml"/><Relationship Id="rId43" Type="http://schemas.openxmlformats.org/officeDocument/2006/relationships/header" Target="header13.xml"/><Relationship Id="rId48" Type="http://schemas.openxmlformats.org/officeDocument/2006/relationships/header" Target="header1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4079</Words>
  <Characters>19747</Characters>
  <Application>Microsoft Office Word</Application>
  <DocSecurity>0</DocSecurity>
  <Lines>580</Lines>
  <Paragraphs>326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23500</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2003 - 01-c0-01</dc:title>
  <dc:subject/>
  <dc:creator/>
  <cp:keywords/>
  <dc:description/>
  <cp:lastModifiedBy>svcMRProcess</cp:lastModifiedBy>
  <cp:revision>4</cp:revision>
  <cp:lastPrinted>2008-09-24T03:49:00Z</cp:lastPrinted>
  <dcterms:created xsi:type="dcterms:W3CDTF">2020-02-26T00:57:00Z</dcterms:created>
  <dcterms:modified xsi:type="dcterms:W3CDTF">2020-02-26T00:57:00Z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15942</vt:i4>
  </property>
  <property fmtid="{D5CDD505-2E9C-101B-9397-08002B2CF9AE}" pid="6" name="AsAtDate">
    <vt:lpwstr>01 Jan 2014</vt:lpwstr>
  </property>
  <property fmtid="{D5CDD505-2E9C-101B-9397-08002B2CF9AE}" pid="7" name="Suffix">
    <vt:lpwstr>01-c0-01</vt:lpwstr>
  </property>
  <property fmtid="{D5CDD505-2E9C-101B-9397-08002B2CF9AE}" pid="8" name="ReprintNo">
    <vt:lpwstr>1</vt:lpwstr>
  </property>
</Properties>
</file>