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(Marillana Creek) Agreement Act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_Toc419715083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_Toc419715084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_Toc419715085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_Toc419715086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Variation Agreement</w:t>
      </w:r>
      <w:r>
        <w:tab/>
      </w:r>
      <w:r>
        <w:fldChar w:fldCharType="begin"/>
      </w:r>
      <w:r>
        <w:instrText xml:space="preserve"> PAGEREF _Toc419715087 \h </w:instrText>
      </w:r>
      <w:r>
        <w:fldChar w:fldCharType="separate"/>
      </w:r>
      <w:r>
        <w:t>2</w:t>
      </w:r>
      <w:r>
        <w:fldChar w:fldCharType="end"/>
      </w:r>
    </w:p>
    <w:p>
      <w:pPr>
        <w:pStyle w:val="TOC8"/>
        <w:rPr>
          <w:rFonts w:asciiTheme="minorHAnsi" w:eastAsiaTheme="minorEastAsia" w:hAnsiTheme="minorHAnsi" w:cstheme="minorBidi"/>
          <w:szCs w:val="22"/>
        </w:rPr>
      </w:pPr>
      <w:r>
        <w:t>5.</w:t>
      </w:r>
      <w:r>
        <w:tab/>
        <w:t>Second Variation Agreement</w:t>
      </w:r>
      <w:r>
        <w:tab/>
      </w:r>
      <w:r>
        <w:fldChar w:fldCharType="begin"/>
      </w:r>
      <w:r>
        <w:instrText xml:space="preserve"> PAGEREF _Toc419715088 \h </w:instrText>
      </w:r>
      <w:r>
        <w:fldChar w:fldCharType="separate"/>
      </w:r>
      <w:r>
        <w:t>2</w:t>
      </w:r>
      <w:r>
        <w:fldChar w:fldCharType="end"/>
      </w:r>
    </w:p>
    <w:p>
      <w:pPr>
        <w:pStyle w:val="TOC8"/>
        <w:rPr>
          <w:rFonts w:asciiTheme="minorHAnsi" w:eastAsiaTheme="minorEastAsia" w:hAnsiTheme="minorHAnsi" w:cstheme="minorBidi"/>
          <w:szCs w:val="22"/>
        </w:rPr>
      </w:pPr>
      <w:r>
        <w:t>6.</w:t>
      </w:r>
      <w:r>
        <w:tab/>
        <w:t>Variation of Agreement to increase rates of royalty</w:t>
      </w:r>
      <w:r>
        <w:tab/>
      </w:r>
      <w:r>
        <w:fldChar w:fldCharType="begin"/>
      </w:r>
      <w:r>
        <w:instrText xml:space="preserve"> PAGEREF _Toc419715089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Agreement about size of ore products and applicable royalties</w:t>
      </w:r>
      <w:r>
        <w:tab/>
      </w:r>
      <w:r>
        <w:fldChar w:fldCharType="begin"/>
      </w:r>
      <w:r>
        <w:instrText xml:space="preserve"> PAGEREF _Toc419715090 \h </w:instrText>
      </w:r>
      <w:r>
        <w:fldChar w:fldCharType="separate"/>
      </w:r>
      <w:r>
        <w:t>4</w:t>
      </w:r>
      <w:r>
        <w:fldChar w:fldCharType="end"/>
      </w:r>
    </w:p>
    <w:p>
      <w:pPr>
        <w:pStyle w:val="TOC8"/>
        <w:rPr>
          <w:rFonts w:asciiTheme="minorHAnsi" w:eastAsiaTheme="minorEastAsia" w:hAnsiTheme="minorHAnsi" w:cstheme="minorBidi"/>
          <w:szCs w:val="22"/>
        </w:rPr>
      </w:pPr>
      <w:r>
        <w:t>8.</w:t>
      </w:r>
      <w:r>
        <w:tab/>
        <w:t>Third Variation Agreement</w:t>
      </w:r>
      <w:r>
        <w:tab/>
      </w:r>
      <w:r>
        <w:fldChar w:fldCharType="begin"/>
      </w:r>
      <w:r>
        <w:instrText xml:space="preserve"> PAGEREF _Toc419715091 \h </w:instrText>
      </w:r>
      <w:r>
        <w:fldChar w:fldCharType="separate"/>
      </w:r>
      <w:r>
        <w:t>6</w:t>
      </w:r>
      <w:r>
        <w:fldChar w:fldCharType="end"/>
      </w:r>
    </w:p>
    <w:p>
      <w:pPr>
        <w:pStyle w:val="TOC8"/>
        <w:rPr>
          <w:rFonts w:asciiTheme="minorHAnsi" w:eastAsiaTheme="minorEastAsia" w:hAnsiTheme="minorHAnsi" w:cstheme="minorBidi"/>
          <w:szCs w:val="22"/>
        </w:rPr>
      </w:pPr>
      <w:r>
        <w:t>9.</w:t>
      </w:r>
      <w:r>
        <w:tab/>
        <w:t>State empowered under clause 14C(9)(a)</w:t>
      </w:r>
      <w:r>
        <w:tab/>
      </w:r>
      <w:r>
        <w:fldChar w:fldCharType="begin"/>
      </w:r>
      <w:r>
        <w:instrText xml:space="preserve"> PAGEREF _Toc419715092 \h </w:instrText>
      </w:r>
      <w:r>
        <w:fldChar w:fldCharType="separate"/>
      </w:r>
      <w:r>
        <w:t>6</w:t>
      </w:r>
      <w:r>
        <w:fldChar w:fldCharType="end"/>
      </w:r>
    </w:p>
    <w:p>
      <w:pPr>
        <w:pStyle w:val="TOC8"/>
        <w:rPr>
          <w:rFonts w:asciiTheme="minorHAnsi" w:eastAsiaTheme="minorEastAsia" w:hAnsiTheme="minorHAnsi" w:cstheme="minorBidi"/>
          <w:szCs w:val="22"/>
        </w:rPr>
      </w:pPr>
      <w:r>
        <w:t>10.</w:t>
      </w:r>
      <w:r>
        <w:tab/>
        <w:t>Fourth Variation Agreement</w:t>
      </w:r>
      <w:r>
        <w:tab/>
      </w:r>
      <w:r>
        <w:fldChar w:fldCharType="begin"/>
      </w:r>
      <w:r>
        <w:instrText xml:space="preserve"> PAGEREF _Toc419715093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Iron Ore (Marillana Creek) Agreement</w:t>
      </w:r>
    </w:p>
    <w:p>
      <w:pPr>
        <w:pStyle w:val="TOC2"/>
        <w:keepNext w:val="0"/>
        <w:tabs>
          <w:tab w:val="right" w:leader="dot" w:pos="7077"/>
        </w:tabs>
        <w:rPr>
          <w:rFonts w:asciiTheme="minorHAnsi" w:eastAsiaTheme="minorEastAsia" w:hAnsiTheme="minorHAnsi" w:cstheme="minorBidi"/>
          <w:b w:val="0"/>
          <w:sz w:val="22"/>
          <w:szCs w:val="22"/>
        </w:rPr>
      </w:pPr>
      <w:r>
        <w:t>Schedule 2 — First Variation Agreement</w:t>
      </w:r>
    </w:p>
    <w:p>
      <w:pPr>
        <w:pStyle w:val="TOC2"/>
        <w:keepNext w:val="0"/>
        <w:tabs>
          <w:tab w:val="right" w:leader="dot" w:pos="7077"/>
        </w:tabs>
        <w:rPr>
          <w:rFonts w:asciiTheme="minorHAnsi" w:eastAsiaTheme="minorEastAsia" w:hAnsiTheme="minorHAnsi" w:cstheme="minorBidi"/>
          <w:b w:val="0"/>
          <w:sz w:val="22"/>
          <w:szCs w:val="22"/>
        </w:rPr>
      </w:pPr>
      <w:r>
        <w:t>Schedule 3 — Second Variation Agreement</w:t>
      </w:r>
    </w:p>
    <w:p>
      <w:pPr>
        <w:pStyle w:val="TOC2"/>
        <w:keepNext w:val="0"/>
        <w:tabs>
          <w:tab w:val="right" w:leader="dot" w:pos="7077"/>
        </w:tabs>
        <w:rPr>
          <w:rFonts w:asciiTheme="minorHAnsi" w:eastAsiaTheme="minorEastAsia" w:hAnsiTheme="minorHAnsi" w:cstheme="minorBidi"/>
          <w:b w:val="0"/>
          <w:sz w:val="22"/>
          <w:szCs w:val="22"/>
        </w:rPr>
      </w:pPr>
      <w:r>
        <w:t>Schedule 4 — Third Variation Agreement</w:t>
      </w:r>
    </w:p>
    <w:p>
      <w:pPr>
        <w:pStyle w:val="TOC2"/>
        <w:tabs>
          <w:tab w:val="right" w:leader="dot" w:pos="7077"/>
        </w:tabs>
        <w:rPr>
          <w:rFonts w:asciiTheme="minorHAnsi" w:eastAsiaTheme="minorEastAsia" w:hAnsiTheme="minorHAnsi" w:cstheme="minorBidi"/>
          <w:b w:val="0"/>
          <w:sz w:val="22"/>
          <w:szCs w:val="22"/>
        </w:rPr>
      </w:pPr>
      <w:r>
        <w:t>Schedule 5 — Fourth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_Toc419715100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after="840"/>
      </w:pPr>
      <w:r>
        <w:t xml:space="preserve">Iron </w:t>
      </w:r>
      <w:smartTag w:uri="urn:schemas-microsoft-com:office:smarttags" w:element="State">
        <w:r>
          <w:t>Ore</w:t>
        </w:r>
      </w:smartTag>
      <w:r>
        <w:t xml:space="preserv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3" w:name="_Toc381880417"/>
      <w:bookmarkStart w:id="4" w:name="_Toc4197150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(Marillana Creek) Agreement Act 1991</w:t>
      </w:r>
      <w:r>
        <w:rPr>
          <w:snapToGrid w:val="0"/>
          <w:vertAlign w:val="superscript"/>
        </w:rPr>
        <w:t> 1</w:t>
      </w:r>
      <w:r>
        <w:rPr>
          <w:snapToGrid w:val="0"/>
        </w:rPr>
        <w:t>.</w:t>
      </w:r>
    </w:p>
    <w:p>
      <w:pPr>
        <w:pStyle w:val="Heading5"/>
        <w:rPr>
          <w:snapToGrid w:val="0"/>
        </w:rPr>
      </w:pPr>
      <w:bookmarkStart w:id="5" w:name="_Toc381880418"/>
      <w:bookmarkStart w:id="6" w:name="_Toc41971508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381880419"/>
      <w:bookmarkStart w:id="8" w:name="_Toc419715085"/>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Fourth Variation Agreement</w:t>
      </w:r>
      <w:r>
        <w:t xml:space="preserve"> means the agreement a copy of which is set out in Schedule 5;</w:t>
      </w:r>
    </w:p>
    <w:p>
      <w:pPr>
        <w:pStyle w:val="Defstart"/>
      </w:pPr>
      <w:r>
        <w:tab/>
      </w:r>
      <w:r>
        <w:rPr>
          <w:rStyle w:val="CharDefText"/>
        </w:rPr>
        <w:t>Second Variation Agreement</w:t>
      </w:r>
      <w:r>
        <w:t xml:space="preserve"> means the agreement a copy of which is set out in Schedule 3;</w:t>
      </w:r>
    </w:p>
    <w:p>
      <w:pPr>
        <w:pStyle w:val="Defstart"/>
      </w:pPr>
      <w:r>
        <w:tab/>
      </w:r>
      <w:r>
        <w:rPr>
          <w:rStyle w:val="CharDefText"/>
        </w:rPr>
        <w:t>Third Variation Agreement</w:t>
      </w:r>
      <w:r>
        <w:t xml:space="preserve"> means the agreement a copy of which is set out in Schedule 4.</w:t>
      </w:r>
    </w:p>
    <w:p>
      <w:pPr>
        <w:pStyle w:val="Footnotesection"/>
      </w:pPr>
      <w:r>
        <w:tab/>
        <w:t xml:space="preserve">[Section 3 amended: No. 29 of 1994 s. 12; No. 57 of 2000 s. 9; No. 61 of 2010 s. 46; No. 62 of 2011 s. 19.] </w:t>
      </w:r>
    </w:p>
    <w:p>
      <w:pPr>
        <w:pStyle w:val="Heading5"/>
        <w:rPr>
          <w:snapToGrid w:val="0"/>
        </w:rPr>
      </w:pPr>
      <w:bookmarkStart w:id="9" w:name="_Toc381880420"/>
      <w:bookmarkStart w:id="10" w:name="_Toc419715086"/>
      <w:r>
        <w:rPr>
          <w:rStyle w:val="CharSectno"/>
        </w:rPr>
        <w:t>4</w:t>
      </w:r>
      <w:r>
        <w:rPr>
          <w:snapToGrid w:val="0"/>
        </w:rPr>
        <w:t>.</w:t>
      </w:r>
      <w:r>
        <w:rPr>
          <w:snapToGrid w:val="0"/>
        </w:rPr>
        <w:tab/>
        <w:t>Agreement ratified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 xml:space="preserve">[Section 4 amended: No. 61 of 2010 s. 47.] </w:t>
      </w:r>
    </w:p>
    <w:p>
      <w:pPr>
        <w:pStyle w:val="Heading5"/>
        <w:rPr>
          <w:snapToGrid w:val="0"/>
        </w:rPr>
      </w:pPr>
      <w:bookmarkStart w:id="11" w:name="_Toc381880421"/>
      <w:bookmarkStart w:id="12" w:name="_Toc419715087"/>
      <w:r>
        <w:rPr>
          <w:rStyle w:val="CharSectno"/>
        </w:rPr>
        <w:t>4A</w:t>
      </w:r>
      <w:r>
        <w:rPr>
          <w:snapToGrid w:val="0"/>
        </w:rPr>
        <w:t>.</w:t>
      </w:r>
      <w:r>
        <w:rPr>
          <w:snapToGrid w:val="0"/>
        </w:rPr>
        <w:tab/>
        <w:t>Variation Agreement</w:t>
      </w:r>
      <w:bookmarkEnd w:id="11"/>
      <w:bookmarkEnd w:id="12"/>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No. 29 of 1994 s. 13; amended: No. 8 of 2009 s. 80.] </w:t>
      </w:r>
    </w:p>
    <w:p>
      <w:pPr>
        <w:pStyle w:val="Heading5"/>
      </w:pPr>
      <w:bookmarkStart w:id="13" w:name="_Toc381880422"/>
      <w:bookmarkStart w:id="14" w:name="_Toc419715088"/>
      <w:r>
        <w:rPr>
          <w:rStyle w:val="CharSectno"/>
        </w:rPr>
        <w:t>5</w:t>
      </w:r>
      <w:r>
        <w:t>.</w:t>
      </w:r>
      <w:r>
        <w:tab/>
        <w:t>Second Variation Agreement</w:t>
      </w:r>
      <w:bookmarkEnd w:id="13"/>
      <w:bookmarkEnd w:id="14"/>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No. 57 of 2000 s. 10.]</w:t>
      </w:r>
    </w:p>
    <w:p>
      <w:pPr>
        <w:pStyle w:val="Heading5"/>
      </w:pPr>
      <w:bookmarkStart w:id="15" w:name="_Toc381880423"/>
      <w:bookmarkStart w:id="16" w:name="_Toc419715089"/>
      <w:r>
        <w:rPr>
          <w:rStyle w:val="CharSectno"/>
        </w:rPr>
        <w:t>6</w:t>
      </w:r>
      <w:r>
        <w:t>.</w:t>
      </w:r>
      <w:r>
        <w:tab/>
        <w:t>Variation of Agreement to increase rates of royalty</w:t>
      </w:r>
      <w:bookmarkEnd w:id="15"/>
      <w:bookmarkEnd w:id="16"/>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rPr>
          <w:sz w:val="22"/>
          <w:szCs w:val="22"/>
        </w:rPr>
      </w:pPr>
      <w:r>
        <w:rPr>
          <w:sz w:val="22"/>
          <w:szCs w:val="22"/>
        </w:rPr>
        <w:tab/>
      </w:r>
      <w:r>
        <w:rPr>
          <w:sz w:val="22"/>
          <w:szCs w:val="22"/>
        </w:rPr>
        <w:tab/>
        <w:t>“fine ore” means iron ore excluding beneficiated ore which is nominally sized minus six millimetres;</w:t>
      </w:r>
    </w:p>
    <w:p>
      <w:pPr>
        <w:pStyle w:val="Subsection"/>
        <w:rPr>
          <w:szCs w:val="24"/>
        </w:rPr>
      </w:pPr>
      <w:r>
        <w:rPr>
          <w:sz w:val="22"/>
          <w:szCs w:val="22"/>
        </w:rPr>
        <w:tab/>
      </w:r>
      <w:r>
        <w:rPr>
          <w:sz w:val="22"/>
          <w:szCs w:val="22"/>
        </w:rPr>
        <w:tab/>
        <w:t>“lump ore” means iron ore excluding beneficiated ore which is nominally sized plus six millimetres minus thirty millimetres</w:t>
      </w:r>
      <w:r>
        <w:rPr>
          <w:szCs w:val="24"/>
        </w:rPr>
        <w:t>;</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rPr>
          <w:sz w:val="22"/>
          <w:szCs w:val="22"/>
        </w:rPr>
      </w:pPr>
      <w:r>
        <w:tab/>
      </w:r>
      <w:r>
        <w:rPr>
          <w:sz w:val="22"/>
          <w:szCs w:val="22"/>
        </w:rPr>
        <w:tab/>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rPr>
          <w:sz w:val="22"/>
          <w:szCs w:val="22"/>
        </w:rPr>
      </w:pPr>
      <w:r>
        <w:tab/>
      </w:r>
      <w:r>
        <w:rPr>
          <w:sz w:val="22"/>
          <w:szCs w:val="22"/>
        </w:rPr>
        <w:tab/>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rPr>
          <w:szCs w:val="22"/>
        </w:rPr>
      </w:pPr>
      <w:r>
        <w:rPr>
          <w:sz w:val="24"/>
          <w:szCs w:val="24"/>
        </w:rPr>
        <w:tab/>
        <w:t>(ab)</w:t>
      </w:r>
      <w:r>
        <w:rPr>
          <w:sz w:val="24"/>
          <w:szCs w:val="24"/>
        </w:rPr>
        <w:tab/>
        <w:t xml:space="preserve">on lump ore at the rate of 7.5% of the </w:t>
      </w:r>
      <w:r>
        <w:rPr>
          <w:szCs w:val="22"/>
        </w:rPr>
        <w:t>f.o.b. value;</w:t>
      </w:r>
    </w:p>
    <w:p>
      <w:pPr>
        <w:pStyle w:val="zyMiscellaneousBody"/>
        <w:tabs>
          <w:tab w:val="left" w:pos="2268"/>
        </w:tabs>
        <w:spacing w:before="80"/>
        <w:ind w:left="2835" w:hanging="1134"/>
        <w:rPr>
          <w:szCs w:val="22"/>
        </w:rPr>
      </w:pPr>
      <w:r>
        <w:rPr>
          <w:szCs w:val="22"/>
        </w:rPr>
        <w:tab/>
        <w:t>(ac)</w:t>
      </w:r>
      <w:r>
        <w:rPr>
          <w:szCs w:val="22"/>
        </w:rPr>
        <w:tab/>
        <w:t>on fine ore at the rate of 5.625% of the f.o.b. value;</w:t>
      </w:r>
    </w:p>
    <w:p>
      <w:pPr>
        <w:pStyle w:val="BlankClose"/>
        <w:rPr>
          <w:sz w:val="22"/>
          <w:szCs w:val="22"/>
        </w:rPr>
      </w:pPr>
    </w:p>
    <w:p>
      <w:pPr>
        <w:pStyle w:val="Subsection"/>
      </w:pPr>
      <w:r>
        <w:rPr>
          <w:szCs w:val="24"/>
        </w:rPr>
        <w:tab/>
        <w:t>(4)</w:t>
      </w:r>
      <w:r>
        <w:rPr>
          <w:szCs w:val="24"/>
        </w:rPr>
        <w:tab/>
        <w:t xml:space="preserve">Clause 13(1)(a) and (aa)(i) of the Agreement as </w:t>
      </w:r>
      <w:r>
        <w:t xml:space="preserve">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4</w:t>
      </w:r>
      <w:r>
        <w:rPr>
          <w:vertAlign w:val="superscript"/>
        </w:rPr>
        <w:t> 1</w:t>
      </w:r>
      <w:r>
        <w:t>.</w:t>
      </w:r>
    </w:p>
    <w:p>
      <w:pPr>
        <w:pStyle w:val="Footnotesection"/>
      </w:pPr>
      <w:r>
        <w:tab/>
        <w:t>[Section 6 inserted: No. 34 of 2010 s. 9.]</w:t>
      </w:r>
    </w:p>
    <w:p>
      <w:pPr>
        <w:pStyle w:val="Heading5"/>
      </w:pPr>
      <w:bookmarkStart w:id="17" w:name="_Toc381880424"/>
      <w:bookmarkStart w:id="18" w:name="_Toc419715090"/>
      <w:r>
        <w:rPr>
          <w:rStyle w:val="CharSectno"/>
        </w:rPr>
        <w:t>7</w:t>
      </w:r>
      <w:r>
        <w:t>.</w:t>
      </w:r>
      <w:r>
        <w:tab/>
        <w:t>Variation of Agreement about size of ore products and applicable royalties</w:t>
      </w:r>
      <w:bookmarkEnd w:id="17"/>
      <w:bookmarkEnd w:id="18"/>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in accordance with its provisions before 1 July 2010; and</w:t>
      </w:r>
    </w:p>
    <w:p>
      <w:pPr>
        <w:pStyle w:val="Defpara"/>
        <w:keepNext/>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para"/>
      </w:pPr>
      <w:r>
        <w:tab/>
      </w:r>
      <w:r>
        <w:tab/>
        <w:t>and</w:t>
      </w:r>
    </w:p>
    <w:p>
      <w:pPr>
        <w:pStyle w:val="Defpara"/>
      </w:pPr>
      <w:r>
        <w:tab/>
        <w:t>(c)</w:t>
      </w:r>
      <w:r>
        <w:tab/>
        <w:t xml:space="preserve">as varied by the </w:t>
      </w:r>
      <w:r>
        <w:rPr>
          <w:i/>
          <w:iCs/>
        </w:rPr>
        <w:t xml:space="preserve">Iron </w:t>
      </w:r>
      <w:smartTag w:uri="urn:schemas-microsoft-com:office:smarttags" w:element="place">
        <w:smartTag w:uri="urn:schemas-microsoft-com:office:smarttags" w:element="State">
          <w:r>
            <w:rPr>
              <w:i/>
              <w:iCs/>
            </w:rPr>
            <w:t>Ore</w:t>
          </w:r>
        </w:smartTag>
      </w:smartTag>
      <w:r>
        <w:rPr>
          <w:i/>
          <w:iCs/>
        </w:rPr>
        <w:t xml:space="preserve"> Agreements Legislation Amendment Act 2010</w:t>
      </w:r>
      <w:r>
        <w:t xml:space="preserve"> Part 4.</w:t>
      </w:r>
    </w:p>
    <w:p>
      <w:pPr>
        <w:pStyle w:val="Subsection"/>
      </w:pPr>
      <w:r>
        <w:tab/>
        <w:t>(2)</w:t>
      </w:r>
      <w:r>
        <w:tab/>
        <w:t xml:space="preserve">Clause 1 of the Agreement is varied — </w:t>
      </w:r>
    </w:p>
    <w:p>
      <w:pPr>
        <w:pStyle w:val="Indenta"/>
      </w:pPr>
      <w:r>
        <w:tab/>
        <w:t>(a)</w:t>
      </w:r>
      <w:r>
        <w:tab/>
        <w:t>by deleting the definitions of “</w:t>
      </w:r>
      <w:r>
        <w:rPr>
          <w:sz w:val="22"/>
        </w:rPr>
        <w:t>fine ore</w:t>
      </w:r>
      <w:r>
        <w:t>” and “</w:t>
      </w:r>
      <w:r>
        <w:rPr>
          <w:sz w:val="22"/>
        </w:rPr>
        <w:t>lump ore</w:t>
      </w:r>
      <w:r>
        <w:t>”;</w:t>
      </w:r>
    </w:p>
    <w:p>
      <w:pPr>
        <w:pStyle w:val="Indenta"/>
      </w:pPr>
      <w:r>
        <w:tab/>
        <w:t>(b)</w:t>
      </w:r>
      <w:r>
        <w:tab/>
        <w:t xml:space="preserve">by inserting in alphabetical order — </w:t>
      </w:r>
    </w:p>
    <w:p>
      <w:pPr>
        <w:pStyle w:val="BlankOpen"/>
      </w:pPr>
    </w:p>
    <w:p>
      <w:pPr>
        <w:pStyle w:val="yDefstart"/>
      </w:pPr>
      <w:r>
        <w:tab/>
        <w:t>“fine ore” means iron ore (not being beneficiated ore or pisolite fine ore) which is screened and will pass through a 6.3 millimetre mesh screen;</w:t>
      </w:r>
    </w:p>
    <w:p>
      <w:pPr>
        <w:pStyle w:val="yDefstart"/>
      </w:pPr>
      <w:r>
        <w:tab/>
        <w:t>“lump ore” means iron ore (not being beneficiated ore or pisolite fine ore) which is screened and will not pass through a 6.3 millimetre mesh screen;</w:t>
      </w:r>
    </w:p>
    <w:p>
      <w:pPr>
        <w:pStyle w:val="yDefstart"/>
      </w:pPr>
      <w:r>
        <w:tab/>
        <w:t>“pisolite fine ore” means iron ore (not being beneficiated ore) derived from channel iron ore deposits that appear to be chemically precipitated sedimentary deposits comprised of a pisolitic texture of hematite grains rimmed with goethite in a goethitic matrix and:</w:t>
      </w:r>
    </w:p>
    <w:p>
      <w:pPr>
        <w:pStyle w:val="yDefpara"/>
      </w:pPr>
      <w:r>
        <w:tab/>
        <w:t>(a)</w:t>
      </w:r>
      <w:r>
        <w:tab/>
        <w:t>having a product gross loss on ignition of 8.5% or greater; and</w:t>
      </w:r>
    </w:p>
    <w:p>
      <w:pPr>
        <w:pStyle w:val="yDefpara"/>
      </w:pPr>
      <w:r>
        <w:tab/>
        <w:t>(b)</w:t>
      </w:r>
      <w:r>
        <w:tab/>
        <w:t>which is screened and will pass through a 9.5 millimetre mesh screen;</w:t>
      </w:r>
    </w:p>
    <w:p>
      <w:pPr>
        <w:pStyle w:val="BlankClose"/>
      </w:pPr>
    </w:p>
    <w:p>
      <w:pPr>
        <w:pStyle w:val="Subsection"/>
      </w:pPr>
      <w:r>
        <w:tab/>
        <w:t>(3)</w:t>
      </w:r>
      <w:r>
        <w:tab/>
        <w:t xml:space="preserve">Clause 13(1) of the Agreement is varied — </w:t>
      </w:r>
    </w:p>
    <w:p>
      <w:pPr>
        <w:pStyle w:val="Indenta"/>
      </w:pPr>
      <w:r>
        <w:tab/>
        <w:t>(a)</w:t>
      </w:r>
      <w:r>
        <w:tab/>
        <w:t>in paragraph (ab) after “</w:t>
      </w:r>
      <w:r>
        <w:rPr>
          <w:sz w:val="22"/>
        </w:rPr>
        <w:t>lump ore</w:t>
      </w:r>
      <w:r>
        <w:t xml:space="preserve">” by inserting — </w:t>
      </w:r>
    </w:p>
    <w:p>
      <w:pPr>
        <w:pStyle w:val="BlankOpen"/>
      </w:pPr>
    </w:p>
    <w:p>
      <w:pPr>
        <w:pStyle w:val="yIndenta"/>
      </w:pPr>
      <w:r>
        <w:tab/>
      </w:r>
      <w:r>
        <w:tab/>
        <w:t>and on fine ore and pisolite fine ore where such fine ore and pisolite fine ore is not sold or shipped separately as such</w:t>
      </w:r>
    </w:p>
    <w:p>
      <w:pPr>
        <w:pStyle w:val="BlankClose"/>
      </w:pPr>
    </w:p>
    <w:p>
      <w:pPr>
        <w:pStyle w:val="Indenta"/>
        <w:keepNext/>
      </w:pPr>
      <w:r>
        <w:tab/>
        <w:t>(b)</w:t>
      </w:r>
      <w:r>
        <w:tab/>
        <w:t>in paragraph (ac) after “</w:t>
      </w:r>
      <w:r>
        <w:rPr>
          <w:sz w:val="22"/>
        </w:rPr>
        <w:t>fine ore</w:t>
      </w:r>
      <w:r>
        <w:t xml:space="preserve">” by inserting — </w:t>
      </w:r>
    </w:p>
    <w:p>
      <w:pPr>
        <w:pStyle w:val="BlankOpen"/>
      </w:pPr>
    </w:p>
    <w:p>
      <w:pPr>
        <w:pStyle w:val="yIndenta"/>
      </w:pPr>
      <w:r>
        <w:tab/>
      </w:r>
      <w:r>
        <w:tab/>
        <w:t>and on pisolite fine ore sold or shipped separately as such</w:t>
      </w:r>
    </w:p>
    <w:p>
      <w:pPr>
        <w:pStyle w:val="BlankClose"/>
      </w:pPr>
    </w:p>
    <w:p>
      <w:pPr>
        <w:pStyle w:val="Subsection"/>
      </w:pPr>
      <w:r>
        <w:tab/>
        <w:t>(4)</w:t>
      </w:r>
      <w:r>
        <w:tab/>
        <w:t xml:space="preserve">Clause 13(1)(ab) and (ac) of the Agreement as varied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Nothing in this section affects the amount of royalty payable under clause 13 of the Agreement in respect of any period before 1 July 2010.</w:t>
      </w:r>
    </w:p>
    <w:p>
      <w:pPr>
        <w:pStyle w:val="Footnotesection"/>
      </w:pPr>
      <w:r>
        <w:tab/>
        <w:t>[Section 7 inserted: No. 61 of 2010 s. 45.]</w:t>
      </w:r>
    </w:p>
    <w:p>
      <w:pPr>
        <w:pStyle w:val="Heading5"/>
      </w:pPr>
      <w:bookmarkStart w:id="19" w:name="_Toc381880425"/>
      <w:bookmarkStart w:id="20" w:name="_Toc419715091"/>
      <w:r>
        <w:rPr>
          <w:rStyle w:val="CharSectno"/>
        </w:rPr>
        <w:t>8</w:t>
      </w:r>
      <w:r>
        <w:t>.</w:t>
      </w:r>
      <w:r>
        <w:tab/>
        <w:t>Third Variation Agreement</w:t>
      </w:r>
      <w:bookmarkEnd w:id="19"/>
      <w:bookmarkEnd w:id="20"/>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8 inserted: No. 61 of 2010 s. 48.]</w:t>
      </w:r>
    </w:p>
    <w:p>
      <w:pPr>
        <w:pStyle w:val="Heading5"/>
      </w:pPr>
      <w:bookmarkStart w:id="21" w:name="_Toc381880426"/>
      <w:bookmarkStart w:id="22" w:name="_Toc419715092"/>
      <w:r>
        <w:rPr>
          <w:rStyle w:val="CharSectno"/>
        </w:rPr>
        <w:t>9</w:t>
      </w:r>
      <w:r>
        <w:t>.</w:t>
      </w:r>
      <w:r>
        <w:tab/>
        <w:t>State empowered under clause 14C(9)(a)</w:t>
      </w:r>
      <w:bookmarkEnd w:id="21"/>
      <w:bookmarkEnd w:id="22"/>
    </w:p>
    <w:p>
      <w:pPr>
        <w:pStyle w:val="Subsection"/>
      </w:pPr>
      <w:r>
        <w:tab/>
      </w:r>
      <w:r>
        <w:tab/>
        <w:t>The State has power in accordance with clause 14C(9)(a) of the Agreement.</w:t>
      </w:r>
    </w:p>
    <w:p>
      <w:pPr>
        <w:pStyle w:val="Footnotesection"/>
      </w:pPr>
      <w:r>
        <w:tab/>
        <w:t>[Section 9 inserted: No. 61 of 2010 s. 48.]</w:t>
      </w:r>
    </w:p>
    <w:p>
      <w:pPr>
        <w:pStyle w:val="Heading5"/>
      </w:pPr>
      <w:bookmarkStart w:id="23" w:name="_Toc381880427"/>
      <w:bookmarkStart w:id="24" w:name="_Toc419715093"/>
      <w:r>
        <w:rPr>
          <w:rStyle w:val="CharSectno"/>
        </w:rPr>
        <w:t>10</w:t>
      </w:r>
      <w:r>
        <w:t>.</w:t>
      </w:r>
      <w:r>
        <w:tab/>
        <w:t>Fourth Variation Agreement</w:t>
      </w:r>
      <w:bookmarkEnd w:id="23"/>
      <w:bookmarkEnd w:id="24"/>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r>
        <w:tab/>
        <w:t>[Section 10 inserted: No. 62 of 2011 s. 20.]</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5" w:name="_Toc381880428"/>
      <w:bookmarkStart w:id="26" w:name="_Toc419715011"/>
      <w:bookmarkStart w:id="27" w:name="_Toc419715094"/>
      <w:r>
        <w:rPr>
          <w:rStyle w:val="CharSchNo"/>
        </w:rPr>
        <w:t>Schedule 1</w:t>
      </w:r>
      <w:r>
        <w:t> —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(Marillana Creek) Agreement</w:t>
      </w:r>
      <w:bookmarkEnd w:id="25"/>
      <w:bookmarkEnd w:id="26"/>
      <w:bookmarkEnd w:id="27"/>
    </w:p>
    <w:p>
      <w:pPr>
        <w:pStyle w:val="yShoulderClause"/>
        <w:rPr>
          <w:snapToGrid w:val="0"/>
        </w:rPr>
      </w:pPr>
      <w:r>
        <w:rPr>
          <w:snapToGrid w:val="0"/>
        </w:rPr>
        <w:t>[s. 3]</w:t>
      </w:r>
    </w:p>
    <w:p>
      <w:pPr>
        <w:pStyle w:val="yFootnoteheading"/>
        <w:rPr>
          <w:snapToGrid w:val="0"/>
        </w:rPr>
      </w:pPr>
      <w:r>
        <w:rPr>
          <w:snapToGrid w:val="0"/>
        </w:rPr>
        <w:tab/>
        <w:t>[Heading amended: No. 29 of 1994 s. 14; No. 19 of 2010 s. 4.]</w:t>
      </w:r>
    </w:p>
    <w:p>
      <w:pPr>
        <w:pStyle w:val="yMiscellaneousBody"/>
        <w:spacing w:before="480"/>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spacing w:before="360"/>
      </w:pPr>
      <w:r>
        <w:t>NOW THIS AGREEMENT WITNESSES:</w:t>
      </w:r>
    </w:p>
    <w:p>
      <w:pPr>
        <w:pStyle w:val="yMiscellaneousBody"/>
        <w:keepNext/>
        <w:spacing w:before="240"/>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spacing w:before="180"/>
        <w:ind w:left="425"/>
      </w:pPr>
      <w:r>
        <w:t>“approved proposal” means a proposal approved or determined under this Agreement;</w:t>
      </w:r>
    </w:p>
    <w:p>
      <w:pPr>
        <w:pStyle w:val="yMiscellaneousBody"/>
        <w:spacing w:before="180"/>
        <w:ind w:left="425"/>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spacing w:before="180"/>
        <w:ind w:left="425"/>
      </w:pPr>
      <w:r>
        <w:t>“Clause” means a clause of this Agreement;</w:t>
      </w:r>
    </w:p>
    <w:p>
      <w:pPr>
        <w:pStyle w:val="yMiscellaneousBody"/>
        <w:spacing w:before="180"/>
        <w:ind w:left="425"/>
      </w:pPr>
      <w:r>
        <w:t>“commencement date” means the date the Bill referred to in Clause 3 comes into operation as an Act;</w:t>
      </w:r>
    </w:p>
    <w:p>
      <w:pPr>
        <w:pStyle w:val="yMiscellaneousBody"/>
        <w:spacing w:before="180"/>
        <w:ind w:left="425"/>
      </w:pPr>
      <w:r>
        <w:t>“Commonwealth” means the Commonwealth of Australia and includes the Government for the time being thereof;</w:t>
      </w:r>
    </w:p>
    <w:p>
      <w:pPr>
        <w:pStyle w:val="yMiscellaneousBody"/>
        <w:spacing w:before="180"/>
        <w:ind w:left="425"/>
      </w:pPr>
      <w:r>
        <w:t>“Company’s workforce” means the persons (and the dependants of those persons) connected directly with the Company’s activities under this Agreement, whether or not such persons are employed by the Company;</w:t>
      </w:r>
    </w:p>
    <w:p>
      <w:pPr>
        <w:pStyle w:val="yMiscellaneousBody"/>
        <w:spacing w:before="180"/>
        <w:ind w:left="425"/>
      </w:pPr>
      <w:r>
        <w:t>“deemed f.o.b. point” means on ship at the loading port;</w:t>
      </w:r>
    </w:p>
    <w:p>
      <w:pPr>
        <w:pStyle w:val="yMiscellaneousBody"/>
        <w:spacing w:before="180"/>
        <w:ind w:left="425"/>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spacing w:before="180"/>
        <w:ind w:left="425"/>
      </w:pPr>
      <w:r>
        <w:t xml:space="preserve">“EP Act” means the </w:t>
      </w:r>
      <w:r>
        <w:rPr>
          <w:i/>
        </w:rPr>
        <w:t>Environment Act 1986</w:t>
      </w:r>
      <w:r>
        <w:t>;</w:t>
      </w:r>
    </w:p>
    <w:p>
      <w:pPr>
        <w:pStyle w:val="yMiscellaneousBody"/>
        <w:spacing w:before="180"/>
        <w:ind w:left="425"/>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 xml:space="preserve">“loading port” means the </w:t>
      </w:r>
      <w:smartTag w:uri="urn:schemas-microsoft-com:office:smarttags" w:element="PlaceType">
        <w:r>
          <w:t>port</w:t>
        </w:r>
      </w:smartTag>
      <w:r>
        <w:t xml:space="preserve"> of </w:t>
      </w:r>
      <w:smartTag w:uri="urn:schemas-microsoft-com:office:smarttags" w:element="PlaceName">
        <w:r>
          <w:t>Port Hedland</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w:t>
      </w:r>
      <w:smartTag w:uri="urn:schemas-microsoft-com:office:smarttags" w:element="PlaceType">
        <w:r>
          <w:t>Mount</w:t>
        </w:r>
      </w:smartTag>
      <w:r>
        <w:t xml:space="preserve"> </w:t>
      </w:r>
      <w:smartTag w:uri="urn:schemas-microsoft-com:office:smarttags" w:element="PlaceName">
        <w:r>
          <w:t>Newman</w:t>
        </w:r>
      </w:smartTag>
      <w:r>
        <w:t xml:space="preserve"> Participants” means the parties (or party) for the time being constituting “the Company” under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keepLines/>
        <w:spacing w:before="280"/>
        <w:rPr>
          <w:b/>
        </w:rPr>
      </w:pPr>
      <w:r>
        <w:rPr>
          <w:b/>
        </w:rPr>
        <w:t>Initial obligations of the State</w:t>
      </w:r>
    </w:p>
    <w:p>
      <w:pPr>
        <w:pStyle w:val="yMiscellaneousBody"/>
        <w:keepNext/>
        <w:keepLines/>
        <w:tabs>
          <w:tab w:val="left" w:pos="426"/>
        </w:tabs>
        <w:ind w:left="851" w:hanging="851"/>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 xml:space="preserve">The Company shall lodge with the Department of Mines at </w:t>
      </w:r>
      <w:smartTag w:uri="urn:schemas-microsoft-com:office:smarttags" w:element="place">
        <w:smartTag w:uri="urn:schemas-microsoft-com:office:smarttags" w:element="City">
          <w:r>
            <w:t>Perth</w:t>
          </w:r>
        </w:smartTag>
      </w:smartTag>
      <w:r>
        <w:t>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pPr>
      <w:r>
        <w:rPr>
          <w:spacing w:val="-4"/>
        </w:rPr>
        <w:tab/>
      </w:r>
      <w:r>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keepNext/>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keepNext/>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keepNext/>
        <w:spacing w:before="360"/>
        <w:jc w:val="center"/>
      </w:pPr>
      <w:r>
        <w:t>THE 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keepNext/>
        <w:jc w:val="center"/>
        <w:rPr>
          <w:i/>
        </w:rPr>
      </w:pPr>
      <w:r>
        <w:rPr>
          <w:i/>
        </w:rPr>
        <w:t>MINING ACT 1978</w:t>
      </w:r>
    </w:p>
    <w:p>
      <w:pPr>
        <w:pStyle w:val="yMiscellaneousBody"/>
        <w:keepNext/>
        <w:jc w:val="center"/>
      </w:pP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360"/>
      </w:pPr>
      <w:r>
        <w:t>FIRST SCHEDULE</w:t>
      </w:r>
    </w:p>
    <w:p>
      <w:pPr>
        <w:pStyle w:val="yMiscellaneousBody"/>
      </w:pPr>
      <w:r>
        <w:t xml:space="preserve">BHP MINERALS LIMITED a company incorporated in the State of </w:t>
      </w:r>
      <w:smartTag w:uri="urn:schemas-microsoft-com:office:smarttags" w:element="State">
        <w:r>
          <w:t>Western Australia</w:t>
        </w:r>
      </w:smartTag>
      <w:r>
        <w:t xml:space="preserve"> and having its registered office at Level 18, 200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smartTag>
      <w:r>
        <w:t>.</w:t>
      </w:r>
    </w:p>
    <w:p>
      <w:pPr>
        <w:pStyle w:val="yMiscellaneousHeading"/>
        <w:spacing w:before="240"/>
      </w:pPr>
      <w:r>
        <w:t>SECOND SCHEDULE</w:t>
      </w:r>
    </w:p>
    <w:p>
      <w:pPr>
        <w:pStyle w:val="yMiscellaneousBody"/>
      </w:pPr>
      <w:r>
        <w:t xml:space="preserve">The Agreement made between the State of </w:t>
      </w:r>
      <w:smartTag w:uri="urn:schemas-microsoft-com:office:smarttags" w:element="State">
        <w:r>
          <w:t>Western Australia</w:t>
        </w:r>
      </w:smartTag>
      <w:r>
        <w:t xml:space="preserve"> and BHP Minerals Limited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Heading"/>
        <w:spacing w:before="36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 xml:space="preserve">recorded in the Department of Mines, </w:t>
      </w:r>
      <w:smartTag w:uri="urn:schemas-microsoft-com:office:smarttags" w:element="place">
        <w:smartTag w:uri="urn:schemas-microsoft-com:office:smarttags" w:element="City">
          <w:r>
            <w:t>Perth</w:t>
          </w:r>
        </w:smartTag>
      </w:smartTag>
      <w:r>
        <w:t>.</w:t>
      </w:r>
    </w:p>
    <w:p>
      <w:pPr>
        <w:pStyle w:val="yMiscellaneousHeading"/>
        <w:spacing w:before="36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360"/>
      </w:pPr>
      <w:r>
        <w:t>FIFTH SCHEDULE</w:t>
      </w:r>
    </w:p>
    <w:p>
      <w:pPr>
        <w:pStyle w:val="yMiscellaneousBody"/>
      </w:pPr>
      <w:r>
        <w:t>(Date of commencement of the lease).</w:t>
      </w:r>
    </w:p>
    <w:p>
      <w:pPr>
        <w:pStyle w:val="yMiscellaneousHeading"/>
        <w:spacing w:before="36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 xml:space="preserve">[Schedule 1 amended: No. 29 of 1994 s. 14.] </w:t>
      </w:r>
    </w:p>
    <w:p>
      <w:pPr>
        <w:pStyle w:val="yScheduleHeading"/>
      </w:pPr>
      <w:bookmarkStart w:id="28" w:name="_Toc381880429"/>
      <w:bookmarkStart w:id="29" w:name="_Toc419715012"/>
      <w:bookmarkStart w:id="30" w:name="_Toc419715095"/>
      <w:r>
        <w:rPr>
          <w:rStyle w:val="CharSchNo"/>
        </w:rPr>
        <w:t>Schedule 2</w:t>
      </w:r>
      <w:r>
        <w:t> — </w:t>
      </w:r>
      <w:r>
        <w:rPr>
          <w:rStyle w:val="CharSchText"/>
        </w:rPr>
        <w:t>First Variation Agreement</w:t>
      </w:r>
      <w:bookmarkEnd w:id="28"/>
      <w:bookmarkEnd w:id="29"/>
      <w:bookmarkEnd w:id="30"/>
    </w:p>
    <w:p>
      <w:pPr>
        <w:pStyle w:val="yShoulderClause"/>
      </w:pPr>
      <w:r>
        <w:t>[s. 3]</w:t>
      </w:r>
    </w:p>
    <w:p>
      <w:pPr>
        <w:pStyle w:val="yFootnoteheading"/>
      </w:pPr>
      <w:r>
        <w:tab/>
        <w:t>[Heading inserted: No. 29 of 1994 s. 15; amended: No. 19 of 2010 s. 4.]</w:t>
      </w:r>
    </w:p>
    <w:p>
      <w:pPr>
        <w:pStyle w:val="yMiscellaneousBody"/>
        <w:spacing w:before="480"/>
      </w:pPr>
      <w:r>
        <w:rPr>
          <w:b/>
        </w:rPr>
        <w:t>THIS AGREEMENT</w:t>
      </w:r>
      <w:r>
        <w:t xml:space="preserve"> is made the 31st day of March 1994</w:t>
      </w:r>
    </w:p>
    <w:p>
      <w:pPr>
        <w:pStyle w:val="yMiscellaneousBody"/>
        <w:spacing w:before="240"/>
      </w:pPr>
      <w:r>
        <w:t>B E T W E E N</w:t>
      </w:r>
    </w:p>
    <w:p>
      <w:pPr>
        <w:pStyle w:val="yMiscellaneousBody"/>
        <w:spacing w:before="240"/>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spacing w:before="360"/>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spacing w:before="360"/>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 xml:space="preserve">The Principal Agreement is hereby varied as follows — </w:t>
      </w:r>
    </w:p>
    <w:p>
      <w:pPr>
        <w:pStyle w:val="yMiscellaneousBody"/>
        <w:keepNext/>
        <w:keepLines/>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b/>
        </w:rPr>
        <w:t>“</w:t>
      </w:r>
      <w:r>
        <w:rPr>
          <w:rStyle w:val="CharDefText"/>
          <w:i w:val="0"/>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b/>
        </w:rPr>
        <w:t>“</w:t>
      </w:r>
      <w:r>
        <w:rPr>
          <w:rStyle w:val="CharDefText"/>
          <w:i w:val="0"/>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b/>
        </w:rPr>
        <w:t>“</w:t>
      </w:r>
      <w:r>
        <w:rPr>
          <w:rStyle w:val="CharDefText"/>
          <w:i w:val="0"/>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b/>
        </w:rPr>
        <w:t>“</w:t>
      </w:r>
      <w:r>
        <w:rPr>
          <w:rStyle w:val="CharDefText"/>
          <w:i w:val="0"/>
        </w:rPr>
        <w:t>BHP”</w:t>
      </w:r>
      <w:r>
        <w:t xml:space="preserve"> means BHP Minerals Pty. Ltd. and its successors and assigns who are parties with the State to the Processing Agreement;</w:t>
      </w:r>
    </w:p>
    <w:p>
      <w:pPr>
        <w:pStyle w:val="yMiscellaneousBody"/>
        <w:ind w:left="1985" w:hanging="1985"/>
      </w:pPr>
      <w:r>
        <w:tab/>
      </w:r>
      <w:r>
        <w:rPr>
          <w:b/>
        </w:rPr>
        <w:t>“</w:t>
      </w:r>
      <w:r>
        <w:rPr>
          <w:rStyle w:val="CharDefText"/>
          <w:i w:val="0"/>
        </w:rPr>
        <w:t>combined limit”</w:t>
      </w:r>
      <w:r>
        <w:t xml:space="preserve"> 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keepNext/>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keepNext/>
        <w:spacing w:before="120" w:after="3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No. 29 of 1994 s. 15.] </w:t>
      </w:r>
    </w:p>
    <w:p>
      <w:pPr>
        <w:pStyle w:val="yScheduleHeading"/>
      </w:pPr>
      <w:bookmarkStart w:id="31" w:name="_Toc381880430"/>
      <w:bookmarkStart w:id="32" w:name="_Toc419715013"/>
      <w:bookmarkStart w:id="33" w:name="_Toc419715096"/>
      <w:r>
        <w:rPr>
          <w:rStyle w:val="CharSchNo"/>
        </w:rPr>
        <w:t>Schedule 3</w:t>
      </w:r>
      <w:r>
        <w:t> — </w:t>
      </w:r>
      <w:r>
        <w:rPr>
          <w:rStyle w:val="CharSchText"/>
        </w:rPr>
        <w:t>Second Variation Agreement</w:t>
      </w:r>
      <w:bookmarkEnd w:id="31"/>
      <w:bookmarkEnd w:id="32"/>
      <w:bookmarkEnd w:id="33"/>
    </w:p>
    <w:p>
      <w:pPr>
        <w:pStyle w:val="yShoulderClause"/>
      </w:pPr>
      <w:r>
        <w:t>[s. 5]</w:t>
      </w:r>
    </w:p>
    <w:p>
      <w:pPr>
        <w:pStyle w:val="yFootnoteheading"/>
      </w:pPr>
      <w:r>
        <w:tab/>
        <w:t>[Heading inserted: No. 57 of 2000 s. 11; amended: No. 19 of 2010 s. 4.]</w:t>
      </w:r>
    </w:p>
    <w:p>
      <w:pPr>
        <w:pStyle w:val="yMiscellaneousBody"/>
        <w:spacing w:before="480"/>
      </w:pPr>
      <w:r>
        <w:t>THIS AGREEMENT is made the 11th day of April 2000.</w:t>
      </w:r>
    </w:p>
    <w:p>
      <w:pPr>
        <w:pStyle w:val="yMiscellaneousBody"/>
        <w:spacing w:before="240"/>
      </w:pPr>
      <w:r>
        <w:t xml:space="preserve">B E T W E E N </w:t>
      </w:r>
    </w:p>
    <w:p>
      <w:pPr>
        <w:pStyle w:val="yMiscellaneousBody"/>
        <w:spacing w:before="240"/>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spacing w:before="240"/>
      </w:pPr>
      <w:r>
        <w:t>AND</w:t>
      </w:r>
    </w:p>
    <w:p>
      <w:pPr>
        <w:pStyle w:val="yMiscellaneousBody"/>
        <w:spacing w:before="240"/>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keepNext/>
        <w:spacing w:before="0"/>
      </w:pPr>
      <w:r>
        <w:t xml:space="preserve">NOW THIS AGREEMENT WITNESSES — </w:t>
      </w:r>
    </w:p>
    <w:p>
      <w:pPr>
        <w:pStyle w:val="yMiscellaneousBody"/>
        <w:keepNext/>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keepLines/>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No. 57 of 2000 s. 11.]</w:t>
      </w:r>
    </w:p>
    <w:p>
      <w:pPr>
        <w:pStyle w:val="yScheduleHeading"/>
      </w:pPr>
      <w:bookmarkStart w:id="34" w:name="_Toc381880431"/>
      <w:bookmarkStart w:id="35" w:name="_Toc419715014"/>
      <w:bookmarkStart w:id="36" w:name="_Toc419715097"/>
      <w:r>
        <w:rPr>
          <w:rStyle w:val="CharSchNo"/>
        </w:rPr>
        <w:t>Schedule 4</w:t>
      </w:r>
      <w:r>
        <w:rPr>
          <w:rStyle w:val="CharSDivNo"/>
        </w:rPr>
        <w:t> </w:t>
      </w:r>
      <w:r>
        <w:t>—</w:t>
      </w:r>
      <w:r>
        <w:rPr>
          <w:rStyle w:val="CharSDivText"/>
        </w:rPr>
        <w:t> </w:t>
      </w:r>
      <w:r>
        <w:rPr>
          <w:rStyle w:val="CharSchText"/>
        </w:rPr>
        <w:t>Third Variation Agreement</w:t>
      </w:r>
      <w:bookmarkEnd w:id="34"/>
      <w:bookmarkEnd w:id="35"/>
      <w:bookmarkEnd w:id="36"/>
    </w:p>
    <w:p>
      <w:pPr>
        <w:pStyle w:val="yMiscellaneousBody"/>
        <w:jc w:val="right"/>
      </w:pPr>
      <w:r>
        <w:t>[s. 3]</w:t>
      </w:r>
    </w:p>
    <w:p>
      <w:pPr>
        <w:pStyle w:val="yFootnoteheading"/>
      </w:pPr>
      <w:r>
        <w:tab/>
        <w:t>[Heading inserted: No. 61 of 2010 s. 49.]</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spacing w:before="360"/>
        <w:jc w:val="center"/>
        <w:rPr>
          <w:b/>
        </w:rPr>
      </w:pPr>
      <w:r>
        <w:rPr>
          <w:b/>
        </w:rPr>
        <w:t>BHP BILLITON MINERALS PTY. LTD.</w:t>
      </w:r>
    </w:p>
    <w:p>
      <w:pPr>
        <w:pStyle w:val="yMiscellaneousBody"/>
        <w:jc w:val="center"/>
        <w:rPr>
          <w:b/>
          <w:i/>
          <w:highlight w:val="cyan"/>
        </w:rPr>
      </w:pPr>
      <w:r>
        <w:rPr>
          <w:b/>
        </w:rPr>
        <w:t>ACN 008 694 782</w:t>
      </w:r>
    </w:p>
    <w:p>
      <w:pPr>
        <w:pStyle w:val="yMiscellaneousBody"/>
        <w:spacing w:before="360"/>
        <w:jc w:val="center"/>
        <w:rPr>
          <w:b/>
        </w:rPr>
      </w:pPr>
      <w:r>
        <w:rPr>
          <w:b/>
        </w:rPr>
        <w:t>ITOCHU MINERALS &amp; ENERGY OF AUSTRALIA PTY. LTD.</w:t>
      </w:r>
    </w:p>
    <w:p>
      <w:pPr>
        <w:pStyle w:val="yMiscellaneousBody"/>
        <w:jc w:val="center"/>
        <w:rPr>
          <w:b/>
          <w:i/>
          <w:highlight w:val="cyan"/>
        </w:rPr>
      </w:pPr>
      <w:r>
        <w:rPr>
          <w:b/>
        </w:rPr>
        <w:t>ACN 009 256 259</w:t>
      </w:r>
    </w:p>
    <w:p>
      <w:pPr>
        <w:pStyle w:val="yMiscellaneousBody"/>
        <w:spacing w:before="360"/>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p>
    <w:p>
      <w:pPr>
        <w:pStyle w:val="yMiscellaneousBody"/>
        <w:pBdr>
          <w:top w:val="single" w:sz="4" w:space="1" w:color="auto"/>
        </w:pBdr>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1991</w:t>
      </w:r>
    </w:p>
    <w:p>
      <w:pPr>
        <w:pStyle w:val="yMiscellaneousBody"/>
        <w:jc w:val="center"/>
        <w:rPr>
          <w:b/>
        </w:rPr>
      </w:pPr>
      <w:r>
        <w:rPr>
          <w:b/>
        </w:rPr>
        <w:t>RATIFIED VARIATION AGREEMENT</w:t>
      </w:r>
    </w:p>
    <w:p>
      <w:pPr>
        <w:pStyle w:val="yMiscellaneousBody"/>
        <w:pBdr>
          <w:top w:val="single" w:sz="4" w:space="1" w:color="auto"/>
        </w:pBdr>
        <w:jc w:val="center"/>
        <w:rPr>
          <w:b/>
        </w:rPr>
      </w:pPr>
    </w:p>
    <w:p>
      <w:pPr>
        <w:pStyle w:val="yMiscellaneousBody"/>
        <w:pBdr>
          <w:top w:val="single" w:sz="4" w:space="1" w:color="auto"/>
        </w:pBdr>
        <w:jc w:val="center"/>
        <w:rPr>
          <w:b/>
        </w:rPr>
      </w:pPr>
    </w:p>
    <w:p>
      <w:pPr>
        <w:pStyle w:val="yMiscellaneousBody"/>
        <w:jc w:val="center"/>
      </w:pPr>
      <w:r>
        <w:t>[Solicitor’s details]</w:t>
      </w:r>
    </w:p>
    <w:p>
      <w:pPr>
        <w:pStyle w:val="yMiscellaneousBody"/>
        <w:pageBreakBefore/>
        <w:rPr>
          <w:b/>
        </w:rPr>
      </w:pPr>
      <w:r>
        <w:rPr>
          <w:b/>
        </w:rPr>
        <w:t>THIS AGREEMENT</w:t>
      </w:r>
      <w:r>
        <w:t xml:space="preserve"> is made this 17th day of November 2010</w:t>
      </w:r>
    </w:p>
    <w:p>
      <w:pPr>
        <w:pStyle w:val="yMiscellaneousBody"/>
        <w:spacing w:before="240"/>
        <w:ind w:right="560"/>
        <w:rPr>
          <w:b/>
        </w:rPr>
      </w:pPr>
      <w:r>
        <w:rPr>
          <w:b/>
        </w:rPr>
        <w:t>BETWEEN</w:t>
      </w:r>
    </w:p>
    <w:p>
      <w:pPr>
        <w:pStyle w:val="yMiscellaneousBody"/>
        <w:spacing w:before="240"/>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spacing w:before="240"/>
        <w:rPr>
          <w:b/>
        </w:rPr>
      </w:pPr>
      <w:r>
        <w:rPr>
          <w:b/>
        </w:rPr>
        <w:t>AND</w:t>
      </w:r>
    </w:p>
    <w:p>
      <w:pPr>
        <w:pStyle w:val="yMiscellaneousBody"/>
        <w:spacing w:before="240"/>
      </w:pPr>
      <w:r>
        <w:rPr>
          <w:b/>
        </w:rPr>
        <w:t xml:space="preserve">BHP BILLITON MINERALS PTY. LTD. </w:t>
      </w:r>
      <w:r>
        <w:t xml:space="preserve">ACN 008 694 782 of Level 17, St Georges Square, 225 St Georges Terrace, Perth, Western Australia, </w:t>
      </w:r>
      <w:r>
        <w:rPr>
          <w:b/>
        </w:rPr>
        <w:t xml:space="preserve">ITOCHU MINERALS &amp; ENERGY OF AUSTRALIA PTY. LTD. </w:t>
      </w:r>
      <w:r>
        <w:t xml:space="preserve">ACN 009 256 259 of Level 22, 221 St Georges Terrace, Perth, Western Australia and </w:t>
      </w:r>
      <w:r>
        <w:rPr>
          <w:b/>
        </w:rPr>
        <w:t>MITSUI IRON ORE CORPORATION PTY. LTD.</w:t>
      </w:r>
      <w:r>
        <w:t xml:space="preserve"> ACN 050 157 456 of Level 16, Exchange Plaza, 2 The Esplanade, Perth, Western Australia (</w:t>
      </w:r>
      <w:r>
        <w:rPr>
          <w:b/>
        </w:rPr>
        <w:t>Joint Venturers</w:t>
      </w:r>
      <w:r>
        <w:t>).</w:t>
      </w:r>
    </w:p>
    <w:p>
      <w:pPr>
        <w:pStyle w:val="yMiscellaneousBody"/>
        <w:spacing w:before="240"/>
        <w:rPr>
          <w:b/>
        </w:rPr>
      </w:pPr>
      <w:r>
        <w:rPr>
          <w:b/>
        </w:rPr>
        <w:t>RECITALS</w:t>
      </w:r>
    </w:p>
    <w:p>
      <w:pPr>
        <w:pStyle w:val="yMiscellaneousBody"/>
        <w:ind w:left="560" w:hanging="560"/>
      </w:pPr>
      <w:r>
        <w:rPr>
          <w:b/>
        </w:rPr>
        <w:t>A.</w:t>
      </w:r>
      <w:r>
        <w:tab/>
        <w:t xml:space="preserve">The State and the Joint Venturers are now the parties to the agreement dated 20 December 1990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Joint Venturers wish to vary the Principal Agreement.</w:t>
      </w:r>
    </w:p>
    <w:p>
      <w:pPr>
        <w:pStyle w:val="yMiscellaneousBody"/>
        <w:spacing w:before="240"/>
        <w:ind w:left="561" w:hanging="561"/>
        <w:jc w:val="both"/>
        <w:rPr>
          <w:b/>
        </w:rPr>
      </w:pPr>
      <w:r>
        <w:rPr>
          <w:b/>
        </w:rPr>
        <w:t>THE PARTIES AGREE AS FOLLOWS:</w:t>
      </w:r>
    </w:p>
    <w:p>
      <w:pPr>
        <w:pStyle w:val="yMiscellaneousBody"/>
        <w:ind w:left="560" w:hanging="560"/>
      </w:pPr>
      <w:r>
        <w:rPr>
          <w:b/>
        </w:rPr>
        <w:t>1.</w:t>
      </w:r>
      <w:r>
        <w:rPr>
          <w:b/>
        </w:rPr>
        <w:tab/>
      </w:r>
      <w:r>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0" w:hanging="560"/>
      </w:pPr>
      <w:r>
        <w:t>(a)</w:t>
      </w:r>
      <w:r>
        <w:tab/>
        <w:t>by deleting the existing definitions of “beneficiated ore” and “loading port”;</w:t>
      </w:r>
    </w:p>
    <w:p>
      <w:pPr>
        <w:pStyle w:val="yMiscellaneousBody"/>
        <w:spacing w:before="120"/>
        <w:ind w:left="1680" w:hanging="560"/>
      </w:pPr>
      <w:r>
        <w:t>(b)</w:t>
      </w:r>
      <w:r>
        <w:tab/>
        <w:t>by inserting in the appropriate alphabetical positions the following new definitions:</w:t>
      </w:r>
    </w:p>
    <w:p>
      <w:pPr>
        <w:pStyle w:val="yMiscellaneousBody"/>
        <w:spacing w:before="120"/>
        <w:ind w:left="1680"/>
      </w:pPr>
      <w:r>
        <w:t>“associated company” means:</w:t>
      </w:r>
    </w:p>
    <w:p>
      <w:pPr>
        <w:pStyle w:val="yMiscellaneousBody"/>
        <w:spacing w:before="120"/>
        <w:ind w:left="2280" w:hanging="560"/>
      </w:pPr>
      <w:r>
        <w:t>(a)</w:t>
      </w:r>
      <w:r>
        <w:tab/>
        <w:t>any company having a paid up capital of not less than $2,000,000 notified in writing by the Company to the Minister which is incorporated in the United Kingdom, the United States of America or Australia and which:</w:t>
      </w:r>
    </w:p>
    <w:p>
      <w:pPr>
        <w:pStyle w:val="yMiscellaneousBody"/>
        <w:spacing w:before="120"/>
        <w:ind w:left="2880" w:hanging="560"/>
      </w:pPr>
      <w:r>
        <w:t>(i)</w:t>
      </w:r>
      <w:r>
        <w:tab/>
        <w:t xml:space="preserve">is a subsidiary of the Company within the meaning of the term “subsidiary” in section 46 of the </w:t>
      </w:r>
      <w:r>
        <w:rPr>
          <w:i/>
        </w:rPr>
        <w:t>Corporations Act 2001</w:t>
      </w:r>
      <w:r>
        <w:t xml:space="preserve"> (Commonwealth);</w:t>
      </w:r>
    </w:p>
    <w:p>
      <w:pPr>
        <w:pStyle w:val="yMiscellaneousBody"/>
        <w:spacing w:before="120"/>
        <w:ind w:left="2880" w:hanging="560"/>
      </w:pPr>
      <w:r>
        <w:t>(ii)</w:t>
      </w:r>
      <w:r>
        <w:tab/>
        <w:t>holds directly or indirectly not less than 20% of the issued ordinary share capital of the Company;</w:t>
      </w:r>
    </w:p>
    <w:p>
      <w:pPr>
        <w:pStyle w:val="yMiscellaneousBody"/>
        <w:spacing w:before="120"/>
        <w:ind w:left="2880" w:hanging="560"/>
      </w:pPr>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p>
    <w:p>
      <w:pPr>
        <w:pStyle w:val="yMiscellaneousBody"/>
        <w:spacing w:before="120"/>
        <w:ind w:left="2880" w:hanging="560"/>
      </w:pPr>
      <w:r>
        <w:t>(iv)</w:t>
      </w:r>
      <w:r>
        <w:tab/>
        <w:t xml:space="preserve">is 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capital; and</w:t>
      </w:r>
    </w:p>
    <w:p>
      <w:pPr>
        <w:pStyle w:val="yMiscellaneousBody"/>
        <w:spacing w:before="120"/>
        <w:ind w:left="2280" w:hanging="600"/>
      </w:pPr>
      <w:r>
        <w:t>(b)</w:t>
      </w:r>
      <w:r>
        <w:tab/>
        <w:t>any other company approved in writing by the Minister for the purpose of this Agreement which is associated directly or indirectly with the Company in its business or operations under this Agreement;</w:t>
      </w:r>
    </w:p>
    <w:p>
      <w:pPr>
        <w:pStyle w:val="yMiscellaneousBody"/>
        <w:spacing w:before="120"/>
        <w:ind w:left="1680"/>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spacing w:before="120"/>
        <w:ind w:left="1680"/>
      </w:pPr>
      <w:r>
        <w:t xml:space="preserve">“Government agreement” has the meaning given in the </w:t>
      </w:r>
      <w:r>
        <w:rPr>
          <w:i/>
        </w:rPr>
        <w:t>Government Agreements Act 1979</w:t>
      </w:r>
      <w:r>
        <w:t xml:space="preserve"> (WA);</w:t>
      </w:r>
    </w:p>
    <w:p>
      <w:pPr>
        <w:pStyle w:val="yMiscellaneousBody"/>
        <w:spacing w:before="120"/>
        <w:ind w:left="1680"/>
      </w:pPr>
      <w:r>
        <w:t>“Integration Agreement” means:</w:t>
      </w:r>
    </w:p>
    <w:p>
      <w:pPr>
        <w:pStyle w:val="yMiscellaneousBody"/>
        <w:spacing w:before="120"/>
        <w:ind w:left="2279" w:hanging="561"/>
      </w:pPr>
      <w:r>
        <w:t>(a)</w:t>
      </w:r>
      <w:r>
        <w:tab/>
        <w:t xml:space="preserve">the agreement approved by and scheduled to the </w:t>
      </w:r>
      <w:r>
        <w:rPr>
          <w:i/>
        </w:rPr>
        <w:t>Iron Ore (Hamersley Range) Agreement Act </w:t>
      </w:r>
      <w:r>
        <w:t>1963, as from time to time added to, varied or amended; or</w:t>
      </w:r>
    </w:p>
    <w:p>
      <w:pPr>
        <w:pStyle w:val="yMiscellaneousBody"/>
        <w:spacing w:before="120"/>
        <w:ind w:left="2279" w:hanging="561"/>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79"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79" w:hanging="561"/>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80"/>
        <w:ind w:left="2279" w:hanging="561"/>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279" w:hanging="561"/>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279" w:hanging="561"/>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279" w:hanging="561"/>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79"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279"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279" w:hanging="561"/>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68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spacing w:before="120"/>
        <w:ind w:left="1680"/>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spacing w:before="120"/>
        <w:ind w:left="1680"/>
      </w:pPr>
      <w:r>
        <w:t>“loading port” means:</w:t>
      </w:r>
    </w:p>
    <w:p>
      <w:pPr>
        <w:pStyle w:val="yMiscellaneousBody"/>
        <w:spacing w:before="100"/>
        <w:ind w:left="2279" w:hanging="561"/>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00"/>
        <w:ind w:left="2279" w:hanging="561"/>
      </w:pPr>
      <w:r>
        <w:t>(b)</w:t>
      </w:r>
      <w:r>
        <w:tab/>
        <w:t>Port Walcott; or</w:t>
      </w:r>
    </w:p>
    <w:p>
      <w:pPr>
        <w:pStyle w:val="yMiscellaneousBody"/>
        <w:spacing w:before="100"/>
        <w:ind w:left="2279" w:hanging="561"/>
        <w:rPr>
          <w:b/>
          <w:i/>
          <w:highlight w:val="cyan"/>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00"/>
        <w:ind w:left="2279" w:hanging="561"/>
      </w:pPr>
      <w:r>
        <w:t>(d)</w:t>
      </w:r>
      <w:r>
        <w:tab/>
        <w:t>any other port constructed after the variation date under an Integration Agreement; or</w:t>
      </w:r>
    </w:p>
    <w:p>
      <w:pPr>
        <w:pStyle w:val="yMiscellaneousBody"/>
        <w:spacing w:before="100"/>
        <w:ind w:left="2279" w:hanging="561"/>
      </w:pPr>
      <w:r>
        <w:t>(e)</w:t>
      </w:r>
      <w:r>
        <w:tab/>
        <w:t>such other port approved by the Minister at the request of the Company from time to time for the shipment of iron ore from the mining lease;</w:t>
      </w:r>
    </w:p>
    <w:p>
      <w:pPr>
        <w:pStyle w:val="yMiscellaneousBody"/>
        <w:ind w:left="2280" w:hanging="560"/>
      </w:pPr>
      <w:r>
        <w:t>“Related Entity” means a company in which:</w:t>
      </w:r>
    </w:p>
    <w:p>
      <w:pPr>
        <w:pStyle w:val="yMiscellaneousBody"/>
        <w:spacing w:before="140"/>
        <w:ind w:left="2280" w:hanging="560"/>
      </w:pPr>
      <w:r>
        <w:t>(a)</w:t>
      </w:r>
      <w:r>
        <w:tab/>
        <w:t>as at 21 June 2010; and</w:t>
      </w:r>
    </w:p>
    <w:p>
      <w:pPr>
        <w:pStyle w:val="yMiscellaneousBody"/>
        <w:spacing w:before="140"/>
        <w:ind w:left="2280" w:hanging="560"/>
      </w:pPr>
      <w:r>
        <w:t>(b)</w:t>
      </w:r>
      <w:r>
        <w:tab/>
        <w:t>after 21 June 2010, with the approval of the Minister,</w:t>
      </w:r>
    </w:p>
    <w:p>
      <w:pPr>
        <w:pStyle w:val="yMiscellaneousBody"/>
        <w:spacing w:before="140"/>
        <w:ind w:left="168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40"/>
        <w:ind w:left="2280" w:hanging="560"/>
      </w:pPr>
      <w:r>
        <w:t>(c)</w:t>
      </w:r>
      <w:r>
        <w:tab/>
        <w:t>Rio Tinto Limited ABN 96 004 458 404; or</w:t>
      </w:r>
    </w:p>
    <w:p>
      <w:pPr>
        <w:pStyle w:val="yMiscellaneousBody"/>
        <w:spacing w:before="140"/>
        <w:ind w:left="2280" w:hanging="560"/>
      </w:pPr>
      <w:r>
        <w:t>(d)</w:t>
      </w:r>
      <w:r>
        <w:tab/>
        <w:t>BHP Billiton Limited ABN 49 004 028 077; or</w:t>
      </w:r>
    </w:p>
    <w:p>
      <w:pPr>
        <w:pStyle w:val="yMiscellaneousBody"/>
        <w:spacing w:before="140"/>
        <w:ind w:left="2280" w:hanging="560"/>
      </w:pPr>
      <w:r>
        <w:t>(e)</w:t>
      </w:r>
      <w:r>
        <w:tab/>
        <w:t>those companies referred to in paragraphs (c) and (d) in aggregate;</w:t>
      </w:r>
    </w:p>
    <w:p>
      <w:pPr>
        <w:pStyle w:val="yMiscellaneousBody"/>
        <w:tabs>
          <w:tab w:val="left" w:pos="560"/>
        </w:tabs>
        <w:spacing w:before="140"/>
        <w:ind w:left="1680"/>
      </w:pPr>
      <w:r>
        <w:t>“variation date” means the date on which clause 4 of the variation agreement made on or about 17 November 2010 between the State and the Company comes into operation;</w:t>
      </w:r>
    </w:p>
    <w:p>
      <w:pPr>
        <w:pStyle w:val="yMiscellaneousBody"/>
        <w:spacing w:before="140"/>
        <w:ind w:left="1700" w:hanging="560"/>
      </w:pPr>
      <w:r>
        <w:t>(c)</w:t>
      </w:r>
      <w:r>
        <w:tab/>
        <w:t>in the definition of “agreed or determined” by</w:t>
      </w:r>
    </w:p>
    <w:p>
      <w:pPr>
        <w:pStyle w:val="yMiscellaneousBody"/>
        <w:tabs>
          <w:tab w:val="left" w:pos="0"/>
          <w:tab w:val="left" w:pos="2280"/>
        </w:tabs>
        <w:spacing w:before="140"/>
        <w:ind w:left="2260" w:hanging="580"/>
      </w:pPr>
      <w:r>
        <w:t>(a)</w:t>
      </w:r>
      <w:r>
        <w:tab/>
        <w:t>inserting “(following, if required by the Company, consultation with the Company and its consultants in regard thereto) after “as determined by the Minister”;</w:t>
      </w:r>
    </w:p>
    <w:p>
      <w:pPr>
        <w:pStyle w:val="yMiscellaneousBody"/>
        <w:tabs>
          <w:tab w:val="left" w:pos="0"/>
          <w:tab w:val="left" w:pos="2280"/>
        </w:tabs>
        <w:spacing w:before="140"/>
        <w:ind w:left="2260" w:hanging="580"/>
      </w:pPr>
      <w:r>
        <w:t>(b)</w:t>
      </w:r>
      <w:r>
        <w:tab/>
        <w:t>deleting “assessed at” and substituting “assessed on”; and</w:t>
      </w:r>
    </w:p>
    <w:p>
      <w:pPr>
        <w:pStyle w:val="yMiscellaneousBody"/>
        <w:tabs>
          <w:tab w:val="left" w:pos="2280"/>
        </w:tabs>
        <w:spacing w:before="140"/>
        <w:ind w:left="2280" w:hanging="580"/>
      </w:pPr>
      <w:r>
        <w:t>(c)</w:t>
      </w:r>
      <w:r>
        <w:tab/>
        <w:t>deleting all the words after “shall have regard to” and substituting a colon followed by:</w:t>
      </w:r>
    </w:p>
    <w:p>
      <w:pPr>
        <w:pStyle w:val="yMiscellaneousBody"/>
        <w:tabs>
          <w:tab w:val="left" w:pos="2280"/>
        </w:tabs>
        <w:spacing w:before="140"/>
        <w:ind w:left="2840" w:hanging="560"/>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spacing w:before="140"/>
        <w:ind w:left="2840" w:hanging="560"/>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560"/>
        </w:tabs>
        <w:spacing w:before="140"/>
        <w:ind w:left="1680" w:hanging="600"/>
      </w:pPr>
      <w:r>
        <w:t>(d)</w:t>
      </w:r>
      <w:r>
        <w:tab/>
        <w:t>in the definition of “deemed f.o.b. point” by inserting “relevant” before “loading port”;</w:t>
      </w:r>
    </w:p>
    <w:p>
      <w:pPr>
        <w:pStyle w:val="yMiscellaneousBody"/>
        <w:tabs>
          <w:tab w:val="left" w:pos="560"/>
        </w:tabs>
        <w:spacing w:before="140"/>
        <w:ind w:left="1680" w:hanging="600"/>
      </w:pPr>
      <w:r>
        <w:t>(e)</w:t>
      </w:r>
      <w:r>
        <w:tab/>
        <w:t>in the definition of “f.o.b. value” by:</w:t>
      </w:r>
    </w:p>
    <w:p>
      <w:pPr>
        <w:pStyle w:val="yMiscellaneousBody"/>
        <w:tabs>
          <w:tab w:val="left" w:pos="560"/>
        </w:tabs>
        <w:spacing w:before="140"/>
        <w:ind w:left="1680"/>
      </w:pPr>
      <w:r>
        <w:t>(i)</w:t>
      </w:r>
      <w:r>
        <w:tab/>
        <w:t>in paragraph (i):</w:t>
      </w:r>
    </w:p>
    <w:p>
      <w:pPr>
        <w:pStyle w:val="yMiscellaneousBody"/>
        <w:tabs>
          <w:tab w:val="left" w:pos="2280"/>
        </w:tabs>
        <w:spacing w:before="140"/>
        <w:ind w:left="2840" w:hanging="560"/>
      </w:pPr>
      <w:r>
        <w:t>(A)</w:t>
      </w:r>
      <w:r>
        <w:tab/>
        <w:t>inserting “subject to paragraph (ii),” before “in the case of”;</w:t>
      </w:r>
    </w:p>
    <w:p>
      <w:pPr>
        <w:pStyle w:val="yMiscellaneousBody"/>
        <w:tabs>
          <w:tab w:val="left" w:pos="2280"/>
        </w:tabs>
        <w:spacing w:before="140"/>
        <w:ind w:left="2840" w:hanging="560"/>
      </w:pPr>
      <w:r>
        <w:t>(B)</w:t>
      </w:r>
      <w:r>
        <w:tab/>
        <w:t>deleting “assessed at” and substituting “assessed on”; and</w:t>
      </w:r>
    </w:p>
    <w:p>
      <w:pPr>
        <w:pStyle w:val="yMiscellaneousBody"/>
        <w:tabs>
          <w:tab w:val="left" w:pos="2280"/>
        </w:tabs>
        <w:spacing w:before="140"/>
        <w:ind w:left="2840" w:hanging="560"/>
      </w:pPr>
      <w:r>
        <w:t>(C)</w:t>
      </w:r>
      <w:r>
        <w:tab/>
        <w:t>inserting “relevant” before each reference to “loading port”;</w:t>
      </w:r>
    </w:p>
    <w:p>
      <w:pPr>
        <w:pStyle w:val="yMiscellaneousBody"/>
        <w:tabs>
          <w:tab w:val="left" w:pos="560"/>
        </w:tabs>
        <w:spacing w:before="140"/>
        <w:ind w:left="1680"/>
      </w:pPr>
      <w:r>
        <w:t>(ii)</w:t>
      </w:r>
      <w:r>
        <w:tab/>
        <w:t>renumbering paragraph (ii) as paragraph (iii); and</w:t>
      </w:r>
    </w:p>
    <w:p>
      <w:pPr>
        <w:pStyle w:val="yMiscellaneousBody"/>
        <w:tabs>
          <w:tab w:val="left" w:pos="560"/>
        </w:tabs>
        <w:spacing w:before="140"/>
        <w:ind w:left="1680"/>
      </w:pPr>
      <w:r>
        <w:t>(iii)</w:t>
      </w:r>
      <w:r>
        <w:tab/>
        <w:t xml:space="preserve">inserting after paragraph (i) the following new </w:t>
      </w:r>
      <w:r>
        <w:tab/>
        <w:t>paragraph:</w:t>
      </w:r>
    </w:p>
    <w:p>
      <w:pPr>
        <w:pStyle w:val="yMiscellaneousBody"/>
        <w:tabs>
          <w:tab w:val="left" w:pos="2280"/>
        </w:tabs>
        <w:spacing w:before="140"/>
        <w:ind w:left="2840" w:hanging="560"/>
      </w:pPr>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tabs>
          <w:tab w:val="left" w:pos="560"/>
        </w:tabs>
        <w:spacing w:before="140"/>
        <w:ind w:left="1680" w:hanging="600"/>
      </w:pPr>
      <w:r>
        <w:t>(f)</w:t>
      </w:r>
      <w:r>
        <w:tab/>
        <w:t>in the definition of “iron ore”, by inserting “, without limitation,” before “beneficiated”;</w:t>
      </w:r>
    </w:p>
    <w:p>
      <w:pPr>
        <w:pStyle w:val="yMiscellaneousBody"/>
        <w:tabs>
          <w:tab w:val="left" w:pos="560"/>
        </w:tabs>
        <w:spacing w:before="140"/>
        <w:ind w:left="1680" w:hanging="600"/>
      </w:pPr>
      <w:r>
        <w:t>(g)</w:t>
      </w:r>
      <w:r>
        <w:tab/>
        <w:t>in the definition of “mining lease” by inserting “and includes any areas added to it pursuant to clause 12A” before the semi colon;</w:t>
      </w:r>
    </w:p>
    <w:p>
      <w:pPr>
        <w:pStyle w:val="yMiscellaneousBody"/>
        <w:spacing w:before="140"/>
        <w:ind w:left="1140" w:hanging="560"/>
      </w:pPr>
      <w:r>
        <w:t>(2)</w:t>
      </w:r>
      <w:r>
        <w:tab/>
        <w:t>by inserting after subclause (2) of clause 2 the following new subclause:</w:t>
      </w:r>
    </w:p>
    <w:p>
      <w:pPr>
        <w:pStyle w:val="yMiscellaneousBody"/>
        <w:tabs>
          <w:tab w:val="left" w:pos="1700"/>
        </w:tabs>
        <w:spacing w:before="140"/>
        <w:ind w:left="2260" w:hanging="1180"/>
      </w:pPr>
      <w:r>
        <w:t>“(3)</w:t>
      </w:r>
      <w:r>
        <w:tab/>
        <w:t>Nothing in this Agreement shall be construed:</w:t>
      </w:r>
    </w:p>
    <w:p>
      <w:pPr>
        <w:pStyle w:val="yMiscellaneousBody"/>
        <w:spacing w:before="140"/>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spacing w:before="140"/>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spacing w:before="140"/>
        <w:ind w:left="2260" w:hanging="560"/>
      </w:pPr>
      <w:r>
        <w:t>(c)</w:t>
      </w:r>
      <w:r>
        <w:tab/>
        <w:t xml:space="preserve">to exempt the Company from compliance with the provisions of the </w:t>
      </w:r>
      <w:r>
        <w:rPr>
          <w:i/>
        </w:rPr>
        <w:t xml:space="preserve">Aboriginal Heritage Act 1972 </w:t>
      </w:r>
      <w:r>
        <w:t>(WA).”;</w:t>
      </w:r>
    </w:p>
    <w:p>
      <w:pPr>
        <w:pStyle w:val="yMiscellaneousBody"/>
        <w:spacing w:before="140"/>
        <w:ind w:left="1140" w:hanging="560"/>
      </w:pPr>
      <w:r>
        <w:t>(3)</w:t>
      </w:r>
      <w:r>
        <w:tab/>
        <w:t>in clause 10(1) by inserting “(other than under clause 14C)” after “pursuant to this Agreement”;</w:t>
      </w:r>
    </w:p>
    <w:p>
      <w:pPr>
        <w:pStyle w:val="yMiscellaneousBody"/>
        <w:spacing w:before="140"/>
        <w:ind w:left="1140" w:hanging="560"/>
      </w:pPr>
      <w:r>
        <w:t>(4)</w:t>
      </w:r>
      <w:r>
        <w:tab/>
        <w:t>by deleting subclause (2) of clause 10 and inserting the following new subclauses:</w:t>
      </w:r>
    </w:p>
    <w:p>
      <w:pPr>
        <w:pStyle w:val="yMiscellaneousBody"/>
        <w:spacing w:before="140"/>
        <w:ind w:left="170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170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40"/>
        <w:ind w:left="170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40"/>
        <w:ind w:left="1700" w:hanging="560"/>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spacing w:before="140"/>
        <w:ind w:left="1140" w:hanging="560"/>
      </w:pPr>
      <w:r>
        <w:t>(5)</w:t>
      </w:r>
      <w:r>
        <w:tab/>
        <w:t>by inserting after clause 10 the following new clauses:</w:t>
      </w:r>
    </w:p>
    <w:p>
      <w:pPr>
        <w:pStyle w:val="yMiscellaneousBody"/>
        <w:tabs>
          <w:tab w:val="left" w:pos="1700"/>
        </w:tabs>
        <w:spacing w:before="140"/>
        <w:ind w:left="2260" w:hanging="1140"/>
        <w:rPr>
          <w:b/>
        </w:rPr>
      </w:pPr>
      <w:r>
        <w:t>“</w:t>
      </w:r>
      <w:r>
        <w:rPr>
          <w:b/>
        </w:rPr>
        <w:t>Consideration of Company’s proposals under clause 10</w:t>
      </w:r>
    </w:p>
    <w:p>
      <w:pPr>
        <w:pStyle w:val="yMiscellaneousBody"/>
        <w:tabs>
          <w:tab w:val="left" w:pos="600"/>
        </w:tabs>
        <w:spacing w:before="140"/>
        <w:ind w:left="2260" w:hanging="1140"/>
      </w:pPr>
      <w:r>
        <w:t>10A. (1)</w:t>
      </w:r>
      <w:r>
        <w:tab/>
        <w:t>In respect of each proposal pursuant to subclause (1) of clause 10 the Minister shall:</w:t>
      </w:r>
    </w:p>
    <w:p>
      <w:pPr>
        <w:pStyle w:val="yMiscellaneousBody"/>
        <w:spacing w:before="140"/>
        <w:ind w:left="2820" w:hanging="5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40"/>
        <w:ind w:left="2840" w:hanging="560"/>
      </w:pPr>
      <w:r>
        <w:t>(b)</w:t>
      </w:r>
      <w:r>
        <w:tab/>
        <w:t>approve of the proposal without qualification or reservation; or</w:t>
      </w:r>
    </w:p>
    <w:p>
      <w:pPr>
        <w:pStyle w:val="yMiscellaneousBody"/>
        <w:spacing w:before="140"/>
        <w:ind w:left="2840" w:hanging="560"/>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spacing w:before="140"/>
        <w:ind w:left="2840" w:hanging="560"/>
        <w:rPr>
          <w:i/>
          <w:highlight w:val="cyan"/>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spacing w:before="14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spacing w:before="140"/>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40"/>
        <w:ind w:left="2840" w:hanging="561"/>
      </w:pPr>
      <w:r>
        <w:t>(i)</w:t>
      </w:r>
      <w:r>
        <w:tab/>
        <w:t>detrimentally affect economic and orderly development in the said State, including without limitation, infrastructure development in the said State; or</w:t>
      </w:r>
    </w:p>
    <w:p>
      <w:pPr>
        <w:pStyle w:val="yMiscellaneousBody"/>
        <w:spacing w:before="140"/>
        <w:ind w:left="2840" w:hanging="561"/>
      </w:pPr>
      <w:r>
        <w:t>(ii)</w:t>
      </w:r>
      <w:r>
        <w:tab/>
        <w:t>be contrary to or inconsistent with the planning and development policies and objectives of the State; or</w:t>
      </w:r>
    </w:p>
    <w:p>
      <w:pPr>
        <w:pStyle w:val="yMiscellaneousBody"/>
        <w:spacing w:before="140"/>
        <w:ind w:left="2840" w:hanging="560"/>
      </w:pPr>
      <w:r>
        <w:t>(iii)</w:t>
      </w:r>
      <w:r>
        <w:tab/>
        <w:t>detrimentally affect the rights and interests of third parties; or</w:t>
      </w:r>
    </w:p>
    <w:p>
      <w:pPr>
        <w:pStyle w:val="yMiscellaneousBody"/>
        <w:spacing w:before="140"/>
        <w:ind w:left="2840" w:hanging="560"/>
      </w:pPr>
      <w:r>
        <w:t>(iv)</w:t>
      </w:r>
      <w:r>
        <w:tab/>
        <w:t>detrimentally affect access to and use by others of the lands the subject of any grant or proposed grant to the Company.</w:t>
      </w:r>
    </w:p>
    <w:p>
      <w:pPr>
        <w:pStyle w:val="yMiscellaneousBody"/>
        <w:tabs>
          <w:tab w:val="left" w:pos="560"/>
        </w:tabs>
        <w:spacing w:before="140"/>
        <w:ind w:left="226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spacing w:before="140"/>
        <w:ind w:left="2262" w:hanging="561"/>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spacing w:before="140"/>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spacing w:before="140"/>
        <w:ind w:left="2262" w:hanging="561"/>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40"/>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spacing w:before="140"/>
        <w:ind w:left="2260" w:hanging="560"/>
      </w:pPr>
      <w:r>
        <w:t>(6)</w:t>
      </w:r>
      <w:r>
        <w:tab/>
        <w:t>The Company shall implement the approved proposals in accordance with the terms thereof.</w:t>
      </w:r>
    </w:p>
    <w:p>
      <w:pPr>
        <w:pStyle w:val="yMiscellaneousBody"/>
        <w:spacing w:before="140"/>
        <w:ind w:left="2260" w:hanging="560"/>
      </w:pPr>
      <w:r>
        <w:t>(7)</w:t>
      </w:r>
      <w:r>
        <w:tab/>
        <w:t>Notwithstanding clause 31, the Minister may during the implementation of approved proposals approve variations to those proposals.</w:t>
      </w:r>
    </w:p>
    <w:p>
      <w:pPr>
        <w:pStyle w:val="yMiscellaneousBody"/>
        <w:spacing w:before="140"/>
        <w:ind w:left="1860" w:hanging="720"/>
        <w:rPr>
          <w:b/>
        </w:rPr>
      </w:pPr>
      <w:r>
        <w:rPr>
          <w:b/>
        </w:rPr>
        <w:t>Notification of possible proposals</w:t>
      </w:r>
    </w:p>
    <w:p>
      <w:pPr>
        <w:pStyle w:val="yMiscellaneousBody"/>
        <w:tabs>
          <w:tab w:val="left" w:pos="1700"/>
        </w:tabs>
        <w:spacing w:before="140"/>
        <w:ind w:left="2280" w:hanging="1080"/>
      </w:pPr>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p>
    <w:p>
      <w:pPr>
        <w:pStyle w:val="yMiscellaneousBody"/>
        <w:keepLines/>
        <w:spacing w:before="140"/>
        <w:ind w:left="2279" w:hanging="561"/>
      </w:pPr>
      <w:r>
        <w:t>(2)</w:t>
      </w:r>
      <w:r>
        <w:tab/>
        <w:t>Within one (1) month after receiving the notification the Minister may, if the Minister so wishes, inform the Company of the Minister’s views of the matter at that stage.</w:t>
      </w:r>
    </w:p>
    <w:p>
      <w:pPr>
        <w:pStyle w:val="yMiscellaneousBody"/>
        <w:spacing w:before="140"/>
        <w:ind w:left="2280" w:hanging="560"/>
      </w:pPr>
      <w:r>
        <w:t>(3)</w:t>
      </w:r>
      <w:r>
        <w:tab/>
        <w:t>If the Company is informed of the Minister’s views, it shall take them into account in deciding whether or not to proceed with its consideration of the matter and the submission of proposals.</w:t>
      </w:r>
    </w:p>
    <w:p>
      <w:pPr>
        <w:pStyle w:val="yMiscellaneousBody"/>
        <w:spacing w:before="140"/>
        <w:ind w:left="2280" w:hanging="56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0"/>
          <w:tab w:val="left" w:pos="2280"/>
        </w:tabs>
        <w:spacing w:before="140"/>
        <w:ind w:left="2880" w:hanging="1160"/>
      </w:pPr>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p>
    <w:p>
      <w:pPr>
        <w:pStyle w:val="yMiscellaneousBody"/>
        <w:tabs>
          <w:tab w:val="left" w:pos="2280"/>
        </w:tabs>
        <w:spacing w:before="140"/>
        <w:ind w:left="2880" w:hanging="601"/>
      </w:pPr>
      <w:r>
        <w:t>(b)</w:t>
      </w:r>
      <w:r>
        <w:tab/>
        <w:t>For the purpose of this subclause “public interest concerns” means any concern that implementation of the single preferred development or any part of it will:</w:t>
      </w:r>
    </w:p>
    <w:p>
      <w:pPr>
        <w:pStyle w:val="yMiscellaneousBody"/>
        <w:tabs>
          <w:tab w:val="left" w:pos="3480"/>
        </w:tabs>
        <w:spacing w:before="140"/>
        <w:ind w:left="3480" w:hanging="601"/>
      </w:pPr>
      <w:r>
        <w:t>(i)</w:t>
      </w:r>
      <w:r>
        <w:tab/>
        <w:t>detrimentally affect economic and orderly development in the said State, including without limitation, infrastructure development in the said State; or</w:t>
      </w:r>
    </w:p>
    <w:p>
      <w:pPr>
        <w:pStyle w:val="yMiscellaneousBody"/>
        <w:tabs>
          <w:tab w:val="left" w:pos="3480"/>
        </w:tabs>
        <w:spacing w:before="140"/>
        <w:ind w:left="3480" w:hanging="601"/>
      </w:pPr>
      <w:r>
        <w:t>(ii)</w:t>
      </w:r>
      <w:r>
        <w:tab/>
        <w:t>be contrary to or inconsistent with the planning and development policies and objectives of the State; or</w:t>
      </w:r>
    </w:p>
    <w:p>
      <w:pPr>
        <w:pStyle w:val="yMiscellaneousBody"/>
        <w:tabs>
          <w:tab w:val="left" w:pos="3480"/>
        </w:tabs>
        <w:spacing w:before="140"/>
        <w:ind w:left="3480" w:hanging="601"/>
      </w:pPr>
      <w:r>
        <w:t>(iii)</w:t>
      </w:r>
      <w:r>
        <w:tab/>
        <w:t>detrimentally affect the rights and interests of third parties; or</w:t>
      </w:r>
    </w:p>
    <w:p>
      <w:pPr>
        <w:pStyle w:val="yMiscellaneousBody"/>
        <w:tabs>
          <w:tab w:val="left" w:pos="3480"/>
        </w:tabs>
        <w:spacing w:before="140"/>
        <w:ind w:left="3480" w:hanging="601"/>
      </w:pPr>
      <w:r>
        <w:t>(iv)</w:t>
      </w:r>
      <w:r>
        <w:tab/>
        <w:t>detrimentally affect access to and use by others of lands the subject of any grant or proposed grant to the Company</w:t>
      </w:r>
    </w:p>
    <w:p>
      <w:pPr>
        <w:pStyle w:val="yMiscellaneousBody"/>
        <w:tabs>
          <w:tab w:val="left" w:pos="2880"/>
        </w:tabs>
        <w:spacing w:before="140"/>
        <w:ind w:left="2880" w:hanging="601"/>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880"/>
        </w:tabs>
        <w:spacing w:before="140"/>
        <w:ind w:left="2880" w:hanging="601"/>
      </w:pPr>
      <w:r>
        <w:t>(d)</w:t>
      </w:r>
      <w:r>
        <w:tab/>
        <w:t>The Company shall furnish to the Minister with its notice reasonable particulars of the single preferred development including, without limitation:</w:t>
      </w:r>
    </w:p>
    <w:p>
      <w:pPr>
        <w:pStyle w:val="yMiscellaneousBody"/>
        <w:tabs>
          <w:tab w:val="left" w:pos="4080"/>
        </w:tabs>
        <w:spacing w:before="140"/>
        <w:ind w:left="3481" w:hanging="561"/>
      </w:pPr>
      <w:r>
        <w:t>(i)</w:t>
      </w:r>
      <w:r>
        <w:tab/>
        <w:t>as to the matters that would be required to be addressed in submitted proposals; and</w:t>
      </w:r>
    </w:p>
    <w:p>
      <w:pPr>
        <w:pStyle w:val="yMiscellaneousBody"/>
        <w:tabs>
          <w:tab w:val="left" w:pos="4080"/>
        </w:tabs>
        <w:spacing w:before="140"/>
        <w:ind w:left="3481" w:hanging="561"/>
      </w:pPr>
      <w:r>
        <w:t>(ii)</w:t>
      </w:r>
      <w:r>
        <w:tab/>
        <w:t>its progress in undertaking any feasibility or other studies or matters to be completed before submission of proposals; and</w:t>
      </w:r>
    </w:p>
    <w:p>
      <w:pPr>
        <w:pStyle w:val="yMiscellaneousBody"/>
        <w:tabs>
          <w:tab w:val="left" w:pos="4080"/>
        </w:tabs>
        <w:spacing w:before="140"/>
        <w:ind w:left="3481" w:hanging="561"/>
      </w:pPr>
      <w:r>
        <w:t>(iii)</w:t>
      </w:r>
      <w:r>
        <w:tab/>
        <w:t>its timetable for obtaining required statutory and other approvals in relation to the submission and approval of proposals; and</w:t>
      </w:r>
    </w:p>
    <w:p>
      <w:pPr>
        <w:pStyle w:val="yMiscellaneousBody"/>
        <w:tabs>
          <w:tab w:val="left" w:pos="4080"/>
        </w:tabs>
        <w:spacing w:before="140"/>
        <w:ind w:left="3481" w:hanging="561"/>
      </w:pPr>
      <w:r>
        <w:t>(iv)</w:t>
      </w:r>
      <w:r>
        <w:tab/>
        <w:t>its tenure requirements.</w:t>
      </w:r>
    </w:p>
    <w:p>
      <w:pPr>
        <w:pStyle w:val="yMiscellaneousBody"/>
        <w:tabs>
          <w:tab w:val="left" w:pos="2880"/>
        </w:tabs>
        <w:spacing w:before="140"/>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80"/>
        </w:tabs>
        <w:spacing w:before="140"/>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spacing w:before="140"/>
        <w:ind w:left="3480" w:hanging="600"/>
      </w:pPr>
      <w:r>
        <w:t>(i)</w:t>
      </w:r>
      <w:r>
        <w:tab/>
        <w:t>that the Minister has no public interest concerns with the single preferred development; or</w:t>
      </w:r>
    </w:p>
    <w:p>
      <w:pPr>
        <w:pStyle w:val="yMiscellaneousBody"/>
        <w:tabs>
          <w:tab w:val="left" w:pos="1700"/>
        </w:tabs>
        <w:spacing w:before="140"/>
        <w:ind w:left="3480" w:hanging="600"/>
      </w:pPr>
      <w:r>
        <w:t>(ii)</w:t>
      </w:r>
      <w:r>
        <w:tab/>
        <w:t>that he is not then in a position to advise that he has no public interest concerns with the single preferred development and the Minister’s reasons in that regard.</w:t>
      </w:r>
    </w:p>
    <w:p>
      <w:pPr>
        <w:pStyle w:val="yMiscellaneousBody"/>
        <w:tabs>
          <w:tab w:val="left" w:pos="2880"/>
        </w:tabs>
        <w:spacing w:before="140"/>
        <w:ind w:left="2880" w:hanging="6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spacing w:before="140"/>
        <w:ind w:left="1140" w:hanging="560"/>
      </w:pPr>
      <w:r>
        <w:t>(6)</w:t>
      </w:r>
      <w:r>
        <w:tab/>
        <w:t>in clause 11(8)(b) by deleting “subclause (2) of Clause 10” and substituting “clauses 10(2) to (5) and 10A”;</w:t>
      </w:r>
    </w:p>
    <w:p>
      <w:pPr>
        <w:pStyle w:val="yMiscellaneousBody"/>
        <w:spacing w:before="140"/>
        <w:ind w:left="1140" w:hanging="560"/>
      </w:pPr>
      <w:r>
        <w:t>(7)</w:t>
      </w:r>
      <w:r>
        <w:tab/>
        <w:t>by inserting after clause 12(8) the following new subclauses:</w:t>
      </w:r>
    </w:p>
    <w:p>
      <w:pPr>
        <w:pStyle w:val="yMiscellaneousBody"/>
        <w:tabs>
          <w:tab w:val="left" w:pos="1080"/>
        </w:tabs>
        <w:spacing w:before="140"/>
        <w:ind w:left="1700" w:hanging="1140"/>
      </w:pPr>
      <w:r>
        <w:tab/>
        <w:t>“</w:t>
      </w:r>
      <w:r>
        <w:rPr>
          <w:b/>
        </w:rPr>
        <w:t>Blending of iron ore</w:t>
      </w:r>
    </w:p>
    <w:p>
      <w:pPr>
        <w:pStyle w:val="yMiscellaneousBody"/>
        <w:tabs>
          <w:tab w:val="left" w:pos="1700"/>
        </w:tabs>
        <w:spacing w:before="140"/>
        <w:ind w:left="2260" w:hanging="1140"/>
      </w:pPr>
      <w:r>
        <w:t>(9)</w:t>
      </w:r>
      <w:r>
        <w:tab/>
        <w:t>(a)</w:t>
      </w:r>
      <w:r>
        <w:tab/>
        <w:t>The Company may blend iron ore mined from the mining lease with any:</w:t>
      </w:r>
    </w:p>
    <w:p>
      <w:pPr>
        <w:pStyle w:val="yMiscellaneousBody"/>
        <w:tabs>
          <w:tab w:val="left" w:pos="1140"/>
        </w:tabs>
        <w:spacing w:before="140"/>
        <w:ind w:left="2840" w:hanging="560"/>
      </w:pPr>
      <w:r>
        <w:t>(i)</w:t>
      </w:r>
      <w:r>
        <w:tab/>
        <w:t>iron ore mined from a mining tenement or other mining title granted under, or pursuant to, an Integration Agreement; or</w:t>
      </w:r>
    </w:p>
    <w:p>
      <w:pPr>
        <w:pStyle w:val="yMiscellaneousBody"/>
        <w:spacing w:before="140"/>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2840" w:hanging="560"/>
        <w:rPr>
          <w:b/>
          <w:i/>
          <w:highlight w:val="cyan"/>
        </w:rPr>
      </w:pPr>
      <w:r>
        <w:t>(iii)</w:t>
      </w:r>
      <w:r>
        <w:tab/>
        <w:t>with the prior approval of the Minister, iron ore mined in, or proximate to, the Pilbara region of the said State under a Government agreement (excluding an Integration Agreement); or</w:t>
      </w:r>
    </w:p>
    <w:p>
      <w:pPr>
        <w:pStyle w:val="yMiscellaneousBody"/>
        <w:spacing w:before="140"/>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ind w:left="2260" w:hanging="56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spacing w:before="140"/>
        <w:ind w:left="2260" w:hanging="560"/>
      </w:pPr>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keepNext/>
        <w:spacing w:before="140"/>
        <w:ind w:left="561"/>
        <w:jc w:val="both"/>
        <w:rPr>
          <w:b/>
        </w:rPr>
      </w:pPr>
      <w:r>
        <w:rPr>
          <w:b/>
        </w:rPr>
        <w:t>Shipment of and price for iron ore</w:t>
      </w:r>
    </w:p>
    <w:p>
      <w:pPr>
        <w:pStyle w:val="yMiscellaneousBody"/>
        <w:tabs>
          <w:tab w:val="left" w:pos="1700"/>
        </w:tabs>
        <w:spacing w:before="140"/>
        <w:ind w:left="1140" w:hanging="560"/>
      </w:pPr>
      <w:r>
        <w:t>(10)</w:t>
      </w:r>
      <w:r>
        <w:tab/>
        <w:t>The Company shall during the continuance of this Agreement ship, or procure the shipment of, all iron ore mined from the mining lease and sold:</w:t>
      </w:r>
    </w:p>
    <w:p>
      <w:pPr>
        <w:pStyle w:val="yMiscellaneousBody"/>
        <w:tabs>
          <w:tab w:val="left" w:pos="1700"/>
        </w:tabs>
        <w:spacing w:before="140"/>
        <w:ind w:left="1680" w:hanging="540"/>
        <w:rPr>
          <w:b/>
          <w:i/>
          <w:highlight w:val="cyan"/>
        </w:rPr>
      </w:pPr>
      <w:r>
        <w:t>(a)</w:t>
      </w:r>
      <w:r>
        <w:tab/>
        <w:t>from a wharf in a loading port which has been constructed under an Integration Agreement; or</w:t>
      </w:r>
    </w:p>
    <w:p>
      <w:pPr>
        <w:pStyle w:val="yMiscellaneousBody"/>
        <w:tabs>
          <w:tab w:val="left" w:pos="1700"/>
        </w:tabs>
        <w:spacing w:before="140"/>
        <w:ind w:left="1680" w:hanging="540"/>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600"/>
        </w:tabs>
        <w:spacing w:before="140"/>
        <w:ind w:left="1140"/>
      </w:pPr>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spacing w:before="140"/>
        <w:ind w:left="2279" w:hanging="601"/>
      </w:pPr>
      <w:r>
        <w:t>(i)</w:t>
      </w:r>
      <w:r>
        <w:tab/>
        <w:t>the Minister is notified before the time of shipment that the sale is to be made at cost, providing details of the proposed sale; and</w:t>
      </w:r>
    </w:p>
    <w:p>
      <w:pPr>
        <w:pStyle w:val="yMiscellaneousBody"/>
        <w:tabs>
          <w:tab w:val="left" w:pos="2280"/>
        </w:tabs>
        <w:spacing w:before="140"/>
        <w:ind w:left="2279" w:hanging="601"/>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spacing w:before="140"/>
        <w:ind w:left="2279" w:hanging="601"/>
      </w:pPr>
      <w:r>
        <w:t>(iii)</w:t>
      </w:r>
      <w:r>
        <w:tab/>
        <w:t>there is included in the return lodged pursuant to clause 13(2)(a)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spacing w:before="140"/>
        <w:ind w:left="2280" w:hanging="600"/>
      </w:pPr>
      <w:r>
        <w:t>(iv)</w:t>
      </w:r>
      <w:r>
        <w:tab/>
        <w:t>the arm’s length purchaser referred to in (iii) above is not then a designated purchaser as referred to below.</w:t>
      </w:r>
    </w:p>
    <w:p>
      <w:pPr>
        <w:pStyle w:val="yMiscellaneousBody"/>
        <w:spacing w:before="140"/>
        <w:ind w:left="1120"/>
      </w:pPr>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p>
    <w:p>
      <w:pPr>
        <w:pStyle w:val="yMiscellaneousBody"/>
        <w:ind w:left="1140" w:hanging="560"/>
        <w:jc w:val="both"/>
      </w:pPr>
      <w:r>
        <w:t>(8)</w:t>
      </w:r>
      <w:r>
        <w:tab/>
        <w:t>by inserting after clause 12 the following new clause:</w:t>
      </w:r>
    </w:p>
    <w:p>
      <w:pPr>
        <w:pStyle w:val="yMiscellaneousBody"/>
        <w:tabs>
          <w:tab w:val="left" w:pos="1700"/>
        </w:tabs>
        <w:ind w:left="2280" w:hanging="1200"/>
        <w:jc w:val="both"/>
        <w:rPr>
          <w:b/>
        </w:rPr>
      </w:pPr>
      <w:r>
        <w:t>“</w:t>
      </w:r>
      <w:r>
        <w:rPr>
          <w:b/>
        </w:rPr>
        <w:t>Additional areas</w:t>
      </w:r>
    </w:p>
    <w:p>
      <w:pPr>
        <w:pStyle w:val="yMiscellaneousBody"/>
        <w:tabs>
          <w:tab w:val="left" w:pos="1700"/>
        </w:tabs>
        <w:spacing w:before="120"/>
        <w:ind w:left="2279" w:hanging="1200"/>
      </w:pPr>
      <w:r>
        <w:t>12A.</w:t>
      </w:r>
      <w:r>
        <w:tab/>
        <w:t>(1)</w:t>
      </w:r>
      <w:r>
        <w:tab/>
        <w:t xml:space="preserve">Notwithstanding the provisions of the </w:t>
      </w:r>
      <w:r>
        <w:rPr>
          <w:i/>
        </w:rPr>
        <w:t xml:space="preserve">Mining Act 1904 </w:t>
      </w:r>
      <w:r>
        <w:t xml:space="preserve">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spacing w:before="120"/>
        <w:ind w:left="2279" w:hanging="600"/>
      </w:pPr>
      <w:r>
        <w:t>(2)</w:t>
      </w:r>
      <w:r>
        <w:tab/>
        <w:t>The Minister may approve, upon application by the Company from time to time, for the total area referred to in subclause (1) to be increased up to a limit not exceeding 1,000 square kilometres.</w:t>
      </w:r>
    </w:p>
    <w:p>
      <w:pPr>
        <w:pStyle w:val="yMiscellaneousBody"/>
        <w:spacing w:before="120"/>
        <w:ind w:left="2279" w:hanging="600"/>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spacing w:before="120"/>
        <w:ind w:left="2279" w:hanging="60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keepNext/>
        <w:ind w:left="1139" w:hanging="561"/>
        <w:jc w:val="both"/>
      </w:pPr>
      <w:r>
        <w:t>(9)</w:t>
      </w:r>
      <w:r>
        <w:tab/>
        <w:t>in clause 13(1):</w:t>
      </w:r>
    </w:p>
    <w:p>
      <w:pPr>
        <w:pStyle w:val="yMiscellaneousBody"/>
        <w:ind w:left="1700" w:hanging="560"/>
      </w:pPr>
      <w:r>
        <w:t>(a)</w:t>
      </w:r>
      <w:r>
        <w:tab/>
        <w:t>in paragraph (b) by deleting “5.625%” and substituting “7.5%”; and</w:t>
      </w:r>
    </w:p>
    <w:p>
      <w:pPr>
        <w:pStyle w:val="yMiscellaneousBody"/>
        <w:ind w:left="1700" w:hanging="560"/>
      </w:pPr>
      <w:r>
        <w:t>(b)</w:t>
      </w:r>
      <w:r>
        <w:tab/>
        <w:t>by inserting after paragraph (b) the following new paragraphs:</w:t>
      </w:r>
    </w:p>
    <w:p>
      <w:pPr>
        <w:pStyle w:val="yMiscellaneousBody"/>
        <w:spacing w:before="120"/>
        <w:ind w:left="1678"/>
      </w:pPr>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168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678"/>
      </w:pPr>
      <w:r>
        <w:t xml:space="preserve">The provisions of regulation 85AA (Effect of GST etc on royalties) of the </w:t>
      </w:r>
      <w:r>
        <w:rPr>
          <w:i/>
        </w:rPr>
        <w:t>Mining Regulations 1981</w:t>
      </w:r>
      <w:r>
        <w:t>(WA) shall apply mutatis mutandis to the calculation of royalties under this subclause.”;</w:t>
      </w:r>
    </w:p>
    <w:p>
      <w:pPr>
        <w:pStyle w:val="yMiscellaneousBody"/>
        <w:ind w:left="1134" w:hanging="574"/>
      </w:pPr>
      <w:r>
        <w:t>(10)</w:t>
      </w:r>
      <w:r>
        <w:tab/>
        <w:t>in clause 13(2) by:</w:t>
      </w:r>
    </w:p>
    <w:p>
      <w:pPr>
        <w:pStyle w:val="yMiscellaneousBody"/>
        <w:ind w:left="1700" w:hanging="560"/>
      </w:pPr>
      <w:r>
        <w:t>(a)</w:t>
      </w:r>
      <w:r>
        <w:tab/>
        <w:t xml:space="preserve">in paragraph (a): </w:t>
      </w:r>
    </w:p>
    <w:p>
      <w:pPr>
        <w:pStyle w:val="yMiscellaneousBody"/>
        <w:tabs>
          <w:tab w:val="left" w:pos="2420"/>
        </w:tabs>
        <w:spacing w:before="140"/>
        <w:ind w:left="2420" w:hanging="720"/>
      </w:pPr>
      <w:r>
        <w:t>(i)</w:t>
      </w:r>
      <w:r>
        <w:tab/>
        <w:t xml:space="preserve">inserting “, and also showing such other information in relation to the abovementioned ore as the Minister may from time to time reasonably require in regard to, and to assist in verifying, the calculation of royalties in accordance with subclause (1),” after “the due date of return”; and </w:t>
      </w:r>
    </w:p>
    <w:p>
      <w:pPr>
        <w:pStyle w:val="yMiscellaneousBody"/>
        <w:keepNext/>
        <w:tabs>
          <w:tab w:val="left" w:pos="2420"/>
        </w:tabs>
        <w:spacing w:before="140"/>
        <w:ind w:left="2421" w:hanging="720"/>
      </w:pPr>
      <w:r>
        <w:t>(ii)</w:t>
      </w:r>
      <w:r>
        <w:tab/>
        <w:t>deleting all the words after “calculated on the basis of” and substituting a colon followed by:</w:t>
      </w:r>
    </w:p>
    <w:p>
      <w:pPr>
        <w:pStyle w:val="yMiscellaneousBody"/>
        <w:tabs>
          <w:tab w:val="left" w:pos="1700"/>
        </w:tabs>
        <w:spacing w:before="140"/>
        <w:ind w:left="3020" w:hanging="600"/>
      </w:pPr>
      <w:r>
        <w:t>(i)</w:t>
      </w:r>
      <w:r>
        <w:tab/>
        <w:t>in the case of iron ore initially sold at cost pursuant to the proviso to clause 12(10), at the price notified pursuant to paragraph (iii) of that proviso;</w:t>
      </w:r>
    </w:p>
    <w:p>
      <w:pPr>
        <w:pStyle w:val="yMiscellaneousBody"/>
        <w:tabs>
          <w:tab w:val="left" w:pos="1700"/>
        </w:tabs>
        <w:spacing w:before="140"/>
        <w:ind w:left="3020" w:hanging="60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spacing w:before="140"/>
        <w:ind w:left="240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spacing w:before="140"/>
        <w:ind w:left="1700" w:hanging="560"/>
      </w:pPr>
      <w:r>
        <w:t>(b)</w:t>
      </w:r>
      <w:r>
        <w:tab/>
        <w:t>in paragraph (b):</w:t>
      </w:r>
    </w:p>
    <w:p>
      <w:pPr>
        <w:pStyle w:val="yMiscellaneousBody"/>
        <w:spacing w:before="140"/>
        <w:ind w:left="2260" w:hanging="560"/>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spacing w:before="140"/>
        <w:ind w:left="2260" w:hanging="560"/>
      </w:pPr>
      <w:r>
        <w:t>(ii)</w:t>
      </w:r>
      <w:r>
        <w:tab/>
        <w:t>by inserting “(in whatever form)” after “copies or extracts”; and</w:t>
      </w:r>
    </w:p>
    <w:p>
      <w:pPr>
        <w:pStyle w:val="yMiscellaneousBody"/>
        <w:spacing w:before="140"/>
        <w:ind w:left="2260" w:hanging="560"/>
      </w:pPr>
      <w:r>
        <w:t>(iii)</w:t>
      </w:r>
      <w:r>
        <w:tab/>
        <w:t>by inserting “the subject of royalty” before the two references to “hereunder”;</w:t>
      </w:r>
    </w:p>
    <w:p>
      <w:pPr>
        <w:pStyle w:val="yMiscellaneousBody"/>
        <w:spacing w:before="140"/>
        <w:ind w:left="1700" w:hanging="560"/>
      </w:pPr>
      <w:r>
        <w:t>(c)</w:t>
      </w:r>
      <w:r>
        <w:tab/>
        <w:t>by inserting “and” after the semicolon at the end of paragraph (c); and</w:t>
      </w:r>
    </w:p>
    <w:p>
      <w:pPr>
        <w:pStyle w:val="yMiscellaneousBody"/>
        <w:spacing w:before="140"/>
        <w:ind w:left="1700" w:hanging="560"/>
      </w:pPr>
      <w:r>
        <w:t>(d)</w:t>
      </w:r>
      <w:r>
        <w:tab/>
        <w:t>by inserting after paragraph (c) the following new paragraph:</w:t>
      </w:r>
    </w:p>
    <w:p>
      <w:pPr>
        <w:pStyle w:val="yMiscellaneousBody"/>
        <w:spacing w:before="140"/>
        <w:ind w:left="2260" w:hanging="560"/>
      </w:pPr>
      <w:r>
        <w:t>“(d)</w:t>
      </w:r>
      <w:r>
        <w:tab/>
        <w:t>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w:t>
      </w:r>
    </w:p>
    <w:p>
      <w:pPr>
        <w:pStyle w:val="yMiscellaneousBody"/>
        <w:spacing w:before="140"/>
        <w:ind w:left="1140" w:hanging="560"/>
      </w:pPr>
      <w:r>
        <w:t>(11)</w:t>
      </w:r>
      <w:r>
        <w:tab/>
        <w:t>in clause 14(4) by deleting “subclauses (1), (2), (3) and (4) of Clause 8” and substituting “clauses 10(2) to (5) and 10A”;</w:t>
      </w:r>
    </w:p>
    <w:p>
      <w:pPr>
        <w:pStyle w:val="yMiscellaneousBody"/>
        <w:keepNext/>
        <w:spacing w:before="140"/>
        <w:ind w:left="1139" w:hanging="561"/>
      </w:pPr>
      <w:r>
        <w:t>(12)</w:t>
      </w:r>
      <w:r>
        <w:tab/>
        <w:t>by inserting after clause 14 the following new clauses:</w:t>
      </w:r>
    </w:p>
    <w:p>
      <w:pPr>
        <w:pStyle w:val="yMiscellaneousBody"/>
        <w:ind w:left="1140" w:hanging="560"/>
        <w:rPr>
          <w:b/>
        </w:rPr>
      </w:pPr>
      <w:r>
        <w:rPr>
          <w:b/>
        </w:rPr>
        <w:tab/>
        <w:t>“Integrated use of works installations or facilities under the Integration Agreements</w:t>
      </w:r>
    </w:p>
    <w:p>
      <w:pPr>
        <w:pStyle w:val="yMiscellaneousBody"/>
        <w:tabs>
          <w:tab w:val="left" w:pos="600"/>
        </w:tabs>
        <w:ind w:left="2260" w:hanging="1140"/>
      </w:pPr>
      <w:r>
        <w:t>14A.  (1)</w:t>
      </w:r>
      <w:r>
        <w:tab/>
        <w:t>Subject to subclauses (2) to (7) of this clause and to the other provisions of this Agreement, the Company may during the continuance of this Agreement:</w:t>
      </w:r>
    </w:p>
    <w:p>
      <w:pPr>
        <w:pStyle w:val="yMiscellaneousBody"/>
        <w:ind w:left="2840" w:hanging="560"/>
      </w:pPr>
      <w:r>
        <w:t>(a)</w:t>
      </w:r>
      <w:r>
        <w:tab/>
        <w:t>use any existing or new works installations or facilities constructed or held:</w:t>
      </w:r>
    </w:p>
    <w:p>
      <w:pPr>
        <w:pStyle w:val="yMiscellaneousBody"/>
        <w:ind w:left="3400" w:hanging="560"/>
      </w:pPr>
      <w:r>
        <w:t>(i)</w:t>
      </w:r>
      <w:r>
        <w:tab/>
        <w:t xml:space="preserve">under this Agreement; or </w:t>
      </w:r>
    </w:p>
    <w:p>
      <w:pPr>
        <w:pStyle w:val="yMiscellaneousBody"/>
        <w:ind w:left="3400" w:hanging="560"/>
      </w:pPr>
      <w:r>
        <w:t>(ii)</w:t>
      </w:r>
      <w:r>
        <w:tab/>
        <w:t>under any other Integration Agreement which are made available for such use and during the continuance of such Integration Agreement; or</w:t>
      </w:r>
    </w:p>
    <w:p>
      <w:pPr>
        <w:pStyle w:val="yMiscellaneousBody"/>
        <w:spacing w:before="14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40"/>
        <w:ind w:left="226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spacing w:before="140"/>
        <w:ind w:left="2860" w:hanging="60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2863" w:hanging="601"/>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2860" w:hanging="60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spacing w:before="140"/>
        <w:ind w:left="2860" w:hanging="600"/>
      </w:pPr>
      <w:r>
        <w:t>(D)</w:t>
      </w:r>
      <w:r>
        <w:tab/>
        <w:t>iron ore mined under an Integration Agreement;</w:t>
      </w:r>
    </w:p>
    <w:p>
      <w:pPr>
        <w:pStyle w:val="yMiscellaneousBody"/>
        <w:spacing w:before="140"/>
        <w:ind w:left="22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2940"/>
        </w:tabs>
        <w:spacing w:before="140"/>
        <w:ind w:left="2940" w:hanging="7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2940" w:hanging="7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2940" w:hanging="72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2940" w:hanging="720"/>
      </w:pPr>
      <w:r>
        <w:t>(iv)</w:t>
      </w:r>
      <w:r>
        <w:tab/>
        <w:t>iron ore mined under an Integration Agreement;</w:t>
      </w:r>
    </w:p>
    <w:p>
      <w:pPr>
        <w:pStyle w:val="yMiscellaneousBody"/>
        <w:tabs>
          <w:tab w:val="left" w:pos="1140"/>
        </w:tabs>
        <w:spacing w:before="140"/>
        <w:ind w:left="2240" w:hanging="560"/>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spacing w:before="140"/>
        <w:ind w:left="2940" w:hanging="7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spacing w:before="140"/>
        <w:ind w:left="2940" w:hanging="720"/>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spacing w:before="140"/>
        <w:ind w:left="2240" w:hanging="56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spacing w:before="140"/>
        <w:ind w:left="2240" w:hanging="56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spacing w:before="140"/>
        <w:ind w:left="2220" w:hanging="5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spacing w:before="140"/>
        <w:ind w:left="2240"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40"/>
        </w:tabs>
        <w:spacing w:before="140"/>
        <w:ind w:left="2260" w:hanging="1140"/>
      </w:pPr>
      <w:r>
        <w:t>(2)     (a)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 14C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spacing w:before="140"/>
        <w:ind w:left="2260" w:hanging="560"/>
      </w:pPr>
      <w:r>
        <w:t>(b)</w:t>
      </w:r>
      <w:r>
        <w:tab/>
        <w:t>The Company shall not be entitled to:</w:t>
      </w:r>
    </w:p>
    <w:p>
      <w:pPr>
        <w:pStyle w:val="yMiscellaneousBody"/>
        <w:tabs>
          <w:tab w:val="left" w:pos="1140"/>
        </w:tabs>
        <w:spacing w:before="140"/>
        <w:ind w:left="2840" w:hanging="560"/>
      </w:pPr>
      <w:r>
        <w:t>(i)</w:t>
      </w:r>
      <w:r>
        <w:tab/>
        <w:t>submit proposals to construct any port or to establish harbour or port works installations or facilities, or to expand modify or otherwise vary harbour or works installations or facilities; or</w:t>
      </w:r>
    </w:p>
    <w:p>
      <w:pPr>
        <w:pStyle w:val="yMiscellaneousBody"/>
        <w:tabs>
          <w:tab w:val="left" w:pos="1140"/>
        </w:tabs>
        <w:spacing w:before="140"/>
        <w:ind w:left="284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spacing w:before="140"/>
        <w:ind w:left="2840" w:hanging="561"/>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14C; or</w:t>
      </w:r>
    </w:p>
    <w:p>
      <w:pPr>
        <w:pStyle w:val="yMiscellaneousBody"/>
        <w:tabs>
          <w:tab w:val="left" w:pos="1140"/>
        </w:tabs>
        <w:spacing w:before="140"/>
        <w:ind w:left="2840" w:hanging="561"/>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140"/>
        </w:tabs>
        <w:spacing w:before="140"/>
        <w:ind w:left="2840" w:hanging="561"/>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w:t>
      </w:r>
    </w:p>
    <w:p>
      <w:pPr>
        <w:pStyle w:val="yMiscellaneousBody"/>
        <w:tabs>
          <w:tab w:val="left" w:pos="1140"/>
        </w:tabs>
        <w:spacing w:before="140"/>
        <w:ind w:left="2840" w:hanging="561"/>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140"/>
        </w:tabs>
        <w:spacing w:before="140"/>
        <w:ind w:left="2840"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spacing w:before="140"/>
        <w:ind w:left="2260" w:hanging="560"/>
      </w:pPr>
      <w:r>
        <w:t>(c)</w:t>
      </w:r>
      <w:r>
        <w:tab/>
        <w:t>Notwithstanding the provisions of clauses 10A or 14C,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spacing w:before="140"/>
        <w:ind w:left="1700" w:hanging="560"/>
      </w:pPr>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p>
    <w:p>
      <w:pPr>
        <w:pStyle w:val="yMiscellaneousBody"/>
        <w:spacing w:before="140"/>
        <w:ind w:left="170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spacing w:before="140"/>
        <w:ind w:left="2260" w:hanging="560"/>
      </w:pPr>
      <w:r>
        <w:t>(a)</w:t>
      </w:r>
      <w:r>
        <w:tab/>
        <w:t>from that authorised under this Agreement immediately before the variation date; and</w:t>
      </w:r>
    </w:p>
    <w:p>
      <w:pPr>
        <w:pStyle w:val="yMiscellaneousBody"/>
        <w:spacing w:before="140"/>
        <w:ind w:left="2260" w:hanging="560"/>
      </w:pPr>
      <w:r>
        <w:t>(b)</w:t>
      </w:r>
      <w:r>
        <w:tab/>
        <w:t>subsequently from that previously notified to the Minister under this subclause,</w:t>
      </w:r>
    </w:p>
    <w:p>
      <w:pPr>
        <w:pStyle w:val="yMiscellaneousBody"/>
        <w:spacing w:before="140"/>
        <w:ind w:left="1700"/>
      </w:pPr>
      <w:r>
        <w:t>as soon as practicable before such change occurs.</w:t>
      </w:r>
    </w:p>
    <w:p>
      <w:pPr>
        <w:pStyle w:val="yMiscellaneousBody"/>
        <w:spacing w:before="140"/>
        <w:ind w:left="1700"/>
      </w:pPr>
      <w:r>
        <w:t>The Company shall also keep the Minister fully informed with respect to any proposed connection as referred to in subclause (1)(f) or (1)(g) or request of the Company for such connection to be allowed.</w:t>
      </w:r>
    </w:p>
    <w:p>
      <w:pPr>
        <w:pStyle w:val="yMiscellaneousBody"/>
        <w:ind w:left="1700" w:hanging="560"/>
      </w:pPr>
      <w:r>
        <w:t>(5)</w:t>
      </w:r>
      <w:r>
        <w:tab/>
        <w:t>Nothing in this Agreement shall be construed to:</w:t>
      </w:r>
    </w:p>
    <w:p>
      <w:pPr>
        <w:pStyle w:val="yMiscellaneousBody"/>
        <w:tabs>
          <w:tab w:val="left" w:pos="2360"/>
        </w:tabs>
        <w:spacing w:before="140"/>
        <w:ind w:left="2360" w:hanging="600"/>
      </w:pPr>
      <w:r>
        <w:t>(a)</w:t>
      </w:r>
      <w:r>
        <w:tab/>
        <w:t>exempt another Integration Proponent from complying with, or the application of, the provisions of its Integration Agreement; or</w:t>
      </w:r>
    </w:p>
    <w:p>
      <w:pPr>
        <w:pStyle w:val="yMiscellaneousBody"/>
        <w:tabs>
          <w:tab w:val="left" w:pos="2360"/>
        </w:tabs>
        <w:spacing w:before="140"/>
        <w:ind w:left="2360" w:hanging="600"/>
      </w:pPr>
      <w:r>
        <w:t>(b)</w:t>
      </w:r>
      <w:r>
        <w:tab/>
        <w:t>restrict the Company’s rights under clause 30.</w:t>
      </w:r>
    </w:p>
    <w:p>
      <w:pPr>
        <w:pStyle w:val="yMiscellaneousBody"/>
        <w:tabs>
          <w:tab w:val="left" w:pos="1140"/>
        </w:tabs>
        <w:spacing w:before="140"/>
        <w:ind w:left="176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40"/>
        <w:ind w:left="1700" w:hanging="560"/>
      </w:pPr>
      <w:r>
        <w:t>(6)</w:t>
      </w:r>
      <w:r>
        <w:tab/>
        <w:t>Nothing in this clause shall be construed to exempt the Company from complying with, or the application of, the other provisions of this Agreement including, without limitation, clause 30 and of relevant laws from time to time of the said State.</w:t>
      </w:r>
    </w:p>
    <w:p>
      <w:pPr>
        <w:pStyle w:val="yMiscellaneousBody"/>
        <w:keepNext/>
        <w:keepLines/>
        <w:widowControl w:val="0"/>
        <w:spacing w:before="140"/>
        <w:ind w:left="1701" w:hanging="561"/>
      </w:pPr>
      <w:r>
        <w:t>(7)</w:t>
      </w:r>
      <w:r>
        <w:tab/>
        <w:t>For the purpose of this clause “works installations or facilities” means any:</w:t>
      </w:r>
    </w:p>
    <w:p>
      <w:pPr>
        <w:pStyle w:val="yMiscellaneousBody"/>
        <w:keepNext/>
        <w:keepLines/>
        <w:widowControl w:val="0"/>
        <w:spacing w:before="140"/>
        <w:ind w:left="2260" w:hanging="560"/>
      </w:pPr>
      <w:r>
        <w:t>(a)</w:t>
      </w:r>
      <w:r>
        <w:tab/>
        <w:t>harbour or port works installations or facilities including, without limitation, stockpiles, reclaimers, conveyors and wharves;</w:t>
      </w:r>
    </w:p>
    <w:p>
      <w:pPr>
        <w:pStyle w:val="yMiscellaneousBody"/>
        <w:spacing w:before="140"/>
        <w:ind w:left="1700"/>
      </w:pPr>
      <w:r>
        <w:t>(b)</w:t>
      </w:r>
      <w:r>
        <w:tab/>
        <w:t>railway or rail spur lines;</w:t>
      </w:r>
    </w:p>
    <w:p>
      <w:pPr>
        <w:pStyle w:val="yMiscellaneousBody"/>
        <w:spacing w:before="140"/>
        <w:ind w:left="226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280"/>
        </w:tabs>
        <w:spacing w:before="140"/>
        <w:ind w:left="2260" w:hanging="560"/>
      </w:pPr>
      <w:r>
        <w:t>(d)</w:t>
      </w:r>
      <w:r>
        <w:tab/>
        <w:t>train loading and unloading works installations or facilities;</w:t>
      </w:r>
    </w:p>
    <w:p>
      <w:pPr>
        <w:pStyle w:val="yMiscellaneousBody"/>
        <w:spacing w:before="140"/>
        <w:ind w:left="1700"/>
      </w:pPr>
      <w:r>
        <w:t>(e)</w:t>
      </w:r>
      <w:r>
        <w:tab/>
        <w:t>conveyors;</w:t>
      </w:r>
    </w:p>
    <w:p>
      <w:pPr>
        <w:pStyle w:val="yMiscellaneousBody"/>
        <w:spacing w:before="140"/>
        <w:ind w:left="1700"/>
      </w:pPr>
      <w:r>
        <w:t>(f)</w:t>
      </w:r>
      <w:r>
        <w:tab/>
        <w:t>private roads;</w:t>
      </w:r>
    </w:p>
    <w:p>
      <w:pPr>
        <w:pStyle w:val="yMiscellaneousBody"/>
        <w:tabs>
          <w:tab w:val="left" w:pos="2280"/>
        </w:tabs>
        <w:spacing w:before="140"/>
        <w:ind w:left="2260" w:hanging="560"/>
      </w:pPr>
      <w:r>
        <w:t>(g)</w:t>
      </w:r>
      <w:r>
        <w:tab/>
        <w:t>mine aerodrome and associated aerodrome works installations and facilities;</w:t>
      </w:r>
    </w:p>
    <w:p>
      <w:pPr>
        <w:pStyle w:val="yMiscellaneousBody"/>
        <w:spacing w:before="140"/>
        <w:ind w:left="2260" w:hanging="560"/>
      </w:pPr>
      <w:r>
        <w:t>(h)</w:t>
      </w:r>
      <w:r>
        <w:tab/>
        <w:t>iron ore mining, crushing, screening, beneficiation or other processing works installations or facilities;</w:t>
      </w:r>
    </w:p>
    <w:p>
      <w:pPr>
        <w:pStyle w:val="yMiscellaneousBody"/>
        <w:spacing w:before="140"/>
        <w:ind w:left="2260" w:hanging="560"/>
      </w:pPr>
      <w:r>
        <w:t>(i)</w:t>
      </w:r>
      <w:r>
        <w:tab/>
        <w:t>mine administration buildings including, without limitation, offices, workshops and medical facilities;</w:t>
      </w:r>
    </w:p>
    <w:p>
      <w:pPr>
        <w:pStyle w:val="yMiscellaneousBody"/>
        <w:spacing w:before="140"/>
        <w:ind w:left="2260" w:hanging="560"/>
      </w:pPr>
      <w:r>
        <w:t>(j)</w:t>
      </w:r>
      <w:r>
        <w:tab/>
        <w:t>borrow pits;</w:t>
      </w:r>
    </w:p>
    <w:p>
      <w:pPr>
        <w:pStyle w:val="yMiscellaneousBody"/>
        <w:spacing w:before="140"/>
        <w:ind w:left="2260" w:hanging="560"/>
      </w:pPr>
      <w:r>
        <w:t>(k)</w:t>
      </w:r>
      <w:r>
        <w:tab/>
        <w:t>accommodation and ancillary facilities including, without limitation, construction camps and in townsites constructed pursuant to and held under any Integration Agreement;</w:t>
      </w:r>
    </w:p>
    <w:p>
      <w:pPr>
        <w:pStyle w:val="yMiscellaneousBody"/>
        <w:spacing w:before="140"/>
        <w:ind w:left="2260" w:hanging="560"/>
      </w:pPr>
      <w:r>
        <w:t>(l)</w:t>
      </w:r>
      <w:r>
        <w:tab/>
        <w:t>water, sewerage, electricity, gas and telecommunications works installations and facilities including, without limitation, pipelines, transmission lines and cables; and</w:t>
      </w:r>
    </w:p>
    <w:p>
      <w:pPr>
        <w:pStyle w:val="yMiscellaneousBody"/>
        <w:spacing w:before="140"/>
        <w:ind w:left="2260" w:hanging="560"/>
      </w:pPr>
      <w:r>
        <w:t>(m)</w:t>
      </w:r>
      <w:r>
        <w:tab/>
        <w:t>any other works installations or facilities approved of by the Minister for the purpose of this clause.</w:t>
      </w:r>
    </w:p>
    <w:p>
      <w:pPr>
        <w:pStyle w:val="yMiscellaneousBody"/>
        <w:keepNext/>
        <w:spacing w:before="140"/>
        <w:ind w:left="1202" w:hanging="62"/>
        <w:rPr>
          <w:b/>
        </w:rPr>
      </w:pPr>
      <w:r>
        <w:rPr>
          <w:b/>
        </w:rPr>
        <w:t>Transfer of rights to shared works installations or facilities</w:t>
      </w:r>
    </w:p>
    <w:p>
      <w:pPr>
        <w:pStyle w:val="yMiscellaneousBody"/>
        <w:tabs>
          <w:tab w:val="left" w:pos="0"/>
          <w:tab w:val="left" w:pos="1680"/>
        </w:tabs>
        <w:spacing w:before="140"/>
        <w:ind w:left="2260" w:hanging="1140"/>
      </w:pPr>
      <w:r>
        <w:t>14B.</w:t>
      </w:r>
      <w:r>
        <w:tab/>
        <w:t>(1)</w:t>
      </w:r>
      <w:r>
        <w:tab/>
        <w:t>For the purposes of this clause “Relevant Infrastructure” means any works installations or facilities (as defined in clause 14A(7)):</w:t>
      </w:r>
    </w:p>
    <w:p>
      <w:pPr>
        <w:pStyle w:val="yMiscellaneousBody"/>
        <w:spacing w:before="140"/>
        <w:ind w:left="2840" w:hanging="560"/>
      </w:pPr>
      <w:r>
        <w:t>(a)</w:t>
      </w:r>
      <w:r>
        <w:tab/>
        <w:t>constructed or held under another Integration Agreement;</w:t>
      </w:r>
    </w:p>
    <w:p>
      <w:pPr>
        <w:pStyle w:val="yMiscellaneousBody"/>
        <w:spacing w:before="140"/>
        <w:ind w:left="2840" w:hanging="560"/>
      </w:pPr>
      <w:r>
        <w:t>(b)</w:t>
      </w:r>
      <w:r>
        <w:tab/>
        <w:t>which the Company is using in its activities pursuant to this Agreement;</w:t>
      </w:r>
    </w:p>
    <w:p>
      <w:pPr>
        <w:pStyle w:val="yMiscellaneousBody"/>
        <w:spacing w:before="140"/>
        <w:ind w:left="2840" w:hanging="560"/>
      </w:pPr>
      <w:r>
        <w:t>(c)</w:t>
      </w:r>
      <w:r>
        <w:tab/>
        <w:t>which the Minister is satisfied (after consulting with the Company and the Integration Proponent for that other Integration Agreement):</w:t>
      </w:r>
    </w:p>
    <w:p>
      <w:pPr>
        <w:pStyle w:val="yMiscellaneousBody"/>
        <w:spacing w:before="140"/>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spacing w:before="140"/>
        <w:ind w:left="2840" w:hanging="560"/>
      </w:pPr>
      <w:r>
        <w:t>(d)</w:t>
      </w:r>
      <w:r>
        <w:tab/>
        <w:t>in respect of which that other Integration Proponent has notified the Minister it consents to the Company submitting proposals as referred to in subclause (2).</w:t>
      </w:r>
    </w:p>
    <w:p>
      <w:pPr>
        <w:pStyle w:val="yMiscellaneousBody"/>
        <w:spacing w:before="140"/>
        <w:ind w:left="2200" w:hanging="540"/>
      </w:pPr>
      <w:r>
        <w:t>(2)</w:t>
      </w:r>
      <w:r>
        <w:tab/>
        <w:t>The Company may as an additional proposal pursuant to clause 10 propose:</w:t>
      </w:r>
    </w:p>
    <w:p>
      <w:pPr>
        <w:pStyle w:val="yMiscellaneousBody"/>
        <w:spacing w:before="140"/>
        <w:ind w:left="276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276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00"/>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40" w:hanging="560"/>
      </w:pPr>
      <w:r>
        <w:t>(3)</w:t>
      </w:r>
      <w:r>
        <w:tab/>
        <w:t>This clause shall cease to apply in the event the State gives any notice of default to the Company pursuant to clause 34(1) and while such notice remains unsatisfied.</w:t>
      </w:r>
    </w:p>
    <w:p>
      <w:pPr>
        <w:pStyle w:val="yMiscellaneousBody"/>
        <w:tabs>
          <w:tab w:val="left" w:pos="1140"/>
        </w:tabs>
        <w:spacing w:before="180"/>
        <w:ind w:left="862" w:hanging="862"/>
        <w:rPr>
          <w:b/>
        </w:rPr>
      </w:pPr>
      <w:r>
        <w:tab/>
      </w:r>
      <w:r>
        <w:rPr>
          <w:b/>
        </w:rPr>
        <w:t>Miscellaneous Licences for Railways</w:t>
      </w:r>
    </w:p>
    <w:p>
      <w:pPr>
        <w:pStyle w:val="yMiscellaneousBody"/>
        <w:tabs>
          <w:tab w:val="left" w:pos="1280"/>
        </w:tabs>
        <w:spacing w:before="140"/>
        <w:ind w:left="1700" w:hanging="840"/>
      </w:pPr>
      <w:r>
        <w:t>14C.</w:t>
      </w:r>
      <w:r>
        <w:tab/>
        <w:t>(1)</w:t>
      </w:r>
      <w:r>
        <w:tab/>
        <w:t>In this clause subject to the context:</w:t>
      </w:r>
    </w:p>
    <w:p>
      <w:pPr>
        <w:pStyle w:val="yMiscellaneousBody"/>
        <w:tabs>
          <w:tab w:val="left" w:pos="1700"/>
        </w:tabs>
        <w:spacing w:before="140"/>
        <w:ind w:left="1680"/>
      </w:pPr>
      <w:r>
        <w:t>“Additional Infrastructure” means:</w:t>
      </w:r>
    </w:p>
    <w:p>
      <w:pPr>
        <w:pStyle w:val="yMiscellaneousBody"/>
        <w:tabs>
          <w:tab w:val="left" w:pos="1140"/>
        </w:tabs>
        <w:spacing w:before="140"/>
        <w:ind w:left="1680"/>
      </w:pPr>
      <w:r>
        <w:t>(a)</w:t>
      </w:r>
      <w:r>
        <w:tab/>
        <w:t>Train Loading Infrastructure;</w:t>
      </w:r>
    </w:p>
    <w:p>
      <w:pPr>
        <w:pStyle w:val="yMiscellaneousBody"/>
        <w:tabs>
          <w:tab w:val="left" w:pos="1140"/>
        </w:tabs>
        <w:spacing w:before="140"/>
        <w:ind w:left="1680"/>
      </w:pPr>
      <w:r>
        <w:t>(b)</w:t>
      </w:r>
      <w:r>
        <w:tab/>
        <w:t>Train Unloading Infrastructure;</w:t>
      </w:r>
    </w:p>
    <w:p>
      <w:pPr>
        <w:pStyle w:val="yMiscellaneousBody"/>
        <w:tabs>
          <w:tab w:val="left" w:pos="1140"/>
        </w:tabs>
        <w:spacing w:before="140"/>
        <w:ind w:left="2260" w:hanging="58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140"/>
        </w:tabs>
        <w:spacing w:before="140"/>
        <w:ind w:left="1720"/>
      </w:pPr>
      <w:r>
        <w:t>in each case located outside a Port;</w:t>
      </w:r>
    </w:p>
    <w:p>
      <w:pPr>
        <w:pStyle w:val="yMiscellaneousBody"/>
        <w:tabs>
          <w:tab w:val="left" w:pos="1140"/>
        </w:tabs>
        <w:spacing w:before="140"/>
        <w:ind w:left="1720"/>
      </w:pPr>
      <w:r>
        <w:t xml:space="preserve">“LAA” means the </w:t>
      </w:r>
      <w:r>
        <w:rPr>
          <w:i/>
        </w:rPr>
        <w:t>Land Administration Act 1997</w:t>
      </w:r>
      <w:r>
        <w:t xml:space="preserve"> (WA);</w:t>
      </w:r>
    </w:p>
    <w:p>
      <w:pPr>
        <w:pStyle w:val="yMiscellaneousBody"/>
        <w:tabs>
          <w:tab w:val="left" w:pos="1140"/>
        </w:tabs>
        <w:spacing w:before="140"/>
        <w:ind w:left="1720"/>
      </w:pPr>
      <w:r>
        <w:t>“Lateral Access Roads” has the meaning given in subclause (3)(a)(iv);</w:t>
      </w:r>
    </w:p>
    <w:p>
      <w:pPr>
        <w:pStyle w:val="yMiscellaneousBody"/>
        <w:tabs>
          <w:tab w:val="left" w:pos="1140"/>
        </w:tabs>
        <w:spacing w:before="140"/>
        <w:ind w:left="17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spacing w:before="140"/>
        <w:ind w:left="172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spacing w:before="140"/>
        <w:ind w:left="1700"/>
        <w:rPr>
          <w:i/>
        </w:rPr>
      </w:pPr>
      <w:r>
        <w:t>“Private Roads” means Lateral Access Roads and the Company’s access roads within a Railway Corridor;</w:t>
      </w:r>
    </w:p>
    <w:p>
      <w:pPr>
        <w:pStyle w:val="yMiscellaneousBody"/>
        <w:tabs>
          <w:tab w:val="left" w:pos="1080"/>
        </w:tabs>
        <w:spacing w:before="140"/>
        <w:ind w:left="1700"/>
        <w:rPr>
          <w:i/>
        </w:rPr>
      </w:pPr>
      <w:r>
        <w:t xml:space="preserve">“Rail Safety Act” means the </w:t>
      </w:r>
      <w:r>
        <w:rPr>
          <w:i/>
        </w:rPr>
        <w:t>Rail Safety Act 1998</w:t>
      </w:r>
      <w:r>
        <w:t xml:space="preserve"> (WA); </w:t>
      </w:r>
    </w:p>
    <w:p>
      <w:pPr>
        <w:pStyle w:val="yMiscellaneousBody"/>
        <w:tabs>
          <w:tab w:val="left" w:pos="1140"/>
        </w:tabs>
        <w:spacing w:before="140"/>
        <w:ind w:left="1720"/>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spacing w:before="140"/>
        <w:ind w:left="1718"/>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spacing w:before="140"/>
        <w:ind w:left="1718"/>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spacing w:before="140"/>
        <w:ind w:left="1718"/>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spacing w:before="140"/>
        <w:ind w:left="1720"/>
      </w:pPr>
      <w:r>
        <w:t>“Railway Operation Date” means the date of the first carriage of iron ore, freight goods or other products over the relevant Railway (other than for construction or commissioning purposes);</w:t>
      </w:r>
    </w:p>
    <w:p>
      <w:pPr>
        <w:pStyle w:val="yMiscellaneousBody"/>
        <w:tabs>
          <w:tab w:val="left" w:pos="1140"/>
        </w:tabs>
        <w:spacing w:before="140"/>
        <w:ind w:left="172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spacing w:before="140"/>
        <w:ind w:left="172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spacing w:before="140"/>
        <w:ind w:left="172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spacing w:before="140"/>
        <w:ind w:left="172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spacing w:before="140"/>
        <w:ind w:left="1140" w:hanging="539"/>
      </w:pPr>
      <w:r>
        <w:tab/>
        <w:t>Company to obtain prior Ministerial in</w:t>
      </w:r>
      <w:r>
        <w:noBreakHyphen/>
        <w:t>principle approval</w:t>
      </w:r>
    </w:p>
    <w:p>
      <w:pPr>
        <w:pStyle w:val="yMiscellaneousBody"/>
        <w:tabs>
          <w:tab w:val="left" w:pos="1700"/>
        </w:tabs>
        <w:spacing w:before="140"/>
        <w:ind w:left="2280" w:hanging="108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spacing w:before="140"/>
        <w:ind w:left="2279" w:hanging="601"/>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spacing w:before="140"/>
        <w:ind w:left="2280" w:hanging="60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keepNext/>
        <w:tabs>
          <w:tab w:val="left" w:pos="1140"/>
        </w:tabs>
        <w:spacing w:before="140"/>
        <w:ind w:left="1140" w:hanging="539"/>
        <w:jc w:val="both"/>
      </w:pPr>
      <w:r>
        <w:tab/>
        <w:t>Railway Corridor</w:t>
      </w:r>
    </w:p>
    <w:p>
      <w:pPr>
        <w:pStyle w:val="yMiscellaneousBody"/>
        <w:tabs>
          <w:tab w:val="left" w:pos="1700"/>
        </w:tabs>
        <w:spacing w:before="140"/>
        <w:ind w:left="2280" w:hanging="108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spacing w:before="140"/>
        <w:ind w:left="2840" w:hanging="561"/>
      </w:pPr>
      <w:r>
        <w:t>(i)</w:t>
      </w:r>
      <w:r>
        <w:tab/>
        <w:t>where the Railway will begin and end; and</w:t>
      </w:r>
    </w:p>
    <w:p>
      <w:pPr>
        <w:pStyle w:val="yMiscellaneousBody"/>
        <w:tabs>
          <w:tab w:val="left" w:pos="2280"/>
        </w:tabs>
        <w:spacing w:before="140"/>
        <w:ind w:left="2840" w:hanging="561"/>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spacing w:before="140"/>
        <w:ind w:left="2840" w:hanging="561"/>
      </w:pPr>
      <w:r>
        <w:t>(iii)</w:t>
      </w:r>
      <w:r>
        <w:tab/>
        <w:t>in respect of Additional Infrastructure (if any) the nature and capacity of such Additional Infrastructure; and</w:t>
      </w:r>
    </w:p>
    <w:p>
      <w:pPr>
        <w:pStyle w:val="yMiscellaneousBody"/>
        <w:tabs>
          <w:tab w:val="left" w:pos="2280"/>
        </w:tabs>
        <w:spacing w:before="140"/>
        <w:ind w:left="2840" w:hanging="561"/>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40"/>
        <w:ind w:left="2262" w:firstLine="2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41 shall not apply to this subclause.</w:t>
      </w:r>
    </w:p>
    <w:p>
      <w:pPr>
        <w:pStyle w:val="yMiscellaneousBody"/>
        <w:tabs>
          <w:tab w:val="left" w:pos="1700"/>
        </w:tabs>
        <w:spacing w:before="140"/>
        <w:ind w:left="2262" w:hanging="580"/>
      </w:pPr>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40"/>
        <w:ind w:left="2262" w:hanging="58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spacing w:before="140"/>
        <w:ind w:left="2863" w:hanging="60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spacing w:before="140"/>
        <w:ind w:left="2863" w:hanging="60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860"/>
        </w:tabs>
        <w:spacing w:before="140"/>
        <w:ind w:left="2863" w:hanging="601"/>
      </w:pPr>
      <w:r>
        <w:t>(iii)</w:t>
      </w:r>
      <w:r>
        <w:tab/>
        <w:t>the inclusion of additional land in the Special Railway Licence as referred to in subclause (6)(h) or subclause (6)(i),</w:t>
      </w:r>
    </w:p>
    <w:p>
      <w:pPr>
        <w:pStyle w:val="yMiscellaneousBody"/>
        <w:tabs>
          <w:tab w:val="left" w:pos="1700"/>
        </w:tabs>
        <w:spacing w:before="140"/>
        <w:ind w:left="2262" w:firstLine="23"/>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spacing w:before="140"/>
        <w:ind w:left="1701" w:hanging="499"/>
      </w:pPr>
      <w:r>
        <w:t>Company to submit proposals for Railway</w:t>
      </w:r>
    </w:p>
    <w:p>
      <w:pPr>
        <w:pStyle w:val="yMiscellaneousBody"/>
        <w:tabs>
          <w:tab w:val="left" w:pos="1700"/>
        </w:tabs>
        <w:spacing w:before="140"/>
        <w:ind w:left="2260" w:hanging="10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spacing w:before="140"/>
        <w:ind w:left="2860" w:hanging="600"/>
      </w:pPr>
      <w:r>
        <w:t>(i)</w:t>
      </w:r>
      <w:r>
        <w:tab/>
        <w:t>the Railway including fencing (if any) and crossing places within the Railway Corridor;</w:t>
      </w:r>
    </w:p>
    <w:p>
      <w:pPr>
        <w:pStyle w:val="yMiscellaneousBody"/>
        <w:tabs>
          <w:tab w:val="left" w:pos="2860"/>
        </w:tabs>
        <w:spacing w:before="140"/>
        <w:ind w:left="2860" w:hanging="600"/>
      </w:pPr>
      <w:r>
        <w:t>(ii)</w:t>
      </w:r>
      <w:r>
        <w:tab/>
        <w:t>Additional Infrastructure (if any) within the Railway Corridor;</w:t>
      </w:r>
    </w:p>
    <w:p>
      <w:pPr>
        <w:pStyle w:val="yMiscellaneousBody"/>
        <w:tabs>
          <w:tab w:val="left" w:pos="1140"/>
        </w:tabs>
        <w:spacing w:before="140"/>
        <w:ind w:left="2863"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spacing w:before="140"/>
        <w:ind w:left="2863" w:hanging="601"/>
      </w:pPr>
      <w:r>
        <w:t>(iv)</w:t>
      </w:r>
      <w:r>
        <w:tab/>
        <w:t>water supply;</w:t>
      </w:r>
    </w:p>
    <w:p>
      <w:pPr>
        <w:pStyle w:val="yMiscellaneousBody"/>
        <w:tabs>
          <w:tab w:val="left" w:pos="1140"/>
        </w:tabs>
        <w:spacing w:before="140"/>
        <w:ind w:left="2863" w:hanging="601"/>
      </w:pPr>
      <w:r>
        <w:t>(v)</w:t>
      </w:r>
      <w:r>
        <w:tab/>
        <w:t>energy supplies;</w:t>
      </w:r>
    </w:p>
    <w:p>
      <w:pPr>
        <w:pStyle w:val="yMiscellaneousBody"/>
        <w:tabs>
          <w:tab w:val="left" w:pos="1140"/>
        </w:tabs>
        <w:spacing w:before="140"/>
        <w:ind w:left="2863" w:hanging="601"/>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spacing w:before="140"/>
        <w:ind w:left="2863" w:hanging="601"/>
      </w:pPr>
      <w:r>
        <w:t>(vii)</w:t>
      </w:r>
      <w:r>
        <w:tab/>
        <w:t>any other works, services or facilities desired by the Company; and</w:t>
      </w:r>
    </w:p>
    <w:p>
      <w:pPr>
        <w:pStyle w:val="yMiscellaneousBody"/>
        <w:tabs>
          <w:tab w:val="left" w:pos="1140"/>
        </w:tabs>
        <w:spacing w:before="140"/>
        <w:ind w:left="2863"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260" w:hanging="580"/>
      </w:pPr>
      <w:r>
        <w:t>(b)</w:t>
      </w:r>
      <w:r>
        <w:tab/>
        <w:t>Proposals pursuant to paragraph (a) must specify the matters agreed for the purpose pursuant to subclause (3)(a) and must not be contrary to or inconsistent with such agreed matters.</w:t>
      </w:r>
    </w:p>
    <w:p>
      <w:pPr>
        <w:pStyle w:val="yMiscellaneousBody"/>
        <w:tabs>
          <w:tab w:val="left" w:pos="1700"/>
        </w:tabs>
        <w:spacing w:before="140"/>
        <w:ind w:left="2260" w:hanging="58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p>
    <w:p>
      <w:pPr>
        <w:pStyle w:val="yMiscellaneousBody"/>
        <w:tabs>
          <w:tab w:val="left" w:pos="1700"/>
        </w:tabs>
        <w:spacing w:before="140"/>
        <w:ind w:left="2260" w:hanging="58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spacing w:before="140"/>
        <w:ind w:left="2260" w:hanging="580"/>
      </w:pPr>
      <w:r>
        <w:t>(e)</w:t>
      </w:r>
      <w:r>
        <w:tab/>
        <w:t>At the time when the Company submits the last of the said proposals pursuant to this subclause, it shall:</w:t>
      </w:r>
    </w:p>
    <w:p>
      <w:pPr>
        <w:pStyle w:val="yMiscellaneousBody"/>
        <w:tabs>
          <w:tab w:val="left" w:pos="1140"/>
        </w:tabs>
        <w:spacing w:before="120"/>
        <w:ind w:left="2860" w:hanging="600"/>
      </w:pPr>
      <w:r>
        <w:t>(i)</w:t>
      </w:r>
      <w:r>
        <w:tab/>
        <w:t>furnish to the Minister’s reasonable satisfaction evidence of all accreditations under the Rail Safety Act which are required to be held by the Company or any other person for the construction of the Railway; and</w:t>
      </w:r>
    </w:p>
    <w:p>
      <w:pPr>
        <w:pStyle w:val="yMiscellaneousBody"/>
        <w:tabs>
          <w:tab w:val="left" w:pos="1140"/>
        </w:tabs>
        <w:spacing w:before="120"/>
        <w:ind w:left="2860" w:hanging="600"/>
      </w:pPr>
      <w:r>
        <w:t>(ii)</w:t>
      </w:r>
      <w:r>
        <w:tab/>
        <w:t>furnish to the Minister the written consents referred to in subclause (3)(c)(i) and (3)(c)(ii).</w:t>
      </w:r>
    </w:p>
    <w:p>
      <w:pPr>
        <w:pStyle w:val="yMiscellaneousBody"/>
        <w:tabs>
          <w:tab w:val="left" w:pos="1700"/>
        </w:tabs>
        <w:spacing w:before="120"/>
        <w:ind w:left="2260" w:hanging="580"/>
      </w:pPr>
      <w:r>
        <w:t>(f)</w:t>
      </w:r>
      <w:r>
        <w:tab/>
        <w:t>The provisions of clause 10A shall apply mutatis mutandis to detailed proposals submitted under this subclause.</w:t>
      </w:r>
    </w:p>
    <w:p>
      <w:pPr>
        <w:pStyle w:val="yMiscellaneousBody"/>
        <w:keepNext/>
        <w:tabs>
          <w:tab w:val="left" w:pos="1700"/>
        </w:tabs>
        <w:spacing w:before="140"/>
        <w:ind w:left="1679" w:hanging="539"/>
      </w:pPr>
      <w:r>
        <w:t>Additional Railway Proposals</w:t>
      </w:r>
    </w:p>
    <w:p>
      <w:pPr>
        <w:pStyle w:val="yMiscellaneousBody"/>
        <w:tabs>
          <w:tab w:val="left" w:pos="1700"/>
        </w:tabs>
        <w:spacing w:before="140"/>
        <w:ind w:left="2262" w:hanging="106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40"/>
        <w:ind w:left="2262" w:hanging="58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40"/>
        <w:ind w:left="2262" w:hanging="580"/>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40"/>
        <w:ind w:left="2260" w:hanging="58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spacing w:before="140"/>
        <w:ind w:left="1701" w:hanging="561"/>
      </w:pPr>
      <w:r>
        <w:t>Grant of Tenure</w:t>
      </w:r>
    </w:p>
    <w:p>
      <w:pPr>
        <w:pStyle w:val="yMiscellaneousBody"/>
        <w:tabs>
          <w:tab w:val="left" w:pos="1700"/>
        </w:tabs>
        <w:spacing w:before="140"/>
        <w:ind w:left="2260" w:hanging="112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140"/>
        </w:tabs>
        <w:spacing w:before="140"/>
        <w:ind w:left="2860" w:hanging="60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880"/>
        </w:tabs>
        <w:spacing w:before="140"/>
        <w:ind w:left="3440" w:hanging="600"/>
      </w:pPr>
      <w:r>
        <w:t>(A)</w:t>
      </w:r>
      <w:r>
        <w:tab/>
        <w:t>prior to the Railway Operation Date, as if the width of the Railway Corridor were 100 metres; and</w:t>
      </w:r>
    </w:p>
    <w:p>
      <w:pPr>
        <w:pStyle w:val="yMiscellaneousBody"/>
        <w:tabs>
          <w:tab w:val="left" w:pos="2880"/>
        </w:tabs>
        <w:spacing w:before="140"/>
        <w:ind w:left="3380" w:hanging="540"/>
      </w:pPr>
      <w:r>
        <w:t>(B)</w:t>
      </w:r>
      <w:r>
        <w:tab/>
        <w:t xml:space="preserve">on and from the Railway Operation Date, at the rentals from time to time prescribed under the </w:t>
      </w:r>
      <w:r>
        <w:rPr>
          <w:i/>
        </w:rPr>
        <w:t>Mining Act 1978</w:t>
      </w:r>
      <w:r>
        <w:t>; and</w:t>
      </w:r>
    </w:p>
    <w:p>
      <w:pPr>
        <w:pStyle w:val="yMiscellaneousBody"/>
        <w:tabs>
          <w:tab w:val="left" w:pos="2280"/>
        </w:tabs>
        <w:spacing w:before="140"/>
        <w:ind w:left="2840" w:hanging="1280"/>
      </w:pPr>
      <w:r>
        <w:tab/>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260" w:hanging="58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260" w:hanging="58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260" w:hanging="58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spacing w:before="140"/>
        <w:ind w:left="2260" w:hanging="58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spacing w:before="140"/>
        <w:ind w:left="2260" w:hanging="580"/>
      </w:pPr>
      <w:r>
        <w:t>(f)</w:t>
      </w:r>
      <w:r>
        <w:tab/>
        <w:t>(i)</w:t>
      </w:r>
      <w:r>
        <w:tab/>
        <w:t xml:space="preserve">The Company may in accordance with </w:t>
      </w:r>
      <w:r>
        <w:tab/>
        <w:t xml:space="preserve">approved proposals take stone, sand, clay and </w:t>
      </w:r>
      <w:r>
        <w:tab/>
        <w:t xml:space="preserve">gravel from the Railway Corridor for the </w:t>
      </w:r>
      <w:r>
        <w:tab/>
        <w:t xml:space="preserve">construction, operation and maintenance of the </w:t>
      </w:r>
      <w:r>
        <w:tab/>
        <w:t xml:space="preserve">Railway constructed within or approved for </w:t>
      </w:r>
      <w:r>
        <w:tab/>
        <w:t>construction within the Railway Corridor.</w:t>
      </w:r>
    </w:p>
    <w:p>
      <w:pPr>
        <w:pStyle w:val="yMiscellaneousBody"/>
        <w:tabs>
          <w:tab w:val="left" w:pos="2280"/>
        </w:tabs>
        <w:spacing w:before="140"/>
        <w:ind w:left="2840" w:hanging="1160"/>
      </w:pPr>
      <w:r>
        <w:tab/>
        <w:t>(ii)</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subparagraph (i) to obtain from the land the subject of the Special Railway Licence.</w:t>
      </w:r>
    </w:p>
    <w:p>
      <w:pPr>
        <w:pStyle w:val="yMiscellaneousBody"/>
        <w:tabs>
          <w:tab w:val="left" w:pos="1700"/>
        </w:tabs>
        <w:ind w:left="2260" w:hanging="58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1140"/>
        </w:tabs>
        <w:spacing w:before="140"/>
        <w:ind w:left="2860" w:hanging="601"/>
      </w:pPr>
      <w:r>
        <w:t>(i)</w:t>
      </w:r>
      <w:r>
        <w:tab/>
        <w:t>in section 91(1) by:</w:t>
      </w:r>
    </w:p>
    <w:p>
      <w:pPr>
        <w:pStyle w:val="yMiscellaneousBody"/>
        <w:tabs>
          <w:tab w:val="left" w:pos="2280"/>
        </w:tabs>
        <w:spacing w:before="140"/>
        <w:ind w:left="3480" w:hanging="601"/>
      </w:pPr>
      <w:r>
        <w:t>(A)</w:t>
      </w:r>
      <w:r>
        <w:tab/>
        <w:t>deleting “the mining registrar or the warden, in accordance with section 42 (as read with section 92)” and substituting “the Minister”;</w:t>
      </w:r>
    </w:p>
    <w:p>
      <w:pPr>
        <w:pStyle w:val="yMiscellaneousBody"/>
        <w:tabs>
          <w:tab w:val="left" w:pos="2280"/>
        </w:tabs>
        <w:spacing w:before="140"/>
        <w:ind w:left="3480" w:hanging="601"/>
      </w:pPr>
      <w:r>
        <w:t>(B)</w:t>
      </w:r>
      <w:r>
        <w:tab/>
        <w:t xml:space="preserve">deleting “any person” and substituting “the Company (as defined in the agreement ratified by and scheduled to the </w:t>
      </w:r>
      <w:r>
        <w:rPr>
          <w:i/>
        </w:rPr>
        <w:t>Iron Ore (Marillana Creek) Agreement Act 1991</w:t>
      </w:r>
      <w:r>
        <w:t>, as from time to time added to, varied or amended)”;</w:t>
      </w:r>
    </w:p>
    <w:p>
      <w:pPr>
        <w:pStyle w:val="yMiscellaneousBody"/>
        <w:tabs>
          <w:tab w:val="left" w:pos="2280"/>
        </w:tabs>
        <w:spacing w:before="140"/>
        <w:ind w:left="3480" w:hanging="601"/>
      </w:pPr>
      <w:r>
        <w:t>(C)</w:t>
      </w:r>
      <w:r>
        <w:tab/>
        <w:t xml:space="preserve">deleting “for any one or more of the purposes prescribed” and substituting “for the purpose specified in clause 14C(6)(a)(i), clause 14C(6)(a)(ii) or clause 14C(6)(b), of the agreement ratified by and scheduled to the </w:t>
      </w:r>
      <w:r>
        <w:rPr>
          <w:i/>
        </w:rPr>
        <w:t>Iron Ore (Marillana Creek) Agreement Act 1991</w:t>
      </w:r>
      <w:r>
        <w:t>, as from time to time added to, varied or amended”;</w:t>
      </w:r>
    </w:p>
    <w:p>
      <w:pPr>
        <w:pStyle w:val="yMiscellaneousBody"/>
        <w:tabs>
          <w:tab w:val="left" w:pos="1140"/>
        </w:tabs>
        <w:spacing w:before="140"/>
        <w:ind w:left="2860" w:hanging="601"/>
      </w:pPr>
      <w:r>
        <w:t>(ii)</w:t>
      </w:r>
      <w:r>
        <w:tab/>
        <w:t xml:space="preserve">in section 91(3)(a), by deleting “prescribed form” and substituting “form required by the agreement ratified by and scheduled to the </w:t>
      </w:r>
      <w:r>
        <w:rPr>
          <w:i/>
        </w:rPr>
        <w:t>Iron Ore (Marillana Creek) Agreement Act 1991</w:t>
      </w:r>
      <w:r>
        <w:t>, as from time to time added to, varied or amended”;</w:t>
      </w:r>
    </w:p>
    <w:p>
      <w:pPr>
        <w:pStyle w:val="yMiscellaneousBody"/>
        <w:tabs>
          <w:tab w:val="left" w:pos="1140"/>
        </w:tabs>
        <w:spacing w:before="140"/>
        <w:ind w:left="2860" w:hanging="601"/>
      </w:pPr>
      <w:r>
        <w:t>(iii)</w:t>
      </w:r>
      <w:r>
        <w:tab/>
        <w:t>by deleting sections 91(6), 91(9), 91(10) and 91B;</w:t>
      </w:r>
    </w:p>
    <w:p>
      <w:pPr>
        <w:pStyle w:val="yMiscellaneousBody"/>
        <w:tabs>
          <w:tab w:val="left" w:pos="1140"/>
        </w:tabs>
        <w:spacing w:before="140"/>
        <w:ind w:left="2860" w:hanging="601"/>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140"/>
        </w:tabs>
        <w:spacing w:before="140"/>
        <w:ind w:left="2860" w:hanging="600"/>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p>
    <w:p>
      <w:pPr>
        <w:pStyle w:val="yMiscellaneousBody"/>
        <w:tabs>
          <w:tab w:val="left" w:pos="1140"/>
        </w:tabs>
        <w:spacing w:before="140"/>
        <w:ind w:left="2860" w:hanging="600"/>
      </w:pPr>
      <w:r>
        <w:t>(vi)</w:t>
      </w:r>
      <w:r>
        <w:tab/>
        <w:t xml:space="preserve">by deleting sections 94(2), (3) and (4); </w:t>
      </w:r>
    </w:p>
    <w:p>
      <w:pPr>
        <w:pStyle w:val="yMiscellaneousBody"/>
        <w:tabs>
          <w:tab w:val="left" w:pos="1140"/>
        </w:tabs>
        <w:spacing w:before="140"/>
        <w:ind w:left="2860" w:hanging="600"/>
      </w:pPr>
      <w:r>
        <w:t>(vii)</w:t>
      </w:r>
      <w:r>
        <w:tab/>
        <w:t xml:space="preserve">in section 96(1), by inserting after “miscellaneous licence” the words “(not being a miscellaneous licence granted pursuant to the agreement ratified by and scheduled to the </w:t>
      </w:r>
      <w:r>
        <w:rPr>
          <w:i/>
        </w:rPr>
        <w:t>Iron Ore (Marillana Creek) Agreement Act 1991</w:t>
      </w:r>
      <w:r>
        <w:t>, as from time to time added to, varied or amended”;</w:t>
      </w:r>
    </w:p>
    <w:p>
      <w:pPr>
        <w:pStyle w:val="yMiscellaneousBody"/>
        <w:tabs>
          <w:tab w:val="left" w:pos="1140"/>
        </w:tabs>
        <w:spacing w:before="140"/>
        <w:ind w:left="2860" w:hanging="600"/>
      </w:pPr>
      <w:r>
        <w:t>(viii)</w:t>
      </w:r>
      <w:r>
        <w:tab/>
        <w:t>by deleting mining regulations 37(2), 37(3), 42 and 42A; and</w:t>
      </w:r>
    </w:p>
    <w:p>
      <w:pPr>
        <w:pStyle w:val="yMiscellaneousBody"/>
        <w:tabs>
          <w:tab w:val="left" w:pos="1140"/>
        </w:tabs>
        <w:spacing w:before="140"/>
        <w:ind w:left="2860" w:hanging="600"/>
      </w:pPr>
      <w:r>
        <w:t>(ix)</w:t>
      </w:r>
      <w:r>
        <w:tab/>
        <w:t xml:space="preserve">by inserting at the beginning of mining regulations 41(c) and (f) the words “subject to the agreement ratified by and scheduled to the </w:t>
      </w:r>
      <w:r>
        <w:rPr>
          <w:i/>
        </w:rPr>
        <w:t>Iron Ore (Marillana Creek) Agreement Act 1991</w:t>
      </w:r>
      <w:r>
        <w:t>, as from time to time added to, varied or amended”.</w:t>
      </w:r>
    </w:p>
    <w:p>
      <w:pPr>
        <w:pStyle w:val="yMiscellaneousBody"/>
        <w:tabs>
          <w:tab w:val="left" w:pos="1700"/>
        </w:tabs>
        <w:spacing w:before="140"/>
        <w:ind w:left="2260" w:hanging="58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spacing w:before="140"/>
        <w:ind w:left="2260" w:hanging="58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spacing w:before="140"/>
        <w:ind w:left="2260" w:hanging="58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keepNext/>
        <w:spacing w:before="140"/>
        <w:ind w:firstLine="1140"/>
      </w:pPr>
      <w:r>
        <w:t>Construction and operation of Railway</w:t>
      </w:r>
    </w:p>
    <w:p>
      <w:pPr>
        <w:pStyle w:val="yMiscellaneousBody"/>
        <w:tabs>
          <w:tab w:val="left" w:pos="1700"/>
        </w:tabs>
        <w:spacing w:before="140"/>
        <w:ind w:left="2260" w:hanging="106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spacing w:before="120"/>
        <w:ind w:left="2260" w:hanging="580"/>
      </w:pPr>
      <w:r>
        <w:t>(b)</w:t>
      </w:r>
      <w:r>
        <w:tab/>
        <w:t>The Company shall while the holder of a Special Railway Licence:</w:t>
      </w:r>
    </w:p>
    <w:p>
      <w:pPr>
        <w:pStyle w:val="yMiscellaneousBody"/>
        <w:tabs>
          <w:tab w:val="left" w:pos="1140"/>
        </w:tabs>
        <w:spacing w:before="140"/>
        <w:ind w:left="2860" w:hanging="600"/>
      </w:pPr>
      <w:r>
        <w:t>(i)</w:t>
      </w:r>
      <w:r>
        <w:tab/>
        <w:t>keep the Railway the subject of that licence in an operable state; and</w:t>
      </w:r>
    </w:p>
    <w:p>
      <w:pPr>
        <w:pStyle w:val="yMiscellaneousBody"/>
        <w:tabs>
          <w:tab w:val="left" w:pos="2880"/>
        </w:tabs>
        <w:spacing w:before="140"/>
        <w:ind w:left="2860" w:hanging="600"/>
      </w:pPr>
      <w:r>
        <w:t>(ii)</w:t>
      </w:r>
      <w:r>
        <w:tab/>
        <w:t>ensure that the Railway the subject of that licence is operated in a safe and proper manner in compliance with all applicable laws from time to time; and</w:t>
      </w:r>
    </w:p>
    <w:p>
      <w:pPr>
        <w:pStyle w:val="yMiscellaneousBody"/>
        <w:tabs>
          <w:tab w:val="left" w:pos="1140"/>
        </w:tabs>
        <w:spacing w:before="140"/>
        <w:ind w:left="2860" w:hanging="60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spacing w:before="140"/>
        <w:ind w:left="2860"/>
      </w:pPr>
      <w:r>
        <w:t>Nothing in this Agreement shall be construed to exempt the Company or any other person from compliance with the Rail Safety Act or limit its application to the Company’s operations generally (except as otherwise may be provided in that Act or regulations made under it).</w:t>
      </w:r>
    </w:p>
    <w:p>
      <w:pPr>
        <w:pStyle w:val="yMiscellaneousBody"/>
        <w:tabs>
          <w:tab w:val="left" w:pos="1700"/>
        </w:tabs>
        <w:spacing w:before="140"/>
        <w:ind w:left="2260" w:hanging="5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40"/>
        <w:ind w:left="2260" w:hanging="580"/>
      </w:pPr>
      <w:r>
        <w:t>(d)</w:t>
      </w:r>
      <w:r>
        <w:tab/>
        <w:t>Subject to clause 14B, the Company shall at all times be the holder of Special Railway Licences and Lateral Access Road Licences granted pursuant to this clause and (without limiting clause 39 but subject to clause 14B) shall at all times own manage and control the use of each Railway the subject of a Special Railway Licence held by the Company.</w:t>
      </w:r>
    </w:p>
    <w:p>
      <w:pPr>
        <w:pStyle w:val="yMiscellaneousBody"/>
        <w:tabs>
          <w:tab w:val="left" w:pos="1700"/>
        </w:tabs>
        <w:spacing w:before="140"/>
        <w:ind w:left="2256" w:hanging="578"/>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spacing w:before="140"/>
        <w:ind w:left="2256" w:hanging="578"/>
      </w:pPr>
      <w:r>
        <w:t>(f)</w:t>
      </w:r>
      <w:r>
        <w:tab/>
        <w:t>The Company’s ownership of a Railway constructed pursuant to this clause shall not give it an interest in the land underlying it.</w:t>
      </w:r>
    </w:p>
    <w:p>
      <w:pPr>
        <w:pStyle w:val="yMiscellaneousBody"/>
        <w:tabs>
          <w:tab w:val="left" w:pos="1700"/>
        </w:tabs>
        <w:spacing w:before="140"/>
        <w:ind w:left="2256" w:hanging="578"/>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40"/>
        <w:ind w:left="2256" w:hanging="578"/>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2256" w:hanging="578"/>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spacing w:before="120"/>
        <w:ind w:left="2260" w:hanging="580"/>
        <w:jc w:val="both"/>
      </w:pPr>
      <w:r>
        <w:t>(j)</w:t>
      </w:r>
      <w:r>
        <w:tab/>
        <w:t>Subject to clause 14B, the Company shall:</w:t>
      </w:r>
    </w:p>
    <w:p>
      <w:pPr>
        <w:pStyle w:val="yMiscellaneousBody"/>
        <w:tabs>
          <w:tab w:val="left" w:pos="3120"/>
        </w:tabs>
        <w:spacing w:before="120"/>
        <w:ind w:left="2860" w:hanging="600"/>
        <w:jc w:val="both"/>
      </w:pPr>
      <w:r>
        <w:t>(i)</w:t>
      </w:r>
      <w:r>
        <w:tab/>
        <w:t>be responsible for the cost of construction and maintenance of all Private Roads constructed pursuant to this clause; and</w:t>
      </w:r>
    </w:p>
    <w:p>
      <w:pPr>
        <w:pStyle w:val="yMiscellaneousBody"/>
        <w:tabs>
          <w:tab w:val="left" w:pos="3120"/>
        </w:tabs>
        <w:spacing w:before="120"/>
        <w:ind w:left="286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spacing w:before="120"/>
        <w:ind w:left="2860" w:hanging="60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spacing w:before="120"/>
        <w:ind w:left="2260" w:hanging="580"/>
      </w:pPr>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p>
    <w:p>
      <w:pPr>
        <w:pStyle w:val="yMiscellaneousBody"/>
        <w:keepNext/>
        <w:keepLines/>
        <w:tabs>
          <w:tab w:val="left" w:pos="1700"/>
        </w:tabs>
        <w:spacing w:before="120"/>
        <w:ind w:left="2560" w:hanging="1360"/>
      </w:pPr>
      <w:r>
        <w:rPr>
          <w:i/>
        </w:rPr>
        <w:t xml:space="preserve">Aboriginal Heritage Act 1972 </w:t>
      </w:r>
      <w:r>
        <w:t>(WA)</w:t>
      </w:r>
    </w:p>
    <w:p>
      <w:pPr>
        <w:pStyle w:val="yMiscellaneousBody"/>
        <w:keepNext/>
        <w:keepLines/>
        <w:tabs>
          <w:tab w:val="left" w:pos="1200"/>
        </w:tabs>
        <w:spacing w:before="120"/>
        <w:ind w:left="1700" w:hanging="5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spacing w:before="120"/>
        <w:ind w:left="2260" w:hanging="580"/>
      </w:pPr>
      <w:r>
        <w:t>(a)</w:t>
      </w:r>
      <w:r>
        <w:tab/>
        <w:t>the insertion before the full stop at the end of section 18(1) of the words:</w:t>
      </w:r>
    </w:p>
    <w:p>
      <w:pPr>
        <w:pStyle w:val="yMiscellaneousBody"/>
        <w:tabs>
          <w:tab w:val="left" w:pos="1140"/>
        </w:tabs>
        <w:spacing w:before="120"/>
        <w:ind w:left="2263" w:hanging="301"/>
      </w:pPr>
      <w:r>
        <w:tab/>
        <w:t xml:space="preserve">“and the expression “the Company” means the persons from time to time comprising “the Company”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p>
    <w:p>
      <w:pPr>
        <w:pStyle w:val="yMiscellaneousBody"/>
        <w:tabs>
          <w:tab w:val="left" w:pos="1700"/>
        </w:tabs>
        <w:spacing w:before="140"/>
        <w:ind w:left="2260" w:hanging="580"/>
      </w:pPr>
      <w:r>
        <w:t>(b)</w:t>
      </w:r>
      <w:r>
        <w:tab/>
        <w:t>the insertion in sections 18(2), 18(4), 18(5) and 18(7) of the words “or the Company as the case may be” after the words “owner of any land”;</w:t>
      </w:r>
    </w:p>
    <w:p>
      <w:pPr>
        <w:pStyle w:val="yMiscellaneousBody"/>
        <w:tabs>
          <w:tab w:val="left" w:pos="1700"/>
        </w:tabs>
        <w:spacing w:before="140"/>
        <w:ind w:left="2260" w:hanging="580"/>
      </w:pPr>
      <w:r>
        <w:t>(c)</w:t>
      </w:r>
      <w:r>
        <w:tab/>
        <w:t>the insertion in section 18(3) of the words “or the Company as the case may be” after the words “the owner”;</w:t>
      </w:r>
    </w:p>
    <w:p>
      <w:pPr>
        <w:pStyle w:val="yMiscellaneousBody"/>
        <w:tabs>
          <w:tab w:val="left" w:pos="1700"/>
        </w:tabs>
        <w:spacing w:before="140"/>
        <w:ind w:left="2260" w:hanging="580"/>
      </w:pPr>
      <w:r>
        <w:t>(d)</w:t>
      </w:r>
      <w:r>
        <w:tab/>
        <w:t>the insertion of the following sentences at the end of section 18(3):</w:t>
      </w:r>
    </w:p>
    <w:p>
      <w:pPr>
        <w:pStyle w:val="yMiscellaneousBody"/>
        <w:tabs>
          <w:tab w:val="left" w:pos="1140"/>
        </w:tabs>
        <w:spacing w:before="140"/>
        <w:ind w:left="2260" w:firstLine="2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40"/>
        <w:ind w:left="2260" w:hanging="580"/>
      </w:pPr>
      <w:r>
        <w:t>(e)</w:t>
      </w:r>
      <w:r>
        <w:tab/>
        <w:t>the insertion in sections 18(2) and 18(5) of the words “or it as the case may be” after the word “he”.</w:t>
      </w:r>
    </w:p>
    <w:p>
      <w:pPr>
        <w:pStyle w:val="yMiscellaneousBody"/>
        <w:tabs>
          <w:tab w:val="left" w:pos="1140"/>
        </w:tabs>
        <w:spacing w:before="140"/>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spacing w:before="140"/>
        <w:ind w:left="601"/>
      </w:pPr>
      <w:r>
        <w:tab/>
        <w:t>Taking of land for the purposes of this clause</w:t>
      </w:r>
    </w:p>
    <w:p>
      <w:pPr>
        <w:pStyle w:val="yMiscellaneousBody"/>
        <w:tabs>
          <w:tab w:val="left" w:pos="1700"/>
        </w:tabs>
        <w:spacing w:before="140"/>
        <w:ind w:left="2260" w:hanging="1060"/>
      </w:pPr>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p>
    <w:p>
      <w:pPr>
        <w:pStyle w:val="yMiscellaneousBody"/>
        <w:tabs>
          <w:tab w:val="left" w:pos="1700"/>
        </w:tabs>
        <w:spacing w:before="140"/>
        <w:ind w:left="2260" w:hanging="580"/>
      </w:pPr>
      <w:r>
        <w:t>(b)</w:t>
      </w:r>
      <w:r>
        <w:tab/>
        <w:t xml:space="preserve">In applying Parts 9 and 10 of the LAA for the purposes of this clause: </w:t>
      </w:r>
    </w:p>
    <w:p>
      <w:pPr>
        <w:pStyle w:val="yMiscellaneousBody"/>
        <w:tabs>
          <w:tab w:val="left" w:pos="1140"/>
        </w:tabs>
        <w:spacing w:before="120"/>
        <w:ind w:left="2860" w:hanging="600"/>
      </w:pPr>
      <w:r>
        <w:t>(i)</w:t>
      </w:r>
      <w:r>
        <w:tab/>
        <w:t xml:space="preserve">“land” in that Act includes a legal or equitable estate or interest in land; </w:t>
      </w:r>
    </w:p>
    <w:p>
      <w:pPr>
        <w:pStyle w:val="yMiscellaneousBody"/>
        <w:tabs>
          <w:tab w:val="left" w:pos="1140"/>
        </w:tabs>
        <w:spacing w:before="120"/>
        <w:ind w:left="2860" w:hanging="600"/>
      </w:pPr>
      <w:r>
        <w:t>(ii)</w:t>
      </w:r>
      <w:r>
        <w:tab/>
        <w:t xml:space="preserve">sections 170, 171, 172, 173, 174, 175 and 184 of that Act do not apply; and </w:t>
      </w:r>
    </w:p>
    <w:p>
      <w:pPr>
        <w:pStyle w:val="yMiscellaneousBody"/>
        <w:tabs>
          <w:tab w:val="left" w:pos="1140"/>
        </w:tabs>
        <w:spacing w:before="120"/>
        <w:ind w:left="2860" w:hanging="600"/>
      </w:pPr>
      <w:r>
        <w:t>(iii)</w:t>
      </w:r>
      <w:r>
        <w:tab/>
        <w:t xml:space="preserve">that Act applies as if it were modified in section 177(2) by inserting </w:t>
      </w:r>
      <w:r>
        <w:noBreakHyphen/>
        <w:t xml:space="preserve"> </w:t>
      </w:r>
    </w:p>
    <w:p>
      <w:pPr>
        <w:pStyle w:val="yMiscellaneousBody"/>
        <w:spacing w:before="120"/>
        <w:ind w:left="3400" w:hanging="540"/>
      </w:pPr>
      <w:r>
        <w:t>(A)</w:t>
      </w:r>
      <w:r>
        <w:tab/>
        <w:t xml:space="preserve">after “railway” the following </w:t>
      </w:r>
      <w:r>
        <w:noBreakHyphen/>
        <w:t xml:space="preserve"> </w:t>
      </w:r>
    </w:p>
    <w:p>
      <w:pPr>
        <w:pStyle w:val="yMiscellaneousBody"/>
        <w:spacing w:before="120"/>
        <w:ind w:left="3440"/>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spacing w:before="120"/>
        <w:ind w:left="3400" w:hanging="540"/>
      </w:pPr>
      <w:r>
        <w:t>(B)</w:t>
      </w:r>
      <w:r>
        <w:tab/>
        <w:t xml:space="preserve">after “that Act” the following </w:t>
      </w:r>
      <w:r>
        <w:noBreakHyphen/>
        <w:t xml:space="preserve"> </w:t>
      </w:r>
    </w:p>
    <w:p>
      <w:pPr>
        <w:pStyle w:val="yMiscellaneousBody"/>
        <w:spacing w:before="120"/>
        <w:ind w:left="3400" w:firstLine="20"/>
        <w:rPr>
          <w:i/>
        </w:rPr>
      </w:pPr>
      <w:r>
        <w:t>“or that Agreement as the case may be”.</w:t>
      </w:r>
    </w:p>
    <w:p>
      <w:pPr>
        <w:pStyle w:val="yMiscellaneousBody"/>
        <w:tabs>
          <w:tab w:val="left" w:pos="1700"/>
        </w:tabs>
        <w:ind w:left="2260" w:hanging="580"/>
      </w:pPr>
      <w:r>
        <w:t>(c)</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tabs>
          <w:tab w:val="left" w:pos="1140"/>
        </w:tabs>
        <w:spacing w:before="240"/>
        <w:ind w:left="862" w:firstLine="340"/>
      </w:pPr>
      <w:r>
        <w:t>Notification of Railway Operation Date</w:t>
      </w:r>
    </w:p>
    <w:p>
      <w:pPr>
        <w:pStyle w:val="yMiscellaneousBody"/>
        <w:tabs>
          <w:tab w:val="left" w:pos="1700"/>
        </w:tabs>
        <w:spacing w:before="140"/>
        <w:ind w:left="2260" w:hanging="10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280"/>
        </w:tabs>
        <w:spacing w:before="140"/>
        <w:ind w:left="2860" w:hanging="600"/>
      </w:pPr>
      <w:r>
        <w:t>(i)</w:t>
      </w:r>
      <w:r>
        <w:tab/>
        <w:t>the progress of that construction and its likely completion and commissioning; and</w:t>
      </w:r>
    </w:p>
    <w:p>
      <w:pPr>
        <w:pStyle w:val="yMiscellaneousBody"/>
        <w:tabs>
          <w:tab w:val="left" w:pos="2280"/>
        </w:tabs>
        <w:spacing w:before="140"/>
        <w:ind w:left="2860" w:hanging="600"/>
      </w:pPr>
      <w:r>
        <w:t>(ii)</w:t>
      </w:r>
      <w:r>
        <w:tab/>
        <w:t>the likely Railway Operation Date.</w:t>
      </w:r>
    </w:p>
    <w:p>
      <w:pPr>
        <w:pStyle w:val="yMiscellaneousBody"/>
        <w:tabs>
          <w:tab w:val="left" w:pos="1700"/>
        </w:tabs>
        <w:spacing w:before="140"/>
        <w:ind w:left="2260" w:hanging="58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spacing w:before="140"/>
        <w:ind w:left="2260" w:hanging="58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spacing w:before="140"/>
        <w:ind w:left="2860" w:hanging="600"/>
      </w:pPr>
      <w:r>
        <w:t>(i)</w:t>
      </w:r>
      <w:r>
        <w:tab/>
        <w:t>the progress of that construction and its likely completion and commissioning; and</w:t>
      </w:r>
    </w:p>
    <w:p>
      <w:pPr>
        <w:pStyle w:val="yMiscellaneousBody"/>
        <w:tabs>
          <w:tab w:val="left" w:pos="1140"/>
        </w:tabs>
        <w:spacing w:before="140"/>
        <w:ind w:left="2860" w:hanging="600"/>
      </w:pPr>
      <w:r>
        <w:t>(ii)</w:t>
      </w:r>
      <w:r>
        <w:tab/>
        <w:t>in respect of it, the likely Railway spur line Operation Date.</w:t>
      </w:r>
    </w:p>
    <w:p>
      <w:pPr>
        <w:pStyle w:val="yMiscellaneousBody"/>
        <w:tabs>
          <w:tab w:val="left" w:pos="1700"/>
        </w:tabs>
        <w:spacing w:before="140"/>
        <w:ind w:left="2260" w:hanging="58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80"/>
        </w:tabs>
        <w:spacing w:before="140"/>
        <w:ind w:left="1200" w:hanging="600"/>
      </w:pPr>
      <w:r>
        <w:t>(13)</w:t>
      </w:r>
      <w:r>
        <w:tab/>
        <w:t>by inserting after subclause (3) of clause 18 the following new subclause:</w:t>
      </w:r>
    </w:p>
    <w:p>
      <w:pPr>
        <w:pStyle w:val="yMiscellaneousBody"/>
        <w:tabs>
          <w:tab w:val="num" w:pos="1700"/>
        </w:tabs>
        <w:spacing w:before="140"/>
        <w:ind w:left="1680" w:hanging="600"/>
      </w:pPr>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p>
    <w:p>
      <w:pPr>
        <w:pStyle w:val="yMiscellaneousBody"/>
        <w:tabs>
          <w:tab w:val="left" w:pos="2400"/>
        </w:tabs>
        <w:spacing w:before="140"/>
        <w:ind w:left="2520" w:hanging="840"/>
      </w:pPr>
      <w:r>
        <w:t>(a)</w:t>
      </w:r>
      <w:r>
        <w:tab/>
      </w:r>
      <w:r>
        <w:tab/>
        <w:t>“the Company” or “Joint Venturers” as the case may be as defined in, and for the purpose of an Integration Agreement, for its or their purposes thereunder;</w:t>
      </w:r>
    </w:p>
    <w:p>
      <w:pPr>
        <w:pStyle w:val="yMiscellaneousBody"/>
        <w:tabs>
          <w:tab w:val="left" w:pos="2520"/>
        </w:tabs>
        <w:spacing w:before="140"/>
        <w:ind w:left="2520" w:hanging="840"/>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520"/>
        </w:tabs>
        <w:spacing w:before="140"/>
        <w:ind w:left="2520" w:hanging="840"/>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tabs>
          <w:tab w:val="left" w:pos="1180"/>
        </w:tabs>
        <w:spacing w:before="140"/>
        <w:ind w:left="1200" w:hanging="600"/>
      </w:pPr>
      <w:r>
        <w:t>(14)</w:t>
      </w:r>
      <w:r>
        <w:tab/>
        <w:t>by inserting after subclause (2) of clause 22 the following new subclause.</w:t>
      </w:r>
    </w:p>
    <w:p>
      <w:pPr>
        <w:pStyle w:val="yMiscellaneousBody"/>
        <w:tabs>
          <w:tab w:val="left" w:pos="1200"/>
        </w:tabs>
        <w:spacing w:before="140"/>
        <w:ind w:left="2260" w:hanging="2260"/>
      </w:pPr>
      <w:r>
        <w:tab/>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40"/>
        <w:ind w:left="1140" w:hanging="539"/>
      </w:pPr>
      <w:r>
        <w:t>(15)</w:t>
      </w:r>
      <w:r>
        <w:tab/>
        <w:t>by deleting clause 23(5);</w:t>
      </w:r>
    </w:p>
    <w:p>
      <w:pPr>
        <w:pStyle w:val="yMiscellaneousBody"/>
        <w:spacing w:before="140"/>
        <w:ind w:left="1140" w:hanging="539"/>
      </w:pPr>
      <w:r>
        <w:t>(16)</w:t>
      </w:r>
      <w:r>
        <w:tab/>
        <w:t>in clause 30(3) (a) by inserting “or held pursuant to this Agreement” after “under or pursuant to this Agreement”;</w:t>
      </w:r>
    </w:p>
    <w:p>
      <w:pPr>
        <w:pStyle w:val="yMiscellaneousBody"/>
        <w:spacing w:before="140"/>
        <w:ind w:left="1140" w:hanging="539"/>
      </w:pPr>
      <w:r>
        <w:t>(17)</w:t>
      </w:r>
      <w:r>
        <w:tab/>
        <w:t>in clause 31(1) by inserting “or held pursuant to this Agreement” after “granted under or pursuant to this Agreement”;</w:t>
      </w:r>
    </w:p>
    <w:p>
      <w:pPr>
        <w:pStyle w:val="yMiscellaneousBody"/>
        <w:spacing w:before="140"/>
        <w:ind w:left="1140" w:hanging="539"/>
      </w:pPr>
      <w:r>
        <w:t>(18)</w:t>
      </w:r>
      <w:r>
        <w:tab/>
        <w:t>in clause 34(1)(a)(i) by inserting “granted under or pursuant to this Agreement or held pursuant to this Agreement” after “grant or other title”;</w:t>
      </w:r>
    </w:p>
    <w:p>
      <w:pPr>
        <w:pStyle w:val="yMiscellaneousBody"/>
        <w:keepLines/>
        <w:spacing w:before="140"/>
        <w:ind w:left="1140" w:hanging="539"/>
      </w:pPr>
      <w:r>
        <w:t>(19)</w:t>
      </w:r>
      <w:r>
        <w:tab/>
        <w:t>in clause 34(4) by deleting “occupied by the Company” and substituting “the subject of any lease licence easement or other title granted under or pursuant to this Agreement or held pursuant to this Agreement”;</w:t>
      </w:r>
    </w:p>
    <w:p>
      <w:pPr>
        <w:pStyle w:val="yMiscellaneousBody"/>
        <w:spacing w:before="140"/>
        <w:ind w:left="1140" w:hanging="540"/>
      </w:pPr>
      <w:r>
        <w:t>(20)</w:t>
      </w:r>
      <w:r>
        <w:tab/>
        <w:t>in clause 35(1)(a) by inserting “or held pursuant hereto” after “granted hereunder or pursuant hereto”;</w:t>
      </w:r>
    </w:p>
    <w:p>
      <w:pPr>
        <w:pStyle w:val="yMiscellaneousBody"/>
        <w:spacing w:before="140"/>
        <w:ind w:left="1140" w:hanging="540"/>
      </w:pPr>
      <w:r>
        <w:t>(21)</w:t>
      </w:r>
      <w:r>
        <w:tab/>
        <w:t>in clause 35(2) by inserting “or held pursuant to this Agreement” after “under or pursuant to this Agreement”;</w:t>
      </w:r>
    </w:p>
    <w:p>
      <w:pPr>
        <w:pStyle w:val="yMiscellaneousBody"/>
        <w:spacing w:before="140"/>
        <w:ind w:left="1140" w:hanging="540"/>
      </w:pPr>
      <w:r>
        <w:t>(22)</w:t>
      </w:r>
      <w:r>
        <w:tab/>
        <w:t>by deleting clause 36; and</w:t>
      </w:r>
    </w:p>
    <w:p>
      <w:pPr>
        <w:pStyle w:val="yMiscellaneousBody"/>
        <w:spacing w:before="140"/>
        <w:ind w:left="1140" w:hanging="540"/>
      </w:pPr>
      <w:r>
        <w:t>(23)</w:t>
      </w:r>
      <w:r>
        <w:tab/>
        <w:t>by inserting the following sentence at the end of clause 37:</w:t>
      </w:r>
    </w:p>
    <w:p>
      <w:pPr>
        <w:pStyle w:val="yMiscellaneousBody"/>
        <w:spacing w:before="140"/>
        <w:ind w:left="1140"/>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 and</w:t>
      </w:r>
    </w:p>
    <w:p>
      <w:pPr>
        <w:pStyle w:val="yMiscellaneousBody"/>
        <w:spacing w:before="180"/>
        <w:ind w:left="1140" w:hanging="560"/>
      </w:pPr>
      <w:r>
        <w:t>(24)</w:t>
      </w:r>
      <w:r>
        <w:tab/>
        <w:t>inserting after the Schedule the following new schedules:</w:t>
      </w:r>
    </w:p>
    <w:p>
      <w:pPr>
        <w:pStyle w:val="yMiscellaneousBody"/>
        <w:keepNext/>
        <w:pageBreakBefore/>
        <w:spacing w:before="0"/>
        <w:jc w:val="center"/>
        <w:rPr>
          <w:b/>
        </w:rPr>
      </w:pPr>
      <w:r>
        <w:t xml:space="preserve">“ </w:t>
      </w:r>
      <w:r>
        <w:rPr>
          <w:b/>
        </w:rPr>
        <w:t>SECOND SCHEDULE</w:t>
      </w:r>
    </w:p>
    <w:p>
      <w:pPr>
        <w:pStyle w:val="yMiscellaneousBody"/>
        <w:keepNext/>
        <w:keepLines/>
        <w:spacing w:before="240"/>
        <w:jc w:val="center"/>
        <w:rPr>
          <w:b/>
        </w:rPr>
      </w:pPr>
      <w:r>
        <w:rPr>
          <w:b/>
        </w:rPr>
        <w:t>WESTERN AUSTRALIA</w:t>
      </w:r>
    </w:p>
    <w:p>
      <w:pPr>
        <w:pStyle w:val="yMiscellaneousBody"/>
        <w:keepNext/>
        <w:keepLines/>
        <w:spacing w:before="240"/>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keepNext/>
        <w:keepLines/>
        <w:spacing w:before="240"/>
        <w:jc w:val="center"/>
        <w:rPr>
          <w:b/>
        </w:rPr>
      </w:pPr>
      <w:r>
        <w:rPr>
          <w:b/>
        </w:rPr>
        <w:t>MINING ACT 1978</w:t>
      </w:r>
    </w:p>
    <w:p>
      <w:pPr>
        <w:pStyle w:val="yMiscellaneousBody"/>
        <w:spacing w:before="240"/>
        <w:jc w:val="center"/>
        <w:rPr>
          <w:b/>
        </w:rPr>
      </w:pPr>
      <w:r>
        <w:rPr>
          <w:b/>
        </w:rPr>
        <w:t>MISCELLANEOUS LICENCE FOR A RAILWAY AND OTHER PURPOSES</w:t>
      </w:r>
    </w:p>
    <w:p>
      <w:pPr>
        <w:pStyle w:val="yMiscellaneousBody"/>
        <w:spacing w:before="360"/>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operation and maintenance of a Railway (as defined in clause 14C(1) of the Agreement and otherwise as provided in the Agreement) and, if applicable, other purposes AND WHEREAS the Company pursuant to clause 14C(6)(a) of the Agreement has made application for the said licence;</w:t>
      </w:r>
    </w:p>
    <w:p>
      <w:pPr>
        <w:pStyle w:val="yMiscellaneousBody"/>
        <w:spacing w:before="240"/>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keepNext/>
        <w:ind w:left="862" w:hanging="862"/>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spacing w:before="36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spacing w:before="240"/>
        <w:ind w:left="862" w:hanging="862"/>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14C(6)(h) or clause 14C(6)(i) of the Agreement.</w:t>
      </w:r>
    </w:p>
    <w:p>
      <w:pPr>
        <w:pStyle w:val="yMiscellaneousBody"/>
        <w:ind w:left="860" w:hanging="86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spacing w:before="360"/>
        <w:ind w:left="862" w:hanging="862"/>
        <w:jc w:val="center"/>
        <w:rPr>
          <w:b/>
        </w:rPr>
      </w:pPr>
      <w:r>
        <w:rPr>
          <w:b/>
        </w:rPr>
        <w:t>SCHEDULE</w:t>
      </w:r>
    </w:p>
    <w:p>
      <w:pPr>
        <w:pStyle w:val="yMiscellaneousBody"/>
        <w:keepNext/>
        <w:keepLines/>
        <w:ind w:left="862" w:hanging="862"/>
        <w:jc w:val="center"/>
      </w:pPr>
      <w:r>
        <w:t>Land description</w:t>
      </w:r>
    </w:p>
    <w:p>
      <w:pPr>
        <w:pStyle w:val="yMiscellaneousBody"/>
        <w:keepNext/>
        <w:keepLines/>
        <w:ind w:left="862" w:hanging="862"/>
        <w:jc w:val="both"/>
      </w:pPr>
      <w:r>
        <w:t>Locality:</w:t>
      </w:r>
    </w:p>
    <w:p>
      <w:pPr>
        <w:pStyle w:val="yMiscellaneousBody"/>
        <w:keepNext/>
        <w:keepLines/>
        <w:spacing w:before="200"/>
        <w:ind w:left="862" w:hanging="862"/>
        <w:jc w:val="both"/>
      </w:pPr>
      <w:r>
        <w:t>Mineral Field</w:t>
      </w:r>
    </w:p>
    <w:p>
      <w:pPr>
        <w:pStyle w:val="yMiscellaneousBody"/>
        <w:spacing w:before="200"/>
        <w:ind w:left="860" w:hanging="860"/>
        <w:jc w:val="both"/>
      </w:pPr>
      <w:r>
        <w:t>Area:</w:t>
      </w:r>
    </w:p>
    <w:p>
      <w:pPr>
        <w:pStyle w:val="yMiscellaneousBody"/>
        <w:spacing w:before="200"/>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spacing w:before="200"/>
        <w:jc w:val="both"/>
      </w:pPr>
      <w:r>
        <w:rPr>
          <w:b/>
        </w:rPr>
        <w:t>MINISTER FOR MINES</w:t>
      </w:r>
    </w:p>
    <w:p>
      <w:pPr>
        <w:pStyle w:val="yMiscellaneousBody"/>
        <w:spacing w:before="720"/>
        <w:jc w:val="center"/>
        <w:rPr>
          <w:b/>
        </w:rPr>
      </w:pPr>
      <w:r>
        <w:rPr>
          <w:b/>
        </w:rPr>
        <w:t>THIRD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jc w:val="both"/>
        <w:rPr>
          <w:b/>
        </w:rPr>
      </w:pPr>
      <w:r>
        <w:rPr>
          <w:b/>
        </w:rPr>
        <w:t>No.</w:t>
      </w:r>
      <w:r>
        <w:rPr>
          <w:b/>
        </w:rPr>
        <w:tab/>
        <w:t>MISCELLANEOUS LICENCE [   ]</w:t>
      </w:r>
    </w:p>
    <w:p>
      <w:pPr>
        <w:pStyle w:val="yMiscellaneousBody"/>
        <w:spacing w:before="240"/>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14C(6)(a)(ii) of the Agreement has made application for the said licence;</w:t>
      </w:r>
    </w:p>
    <w:p>
      <w:pPr>
        <w:pStyle w:val="yMiscellaneousBody"/>
        <w:spacing w:before="200"/>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p>
    <w:p>
      <w:pPr>
        <w:pStyle w:val="yMiscellaneousBody"/>
        <w:spacing w:before="200"/>
      </w:pPr>
      <w:r>
        <w:t>In this licence:</w:t>
      </w:r>
    </w:p>
    <w:p>
      <w:pPr>
        <w:pStyle w:val="yMiscellaneousBody"/>
        <w:spacing w:before="180"/>
        <w:ind w:left="862" w:hanging="862"/>
      </w:pPr>
      <w:r>
        <w:noBreakHyphen/>
      </w:r>
      <w:r>
        <w:tab/>
        <w:t>If the Company be more than one the liability of the Company hereunder shall be joint and several.</w:t>
      </w:r>
    </w:p>
    <w:p>
      <w:pPr>
        <w:pStyle w:val="yMiscellaneousBody"/>
        <w:spacing w:before="180"/>
        <w:ind w:left="862" w:hanging="862"/>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spacing w:before="240"/>
        <w:ind w:left="840" w:hanging="84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2" w:hanging="862"/>
        <w:jc w:val="both"/>
      </w:pPr>
      <w:r>
        <w:t>Endorsements</w:t>
      </w:r>
    </w:p>
    <w:p>
      <w:pPr>
        <w:pStyle w:val="yMiscellaneousBody"/>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2" w:hanging="862"/>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2" w:hanging="862"/>
        <w:jc w:val="both"/>
      </w:pPr>
      <w:r>
        <w:t>Conditions</w:t>
      </w:r>
    </w:p>
    <w:p>
      <w:pPr>
        <w:pStyle w:val="yMiscellaneousBody"/>
        <w:ind w:left="862" w:hanging="862"/>
        <w:jc w:val="both"/>
      </w:pPr>
      <w:r>
        <w:tab/>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hanging="862"/>
        <w:jc w:val="center"/>
        <w:rPr>
          <w:b/>
        </w:rPr>
      </w:pPr>
      <w:r>
        <w:rPr>
          <w:b/>
        </w:rPr>
        <w:t>SCHEDULE</w:t>
      </w:r>
    </w:p>
    <w:p>
      <w:pPr>
        <w:pStyle w:val="yMiscellaneousBody"/>
        <w:ind w:left="862" w:hanging="862"/>
        <w:jc w:val="center"/>
      </w:pPr>
      <w:r>
        <w:t>Description of land</w:t>
      </w:r>
    </w:p>
    <w:p>
      <w:pPr>
        <w:pStyle w:val="yMiscellaneousBody"/>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jc w:val="both"/>
      </w:pPr>
      <w:r>
        <w:rPr>
          <w:b/>
        </w:rPr>
        <w:t>MINISTER FOR MINES</w:t>
      </w:r>
    </w:p>
    <w:p>
      <w:pPr>
        <w:pStyle w:val="yMiscellaneousBody"/>
        <w:keepNext/>
        <w:spacing w:before="720"/>
        <w:jc w:val="center"/>
        <w:rPr>
          <w:b/>
        </w:rPr>
      </w:pPr>
      <w:r>
        <w:rPr>
          <w:b/>
        </w:rPr>
        <w:t>FOURTH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jc w:val="both"/>
        <w:rPr>
          <w:b/>
        </w:rPr>
      </w:pPr>
      <w:r>
        <w:rPr>
          <w:b/>
        </w:rPr>
        <w:t>No.</w:t>
      </w:r>
      <w:r>
        <w:rPr>
          <w:b/>
        </w:rPr>
        <w:tab/>
        <w:t>MISCELLANEOUS LICENCE [   ]</w:t>
      </w:r>
    </w:p>
    <w:p>
      <w:pPr>
        <w:pStyle w:val="yMiscellaneousBody"/>
        <w:spacing w:before="200"/>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14C(6)(b) of the Agreement has made application for the said licence;</w:t>
      </w:r>
    </w:p>
    <w:p>
      <w:pPr>
        <w:pStyle w:val="yMiscellaneousBody"/>
        <w:spacing w:before="200"/>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p>
    <w:p>
      <w:pPr>
        <w:pStyle w:val="yMiscellaneousBody"/>
        <w:spacing w:before="180"/>
      </w:pPr>
      <w:r>
        <w:t>In this licence:</w:t>
      </w:r>
    </w:p>
    <w:p>
      <w:pPr>
        <w:pStyle w:val="yMiscellaneousBody"/>
        <w:spacing w:before="180"/>
        <w:ind w:left="860" w:hanging="860"/>
      </w:pPr>
      <w:r>
        <w:noBreakHyphen/>
      </w:r>
      <w:r>
        <w:tab/>
        <w:t>If the Company be more than one the liability of the Company hereunder shall be joint and several.</w:t>
      </w:r>
    </w:p>
    <w:p>
      <w:pPr>
        <w:pStyle w:val="yMiscellaneousBody"/>
        <w:spacing w:before="240"/>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spacing w:before="240"/>
        <w:ind w:left="840" w:hanging="840"/>
      </w:pPr>
      <w:r>
        <w:noBreakHyphen/>
      </w:r>
      <w:r>
        <w:tab/>
        <w:t>Reference to “the Agreement” means such agreement as from time to time added to, varied or amended.</w:t>
      </w:r>
    </w:p>
    <w:p>
      <w:pPr>
        <w:pStyle w:val="yMiscellaneousBody"/>
        <w:spacing w:before="240"/>
      </w:pPr>
      <w:r>
        <w:t>ENDORSEMENTS AND CONDITIONS</w:t>
      </w:r>
    </w:p>
    <w:p>
      <w:pPr>
        <w:pStyle w:val="yMiscellaneousBody"/>
        <w:spacing w:before="240"/>
        <w:ind w:left="860" w:hanging="860"/>
      </w:pPr>
      <w:r>
        <w:t>Endorsements</w:t>
      </w:r>
    </w:p>
    <w:p>
      <w:pPr>
        <w:pStyle w:val="yMiscellaneousBody"/>
        <w:spacing w:before="240"/>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hanging="862"/>
        <w:jc w:val="center"/>
        <w:rPr>
          <w:b/>
        </w:rPr>
      </w:pPr>
      <w:r>
        <w:rPr>
          <w:b/>
        </w:rPr>
        <w:t>SCHEDULE</w:t>
      </w:r>
    </w:p>
    <w:p>
      <w:pPr>
        <w:pStyle w:val="yMiscellaneousBody"/>
        <w:ind w:left="862" w:hanging="862"/>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jc w:val="both"/>
      </w:pPr>
      <w:r>
        <w:rPr>
          <w:b/>
        </w:rPr>
        <w:t>MINISTER FOR MINES</w:t>
      </w:r>
      <w:r>
        <w:t>”</w:t>
      </w:r>
    </w:p>
    <w:p>
      <w:pPr>
        <w:pStyle w:val="yMiscellaneousBody"/>
        <w:keepNext/>
        <w:widowControl w:val="0"/>
        <w:spacing w:before="360"/>
        <w:jc w:val="both"/>
      </w:pPr>
      <w:r>
        <w:rPr>
          <w:b/>
        </w:rPr>
        <w:t>EXECUTED</w:t>
      </w:r>
      <w:r>
        <w:t xml:space="preserve"> as a deed.</w:t>
      </w:r>
    </w:p>
    <w:p>
      <w:pPr>
        <w:pStyle w:val="yMiscellaneousBody"/>
        <w:widowControl w:val="0"/>
        <w:tabs>
          <w:tab w:val="left" w:pos="3960"/>
          <w:tab w:val="left" w:pos="5040"/>
        </w:tabs>
        <w:spacing w:before="360"/>
        <w:jc w:val="both"/>
      </w:pPr>
      <w:r>
        <w:rPr>
          <w:b/>
        </w:rPr>
        <w:t xml:space="preserve">SIGNED </w:t>
      </w:r>
      <w:r>
        <w:t>by</w:t>
      </w:r>
      <w:r>
        <w:rPr>
          <w:b/>
        </w:rPr>
        <w:t xml:space="preserve"> THE HONOURABLE</w:t>
      </w:r>
      <w:r>
        <w:rPr>
          <w:b/>
        </w:rPr>
        <w:tab/>
      </w:r>
      <w:r>
        <w:t>)</w:t>
      </w:r>
    </w:p>
    <w:p>
      <w:pPr>
        <w:pStyle w:val="yMiscellaneousBody"/>
        <w:widowControl w:val="0"/>
        <w:tabs>
          <w:tab w:val="left" w:pos="3960"/>
          <w:tab w:val="left" w:pos="5040"/>
        </w:tabs>
        <w:spacing w:before="0"/>
      </w:pPr>
      <w:r>
        <w:rPr>
          <w:b/>
        </w:rPr>
        <w:t>COLIN JAMES BARNETT</w:t>
      </w:r>
      <w:r>
        <w:rPr>
          <w:b/>
        </w:rPr>
        <w:tab/>
      </w:r>
      <w:r>
        <w:t>)</w:t>
      </w:r>
      <w:r>
        <w:tab/>
        <w:t>[Signature]</w:t>
      </w:r>
    </w:p>
    <w:p>
      <w:pPr>
        <w:pStyle w:val="yMiscellaneousBody"/>
        <w:widowControl w:val="0"/>
        <w:tabs>
          <w:tab w:val="left" w:pos="3960"/>
          <w:tab w:val="left" w:pos="5040"/>
        </w:tabs>
        <w:spacing w:before="0" w:after="120"/>
        <w:jc w:val="both"/>
      </w:pPr>
      <w:r>
        <w:t>in the presence of:</w:t>
      </w:r>
      <w:r>
        <w:tab/>
        <w:t>)</w:t>
      </w:r>
    </w:p>
    <w:tbl>
      <w:tblPr>
        <w:tblW w:w="0" w:type="auto"/>
        <w:tblInd w:w="108" w:type="dxa"/>
        <w:tblLook w:val="0000" w:firstRow="0" w:lastRow="0" w:firstColumn="0" w:lastColumn="0" w:noHBand="0" w:noVBand="0"/>
      </w:tblPr>
      <w:tblGrid>
        <w:gridCol w:w="2552"/>
      </w:tblGrid>
      <w:tr>
        <w:tc>
          <w:tcPr>
            <w:tcW w:w="2552" w:type="dxa"/>
            <w:tcBorders>
              <w:bottom w:val="single" w:sz="4" w:space="0" w:color="auto"/>
            </w:tcBorders>
          </w:tcPr>
          <w:p>
            <w:pPr>
              <w:pStyle w:val="yMiscellaneousBody"/>
              <w:widowControl w:val="0"/>
            </w:pPr>
            <w:r>
              <w:t>[Signature]</w:t>
            </w:r>
          </w:p>
        </w:tc>
      </w:tr>
      <w:tr>
        <w:tc>
          <w:tcPr>
            <w:tcW w:w="2552" w:type="dxa"/>
            <w:tcBorders>
              <w:top w:val="single" w:sz="4" w:space="0" w:color="auto"/>
            </w:tcBorders>
          </w:tcPr>
          <w:p>
            <w:pPr>
              <w:pStyle w:val="yMiscellaneousBody"/>
              <w:widowControl w:val="0"/>
              <w:spacing w:before="0"/>
            </w:pPr>
            <w:r>
              <w:t>STEPHEN WOOD</w:t>
            </w:r>
          </w:p>
        </w:tc>
      </w:tr>
    </w:tbl>
    <w:p>
      <w:pPr>
        <w:pStyle w:val="yMiscellaneousBody"/>
        <w:spacing w:before="0"/>
        <w:jc w:val="both"/>
      </w:pPr>
    </w:p>
    <w:p>
      <w:pPr>
        <w:pStyle w:val="yMiscellaneousBody"/>
        <w:tabs>
          <w:tab w:val="left" w:pos="3960"/>
          <w:tab w:val="left" w:pos="5040"/>
        </w:tabs>
        <w:spacing w:before="120"/>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pPr>
      <w:r>
        <w:rPr>
          <w:b/>
        </w:rPr>
        <w:t>MINERALS PTY. LTD.</w:t>
      </w:r>
      <w:r>
        <w:rPr>
          <w:b/>
        </w:rPr>
        <w:tab/>
      </w:r>
      <w:r>
        <w:t>)</w:t>
      </w:r>
      <w:r>
        <w:br/>
        <w:t xml:space="preserve">ACN 008 694 782 in accordance with </w:t>
      </w:r>
      <w:r>
        <w:tab/>
        <w:t>)</w:t>
      </w:r>
    </w:p>
    <w:p>
      <w:pPr>
        <w:pStyle w:val="yMiscellaneousBody"/>
        <w:tabs>
          <w:tab w:val="left" w:pos="3960"/>
          <w:tab w:val="left" w:pos="5040"/>
        </w:tabs>
        <w:spacing w:before="0"/>
      </w:pPr>
      <w:r>
        <w:t xml:space="preserve">section 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zyMiscellaneousBody"/>
              <w:spacing w:before="0"/>
              <w:ind w:left="0" w:right="0"/>
              <w:jc w:val="both"/>
            </w:pPr>
            <w:r>
              <w:t>STEWART HART</w:t>
            </w:r>
          </w:p>
        </w:tc>
        <w:tc>
          <w:tcPr>
            <w:tcW w:w="4218" w:type="dxa"/>
          </w:tcPr>
          <w:p>
            <w:pPr>
              <w:pStyle w:val="zyMiscellaneousBody"/>
              <w:spacing w:before="0"/>
              <w:ind w:left="0" w:right="0"/>
              <w:jc w:val="both"/>
            </w:pPr>
            <w:r>
              <w:t>ROBIN B LEES</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pageBreakBefore/>
        <w:tabs>
          <w:tab w:val="left" w:pos="3960"/>
          <w:tab w:val="left" w:pos="5040"/>
        </w:tabs>
        <w:spacing w:before="0"/>
        <w:jc w:val="both"/>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jc w:val="both"/>
      </w:pPr>
      <w:r>
        <w:rPr>
          <w:b/>
        </w:rPr>
        <w:t>CORPORATION PTY. LTD.</w:t>
      </w:r>
      <w:r>
        <w:t xml:space="preserve">  </w:t>
      </w:r>
      <w:r>
        <w:tab/>
        <w:t>)</w:t>
      </w:r>
    </w:p>
    <w:p>
      <w:pPr>
        <w:pStyle w:val="yMiscellaneousBody"/>
        <w:tabs>
          <w:tab w:val="left" w:pos="3960"/>
          <w:tab w:val="left" w:pos="5040"/>
        </w:tabs>
        <w:spacing w:before="0"/>
        <w:jc w:val="both"/>
      </w:pPr>
      <w:r>
        <w:t xml:space="preserve">ACN 050 157 456 in accordance with </w:t>
      </w:r>
      <w:r>
        <w:tab/>
        <w:t>)</w:t>
      </w:r>
    </w:p>
    <w:p>
      <w:pPr>
        <w:pStyle w:val="yMiscellaneousBody"/>
        <w:tabs>
          <w:tab w:val="left" w:pos="3960"/>
          <w:tab w:val="left" w:pos="5040"/>
        </w:tabs>
        <w:spacing w:before="0"/>
        <w:jc w:val="both"/>
      </w:pPr>
      <w:r>
        <w:t xml:space="preserve">section 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RYUZO NAKAMURA</w:t>
            </w:r>
          </w:p>
        </w:tc>
        <w:tc>
          <w:tcPr>
            <w:tcW w:w="4218" w:type="dxa"/>
          </w:tcPr>
          <w:p>
            <w:pPr>
              <w:pStyle w:val="yMiscellaneousBody"/>
            </w:pPr>
            <w:r>
              <w:t>GAVIN PETER PATTERSON</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tabs>
          <w:tab w:val="left" w:pos="3960"/>
          <w:tab w:val="left" w:pos="5040"/>
        </w:tabs>
        <w:spacing w:before="360"/>
      </w:pPr>
      <w:r>
        <w:rPr>
          <w:b/>
        </w:rPr>
        <w:t>Signed</w:t>
      </w:r>
      <w:r>
        <w:t xml:space="preserve"> by </w:t>
      </w:r>
      <w:r>
        <w:rPr>
          <w:b/>
        </w:rPr>
        <w:t>Shuzaburo Tsuchihashi</w:t>
      </w:r>
      <w:r>
        <w:t xml:space="preserve"> as</w:t>
      </w:r>
      <w:r>
        <w:tab/>
        <w:t>)</w:t>
      </w:r>
    </w:p>
    <w:p>
      <w:pPr>
        <w:pStyle w:val="yMiscellaneousBody"/>
        <w:tabs>
          <w:tab w:val="left" w:pos="3960"/>
          <w:tab w:val="left" w:pos="5040"/>
        </w:tabs>
        <w:spacing w:before="0"/>
        <w:jc w:val="both"/>
      </w:pPr>
      <w:r>
        <w:t xml:space="preserve">attorney for </w:t>
      </w:r>
      <w:r>
        <w:rPr>
          <w:b/>
        </w:rPr>
        <w:t xml:space="preserve">ITOCHU MINERALS &amp; </w:t>
      </w:r>
      <w:r>
        <w:tab/>
        <w:t>)</w:t>
      </w:r>
    </w:p>
    <w:p>
      <w:pPr>
        <w:pStyle w:val="yMiscellaneousBody"/>
        <w:tabs>
          <w:tab w:val="left" w:pos="3960"/>
          <w:tab w:val="left" w:pos="5040"/>
        </w:tabs>
        <w:spacing w:before="0"/>
        <w:jc w:val="both"/>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jc w:val="both"/>
      </w:pPr>
      <w:r>
        <w:rPr>
          <w:b/>
        </w:rPr>
        <w:t>LTD.</w:t>
      </w:r>
      <w:r>
        <w:t xml:space="preserve"> ACN 009 256 259 under power</w:t>
      </w:r>
      <w:r>
        <w:tab/>
        <w:t>)</w:t>
      </w:r>
    </w:p>
    <w:p>
      <w:pPr>
        <w:pStyle w:val="yMiscellaneousBody"/>
        <w:tabs>
          <w:tab w:val="left" w:pos="3960"/>
          <w:tab w:val="left" w:pos="5040"/>
        </w:tabs>
        <w:spacing w:before="0"/>
        <w:jc w:val="both"/>
      </w:pPr>
      <w:r>
        <w:t>of attorney dated 12 November 2010</w:t>
      </w:r>
      <w:r>
        <w:tab/>
        <w:t>)</w:t>
      </w:r>
    </w:p>
    <w:p>
      <w:pPr>
        <w:pStyle w:val="yMiscellaneousBody"/>
        <w:tabs>
          <w:tab w:val="left" w:pos="3960"/>
          <w:tab w:val="left" w:pos="5040"/>
        </w:tabs>
        <w:spacing w:before="0"/>
        <w:jc w:val="both"/>
      </w:pPr>
      <w:r>
        <w:t>in the presence of:</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witness</w:t>
            </w:r>
          </w:p>
        </w:tc>
        <w:tc>
          <w:tcPr>
            <w:tcW w:w="4218" w:type="dxa"/>
          </w:tcPr>
          <w:p>
            <w:pPr>
              <w:pStyle w:val="yMiscellaneousBody"/>
              <w:spacing w:before="0"/>
            </w:pPr>
            <w:r>
              <w:t>Shuzaburo Tsuchihashi</w:t>
            </w:r>
          </w:p>
        </w:tc>
      </w:tr>
    </w:tbl>
    <w:p>
      <w:pPr>
        <w:pStyle w:val="yMiscellaneousBody"/>
        <w:spacing w:before="0"/>
        <w:jc w:val="both"/>
      </w:pPr>
    </w:p>
    <w:tbl>
      <w:tblPr>
        <w:tblW w:w="0" w:type="auto"/>
        <w:tblInd w:w="108" w:type="dxa"/>
        <w:tblLook w:val="0000" w:firstRow="0" w:lastRow="0" w:firstColumn="0" w:lastColumn="0" w:noHBand="0" w:noVBand="0"/>
      </w:tblPr>
      <w:tblGrid>
        <w:gridCol w:w="2977"/>
      </w:tblGrid>
      <w:tr>
        <w:tc>
          <w:tcPr>
            <w:tcW w:w="2977" w:type="dxa"/>
          </w:tcPr>
          <w:p>
            <w:pPr>
              <w:pStyle w:val="yMiscellaneousBody"/>
            </w:pPr>
            <w:r>
              <w:rPr>
                <w:b/>
              </w:rPr>
              <w:t>YASUSHI FUKUMURA</w:t>
            </w:r>
          </w:p>
        </w:tc>
      </w:tr>
      <w:tr>
        <w:tc>
          <w:tcPr>
            <w:tcW w:w="2977" w:type="dxa"/>
          </w:tcPr>
          <w:p>
            <w:pPr>
              <w:pStyle w:val="yMiscellaneousBody"/>
              <w:spacing w:before="0"/>
            </w:pPr>
            <w:r>
              <w:t>Name of witness (print)</w:t>
            </w:r>
          </w:p>
        </w:tc>
      </w:tr>
    </w:tbl>
    <w:p>
      <w:pPr>
        <w:pStyle w:val="yFootnotesection"/>
        <w:spacing w:before="240"/>
      </w:pPr>
      <w:r>
        <w:tab/>
        <w:t>[Schedule 4 inserted: No. 61 of 2010 s. 49.]</w:t>
      </w:r>
    </w:p>
    <w:p>
      <w:pPr>
        <w:pStyle w:val="yMiscellaneousBody"/>
      </w:pPr>
    </w:p>
    <w:p>
      <w:pPr>
        <w:pStyle w:val="yScheduleHeading"/>
      </w:pPr>
      <w:bookmarkStart w:id="37" w:name="_Toc381880432"/>
      <w:bookmarkStart w:id="38" w:name="_Toc419715015"/>
      <w:bookmarkStart w:id="39" w:name="_Toc419715098"/>
      <w:r>
        <w:rPr>
          <w:rStyle w:val="CharSchNo"/>
        </w:rPr>
        <w:t>Schedule 5</w:t>
      </w:r>
      <w:r>
        <w:t> — </w:t>
      </w:r>
      <w:r>
        <w:rPr>
          <w:rStyle w:val="CharSchText"/>
        </w:rPr>
        <w:t>Fourth Variation Agreement</w:t>
      </w:r>
      <w:bookmarkEnd w:id="37"/>
      <w:bookmarkEnd w:id="38"/>
      <w:bookmarkEnd w:id="39"/>
    </w:p>
    <w:p>
      <w:pPr>
        <w:pStyle w:val="yMiscellaneousBody"/>
        <w:jc w:val="right"/>
      </w:pPr>
      <w:r>
        <w:t>[s. 3]</w:t>
      </w:r>
    </w:p>
    <w:p>
      <w:pPr>
        <w:pStyle w:val="yFootnoteheading"/>
        <w:spacing w:after="60"/>
      </w:pPr>
      <w:r>
        <w:tab/>
        <w:t>[Heading inserted: No. 62 of 2011 s. 21.]</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(MARILLANA CREEK) AGREEMENT 1991</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tabs>
          <w:tab w:val="left" w:pos="879"/>
          <w:tab w:val="right" w:pos="8646"/>
        </w:tabs>
        <w:spacing w:before="0"/>
      </w:pPr>
      <w:r>
        <w:br w:type="page"/>
      </w:r>
      <w:r>
        <w:rPr>
          <w:b/>
        </w:rPr>
        <w:t>THIS AGREEMENT</w:t>
      </w:r>
      <w:r>
        <w:t xml:space="preserve"> is made this 7th day of November 2011</w:t>
      </w:r>
    </w:p>
    <w:p>
      <w:pPr>
        <w:pStyle w:val="yMiscellaneousBody"/>
        <w:tabs>
          <w:tab w:val="left" w:pos="879"/>
        </w:tabs>
        <w:spacing w:before="200"/>
        <w:rPr>
          <w:b/>
        </w:rPr>
      </w:pPr>
      <w:r>
        <w:rPr>
          <w:b/>
        </w:rPr>
        <w:t>BETWEEN</w:t>
      </w:r>
    </w:p>
    <w:p>
      <w:pPr>
        <w:pStyle w:val="yMiscellaneousBody"/>
        <w:tabs>
          <w:tab w:val="left" w:pos="879"/>
        </w:tabs>
        <w:spacing w:before="20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00"/>
        <w:rPr>
          <w:b/>
        </w:rPr>
      </w:pPr>
      <w:r>
        <w:rPr>
          <w:b/>
        </w:rPr>
        <w:t>AND</w:t>
      </w:r>
    </w:p>
    <w:p>
      <w:pPr>
        <w:pStyle w:val="yMiscellaneousBody"/>
        <w:tabs>
          <w:tab w:val="left" w:pos="879"/>
        </w:tabs>
        <w:spacing w:before="200"/>
      </w:pPr>
      <w:r>
        <w:rPr>
          <w:b/>
        </w:rPr>
        <w:t>BHP BILLITON MINERALS PTY. LTD.</w:t>
      </w:r>
      <w:r>
        <w:t xml:space="preserve"> ACN 008 694 782 of Level 17, St Georges Square, 225 St Georges Terrace, Perth, Western Australia, </w:t>
      </w:r>
      <w:r>
        <w:rPr>
          <w:b/>
        </w:rPr>
        <w:t>ITOCHU MINERALS &amp; ENERGY OF AUSTRALIA PTY. LTD.</w:t>
      </w:r>
      <w:r>
        <w:t xml:space="preserve"> ACN 009 256 259 of Level 22, 221 St Georges Terrace, Perth, Western Australia and </w:t>
      </w:r>
      <w:r>
        <w:rPr>
          <w:b/>
        </w:rPr>
        <w:t>MITSUI IRON ORE CORPORATION PTY. LTD.</w:t>
      </w:r>
      <w:r>
        <w:t xml:space="preserve"> ACN 050 157 456 of Level 24, 221 St Georges Terrace, Perth, Western Australia (</w:t>
      </w:r>
      <w:r>
        <w:rPr>
          <w:b/>
        </w:rPr>
        <w:t>Joint Venturers</w:t>
      </w:r>
      <w:r>
        <w:t>).</w:t>
      </w:r>
    </w:p>
    <w:p>
      <w:pPr>
        <w:pStyle w:val="yMiscellaneousBody"/>
        <w:spacing w:before="240"/>
        <w:rPr>
          <w:b/>
        </w:rPr>
      </w:pPr>
      <w:r>
        <w:rPr>
          <w:b/>
        </w:rPr>
        <w:t>RECITALS:</w:t>
      </w:r>
    </w:p>
    <w:p>
      <w:pPr>
        <w:pStyle w:val="yMiscellaneousBody"/>
        <w:tabs>
          <w:tab w:val="left" w:pos="879"/>
        </w:tabs>
        <w:ind w:left="879" w:hanging="879"/>
      </w:pPr>
      <w:r>
        <w:t>A.</w:t>
      </w:r>
      <w:r>
        <w:tab/>
        <w:t xml:space="preserve">The State and the Joint Venturers are now the parties to the agreement dated 20 December 1990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79" w:hanging="879"/>
      </w:pPr>
      <w:r>
        <w:t>B.</w:t>
      </w:r>
      <w:r>
        <w:tab/>
        <w:t>The State and the Joint Venturers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79"/>
      </w:pPr>
      <w:r>
        <w:t>Subject to the context, the words and expressions used in this Agreement have the same meanings respectively as they have in and for the purpose of the Principal Agreement.</w:t>
      </w:r>
    </w:p>
    <w:p>
      <w:pPr>
        <w:pStyle w:val="yMiscellaneousBody"/>
        <w:tabs>
          <w:tab w:val="left" w:pos="879"/>
        </w:tabs>
        <w:ind w:left="879" w:hanging="879"/>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spacing w:before="120"/>
        <w:ind w:left="879" w:hanging="879"/>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spacing w:before="120"/>
        <w:ind w:left="879" w:hanging="879"/>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spacing w:before="120"/>
        <w:ind w:left="879" w:hanging="879"/>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rPr>
          <w:b/>
        </w:rPr>
      </w:pPr>
      <w:r>
        <w:rPr>
          <w:b/>
        </w:rPr>
        <w:t xml:space="preserve">3.         Variation of Principal Agreement </w:t>
      </w:r>
    </w:p>
    <w:p>
      <w:pPr>
        <w:pStyle w:val="yMiscellaneousBody"/>
        <w:tabs>
          <w:tab w:val="left" w:pos="360"/>
          <w:tab w:val="left" w:pos="879"/>
        </w:tabs>
        <w:spacing w:before="120"/>
        <w:ind w:left="360"/>
      </w:pPr>
      <w:r>
        <w:t xml:space="preserve">The Principal Agreement is varied as follows: </w:t>
      </w:r>
    </w:p>
    <w:p>
      <w:pPr>
        <w:pStyle w:val="yMiscellaneousBody"/>
        <w:tabs>
          <w:tab w:val="right" w:pos="595"/>
          <w:tab w:val="left" w:pos="879"/>
        </w:tabs>
        <w:spacing w:before="120"/>
        <w:ind w:left="880" w:hanging="880"/>
      </w:pPr>
      <w:r>
        <w:tab/>
        <w:t>(1)</w:t>
      </w:r>
      <w:r>
        <w:tab/>
        <w:t xml:space="preserve">in clause 1 by inserting in the appropriate alphabetical positions the following new definitions: </w:t>
      </w:r>
    </w:p>
    <w:p>
      <w:pPr>
        <w:pStyle w:val="yMiscellaneousBody"/>
        <w:tabs>
          <w:tab w:val="left" w:pos="851"/>
        </w:tabs>
        <w:spacing w:before="120"/>
      </w:pPr>
      <w:r>
        <w:tab/>
        <w:t>“Eligible Existing Tenure” means:</w:t>
      </w:r>
    </w:p>
    <w:p>
      <w:pPr>
        <w:pStyle w:val="yMiscellaneousBody"/>
        <w:tabs>
          <w:tab w:val="left" w:pos="851"/>
          <w:tab w:val="left" w:pos="1650"/>
        </w:tabs>
        <w:spacing w:before="120"/>
        <w:ind w:left="2517" w:hanging="2517"/>
      </w:pPr>
      <w:r>
        <w:tab/>
        <w:t>(a)</w:t>
      </w:r>
      <w:r>
        <w:tab/>
        <w:t>(i)</w:t>
      </w:r>
      <w:r>
        <w:tab/>
        <w:t>a miscellaneous licence or general purpose lease granted to the Company under the Mining Act; or</w:t>
      </w:r>
    </w:p>
    <w:p>
      <w:pPr>
        <w:pStyle w:val="yMiscellaneousBody"/>
        <w:tabs>
          <w:tab w:val="left" w:pos="851"/>
          <w:tab w:val="left" w:pos="1650"/>
        </w:tabs>
        <w:spacing w:before="120"/>
        <w:ind w:left="2517" w:hanging="2517"/>
      </w:pPr>
      <w:r>
        <w:tab/>
      </w:r>
      <w:r>
        <w:tab/>
        <w:t>(ii)</w:t>
      </w:r>
      <w:r>
        <w:tab/>
        <w:t>a lease or easement granted to the Company under the LAA,</w:t>
      </w:r>
    </w:p>
    <w:p>
      <w:pPr>
        <w:pStyle w:val="yMiscellaneousBody"/>
        <w:tabs>
          <w:tab w:val="left" w:pos="851"/>
        </w:tabs>
        <w:spacing w:before="120"/>
        <w:ind w:left="1700" w:hanging="1700"/>
      </w:pPr>
      <w:r>
        <w:tab/>
      </w:r>
      <w:r>
        <w:tab/>
        <w:t>and not clearly, to the satisfaction of the Minister, granted under or pursuant to or held pursuant to this Agreement; or</w:t>
      </w:r>
    </w:p>
    <w:p>
      <w:pPr>
        <w:pStyle w:val="yMiscellaneousBody"/>
        <w:tabs>
          <w:tab w:val="left" w:pos="851"/>
        </w:tabs>
        <w:spacing w:before="120"/>
        <w:ind w:left="1700" w:hanging="170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widowControl w:val="0"/>
        <w:tabs>
          <w:tab w:val="left" w:pos="851"/>
        </w:tabs>
        <w:spacing w:before="120"/>
        <w:ind w:left="862" w:hanging="862"/>
      </w:pPr>
      <w:r>
        <w:tab/>
        <w:t>where that tenure was granted or that application was made (as the case may be) on or before 1 October 2011;</w:t>
      </w:r>
    </w:p>
    <w:p>
      <w:pPr>
        <w:pStyle w:val="yMiscellaneousBody"/>
        <w:keepNext/>
        <w:tabs>
          <w:tab w:val="left" w:pos="851"/>
        </w:tabs>
        <w:spacing w:before="140"/>
        <w:jc w:val="both"/>
      </w:pPr>
      <w:r>
        <w:tab/>
        <w:t xml:space="preserve">“LAA” means the </w:t>
      </w:r>
      <w:r>
        <w:rPr>
          <w:i/>
        </w:rPr>
        <w:t>Land Administration Act 1997</w:t>
      </w:r>
      <w:r>
        <w:t xml:space="preserve"> (WA);</w:t>
      </w:r>
    </w:p>
    <w:p>
      <w:pPr>
        <w:pStyle w:val="yMiscellaneousBody"/>
        <w:tabs>
          <w:tab w:val="left" w:pos="851"/>
        </w:tabs>
        <w:spacing w:before="140"/>
        <w:ind w:left="860" w:hanging="860"/>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51"/>
        </w:tabs>
        <w:spacing w:before="140"/>
        <w:ind w:left="860" w:hanging="860"/>
      </w:pPr>
      <w:r>
        <w:tab/>
        <w:t>“second variation date” means the date on which clause 3 of the variation agreement made on or about 7 November 2011 between the State and the Company comes into operation;</w:t>
      </w:r>
    </w:p>
    <w:p>
      <w:pPr>
        <w:pStyle w:val="yMiscellaneousBody"/>
        <w:tabs>
          <w:tab w:val="left" w:pos="851"/>
        </w:tabs>
        <w:spacing w:before="140"/>
      </w:pPr>
      <w:r>
        <w:tab/>
        <w:t>“Special Advance Tenure” means:</w:t>
      </w:r>
    </w:p>
    <w:p>
      <w:pPr>
        <w:pStyle w:val="yMiscellaneousBody"/>
        <w:tabs>
          <w:tab w:val="left" w:pos="851"/>
        </w:tabs>
        <w:spacing w:before="140"/>
        <w:ind w:left="1700" w:hanging="1700"/>
      </w:pPr>
      <w:r>
        <w:tab/>
        <w:t>(a)</w:t>
      </w:r>
      <w:r>
        <w:tab/>
        <w:t>a miscellaneous licence or general purpose lease requested under clause 22(2b) to be granted to the Company under the Mining Act; or</w:t>
      </w:r>
    </w:p>
    <w:p>
      <w:pPr>
        <w:pStyle w:val="yMiscellaneousBody"/>
        <w:tabs>
          <w:tab w:val="left" w:pos="851"/>
        </w:tabs>
        <w:spacing w:before="140"/>
        <w:ind w:left="1700" w:hanging="1700"/>
      </w:pPr>
      <w:r>
        <w:tab/>
        <w:t>(b)</w:t>
      </w:r>
      <w:r>
        <w:tab/>
        <w:t xml:space="preserve">an easement or a lease requested under clause 22(2b) to be granted to the Company under the LAA, </w:t>
      </w:r>
    </w:p>
    <w:p>
      <w:pPr>
        <w:pStyle w:val="yMiscellaneousBody"/>
        <w:tabs>
          <w:tab w:val="left" w:pos="851"/>
        </w:tabs>
        <w:spacing w:before="140"/>
      </w:pPr>
      <w:r>
        <w:tab/>
        <w:t>and as the context requires such tenure if granted;</w:t>
      </w:r>
    </w:p>
    <w:p>
      <w:pPr>
        <w:pStyle w:val="yMiscellaneousBody"/>
        <w:tabs>
          <w:tab w:val="right" w:pos="595"/>
          <w:tab w:val="left" w:pos="879"/>
        </w:tabs>
        <w:spacing w:before="140"/>
        <w:ind w:left="880" w:hanging="880"/>
      </w:pPr>
      <w:r>
        <w:tab/>
        <w:t>(2)</w:t>
      </w:r>
      <w:r>
        <w:tab/>
        <w:t>in clause 10(1) by deleting “produce more than 5,500,000 tonnes of iron ore per annum for transportation from the mining lease or to”;</w:t>
      </w:r>
    </w:p>
    <w:p>
      <w:pPr>
        <w:pStyle w:val="yMiscellaneousBody"/>
        <w:tabs>
          <w:tab w:val="right" w:pos="595"/>
          <w:tab w:val="left" w:pos="879"/>
        </w:tabs>
        <w:spacing w:before="140"/>
        <w:ind w:left="880" w:hanging="880"/>
      </w:pPr>
      <w:r>
        <w:tab/>
        <w:t>(3)</w:t>
      </w:r>
      <w:r>
        <w:tab/>
        <w:t>by inserting after clause 10B the following new clauses:</w:t>
      </w:r>
    </w:p>
    <w:p>
      <w:pPr>
        <w:pStyle w:val="yMiscellaneousBody"/>
        <w:tabs>
          <w:tab w:val="left" w:pos="851"/>
        </w:tabs>
        <w:spacing w:before="140"/>
      </w:pPr>
      <w:r>
        <w:tab/>
        <w:t>“</w:t>
      </w:r>
      <w:r>
        <w:rPr>
          <w:b/>
        </w:rPr>
        <w:t>Community development plan</w:t>
      </w:r>
    </w:p>
    <w:p>
      <w:pPr>
        <w:pStyle w:val="yMiscellaneousBody"/>
        <w:tabs>
          <w:tab w:val="left" w:pos="851"/>
          <w:tab w:val="left" w:pos="1760"/>
        </w:tabs>
        <w:spacing w:before="140"/>
        <w:ind w:left="2260" w:hanging="2260"/>
      </w:pPr>
      <w:r>
        <w:tab/>
        <w:t>10C.</w:t>
      </w:r>
      <w:r>
        <w:tab/>
        <w:t>(1)</w:t>
      </w:r>
      <w:r>
        <w:tab/>
        <w:t>In this Clause, the term “community and social benefits” includes:</w:t>
      </w:r>
    </w:p>
    <w:p>
      <w:pPr>
        <w:pStyle w:val="yMiscellaneousBody"/>
        <w:tabs>
          <w:tab w:val="right" w:pos="2892"/>
          <w:tab w:val="left" w:pos="3204"/>
        </w:tabs>
        <w:spacing w:before="14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rPr>
          <w:szCs w:val="22"/>
        </w:rPr>
      </w:pPr>
      <w:r>
        <w:tab/>
        <w:t>(6)</w:t>
      </w:r>
      <w:r>
        <w:tab/>
        <w:t xml:space="preserve">At least 3 months before the anticipated submission of proposals relating to a proposed development pursuant to any of Clauses 10, 11 or 14C, the Company must, unless the Minister otherwise requires, give to the Minister information about how the proposed development may affect the plan approved or deemed to be approved by the Minister under this Clause.  This obligation operates in </w:t>
      </w:r>
      <w:r>
        <w:rPr>
          <w:szCs w:val="22"/>
        </w:rPr>
        <w:t>relation to all proposals submitted on or after the date that is 4 months after the date when a plan is first approved or deemed to be approved under this Clause.</w:t>
      </w:r>
    </w:p>
    <w:p>
      <w:pPr>
        <w:tabs>
          <w:tab w:val="right" w:pos="2041"/>
          <w:tab w:val="left" w:pos="2325"/>
        </w:tabs>
        <w:spacing w:before="160"/>
        <w:ind w:left="2319" w:hanging="2319"/>
        <w:rPr>
          <w:sz w:val="22"/>
          <w:szCs w:val="22"/>
        </w:rPr>
      </w:pPr>
      <w:r>
        <w:rPr>
          <w:sz w:val="22"/>
          <w:szCs w:val="22"/>
        </w:rPr>
        <w:tab/>
        <w:t>(7)</w:t>
      </w:r>
      <w:r>
        <w:rPr>
          <w:sz w:val="22"/>
          <w:szCs w:val="22"/>
        </w:rPr>
        <w:tab/>
        <w:t>The Company shall at least annually report to the Minister about the Company’s implementation of the plan approved or deemed to be approved by the Minister under this Clause.</w:t>
      </w:r>
    </w:p>
    <w:p>
      <w:pPr>
        <w:tabs>
          <w:tab w:val="right" w:pos="2041"/>
          <w:tab w:val="left" w:pos="2325"/>
        </w:tabs>
        <w:spacing w:before="160"/>
        <w:ind w:left="2319" w:hanging="2319"/>
        <w:rPr>
          <w:sz w:val="22"/>
          <w:szCs w:val="22"/>
        </w:rPr>
      </w:pPr>
      <w:r>
        <w:rPr>
          <w:sz w:val="22"/>
          <w:szCs w:val="22"/>
        </w:rPr>
        <w:tab/>
        <w:t>(8)</w:t>
      </w:r>
      <w:r>
        <w:rPr>
          <w:sz w:val="22"/>
          <w:szCs w:val="22"/>
        </w:rP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spacing w:before="140"/>
        <w:ind w:left="2319" w:hanging="2319"/>
        <w:rPr>
          <w:sz w:val="22"/>
          <w:szCs w:val="22"/>
        </w:rPr>
      </w:pPr>
      <w:r>
        <w:rPr>
          <w:sz w:val="22"/>
          <w:szCs w:val="22"/>
        </w:rPr>
        <w:tab/>
        <w:t>(9)</w:t>
      </w:r>
      <w:r>
        <w:rPr>
          <w:sz w:val="22"/>
          <w:szCs w:val="22"/>
        </w:rPr>
        <w:tab/>
        <w:t>During the currency of this Agreement, the Company shall implement the plan approved or deemed to be approved by the Minister under this Clause.</w:t>
      </w:r>
    </w:p>
    <w:p>
      <w:pPr>
        <w:pStyle w:val="yMiscellaneousBody"/>
        <w:tabs>
          <w:tab w:val="left" w:pos="851"/>
        </w:tabs>
        <w:spacing w:before="140"/>
        <w:rPr>
          <w:b/>
          <w:szCs w:val="22"/>
        </w:rPr>
      </w:pPr>
      <w:r>
        <w:rPr>
          <w:b/>
          <w:szCs w:val="22"/>
        </w:rPr>
        <w:tab/>
        <w:t>Local participation plan</w:t>
      </w:r>
    </w:p>
    <w:p>
      <w:pPr>
        <w:pStyle w:val="yMiscellaneousBody"/>
        <w:tabs>
          <w:tab w:val="left" w:pos="851"/>
          <w:tab w:val="left" w:pos="1760"/>
        </w:tabs>
        <w:spacing w:before="140"/>
        <w:ind w:left="2260" w:hanging="2260"/>
        <w:rPr>
          <w:szCs w:val="22"/>
        </w:rPr>
      </w:pPr>
      <w:r>
        <w:rPr>
          <w:szCs w:val="22"/>
        </w:rPr>
        <w:tab/>
        <w:t>10D.</w:t>
      </w:r>
      <w:r>
        <w:rPr>
          <w:szCs w:val="22"/>
        </w:rPr>
        <w:tab/>
        <w:t>(1)</w:t>
      </w:r>
      <w:r>
        <w:rPr>
          <w:szCs w:val="22"/>
        </w:rPr>
        <w:tab/>
        <w:t>In this Clause, the term “local industry participation benefits” means:</w:t>
      </w:r>
    </w:p>
    <w:p>
      <w:pPr>
        <w:pStyle w:val="yMiscellaneousBody"/>
        <w:tabs>
          <w:tab w:val="right" w:pos="2892"/>
          <w:tab w:val="left" w:pos="3204"/>
        </w:tabs>
        <w:spacing w:before="120"/>
        <w:ind w:left="3198" w:hanging="3198"/>
        <w:rPr>
          <w:szCs w:val="22"/>
        </w:rPr>
      </w:pPr>
      <w:r>
        <w:rPr>
          <w:szCs w:val="22"/>
        </w:rPr>
        <w:tab/>
        <w:t>(a)</w:t>
      </w:r>
      <w:r>
        <w:rPr>
          <w:szCs w:val="22"/>
        </w:rPr>
        <w:tab/>
        <w:t xml:space="preserve">the use and training of labour available within the said State; </w:t>
      </w:r>
    </w:p>
    <w:p>
      <w:pPr>
        <w:tabs>
          <w:tab w:val="right" w:pos="2892"/>
          <w:tab w:val="left" w:pos="3204"/>
        </w:tabs>
        <w:spacing w:before="120"/>
        <w:ind w:left="3198" w:hanging="3198"/>
        <w:rPr>
          <w:sz w:val="22"/>
          <w:szCs w:val="22"/>
        </w:rPr>
      </w:pPr>
      <w:r>
        <w:rPr>
          <w:sz w:val="22"/>
          <w:szCs w:val="22"/>
        </w:rPr>
        <w:tab/>
        <w:t>(b)</w:t>
      </w:r>
      <w:r>
        <w:rPr>
          <w:sz w:val="22"/>
          <w:szCs w:val="22"/>
        </w:rPr>
        <w:tab/>
        <w:t>the use of the services of engineers, surveyors, architects and other professional consultants, experts, specialists, project managers and contractors available within the said State; and</w:t>
      </w:r>
    </w:p>
    <w:p>
      <w:pPr>
        <w:tabs>
          <w:tab w:val="right" w:pos="2892"/>
          <w:tab w:val="left" w:pos="3204"/>
        </w:tabs>
        <w:spacing w:before="120"/>
        <w:ind w:left="3198" w:hanging="3198"/>
        <w:rPr>
          <w:sz w:val="22"/>
          <w:szCs w:val="22"/>
        </w:rPr>
      </w:pPr>
      <w:r>
        <w:rPr>
          <w:sz w:val="22"/>
          <w:szCs w:val="22"/>
        </w:rPr>
        <w:tab/>
        <w:t>(c)</w:t>
      </w:r>
      <w:r>
        <w:rPr>
          <w:sz w:val="22"/>
          <w:szCs w:val="22"/>
        </w:rPr>
        <w:tab/>
        <w:t>the procurement of works, materials, plant, equipment and supplies from Western Australian suppliers, manufacturers and contractors.</w:t>
      </w:r>
    </w:p>
    <w:p>
      <w:pPr>
        <w:tabs>
          <w:tab w:val="right" w:pos="2041"/>
          <w:tab w:val="left" w:pos="2325"/>
        </w:tabs>
        <w:spacing w:before="140"/>
        <w:ind w:left="2319" w:hanging="2319"/>
        <w:rPr>
          <w:sz w:val="22"/>
          <w:szCs w:val="22"/>
        </w:rPr>
      </w:pPr>
      <w:r>
        <w:rPr>
          <w:sz w:val="22"/>
          <w:szCs w:val="22"/>
        </w:rPr>
        <w:tab/>
        <w:t>(2)</w:t>
      </w:r>
      <w:r>
        <w:rPr>
          <w:sz w:val="22"/>
          <w:szCs w:val="22"/>
        </w:rPr>
        <w:tab/>
        <w:t>The Company acknowledges the need for local industry participation benefits flowing from this Agreement.</w:t>
      </w:r>
    </w:p>
    <w:p>
      <w:pPr>
        <w:tabs>
          <w:tab w:val="right" w:pos="2041"/>
          <w:tab w:val="left" w:pos="2325"/>
        </w:tabs>
        <w:spacing w:before="140"/>
        <w:ind w:left="2319" w:hanging="2319"/>
        <w:rPr>
          <w:sz w:val="22"/>
          <w:szCs w:val="22"/>
        </w:rPr>
      </w:pPr>
      <w:r>
        <w:rPr>
          <w:sz w:val="22"/>
          <w:szCs w:val="22"/>
        </w:rPr>
        <w:tab/>
        <w:t>(3)</w:t>
      </w:r>
      <w:r>
        <w:rPr>
          <w:sz w:val="22"/>
          <w:szCs w:val="22"/>
        </w:rPr>
        <w:tab/>
        <w:t>The Company agrees that it shall, not later than 3 months after the second variation date, prepare and provide to the Minister a plan which contains:</w:t>
      </w:r>
    </w:p>
    <w:p>
      <w:pPr>
        <w:tabs>
          <w:tab w:val="right" w:pos="2892"/>
          <w:tab w:val="left" w:pos="3204"/>
        </w:tabs>
        <w:spacing w:before="140"/>
        <w:ind w:left="3198" w:hanging="3198"/>
        <w:rPr>
          <w:sz w:val="22"/>
          <w:szCs w:val="22"/>
        </w:rPr>
      </w:pPr>
      <w:r>
        <w:rPr>
          <w:sz w:val="22"/>
          <w:szCs w:val="22"/>
        </w:rPr>
        <w:tab/>
        <w:t>(a)</w:t>
      </w:r>
      <w:r>
        <w:rPr>
          <w:sz w:val="22"/>
          <w:szCs w:val="22"/>
        </w:rPr>
        <w:tab/>
        <w:t xml:space="preserve">a clear statement on the strategies which the Company will use, and require a third party as referred to in subclause (7) to use, to maximise the uses and procurement referred to in subclause (1);  </w:t>
      </w:r>
    </w:p>
    <w:p>
      <w:pPr>
        <w:tabs>
          <w:tab w:val="right" w:pos="2892"/>
          <w:tab w:val="left" w:pos="3204"/>
        </w:tabs>
        <w:spacing w:before="140"/>
        <w:ind w:left="3198" w:hanging="3198"/>
        <w:rPr>
          <w:sz w:val="22"/>
          <w:szCs w:val="22"/>
        </w:rPr>
      </w:pPr>
      <w:r>
        <w:rPr>
          <w:sz w:val="22"/>
          <w:szCs w:val="22"/>
        </w:rPr>
        <w:tab/>
        <w:t>(b)</w:t>
      </w:r>
      <w:r>
        <w:rPr>
          <w:sz w:val="22"/>
          <w:szCs w:val="22"/>
        </w:rP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spacing w:before="140"/>
        <w:ind w:left="3200" w:hanging="3200"/>
        <w:rPr>
          <w:sz w:val="22"/>
          <w:szCs w:val="22"/>
        </w:rPr>
      </w:pPr>
      <w:r>
        <w:rPr>
          <w:sz w:val="22"/>
          <w:szCs w:val="22"/>
        </w:rPr>
        <w:tab/>
        <w:t>(c)</w:t>
      </w:r>
      <w:r>
        <w:rPr>
          <w:sz w:val="22"/>
          <w:szCs w:val="22"/>
        </w:rP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spacing w:before="140"/>
        <w:ind w:left="3200" w:hanging="3200"/>
        <w:rPr>
          <w:sz w:val="22"/>
          <w:szCs w:val="22"/>
        </w:rPr>
      </w:pPr>
      <w:r>
        <w:rPr>
          <w:sz w:val="22"/>
          <w:szCs w:val="22"/>
        </w:rPr>
        <w:tab/>
        <w:t>(d)</w:t>
      </w:r>
      <w:r>
        <w:rPr>
          <w:sz w:val="22"/>
          <w:szCs w:val="22"/>
        </w:rP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spacing w:before="160"/>
        <w:ind w:left="2320"/>
        <w:rPr>
          <w:sz w:val="22"/>
          <w:szCs w:val="22"/>
        </w:rPr>
      </w:pPr>
      <w:r>
        <w:rPr>
          <w:sz w:val="22"/>
          <w:szCs w:val="22"/>
        </w:rP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tabs>
          <w:tab w:val="right" w:pos="2041"/>
          <w:tab w:val="left" w:pos="2325"/>
        </w:tabs>
        <w:spacing w:before="140"/>
        <w:ind w:left="2320" w:hanging="2320"/>
        <w:rPr>
          <w:sz w:val="22"/>
          <w:szCs w:val="22"/>
        </w:rPr>
      </w:pPr>
      <w:r>
        <w:rPr>
          <w:sz w:val="22"/>
          <w:szCs w:val="22"/>
        </w:rPr>
        <w:tab/>
        <w:t>(4)</w:t>
      </w:r>
      <w:r>
        <w:rPr>
          <w:sz w:val="22"/>
          <w:szCs w:val="22"/>
        </w:rP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spacing w:before="140"/>
        <w:ind w:left="2320" w:hanging="2320"/>
        <w:rPr>
          <w:sz w:val="22"/>
          <w:szCs w:val="22"/>
        </w:rPr>
      </w:pPr>
      <w:r>
        <w:rPr>
          <w:sz w:val="22"/>
          <w:szCs w:val="22"/>
        </w:rPr>
        <w:tab/>
        <w:t>(5)</w:t>
      </w:r>
      <w:r>
        <w:rPr>
          <w:sz w:val="22"/>
          <w:szCs w:val="22"/>
        </w:rPr>
        <w:tab/>
        <w:t>At least 6 months before the anticipated submission of proposals relating to a proposed development pursuant to any of Clauses 10, 11 or 14C,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spacing w:before="140"/>
        <w:ind w:left="2320" w:hanging="2320"/>
        <w:rPr>
          <w:sz w:val="22"/>
          <w:szCs w:val="22"/>
        </w:rPr>
      </w:pPr>
      <w:r>
        <w:rPr>
          <w:sz w:val="22"/>
          <w:szCs w:val="22"/>
        </w:rPr>
        <w:tab/>
        <w:t>(6)</w:t>
      </w:r>
      <w:r>
        <w:rPr>
          <w:sz w:val="22"/>
          <w:szCs w:val="22"/>
        </w:rPr>
        <w:tab/>
        <w:t>During the currency of this Agreement the Company shall implement the plan provided under this Clause.</w:t>
      </w:r>
    </w:p>
    <w:p>
      <w:pPr>
        <w:tabs>
          <w:tab w:val="right" w:pos="2041"/>
          <w:tab w:val="left" w:pos="2325"/>
        </w:tabs>
        <w:spacing w:before="140"/>
        <w:ind w:left="2320" w:hanging="2320"/>
        <w:rPr>
          <w:sz w:val="22"/>
          <w:szCs w:val="22"/>
        </w:rPr>
      </w:pPr>
      <w:r>
        <w:rPr>
          <w:sz w:val="22"/>
          <w:szCs w:val="22"/>
        </w:rPr>
        <w:tab/>
        <w:t>(7)</w:t>
      </w:r>
      <w:r>
        <w:rPr>
          <w:sz w:val="22"/>
          <w:szCs w:val="22"/>
        </w:rPr>
        <w:tab/>
        <w:t>The Company shall:</w:t>
      </w:r>
    </w:p>
    <w:p>
      <w:pPr>
        <w:tabs>
          <w:tab w:val="right" w:pos="2892"/>
          <w:tab w:val="left" w:pos="3204"/>
        </w:tabs>
        <w:spacing w:before="140"/>
        <w:ind w:left="3200" w:hanging="3200"/>
        <w:rPr>
          <w:sz w:val="22"/>
          <w:szCs w:val="22"/>
        </w:rPr>
      </w:pPr>
      <w:r>
        <w:rPr>
          <w:sz w:val="22"/>
          <w:szCs w:val="22"/>
        </w:rPr>
        <w:tab/>
        <w:t>(a)</w:t>
      </w:r>
      <w:r>
        <w:rPr>
          <w:sz w:val="22"/>
          <w:szCs w:val="22"/>
        </w:rPr>
        <w:tab/>
        <w:t>in every contract entered into with a third party where the third party has an obligation or right to procure the supply of services, labour, works, materials, plant, equipment or supplies for or in connection with a proposed development, ensure that</w:t>
      </w:r>
      <w:r>
        <w:t xml:space="preserve"> </w:t>
      </w:r>
      <w:r>
        <w:rPr>
          <w:sz w:val="22"/>
          <w:szCs w:val="22"/>
        </w:rPr>
        <w:t>the contract contains appropriate provisions requiring the third party to undertake procurement activities in accordance with the plan provided under this Clause; and</w:t>
      </w:r>
    </w:p>
    <w:p>
      <w:pPr>
        <w:tabs>
          <w:tab w:val="right" w:pos="2892"/>
          <w:tab w:val="left" w:pos="3204"/>
        </w:tabs>
        <w:spacing w:before="160"/>
        <w:ind w:left="3200" w:hanging="3200"/>
        <w:rPr>
          <w:sz w:val="22"/>
          <w:szCs w:val="22"/>
        </w:rPr>
      </w:pPr>
      <w:r>
        <w:rPr>
          <w:sz w:val="22"/>
          <w:szCs w:val="22"/>
        </w:rPr>
        <w:tab/>
        <w:t>(b)</w:t>
      </w:r>
      <w:r>
        <w:rPr>
          <w:sz w:val="22"/>
          <w:szCs w:val="22"/>
        </w:rPr>
        <w:tab/>
        <w:t>use reasonable endeavours to ensure that the third party complies with those provisions.”;</w:t>
      </w:r>
    </w:p>
    <w:p>
      <w:pPr>
        <w:pStyle w:val="yMiscellaneousBody"/>
        <w:tabs>
          <w:tab w:val="right" w:pos="595"/>
          <w:tab w:val="left" w:pos="879"/>
        </w:tabs>
        <w:ind w:left="879" w:hanging="879"/>
        <w:rPr>
          <w:szCs w:val="22"/>
        </w:rPr>
      </w:pPr>
      <w:r>
        <w:rPr>
          <w:szCs w:val="22"/>
        </w:rPr>
        <w:tab/>
        <w:t>(4)</w:t>
      </w:r>
      <w:r>
        <w:rPr>
          <w:szCs w:val="22"/>
        </w:rPr>
        <w:tab/>
        <w:t>in clause 11 by:</w:t>
      </w:r>
    </w:p>
    <w:p>
      <w:pPr>
        <w:tabs>
          <w:tab w:val="right" w:pos="1332"/>
          <w:tab w:val="left" w:pos="1616"/>
        </w:tabs>
        <w:spacing w:before="160"/>
        <w:ind w:left="1620" w:hanging="1620"/>
        <w:rPr>
          <w:sz w:val="22"/>
          <w:szCs w:val="22"/>
        </w:rPr>
      </w:pPr>
      <w:r>
        <w:rPr>
          <w:sz w:val="22"/>
          <w:szCs w:val="22"/>
        </w:rPr>
        <w:tab/>
        <w:t>(a)</w:t>
      </w:r>
      <w:r>
        <w:rPr>
          <w:sz w:val="22"/>
          <w:szCs w:val="22"/>
        </w:rPr>
        <w:tab/>
        <w:t>in subclause (1), deleting the definition of “approved production limit under this Clause”;</w:t>
      </w:r>
    </w:p>
    <w:p>
      <w:pPr>
        <w:tabs>
          <w:tab w:val="right" w:pos="1332"/>
          <w:tab w:val="left" w:pos="1616"/>
        </w:tabs>
        <w:spacing w:before="160"/>
        <w:ind w:left="1620" w:hanging="1620"/>
        <w:rPr>
          <w:sz w:val="22"/>
          <w:szCs w:val="22"/>
        </w:rPr>
      </w:pPr>
      <w:r>
        <w:rPr>
          <w:sz w:val="22"/>
          <w:szCs w:val="22"/>
        </w:rPr>
        <w:tab/>
        <w:t>(b)</w:t>
      </w:r>
      <w:r>
        <w:rPr>
          <w:sz w:val="22"/>
          <w:szCs w:val="22"/>
        </w:rPr>
        <w:tab/>
        <w:t>in subclause (2):</w:t>
      </w:r>
    </w:p>
    <w:p>
      <w:pPr>
        <w:tabs>
          <w:tab w:val="right" w:pos="2041"/>
          <w:tab w:val="left" w:pos="2325"/>
        </w:tabs>
        <w:spacing w:before="160"/>
        <w:ind w:left="2320" w:hanging="2320"/>
        <w:rPr>
          <w:sz w:val="22"/>
          <w:szCs w:val="22"/>
        </w:rPr>
      </w:pPr>
      <w:r>
        <w:rPr>
          <w:sz w:val="22"/>
          <w:szCs w:val="22"/>
        </w:rPr>
        <w:tab/>
        <w:t>(i)</w:t>
      </w:r>
      <w:r>
        <w:rPr>
          <w:sz w:val="22"/>
          <w:szCs w:val="22"/>
        </w:rPr>
        <w:tab/>
        <w:t>deleting “produce iron ore under this Agreement for transportation in any calendar year in excess of the approved production limit nor shall” and substituting “increase”;</w:t>
      </w:r>
    </w:p>
    <w:p>
      <w:pPr>
        <w:tabs>
          <w:tab w:val="right" w:pos="2041"/>
          <w:tab w:val="left" w:pos="2325"/>
        </w:tabs>
        <w:spacing w:before="160"/>
        <w:ind w:left="2320" w:hanging="2320"/>
        <w:rPr>
          <w:sz w:val="22"/>
          <w:szCs w:val="22"/>
        </w:rPr>
      </w:pPr>
      <w:r>
        <w:rPr>
          <w:sz w:val="22"/>
          <w:szCs w:val="22"/>
        </w:rPr>
        <w:tab/>
        <w:t>(ii)</w:t>
      </w:r>
      <w:r>
        <w:rPr>
          <w:sz w:val="22"/>
          <w:szCs w:val="22"/>
        </w:rPr>
        <w:tab/>
        <w:t>deleting “exceed” and substituting “above”;</w:t>
      </w:r>
    </w:p>
    <w:p>
      <w:pPr>
        <w:tabs>
          <w:tab w:val="right" w:pos="1332"/>
          <w:tab w:val="left" w:pos="1616"/>
        </w:tabs>
        <w:spacing w:before="160"/>
        <w:ind w:left="1620" w:hanging="1620"/>
        <w:rPr>
          <w:sz w:val="22"/>
          <w:szCs w:val="22"/>
        </w:rPr>
      </w:pPr>
      <w:r>
        <w:rPr>
          <w:sz w:val="22"/>
          <w:szCs w:val="22"/>
        </w:rPr>
        <w:tab/>
        <w:t>(c)</w:t>
      </w:r>
      <w:r>
        <w:rPr>
          <w:sz w:val="22"/>
          <w:szCs w:val="22"/>
        </w:rPr>
        <w:tab/>
        <w:t>in subclause 3, deleting “the approved production limit under this Clause or”;</w:t>
      </w:r>
    </w:p>
    <w:p>
      <w:pPr>
        <w:tabs>
          <w:tab w:val="right" w:pos="1332"/>
          <w:tab w:val="left" w:pos="1616"/>
        </w:tabs>
        <w:spacing w:before="160"/>
        <w:ind w:left="1620" w:hanging="1620"/>
        <w:rPr>
          <w:sz w:val="22"/>
          <w:szCs w:val="22"/>
        </w:rPr>
      </w:pPr>
      <w:r>
        <w:rPr>
          <w:sz w:val="22"/>
          <w:szCs w:val="22"/>
        </w:rPr>
        <w:tab/>
        <w:t>(d)</w:t>
      </w:r>
      <w:r>
        <w:rPr>
          <w:sz w:val="22"/>
          <w:szCs w:val="22"/>
        </w:rPr>
        <w:tab/>
        <w:t>deleting subclause (5);</w:t>
      </w:r>
    </w:p>
    <w:p>
      <w:pPr>
        <w:tabs>
          <w:tab w:val="right" w:pos="1332"/>
          <w:tab w:val="left" w:pos="1616"/>
        </w:tabs>
        <w:spacing w:before="160"/>
        <w:ind w:left="1620" w:hanging="1620"/>
        <w:rPr>
          <w:sz w:val="22"/>
          <w:szCs w:val="22"/>
        </w:rPr>
      </w:pPr>
      <w:r>
        <w:rPr>
          <w:sz w:val="22"/>
          <w:szCs w:val="22"/>
        </w:rPr>
        <w:tab/>
        <w:t>(e)</w:t>
      </w:r>
      <w:r>
        <w:rPr>
          <w:sz w:val="22"/>
          <w:szCs w:val="22"/>
        </w:rPr>
        <w:tab/>
        <w:t>in subclause (8)(a):</w:t>
      </w:r>
    </w:p>
    <w:p>
      <w:pPr>
        <w:tabs>
          <w:tab w:val="right" w:pos="2041"/>
          <w:tab w:val="left" w:pos="2325"/>
        </w:tabs>
        <w:spacing w:before="160"/>
        <w:ind w:left="2320" w:hanging="2320"/>
        <w:rPr>
          <w:sz w:val="22"/>
          <w:szCs w:val="22"/>
        </w:rPr>
      </w:pPr>
      <w:r>
        <w:rPr>
          <w:sz w:val="22"/>
          <w:szCs w:val="22"/>
        </w:rPr>
        <w:tab/>
        <w:t>(i)</w:t>
      </w:r>
      <w:r>
        <w:rPr>
          <w:sz w:val="22"/>
          <w:szCs w:val="22"/>
        </w:rPr>
        <w:tab/>
        <w:t>deleting “approved production limit or”; and</w:t>
      </w:r>
    </w:p>
    <w:p>
      <w:pPr>
        <w:tabs>
          <w:tab w:val="right" w:pos="2041"/>
          <w:tab w:val="left" w:pos="2325"/>
        </w:tabs>
        <w:spacing w:before="160"/>
        <w:ind w:left="2320" w:hanging="2320"/>
        <w:rPr>
          <w:sz w:val="22"/>
          <w:szCs w:val="22"/>
        </w:rPr>
      </w:pPr>
      <w:r>
        <w:rPr>
          <w:sz w:val="22"/>
          <w:szCs w:val="22"/>
        </w:rPr>
        <w:tab/>
        <w:t>(ii)</w:t>
      </w:r>
      <w:r>
        <w:rPr>
          <w:sz w:val="22"/>
          <w:szCs w:val="22"/>
        </w:rPr>
        <w:tab/>
        <w:t>deleting “, in respect of a consent in relation to a proposed increase in the approved mine workforce,”; and</w:t>
      </w:r>
    </w:p>
    <w:p>
      <w:pPr>
        <w:tabs>
          <w:tab w:val="right" w:pos="1332"/>
          <w:tab w:val="left" w:pos="1616"/>
        </w:tabs>
        <w:spacing w:before="160"/>
        <w:ind w:left="1620" w:hanging="1620"/>
        <w:rPr>
          <w:sz w:val="22"/>
          <w:szCs w:val="22"/>
        </w:rPr>
      </w:pPr>
      <w:r>
        <w:rPr>
          <w:sz w:val="22"/>
          <w:szCs w:val="22"/>
        </w:rPr>
        <w:tab/>
        <w:t>(f)</w:t>
      </w:r>
      <w:r>
        <w:rPr>
          <w:sz w:val="22"/>
          <w:szCs w:val="22"/>
        </w:rPr>
        <w:tab/>
        <w:t>inserting after subclause (8) a new subclause as follows:</w:t>
      </w:r>
    </w:p>
    <w:p>
      <w:pPr>
        <w:tabs>
          <w:tab w:val="left" w:pos="851"/>
          <w:tab w:val="left" w:pos="1650"/>
        </w:tabs>
        <w:spacing w:before="160"/>
        <w:ind w:left="2420" w:hanging="2480"/>
        <w:rPr>
          <w:sz w:val="22"/>
          <w:szCs w:val="22"/>
        </w:rPr>
      </w:pPr>
      <w:r>
        <w:rPr>
          <w:sz w:val="22"/>
          <w:szCs w:val="22"/>
        </w:rPr>
        <w:tab/>
      </w:r>
      <w:r>
        <w:rPr>
          <w:sz w:val="22"/>
          <w:szCs w:val="22"/>
        </w:rPr>
        <w:tab/>
        <w:t>“(9)</w:t>
      </w:r>
      <w:r>
        <w:rPr>
          <w:sz w:val="22"/>
          <w:szCs w:val="22"/>
        </w:rPr>
        <w:tab/>
        <w:t>For the avoidance of doubt, nothing in this clause 11 requires the Company to seek or obtain the Minister’s approval or consent (by submitting proposals or otherwise) to a mere increase in production limits.”;</w:t>
      </w:r>
    </w:p>
    <w:p>
      <w:pPr>
        <w:keepNext/>
        <w:tabs>
          <w:tab w:val="right" w:pos="595"/>
          <w:tab w:val="left" w:pos="879"/>
        </w:tabs>
        <w:spacing w:before="160"/>
        <w:ind w:left="879" w:hanging="879"/>
        <w:rPr>
          <w:sz w:val="22"/>
          <w:szCs w:val="22"/>
        </w:rPr>
      </w:pPr>
      <w:r>
        <w:rPr>
          <w:sz w:val="22"/>
          <w:szCs w:val="22"/>
        </w:rPr>
        <w:tab/>
        <w:t>(5)</w:t>
      </w:r>
      <w:r>
        <w:rPr>
          <w:sz w:val="22"/>
          <w:szCs w:val="22"/>
        </w:rPr>
        <w:tab/>
        <w:t>in clause 13(1) by:</w:t>
      </w:r>
    </w:p>
    <w:p>
      <w:pPr>
        <w:tabs>
          <w:tab w:val="right" w:pos="1332"/>
          <w:tab w:val="left" w:pos="1616"/>
        </w:tabs>
        <w:spacing w:before="160"/>
        <w:ind w:left="1620" w:hanging="1620"/>
        <w:rPr>
          <w:sz w:val="22"/>
          <w:szCs w:val="22"/>
        </w:rPr>
      </w:pPr>
      <w:r>
        <w:rPr>
          <w:sz w:val="22"/>
          <w:szCs w:val="22"/>
        </w:rPr>
        <w:tab/>
        <w:t>(a)</w:t>
      </w:r>
      <w:r>
        <w:rPr>
          <w:sz w:val="22"/>
          <w:szCs w:val="22"/>
        </w:rPr>
        <w:tab/>
        <w:t>deleting paragraph (aa); and</w:t>
      </w:r>
    </w:p>
    <w:p>
      <w:pPr>
        <w:tabs>
          <w:tab w:val="right" w:pos="1332"/>
          <w:tab w:val="left" w:pos="1616"/>
        </w:tabs>
        <w:spacing w:before="160"/>
        <w:ind w:left="1620" w:hanging="1620"/>
        <w:rPr>
          <w:sz w:val="22"/>
          <w:szCs w:val="22"/>
        </w:rPr>
      </w:pPr>
      <w:r>
        <w:rPr>
          <w:sz w:val="22"/>
          <w:szCs w:val="22"/>
        </w:rPr>
        <w:tab/>
        <w:t>(b)</w:t>
      </w:r>
      <w:r>
        <w:rPr>
          <w:sz w:val="22"/>
          <w:szCs w:val="22"/>
        </w:rPr>
        <w:tab/>
        <w:t>deleting paragraph (ac) and substituting the following paragraph:</w:t>
      </w:r>
    </w:p>
    <w:p>
      <w:pPr>
        <w:spacing w:before="140"/>
        <w:ind w:left="2520" w:hanging="920"/>
        <w:rPr>
          <w:sz w:val="22"/>
          <w:szCs w:val="22"/>
        </w:rPr>
      </w:pPr>
      <w:r>
        <w:rPr>
          <w:sz w:val="22"/>
          <w:szCs w:val="22"/>
        </w:rPr>
        <w:t>“(ac)</w:t>
      </w:r>
      <w:r>
        <w:rPr>
          <w:sz w:val="22"/>
          <w:szCs w:val="22"/>
        </w:rPr>
        <w:tab/>
        <w:t>on fine ore and on pisolite fine ore sold or shipped separately as such at the rate of:</w:t>
      </w:r>
    </w:p>
    <w:p>
      <w:pPr>
        <w:tabs>
          <w:tab w:val="right" w:pos="2892"/>
          <w:tab w:val="left" w:pos="3204"/>
        </w:tabs>
        <w:spacing w:before="140"/>
        <w:ind w:left="3200" w:hanging="3200"/>
        <w:rPr>
          <w:sz w:val="22"/>
          <w:szCs w:val="22"/>
        </w:rPr>
      </w:pPr>
      <w:r>
        <w:rPr>
          <w:sz w:val="22"/>
          <w:szCs w:val="22"/>
        </w:rPr>
        <w:tab/>
        <w:t>(i)</w:t>
      </w:r>
      <w:r>
        <w:rPr>
          <w:sz w:val="22"/>
          <w:szCs w:val="22"/>
        </w:rPr>
        <w:tab/>
        <w:t>5.625% of the f.o.b. value, for ore shipped prior to or on 30 June 2012;</w:t>
      </w:r>
    </w:p>
    <w:p>
      <w:pPr>
        <w:tabs>
          <w:tab w:val="right" w:pos="2892"/>
          <w:tab w:val="left" w:pos="3204"/>
        </w:tabs>
        <w:spacing w:before="140"/>
        <w:ind w:left="3200" w:hanging="3200"/>
        <w:rPr>
          <w:sz w:val="22"/>
          <w:szCs w:val="22"/>
        </w:rPr>
      </w:pPr>
      <w:r>
        <w:rPr>
          <w:sz w:val="22"/>
          <w:szCs w:val="22"/>
        </w:rPr>
        <w:tab/>
        <w:t>(ii)</w:t>
      </w:r>
      <w:r>
        <w:rPr>
          <w:sz w:val="22"/>
          <w:szCs w:val="22"/>
        </w:rPr>
        <w:tab/>
        <w:t>6.5% of the f.o.b. value, for ore shipped during the period from 1 July 2012 to 30 June 2013 (inclusive of both dates); and</w:t>
      </w:r>
    </w:p>
    <w:p>
      <w:pPr>
        <w:tabs>
          <w:tab w:val="right" w:pos="2892"/>
          <w:tab w:val="left" w:pos="3204"/>
        </w:tabs>
        <w:spacing w:before="140"/>
        <w:ind w:left="3200" w:hanging="3200"/>
        <w:rPr>
          <w:sz w:val="22"/>
          <w:szCs w:val="22"/>
        </w:rPr>
      </w:pPr>
      <w:r>
        <w:rPr>
          <w:sz w:val="22"/>
          <w:szCs w:val="22"/>
        </w:rPr>
        <w:tab/>
        <w:t>(iii)</w:t>
      </w:r>
      <w:r>
        <w:rPr>
          <w:sz w:val="22"/>
          <w:szCs w:val="22"/>
        </w:rPr>
        <w:tab/>
        <w:t>7.5% of the f.o.b. value, for ore shipped on or after 1 July 2013;”;</w:t>
      </w:r>
    </w:p>
    <w:p>
      <w:pPr>
        <w:tabs>
          <w:tab w:val="right" w:pos="595"/>
          <w:tab w:val="left" w:pos="879"/>
        </w:tabs>
        <w:spacing w:before="140"/>
        <w:ind w:left="880" w:hanging="880"/>
        <w:rPr>
          <w:sz w:val="22"/>
          <w:szCs w:val="22"/>
        </w:rPr>
      </w:pPr>
      <w:r>
        <w:rPr>
          <w:sz w:val="22"/>
          <w:szCs w:val="22"/>
        </w:rPr>
        <w:tab/>
        <w:t>(6)</w:t>
      </w:r>
      <w:r>
        <w:rPr>
          <w:sz w:val="22"/>
          <w:szCs w:val="22"/>
        </w:rPr>
        <w:tab/>
        <w:t>in clause 14C by:</w:t>
      </w:r>
    </w:p>
    <w:p>
      <w:pPr>
        <w:tabs>
          <w:tab w:val="right" w:pos="1332"/>
          <w:tab w:val="left" w:pos="1616"/>
        </w:tabs>
        <w:spacing w:before="140"/>
        <w:ind w:left="1620" w:hanging="1620"/>
        <w:rPr>
          <w:sz w:val="22"/>
          <w:szCs w:val="22"/>
        </w:rPr>
      </w:pPr>
      <w:r>
        <w:rPr>
          <w:sz w:val="22"/>
          <w:szCs w:val="22"/>
        </w:rPr>
        <w:tab/>
        <w:t>(a)</w:t>
      </w:r>
      <w:r>
        <w:rPr>
          <w:sz w:val="22"/>
          <w:szCs w:val="22"/>
        </w:rPr>
        <w:tab/>
        <w:t xml:space="preserve">deleting in subclause (1) ““LAA” means the </w:t>
      </w:r>
      <w:r>
        <w:rPr>
          <w:i/>
          <w:sz w:val="22"/>
          <w:szCs w:val="22"/>
        </w:rPr>
        <w:t>Land Administration Act 1997</w:t>
      </w:r>
      <w:r>
        <w:rPr>
          <w:sz w:val="22"/>
          <w:szCs w:val="22"/>
        </w:rPr>
        <w:t xml:space="preserve"> (WA)”;</w:t>
      </w:r>
    </w:p>
    <w:p>
      <w:pPr>
        <w:tabs>
          <w:tab w:val="right" w:pos="1332"/>
          <w:tab w:val="left" w:pos="1616"/>
        </w:tabs>
        <w:spacing w:before="140"/>
        <w:ind w:left="1620" w:hanging="1620"/>
        <w:rPr>
          <w:sz w:val="22"/>
          <w:szCs w:val="22"/>
        </w:rPr>
      </w:pPr>
      <w:r>
        <w:rPr>
          <w:sz w:val="22"/>
          <w:szCs w:val="22"/>
        </w:rPr>
        <w:tab/>
        <w:t>(b)</w:t>
      </w:r>
      <w:r>
        <w:rPr>
          <w:sz w:val="22"/>
          <w:szCs w:val="22"/>
        </w:rPr>
        <w:tab/>
        <w:t>inserting after subclause (3)(c) the following new paragraph:</w:t>
      </w:r>
    </w:p>
    <w:p>
      <w:pPr>
        <w:tabs>
          <w:tab w:val="left" w:pos="1650"/>
        </w:tabs>
        <w:spacing w:before="140"/>
        <w:ind w:left="2520" w:hanging="2700"/>
        <w:rPr>
          <w:sz w:val="22"/>
          <w:szCs w:val="22"/>
        </w:rPr>
      </w:pPr>
      <w:r>
        <w:rPr>
          <w:sz w:val="22"/>
          <w:szCs w:val="22"/>
        </w:rPr>
        <w:tab/>
        <w:t>“(d)</w:t>
      </w:r>
      <w:r>
        <w:rPr>
          <w:sz w:val="22"/>
          <w:szCs w:val="22"/>
        </w:rPr>
        <w:tab/>
        <w:t>Without limiting subclause (9), the Minister may waive the requirement under this clause for the Company to obtain and to furnish the consent of a title holder if the title holder has refused to give the required consent and the Minister is satisfied that:</w:t>
      </w:r>
    </w:p>
    <w:p>
      <w:pPr>
        <w:tabs>
          <w:tab w:val="right" w:pos="2892"/>
          <w:tab w:val="left" w:pos="3204"/>
        </w:tabs>
        <w:spacing w:before="140"/>
        <w:ind w:left="3198" w:hanging="3198"/>
        <w:rPr>
          <w:sz w:val="22"/>
          <w:szCs w:val="22"/>
        </w:rPr>
      </w:pPr>
      <w:r>
        <w:rPr>
          <w:sz w:val="22"/>
          <w:szCs w:val="22"/>
        </w:rPr>
        <w:tab/>
        <w:t>(i)</w:t>
      </w:r>
      <w:r>
        <w:rPr>
          <w:sz w:val="22"/>
          <w:szCs w:val="22"/>
        </w:rPr>
        <w:tab/>
        <w:t xml:space="preserve">the title holder’s affected land is or was subject to a miscellaneous licence granted under the </w:t>
      </w:r>
      <w:r>
        <w:rPr>
          <w:i/>
          <w:sz w:val="22"/>
          <w:szCs w:val="22"/>
        </w:rPr>
        <w:t>Mining Act 1978</w:t>
      </w:r>
      <w:r>
        <w:rPr>
          <w:sz w:val="22"/>
          <w:szCs w:val="22"/>
        </w:rPr>
        <w:t xml:space="preserve"> for the purpose of a railway to be constructed and operated in accordance with this Agreement; and</w:t>
      </w:r>
    </w:p>
    <w:p>
      <w:pPr>
        <w:tabs>
          <w:tab w:val="right" w:pos="2892"/>
          <w:tab w:val="left" w:pos="3204"/>
        </w:tabs>
        <w:spacing w:before="140"/>
        <w:ind w:left="3198" w:hanging="3198"/>
        <w:rPr>
          <w:sz w:val="22"/>
          <w:szCs w:val="22"/>
        </w:rPr>
      </w:pPr>
      <w:r>
        <w:rPr>
          <w:sz w:val="22"/>
          <w:szCs w:val="22"/>
        </w:rPr>
        <w:tab/>
        <w:t>(ii)</w:t>
      </w:r>
      <w:r>
        <w:rPr>
          <w:sz w:val="22"/>
          <w:szCs w:val="22"/>
        </w:rPr>
        <w:tab/>
        <w:t>in the Minister’s opinion, the title holder’s refusal to give the required consent is not reasonable in all the circumstances including having regard to:</w:t>
      </w:r>
    </w:p>
    <w:p>
      <w:pPr>
        <w:tabs>
          <w:tab w:val="right" w:pos="3686"/>
          <w:tab w:val="left" w:pos="3969"/>
        </w:tabs>
        <w:spacing w:before="140"/>
        <w:ind w:left="3958" w:hanging="3958"/>
        <w:rPr>
          <w:sz w:val="22"/>
          <w:szCs w:val="22"/>
        </w:rPr>
      </w:pPr>
      <w:r>
        <w:rPr>
          <w:sz w:val="22"/>
          <w:szCs w:val="22"/>
        </w:rPr>
        <w:tab/>
        <w:t>(A)</w:t>
      </w:r>
      <w:r>
        <w:rPr>
          <w:sz w:val="22"/>
          <w:szCs w:val="22"/>
        </w:rPr>
        <w:tab/>
        <w:t>the rights of the Company in relation to the affected land as the holder of the miscellaneous licence, relative to its rights as the holder of the sought Special Railway Licence or Lateral Access Road Licence (as the case may be); and</w:t>
      </w:r>
    </w:p>
    <w:p>
      <w:pPr>
        <w:tabs>
          <w:tab w:val="right" w:pos="3686"/>
          <w:tab w:val="left" w:pos="3969"/>
        </w:tabs>
        <w:spacing w:before="140"/>
        <w:ind w:left="3960" w:hanging="3960"/>
        <w:rPr>
          <w:sz w:val="22"/>
          <w:szCs w:val="22"/>
        </w:rPr>
      </w:pPr>
      <w:r>
        <w:rPr>
          <w:sz w:val="22"/>
          <w:szCs w:val="22"/>
        </w:rPr>
        <w:tab/>
        <w:t>(B)</w:t>
      </w:r>
      <w:r>
        <w:rPr>
          <w:sz w:val="22"/>
          <w:szCs w:val="22"/>
        </w:rPr>
        <w:tab/>
        <w:t>the terms of any agreement between the Company and the title holder.”;</w:t>
      </w:r>
    </w:p>
    <w:p>
      <w:pPr>
        <w:tabs>
          <w:tab w:val="right" w:pos="1332"/>
          <w:tab w:val="left" w:pos="1616"/>
        </w:tabs>
        <w:spacing w:before="140"/>
        <w:ind w:left="1620" w:hanging="1620"/>
        <w:rPr>
          <w:sz w:val="22"/>
          <w:szCs w:val="22"/>
        </w:rPr>
      </w:pPr>
      <w:r>
        <w:rPr>
          <w:sz w:val="22"/>
          <w:szCs w:val="22"/>
        </w:rPr>
        <w:tab/>
        <w:t>(c)</w:t>
      </w:r>
      <w:r>
        <w:rPr>
          <w:sz w:val="22"/>
          <w:szCs w:val="22"/>
        </w:rPr>
        <w:tab/>
        <w:t>deleting in subclause (4)(a) the comma after “the provisions of this Agreement” and substituting “and”; and</w:t>
      </w:r>
    </w:p>
    <w:p>
      <w:pPr>
        <w:tabs>
          <w:tab w:val="right" w:pos="1332"/>
          <w:tab w:val="left" w:pos="1616"/>
        </w:tabs>
        <w:spacing w:before="140"/>
        <w:ind w:left="1620" w:hanging="1620"/>
        <w:rPr>
          <w:sz w:val="22"/>
          <w:szCs w:val="22"/>
        </w:rPr>
      </w:pPr>
      <w:r>
        <w:rPr>
          <w:sz w:val="22"/>
          <w:szCs w:val="22"/>
        </w:rPr>
        <w:tab/>
        <w:t>(d)</w:t>
      </w:r>
      <w:r>
        <w:rPr>
          <w:sz w:val="22"/>
          <w:szCs w:val="22"/>
        </w:rPr>
        <w:tab/>
        <w:t>in subclause (7):</w:t>
      </w:r>
    </w:p>
    <w:p>
      <w:pPr>
        <w:tabs>
          <w:tab w:val="right" w:pos="2041"/>
          <w:tab w:val="left" w:pos="2325"/>
        </w:tabs>
        <w:spacing w:before="140"/>
        <w:ind w:left="2320" w:hanging="2320"/>
        <w:rPr>
          <w:sz w:val="22"/>
          <w:szCs w:val="22"/>
        </w:rPr>
      </w:pPr>
      <w:r>
        <w:rPr>
          <w:sz w:val="22"/>
          <w:szCs w:val="22"/>
        </w:rPr>
        <w:tab/>
        <w:t>(i)</w:t>
      </w:r>
      <w:r>
        <w:rPr>
          <w:sz w:val="22"/>
          <w:szCs w:val="22"/>
        </w:rPr>
        <w:tab/>
        <w:t>deleting all words in paragraph (c) after “at the date of such inclusion”; and</w:t>
      </w:r>
    </w:p>
    <w:p>
      <w:pPr>
        <w:tabs>
          <w:tab w:val="right" w:pos="2041"/>
          <w:tab w:val="left" w:pos="2325"/>
        </w:tabs>
        <w:spacing w:before="140"/>
        <w:ind w:left="2320" w:hanging="2320"/>
        <w:rPr>
          <w:sz w:val="22"/>
          <w:szCs w:val="22"/>
        </w:rPr>
      </w:pPr>
      <w:r>
        <w:rPr>
          <w:sz w:val="22"/>
          <w:szCs w:val="22"/>
        </w:rPr>
        <w:tab/>
        <w:t>(ii)</w:t>
      </w:r>
      <w:r>
        <w:rPr>
          <w:sz w:val="22"/>
          <w:szCs w:val="22"/>
        </w:rPr>
        <w:tab/>
        <w:t>inserting after paragraph (k) the following new paragraph:</w:t>
      </w:r>
    </w:p>
    <w:p>
      <w:pPr>
        <w:spacing w:before="140"/>
        <w:ind w:left="3200" w:hanging="860"/>
        <w:rPr>
          <w:sz w:val="22"/>
          <w:szCs w:val="22"/>
        </w:rPr>
      </w:pPr>
      <w:r>
        <w:rPr>
          <w:sz w:val="22"/>
          <w:szCs w:val="22"/>
        </w:rPr>
        <w:t>“(l)</w:t>
      </w:r>
      <w:r>
        <w:rPr>
          <w:sz w:val="22"/>
          <w:szCs w:val="22"/>
        </w:rPr>
        <w:tab/>
        <w:t>The provisions of clause 23A shall apply mutatis mutandis to any Railway or Railway spur line constructed pursuant to this clause.”;</w:t>
      </w:r>
    </w:p>
    <w:p>
      <w:pPr>
        <w:tabs>
          <w:tab w:val="right" w:pos="595"/>
          <w:tab w:val="left" w:pos="879"/>
        </w:tabs>
        <w:spacing w:before="140"/>
        <w:ind w:left="880" w:hanging="880"/>
        <w:rPr>
          <w:sz w:val="22"/>
          <w:szCs w:val="22"/>
        </w:rPr>
      </w:pPr>
      <w:r>
        <w:rPr>
          <w:sz w:val="22"/>
          <w:szCs w:val="22"/>
        </w:rPr>
        <w:tab/>
        <w:t>(7)</w:t>
      </w:r>
      <w:r>
        <w:rPr>
          <w:sz w:val="22"/>
          <w:szCs w:val="22"/>
        </w:rPr>
        <w:tab/>
        <w:t>in clause 21(2)(a) by deleting “the approved production limit or”;</w:t>
      </w:r>
    </w:p>
    <w:p>
      <w:pPr>
        <w:tabs>
          <w:tab w:val="right" w:pos="595"/>
          <w:tab w:val="left" w:pos="879"/>
        </w:tabs>
        <w:spacing w:before="140"/>
        <w:ind w:left="880" w:hanging="880"/>
        <w:rPr>
          <w:sz w:val="22"/>
          <w:szCs w:val="22"/>
        </w:rPr>
      </w:pPr>
      <w:r>
        <w:rPr>
          <w:sz w:val="22"/>
          <w:szCs w:val="22"/>
        </w:rPr>
        <w:tab/>
        <w:t>(8)</w:t>
      </w:r>
      <w:r>
        <w:rPr>
          <w:sz w:val="22"/>
          <w:szCs w:val="22"/>
        </w:rPr>
        <w:tab/>
        <w:t>in clause 22 by:</w:t>
      </w:r>
    </w:p>
    <w:p>
      <w:pPr>
        <w:tabs>
          <w:tab w:val="right" w:pos="1332"/>
          <w:tab w:val="left" w:pos="1616"/>
        </w:tabs>
        <w:spacing w:before="140"/>
        <w:ind w:left="1620" w:hanging="1620"/>
        <w:rPr>
          <w:sz w:val="22"/>
          <w:szCs w:val="22"/>
        </w:rPr>
      </w:pPr>
      <w:r>
        <w:rPr>
          <w:sz w:val="22"/>
          <w:szCs w:val="22"/>
        </w:rPr>
        <w:tab/>
        <w:t>(a)</w:t>
      </w:r>
      <w:r>
        <w:rPr>
          <w:sz w:val="22"/>
          <w:szCs w:val="22"/>
        </w:rPr>
        <w:tab/>
        <w:t>inserting at the end of subclause (1) the following new paragraph:</w:t>
      </w:r>
    </w:p>
    <w:p>
      <w:pPr>
        <w:tabs>
          <w:tab w:val="left" w:pos="851"/>
        </w:tabs>
        <w:spacing w:before="140"/>
        <w:ind w:left="1640" w:hanging="1640"/>
        <w:rPr>
          <w:sz w:val="22"/>
          <w:szCs w:val="22"/>
        </w:rPr>
      </w:pPr>
      <w:r>
        <w:rPr>
          <w:sz w:val="22"/>
          <w:szCs w:val="22"/>
        </w:rPr>
        <w:tab/>
      </w:r>
      <w:r>
        <w:rPr>
          <w:sz w:val="22"/>
          <w:szCs w:val="22"/>
        </w:rPr>
        <w:tab/>
        <w:t>“Notwithstanding clause 14A(2)(b)(iv),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tabs>
          <w:tab w:val="right" w:pos="1332"/>
          <w:tab w:val="left" w:pos="1616"/>
        </w:tabs>
        <w:spacing w:before="140"/>
        <w:ind w:left="1620" w:hanging="1620"/>
        <w:rPr>
          <w:sz w:val="22"/>
          <w:szCs w:val="22"/>
        </w:rPr>
      </w:pPr>
      <w:r>
        <w:rPr>
          <w:sz w:val="22"/>
          <w:szCs w:val="22"/>
        </w:rPr>
        <w:tab/>
        <w:t>(b)</w:t>
      </w:r>
      <w:r>
        <w:rPr>
          <w:sz w:val="22"/>
          <w:szCs w:val="22"/>
        </w:rPr>
        <w:tab/>
        <w:t>in subclause (2) inserting after “The provisions of this subclause” the words “and subclauses (2a) and (2b)”;</w:t>
      </w:r>
    </w:p>
    <w:p>
      <w:pPr>
        <w:keepNext/>
        <w:tabs>
          <w:tab w:val="right" w:pos="1332"/>
          <w:tab w:val="left" w:pos="1616"/>
        </w:tabs>
        <w:spacing w:before="140"/>
        <w:ind w:left="1622" w:hanging="1622"/>
        <w:rPr>
          <w:sz w:val="22"/>
          <w:szCs w:val="22"/>
        </w:rPr>
      </w:pPr>
      <w:r>
        <w:rPr>
          <w:sz w:val="22"/>
          <w:szCs w:val="22"/>
        </w:rPr>
        <w:tab/>
        <w:t>(c)</w:t>
      </w:r>
      <w:r>
        <w:rPr>
          <w:sz w:val="22"/>
          <w:szCs w:val="22"/>
        </w:rPr>
        <w:tab/>
        <w:t>renumbering subclause (2a) as subclause (2d) and inserting the following new subclauses before the renumbered subclause (2d):</w:t>
      </w:r>
    </w:p>
    <w:p>
      <w:pPr>
        <w:tabs>
          <w:tab w:val="left" w:pos="851"/>
        </w:tabs>
        <w:spacing w:before="140"/>
        <w:ind w:left="1640" w:hanging="1700"/>
        <w:rPr>
          <w:sz w:val="22"/>
          <w:szCs w:val="22"/>
        </w:rPr>
      </w:pPr>
      <w:r>
        <w:rPr>
          <w:sz w:val="22"/>
          <w:szCs w:val="22"/>
        </w:rPr>
        <w:tab/>
      </w:r>
      <w:r>
        <w:rPr>
          <w:sz w:val="22"/>
          <w:szCs w:val="22"/>
        </w:rPr>
        <w:tab/>
        <w:t>“</w:t>
      </w:r>
      <w:r>
        <w:rPr>
          <w:b/>
          <w:sz w:val="22"/>
          <w:szCs w:val="22"/>
        </w:rPr>
        <w:t>Application for Eligible Existing Tenure to be held pursuant to this Agreement</w:t>
      </w:r>
    </w:p>
    <w:p>
      <w:pPr>
        <w:tabs>
          <w:tab w:val="left" w:pos="1650"/>
          <w:tab w:val="left" w:pos="2640"/>
        </w:tabs>
        <w:spacing w:before="160"/>
        <w:ind w:left="3300" w:hanging="3300"/>
        <w:rPr>
          <w:sz w:val="22"/>
          <w:szCs w:val="22"/>
        </w:rPr>
      </w:pPr>
      <w:r>
        <w:rPr>
          <w:sz w:val="22"/>
          <w:szCs w:val="22"/>
        </w:rPr>
        <w:tab/>
        <w:t>(2a)</w:t>
      </w:r>
      <w:r>
        <w:rPr>
          <w:sz w:val="22"/>
          <w:szCs w:val="22"/>
        </w:rPr>
        <w:tab/>
        <w:t>(a)</w:t>
      </w:r>
      <w:r>
        <w:rPr>
          <w:sz w:val="22"/>
          <w:szCs w:val="22"/>
        </w:rP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tabs>
          <w:tab w:val="left" w:pos="2640"/>
          <w:tab w:val="right" w:pos="2892"/>
          <w:tab w:val="left" w:pos="3204"/>
        </w:tabs>
        <w:spacing w:before="160"/>
        <w:ind w:left="3200" w:hanging="3200"/>
        <w:rPr>
          <w:sz w:val="22"/>
          <w:szCs w:val="22"/>
        </w:rPr>
      </w:pPr>
      <w:r>
        <w:rPr>
          <w:sz w:val="22"/>
          <w:szCs w:val="22"/>
        </w:rPr>
        <w:tab/>
        <w:t>(b)</w:t>
      </w:r>
      <w:r>
        <w:rPr>
          <w:sz w:val="22"/>
          <w:szCs w:val="22"/>
        </w:rPr>
        <w:tab/>
        <w:t>Eligible Existing Tenure the subject of an approval by the Minister under this subclause will be held by the Company pursuant to this Agreement:</w:t>
      </w:r>
    </w:p>
    <w:p>
      <w:pPr>
        <w:tabs>
          <w:tab w:val="right" w:pos="3686"/>
          <w:tab w:val="left" w:pos="3969"/>
        </w:tabs>
        <w:spacing w:before="160"/>
        <w:ind w:left="3960" w:hanging="3960"/>
        <w:rPr>
          <w:sz w:val="22"/>
          <w:szCs w:val="22"/>
        </w:rPr>
      </w:pPr>
      <w:r>
        <w:rPr>
          <w:sz w:val="22"/>
          <w:szCs w:val="22"/>
        </w:rPr>
        <w:tab/>
        <w:t>(i)</w:t>
      </w:r>
      <w:r>
        <w:rPr>
          <w:sz w:val="22"/>
          <w:szCs w:val="22"/>
        </w:rPr>
        <w:tab/>
        <w:t>if the Minister’s approval was not given subject to conditions, on and from the date of the Minister’s notice of approval;</w:t>
      </w:r>
    </w:p>
    <w:p>
      <w:pPr>
        <w:tabs>
          <w:tab w:val="right" w:pos="3686"/>
          <w:tab w:val="left" w:pos="3969"/>
        </w:tabs>
        <w:spacing w:before="160"/>
        <w:ind w:left="3960" w:hanging="3960"/>
        <w:rPr>
          <w:sz w:val="22"/>
          <w:szCs w:val="22"/>
        </w:rPr>
      </w:pPr>
      <w:r>
        <w:rPr>
          <w:sz w:val="22"/>
          <w:szCs w:val="22"/>
        </w:rPr>
        <w:tab/>
        <w:t>(ii)</w:t>
      </w:r>
      <w:r>
        <w:rPr>
          <w:sz w:val="22"/>
          <w:szCs w:val="22"/>
        </w:rPr>
        <w:tab/>
        <w:t>unless paragraph (iii) applies, if the Minister’s approval was given subject to conditions, on the date on which all such conditions have been satisfied; and</w:t>
      </w:r>
    </w:p>
    <w:p>
      <w:pPr>
        <w:tabs>
          <w:tab w:val="right" w:pos="3686"/>
          <w:tab w:val="left" w:pos="3969"/>
        </w:tabs>
        <w:spacing w:before="140"/>
        <w:ind w:left="3960" w:hanging="3960"/>
        <w:rPr>
          <w:sz w:val="22"/>
          <w:szCs w:val="22"/>
        </w:rPr>
      </w:pPr>
      <w:r>
        <w:rPr>
          <w:sz w:val="22"/>
          <w:szCs w:val="22"/>
        </w:rPr>
        <w:tab/>
        <w:t>(iii)</w:t>
      </w:r>
      <w:r>
        <w:rPr>
          <w:sz w:val="22"/>
          <w:szCs w:val="22"/>
        </w:rP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14A(2)(b)(iv) as tenure held pursuant to this Agreement.</w:t>
      </w:r>
    </w:p>
    <w:p>
      <w:pPr>
        <w:tabs>
          <w:tab w:val="left" w:pos="851"/>
        </w:tabs>
        <w:spacing w:before="200"/>
        <w:ind w:left="1639" w:hanging="1701"/>
        <w:rPr>
          <w:b/>
          <w:sz w:val="22"/>
          <w:szCs w:val="22"/>
        </w:rPr>
      </w:pPr>
      <w:r>
        <w:rPr>
          <w:b/>
          <w:sz w:val="22"/>
          <w:szCs w:val="22"/>
        </w:rPr>
        <w:tab/>
      </w:r>
      <w:r>
        <w:rPr>
          <w:b/>
          <w:sz w:val="22"/>
          <w:szCs w:val="22"/>
        </w:rPr>
        <w:tab/>
        <w:t>Application for Special Advance Tenure to be granted pursuant to this Agreement</w:t>
      </w:r>
    </w:p>
    <w:p>
      <w:pPr>
        <w:tabs>
          <w:tab w:val="right" w:pos="2041"/>
          <w:tab w:val="left" w:pos="2325"/>
        </w:tabs>
        <w:spacing w:before="140"/>
        <w:ind w:left="2320" w:hanging="2320"/>
        <w:rPr>
          <w:sz w:val="22"/>
          <w:szCs w:val="22"/>
        </w:rPr>
      </w:pPr>
      <w:r>
        <w:rPr>
          <w:sz w:val="22"/>
          <w:szCs w:val="22"/>
        </w:rPr>
        <w:tab/>
        <w:t>(2b)</w:t>
      </w:r>
      <w:r>
        <w:rPr>
          <w:sz w:val="22"/>
          <w:szCs w:val="22"/>
        </w:rPr>
        <w:tab/>
      </w:r>
      <w:r>
        <w:rPr>
          <w:sz w:val="22"/>
          <w:szCs w:val="22"/>
        </w:rPr>
        <w:tab/>
        <w:t>The Minister may at the request of the Company from time to time made during the continuance of this Agreement approve Special Advance Tenure being granted to the Company pursuant to this Agreement if:</w:t>
      </w:r>
    </w:p>
    <w:p>
      <w:pPr>
        <w:tabs>
          <w:tab w:val="right" w:pos="2892"/>
          <w:tab w:val="left" w:pos="3204"/>
        </w:tabs>
        <w:spacing w:before="140"/>
        <w:ind w:left="3200" w:hanging="3200"/>
        <w:rPr>
          <w:sz w:val="22"/>
          <w:szCs w:val="22"/>
        </w:rPr>
      </w:pPr>
      <w:r>
        <w:tab/>
      </w:r>
      <w:r>
        <w:rPr>
          <w:sz w:val="22"/>
          <w:szCs w:val="22"/>
        </w:rPr>
        <w:t>(a)</w:t>
      </w:r>
      <w:r>
        <w:rPr>
          <w:sz w:val="22"/>
          <w:szCs w:val="22"/>
        </w:rPr>
        <w:tab/>
        <w:t>the Company proposes to submit detailed proposals under this Agreement (other than under clause 14C) to construct works installations or facilities on the Relevant Land and the Company’s request is so far as is practicable made, unless the Minister approves otherwise, no less than 6 months before the submission of those detailed proposals; and</w:t>
      </w:r>
    </w:p>
    <w:p>
      <w:pPr>
        <w:tabs>
          <w:tab w:val="right" w:pos="2892"/>
          <w:tab w:val="left" w:pos="3204"/>
        </w:tabs>
        <w:spacing w:before="160"/>
        <w:ind w:left="3200" w:hanging="3200"/>
        <w:rPr>
          <w:sz w:val="22"/>
          <w:szCs w:val="22"/>
        </w:rPr>
      </w:pPr>
      <w:r>
        <w:rPr>
          <w:sz w:val="22"/>
          <w:szCs w:val="22"/>
        </w:rPr>
        <w:tab/>
        <w:t>(b)</w:t>
      </w:r>
      <w:r>
        <w:rPr>
          <w:sz w:val="22"/>
          <w:szCs w:val="22"/>
        </w:rP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tabs>
          <w:tab w:val="left" w:pos="851"/>
          <w:tab w:val="left" w:pos="2310"/>
        </w:tabs>
        <w:spacing w:before="160"/>
        <w:rPr>
          <w:sz w:val="22"/>
          <w:szCs w:val="22"/>
        </w:rPr>
      </w:pPr>
      <w:r>
        <w:rPr>
          <w:sz w:val="22"/>
          <w:szCs w:val="22"/>
        </w:rPr>
        <w:tab/>
      </w:r>
      <w:r>
        <w:rPr>
          <w:sz w:val="22"/>
          <w:szCs w:val="22"/>
        </w:rPr>
        <w:tab/>
        <w:t>and if the Minister does so approve:</w:t>
      </w:r>
    </w:p>
    <w:p>
      <w:pPr>
        <w:tabs>
          <w:tab w:val="right" w:pos="2892"/>
          <w:tab w:val="left" w:pos="3204"/>
        </w:tabs>
        <w:spacing w:before="160"/>
        <w:ind w:left="3200" w:hanging="3200"/>
        <w:rPr>
          <w:sz w:val="22"/>
          <w:szCs w:val="22"/>
        </w:rPr>
      </w:pPr>
      <w:r>
        <w:rPr>
          <w:sz w:val="22"/>
          <w:szCs w:val="22"/>
        </w:rPr>
        <w:tab/>
        <w:t>(c)</w:t>
      </w:r>
      <w:r>
        <w:rPr>
          <w:sz w:val="22"/>
          <w:szCs w:val="22"/>
        </w:rP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tabs>
          <w:tab w:val="right" w:pos="2892"/>
          <w:tab w:val="left" w:pos="3204"/>
        </w:tabs>
        <w:spacing w:before="160"/>
        <w:ind w:left="3200" w:hanging="3200"/>
        <w:rPr>
          <w:sz w:val="22"/>
          <w:szCs w:val="22"/>
        </w:rPr>
      </w:pPr>
      <w:r>
        <w:rPr>
          <w:sz w:val="22"/>
          <w:szCs w:val="22"/>
        </w:rPr>
        <w:tab/>
        <w:t>(d)</w:t>
      </w:r>
      <w:r>
        <w:rPr>
          <w:sz w:val="22"/>
          <w:szCs w:val="22"/>
        </w:rP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spacing w:before="160"/>
        <w:ind w:left="2319" w:hanging="2319"/>
        <w:rPr>
          <w:sz w:val="22"/>
          <w:szCs w:val="22"/>
        </w:rPr>
      </w:pPr>
      <w:r>
        <w:rPr>
          <w:sz w:val="22"/>
          <w:szCs w:val="22"/>
        </w:rPr>
        <w:tab/>
        <w:t>(2c)</w:t>
      </w:r>
      <w:r>
        <w:rPr>
          <w:sz w:val="22"/>
          <w:szCs w:val="22"/>
        </w:rPr>
        <w:tab/>
      </w:r>
      <w:r>
        <w:rPr>
          <w:sz w:val="22"/>
          <w:szCs w:val="22"/>
        </w:rP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tabs>
          <w:tab w:val="right" w:pos="1332"/>
          <w:tab w:val="left" w:pos="1616"/>
        </w:tabs>
        <w:spacing w:before="160"/>
        <w:ind w:left="1620" w:hanging="1620"/>
        <w:rPr>
          <w:sz w:val="22"/>
          <w:szCs w:val="22"/>
        </w:rPr>
      </w:pPr>
      <w:r>
        <w:rPr>
          <w:sz w:val="22"/>
          <w:szCs w:val="22"/>
        </w:rPr>
        <w:tab/>
        <w:t>(d)</w:t>
      </w:r>
      <w:r>
        <w:rPr>
          <w:sz w:val="22"/>
          <w:szCs w:val="22"/>
        </w:rPr>
        <w:tab/>
        <w:t>in the renumbered subclause (2d), deleting “subclause (1)” and substituting “subclauses (1), (2a) and (2b)”;</w:t>
      </w:r>
    </w:p>
    <w:p>
      <w:pPr>
        <w:tabs>
          <w:tab w:val="right" w:pos="595"/>
          <w:tab w:val="left" w:pos="879"/>
        </w:tabs>
        <w:spacing w:before="160"/>
        <w:ind w:left="880" w:hanging="880"/>
        <w:rPr>
          <w:sz w:val="22"/>
          <w:szCs w:val="22"/>
        </w:rPr>
      </w:pPr>
      <w:r>
        <w:rPr>
          <w:sz w:val="22"/>
          <w:szCs w:val="22"/>
        </w:rPr>
        <w:tab/>
        <w:t>(9)</w:t>
      </w:r>
      <w:r>
        <w:rPr>
          <w:sz w:val="22"/>
          <w:szCs w:val="22"/>
        </w:rPr>
        <w:tab/>
        <w:t>in clause 23(2) by deleting all words in the subclause after “ railways which now exist”; and</w:t>
      </w:r>
    </w:p>
    <w:p>
      <w:pPr>
        <w:tabs>
          <w:tab w:val="right" w:pos="595"/>
          <w:tab w:val="left" w:pos="879"/>
        </w:tabs>
        <w:spacing w:before="160"/>
        <w:ind w:left="880" w:hanging="880"/>
        <w:rPr>
          <w:sz w:val="22"/>
          <w:szCs w:val="22"/>
        </w:rPr>
      </w:pPr>
      <w:r>
        <w:rPr>
          <w:sz w:val="22"/>
          <w:szCs w:val="22"/>
        </w:rPr>
        <w:tab/>
        <w:t>(10)</w:t>
      </w:r>
      <w:r>
        <w:rPr>
          <w:sz w:val="22"/>
          <w:szCs w:val="22"/>
        </w:rPr>
        <w:tab/>
        <w:t>by inserting after clause 23 the following new clause:</w:t>
      </w:r>
    </w:p>
    <w:p>
      <w:pPr>
        <w:tabs>
          <w:tab w:val="left" w:pos="851"/>
          <w:tab w:val="left" w:pos="1701"/>
        </w:tabs>
        <w:spacing w:before="160"/>
        <w:rPr>
          <w:b/>
          <w:sz w:val="22"/>
          <w:szCs w:val="22"/>
        </w:rPr>
      </w:pPr>
      <w:r>
        <w:rPr>
          <w:sz w:val="22"/>
          <w:szCs w:val="22"/>
        </w:rPr>
        <w:tab/>
        <w:t>“23A.</w:t>
      </w:r>
      <w:r>
        <w:rPr>
          <w:sz w:val="22"/>
          <w:szCs w:val="22"/>
        </w:rPr>
        <w:tab/>
      </w:r>
      <w:r>
        <w:rPr>
          <w:b/>
          <w:sz w:val="22"/>
          <w:szCs w:val="22"/>
        </w:rPr>
        <w:t>Crossings over Rail Spur</w:t>
      </w:r>
    </w:p>
    <w:p>
      <w:pPr>
        <w:tabs>
          <w:tab w:val="left" w:pos="851"/>
        </w:tabs>
        <w:spacing w:before="160"/>
        <w:ind w:left="1700" w:hanging="1700"/>
        <w:rPr>
          <w:sz w:val="22"/>
          <w:szCs w:val="22"/>
        </w:rPr>
      </w:pPr>
      <w:r>
        <w:rPr>
          <w:sz w:val="22"/>
          <w:szCs w:val="22"/>
        </w:rPr>
        <w:tab/>
      </w:r>
      <w:r>
        <w:rPr>
          <w:sz w:val="22"/>
          <w:szCs w:val="22"/>
        </w:rPr>
        <w:tab/>
        <w:t>For the purposes of livestock and infrastructure such as roads, railways, conveyors, pipelines, transmission lines and other utilities proposed to cross the land the subject of the rail spur referred to in clause 23 the Company shall:</w:t>
      </w:r>
    </w:p>
    <w:p>
      <w:pPr>
        <w:tabs>
          <w:tab w:val="right" w:pos="2041"/>
          <w:tab w:val="left" w:pos="2325"/>
        </w:tabs>
        <w:spacing w:before="160"/>
        <w:ind w:left="2320" w:hanging="2320"/>
        <w:rPr>
          <w:sz w:val="22"/>
          <w:szCs w:val="22"/>
        </w:rPr>
      </w:pPr>
      <w:r>
        <w:rPr>
          <w:sz w:val="22"/>
          <w:szCs w:val="22"/>
        </w:rPr>
        <w:tab/>
        <w:t>(a)</w:t>
      </w:r>
      <w:r>
        <w:rPr>
          <w:sz w:val="22"/>
          <w:szCs w:val="22"/>
        </w:rPr>
        <w:tab/>
        <w:t>if applicable, give its consent to, or otherwise facilitate the grant by the State or any agency, instrumentality or other authority of the State of any lease, licence or other title over land the subject of the rail spur so long as such grant does not in the Minister’s opinion unduly prejudice or interfere with the activities of the Company under this Agreement; and</w:t>
      </w:r>
    </w:p>
    <w:p>
      <w:pPr>
        <w:tabs>
          <w:tab w:val="right" w:pos="2041"/>
          <w:tab w:val="left" w:pos="2325"/>
        </w:tabs>
        <w:spacing w:before="160"/>
        <w:ind w:left="2320" w:hanging="2320"/>
        <w:rPr>
          <w:sz w:val="22"/>
          <w:szCs w:val="22"/>
        </w:rPr>
      </w:pPr>
      <w:r>
        <w:rPr>
          <w:sz w:val="22"/>
          <w:szCs w:val="22"/>
        </w:rPr>
        <w:tab/>
        <w:t>(b)</w:t>
      </w:r>
      <w:r>
        <w:rPr>
          <w:sz w:val="22"/>
          <w:szCs w:val="22"/>
        </w:rPr>
        <w:tab/>
        <w:t>on reasonable terms and conditions allow access for the construction and operation of such crossings and associated infrastructure,</w:t>
      </w:r>
    </w:p>
    <w:p>
      <w:pPr>
        <w:tabs>
          <w:tab w:val="left" w:pos="851"/>
        </w:tabs>
        <w:spacing w:before="160"/>
        <w:ind w:left="1701" w:hanging="1701"/>
        <w:rPr>
          <w:sz w:val="22"/>
          <w:szCs w:val="22"/>
        </w:rPr>
      </w:pPr>
      <w:r>
        <w:rPr>
          <w:sz w:val="22"/>
          <w:szCs w:val="22"/>
        </w:rPr>
        <w:tab/>
      </w:r>
      <w:r>
        <w:rPr>
          <w:sz w:val="22"/>
          <w:szCs w:val="22"/>
        </w:rPr>
        <w:tab/>
        <w:t>provided that in forming his opinion under this clause, the Minister must consult with the Company.”.</w:t>
      </w:r>
    </w:p>
    <w:p>
      <w:pPr>
        <w:pStyle w:val="yMiscellaneousBody"/>
        <w:keepNext/>
        <w:spacing w:before="0"/>
        <w:rPr>
          <w:b/>
          <w:szCs w:val="22"/>
        </w:rPr>
      </w:pPr>
      <w:r>
        <w:rPr>
          <w:b/>
          <w:szCs w:val="22"/>
        </w:rPr>
        <w:br w:type="page"/>
      </w:r>
    </w:p>
    <w:p>
      <w:pPr>
        <w:pStyle w:val="yMiscellaneousBody"/>
        <w:keepNext/>
        <w:spacing w:before="0"/>
        <w:rPr>
          <w:szCs w:val="22"/>
        </w:rPr>
      </w:pPr>
      <w:r>
        <w:rPr>
          <w:b/>
          <w:szCs w:val="22"/>
        </w:rPr>
        <w:t>EXECUTED</w:t>
      </w:r>
      <w:r>
        <w:rPr>
          <w:szCs w:val="22"/>
        </w:rPr>
        <w:t xml:space="preserve"> as a deed.</w:t>
      </w:r>
    </w:p>
    <w:p>
      <w:pPr>
        <w:pStyle w:val="yMiscellaneousBody"/>
        <w:keepNext/>
        <w:spacing w:before="0"/>
        <w:rPr>
          <w:szCs w:val="22"/>
        </w:rPr>
      </w:pPr>
    </w:p>
    <w:p>
      <w:pPr>
        <w:pStyle w:val="yMiscellaneousBody"/>
        <w:spacing w:before="240"/>
        <w:rPr>
          <w:szCs w:val="22"/>
        </w:rPr>
      </w:pPr>
      <w:r>
        <w:rPr>
          <w:b/>
          <w:szCs w:val="22"/>
        </w:rPr>
        <w:t>SIGNED</w:t>
      </w:r>
      <w:r>
        <w:rPr>
          <w:szCs w:val="22"/>
        </w:rPr>
        <w:t xml:space="preserve"> by the </w:t>
      </w:r>
      <w:r>
        <w:rPr>
          <w:b/>
          <w:szCs w:val="22"/>
        </w:rPr>
        <w:t>HONOURABLE</w:t>
      </w:r>
      <w:r>
        <w:rPr>
          <w:b/>
          <w:szCs w:val="22"/>
        </w:rPr>
        <w:tab/>
      </w:r>
      <w:r>
        <w:rPr>
          <w:szCs w:val="22"/>
        </w:rPr>
        <w:tab/>
        <w:t>)</w:t>
      </w:r>
    </w:p>
    <w:p>
      <w:pPr>
        <w:pStyle w:val="yMiscellaneousBody"/>
        <w:spacing w:before="0"/>
        <w:rPr>
          <w:b/>
          <w:szCs w:val="22"/>
        </w:rPr>
      </w:pPr>
      <w:r>
        <w:rPr>
          <w:b/>
          <w:szCs w:val="22"/>
        </w:rPr>
        <w:t>COLIN JAMES BARNETT</w:t>
      </w:r>
      <w:r>
        <w:rPr>
          <w:b/>
          <w:szCs w:val="22"/>
        </w:rPr>
        <w:tab/>
      </w:r>
      <w:r>
        <w:rPr>
          <w:b/>
          <w:szCs w:val="22"/>
        </w:rPr>
        <w:tab/>
      </w:r>
      <w:r>
        <w:rPr>
          <w:b/>
          <w:szCs w:val="22"/>
        </w:rPr>
        <w:tab/>
      </w:r>
      <w:r>
        <w:rPr>
          <w:szCs w:val="22"/>
        </w:rPr>
        <w:t>)</w:t>
      </w:r>
    </w:p>
    <w:p>
      <w:pPr>
        <w:pStyle w:val="yMiscellaneousBody"/>
        <w:spacing w:before="0" w:after="160"/>
        <w:rPr>
          <w:szCs w:val="22"/>
        </w:rPr>
      </w:pPr>
      <w:r>
        <w:rPr>
          <w:szCs w:val="22"/>
        </w:rPr>
        <w:t>in the presence of:</w:t>
      </w:r>
      <w:r>
        <w:rPr>
          <w:szCs w:val="22"/>
        </w:rPr>
        <w:tab/>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rPr>
                <w:szCs w:val="22"/>
              </w:rPr>
            </w:pPr>
            <w:r>
              <w:rPr>
                <w:szCs w:val="22"/>
              </w:rPr>
              <w:t>[Signature]</w:t>
            </w:r>
          </w:p>
        </w:tc>
        <w:tc>
          <w:tcPr>
            <w:tcW w:w="567" w:type="dxa"/>
          </w:tcPr>
          <w:p>
            <w:pPr>
              <w:pStyle w:val="yMiscellaneousBody"/>
              <w:rPr>
                <w:szCs w:val="22"/>
              </w:rPr>
            </w:pPr>
          </w:p>
        </w:tc>
        <w:tc>
          <w:tcPr>
            <w:tcW w:w="2977" w:type="dxa"/>
            <w:tcBorders>
              <w:bottom w:val="single" w:sz="4" w:space="0" w:color="auto"/>
            </w:tcBorders>
          </w:tcPr>
          <w:p>
            <w:pPr>
              <w:pStyle w:val="yMiscellaneousBody"/>
              <w:rPr>
                <w:szCs w:val="22"/>
              </w:rPr>
            </w:pPr>
            <w:r>
              <w:rPr>
                <w:szCs w:val="22"/>
              </w:rPr>
              <w:t>[Signature]</w:t>
            </w:r>
          </w:p>
        </w:tc>
      </w:tr>
      <w:tr>
        <w:tc>
          <w:tcPr>
            <w:tcW w:w="3544" w:type="dxa"/>
            <w:tcBorders>
              <w:top w:val="single" w:sz="4" w:space="0" w:color="auto"/>
            </w:tcBorders>
          </w:tcPr>
          <w:p>
            <w:pPr>
              <w:pStyle w:val="yMiscellaneousBody"/>
              <w:spacing w:before="60"/>
              <w:rPr>
                <w:szCs w:val="22"/>
              </w:rPr>
            </w:pPr>
            <w:r>
              <w:rPr>
                <w:szCs w:val="22"/>
              </w:rPr>
              <w:t>Signature of witness</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p>
        </w:tc>
      </w:tr>
      <w:tr>
        <w:tc>
          <w:tcPr>
            <w:tcW w:w="3544" w:type="dxa"/>
          </w:tcPr>
          <w:p>
            <w:pPr>
              <w:pStyle w:val="yMiscellaneousBody"/>
              <w:rPr>
                <w:szCs w:val="22"/>
              </w:rPr>
            </w:pP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bottom w:val="single" w:sz="4" w:space="0" w:color="auto"/>
            </w:tcBorders>
          </w:tcPr>
          <w:p>
            <w:pPr>
              <w:pStyle w:val="yMiscellaneousBody"/>
              <w:rPr>
                <w:szCs w:val="22"/>
              </w:rPr>
            </w:pPr>
            <w:r>
              <w:rPr>
                <w:szCs w:val="22"/>
              </w:rPr>
              <w:t>Peter Goodall</w:t>
            </w: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top w:val="single" w:sz="4" w:space="0" w:color="auto"/>
            </w:tcBorders>
          </w:tcPr>
          <w:p>
            <w:pPr>
              <w:pStyle w:val="yMiscellaneousBody"/>
              <w:spacing w:before="60"/>
              <w:rPr>
                <w:szCs w:val="22"/>
              </w:rPr>
            </w:pPr>
            <w:r>
              <w:rPr>
                <w:szCs w:val="22"/>
              </w:rPr>
              <w:t>Name of witness</w:t>
            </w:r>
          </w:p>
        </w:tc>
        <w:tc>
          <w:tcPr>
            <w:tcW w:w="567" w:type="dxa"/>
          </w:tcPr>
          <w:p>
            <w:pPr>
              <w:pStyle w:val="yMiscellaneousBody"/>
              <w:spacing w:before="60"/>
              <w:rPr>
                <w:szCs w:val="22"/>
              </w:rPr>
            </w:pPr>
          </w:p>
        </w:tc>
        <w:tc>
          <w:tcPr>
            <w:tcW w:w="2977" w:type="dxa"/>
          </w:tcPr>
          <w:p>
            <w:pPr>
              <w:pStyle w:val="yMiscellaneousBody"/>
              <w:spacing w:before="60"/>
              <w:rPr>
                <w:szCs w:val="22"/>
              </w:rPr>
            </w:pPr>
          </w:p>
        </w:tc>
      </w:tr>
    </w:tbl>
    <w:p>
      <w:pPr>
        <w:pStyle w:val="yMiscellaneousBody"/>
        <w:spacing w:before="360"/>
        <w:rPr>
          <w:szCs w:val="22"/>
        </w:rPr>
      </w:pPr>
      <w:r>
        <w:rPr>
          <w:b/>
          <w:szCs w:val="22"/>
        </w:rPr>
        <w:t>EXECUTED</w:t>
      </w:r>
      <w:r>
        <w:rPr>
          <w:szCs w:val="22"/>
        </w:rPr>
        <w:t xml:space="preserve"> by </w:t>
      </w:r>
      <w:r>
        <w:rPr>
          <w:b/>
          <w:szCs w:val="22"/>
        </w:rPr>
        <w:t>BHP BILLITON</w:t>
      </w:r>
      <w:r>
        <w:rPr>
          <w:b/>
          <w:szCs w:val="22"/>
        </w:rPr>
        <w:tab/>
      </w:r>
      <w:r>
        <w:rPr>
          <w:b/>
          <w:szCs w:val="22"/>
        </w:rPr>
        <w:tab/>
      </w:r>
      <w:r>
        <w:rPr>
          <w:szCs w:val="22"/>
        </w:rPr>
        <w:t>)</w:t>
      </w:r>
    </w:p>
    <w:p>
      <w:pPr>
        <w:pStyle w:val="yMiscellaneousBody"/>
        <w:spacing w:before="0"/>
        <w:rPr>
          <w:szCs w:val="22"/>
        </w:rPr>
      </w:pPr>
      <w:r>
        <w:rPr>
          <w:b/>
          <w:szCs w:val="22"/>
        </w:rPr>
        <w:t>MINERALS PTY. LTD.</w:t>
      </w:r>
      <w:r>
        <w:rPr>
          <w:szCs w:val="22"/>
        </w:rPr>
        <w:t xml:space="preserve"> ACN 008 694 782</w:t>
      </w:r>
      <w:r>
        <w:rPr>
          <w:szCs w:val="22"/>
        </w:rPr>
        <w:tab/>
        <w:t>)</w:t>
      </w:r>
    </w:p>
    <w:p>
      <w:pPr>
        <w:pStyle w:val="yMiscellaneousBody"/>
        <w:spacing w:before="0"/>
        <w:rPr>
          <w:szCs w:val="22"/>
        </w:rPr>
      </w:pPr>
      <w:r>
        <w:rPr>
          <w:szCs w:val="22"/>
        </w:rPr>
        <w:t>in accordance with section 127(1) of</w:t>
      </w:r>
      <w:r>
        <w:rPr>
          <w:szCs w:val="22"/>
        </w:rPr>
        <w:tab/>
      </w:r>
      <w:r>
        <w:rPr>
          <w:szCs w:val="22"/>
        </w:rPr>
        <w:tab/>
        <w:t>)</w:t>
      </w:r>
    </w:p>
    <w:p>
      <w:pPr>
        <w:pStyle w:val="yMiscellaneousBody"/>
        <w:spacing w:before="0" w:after="160"/>
        <w:rPr>
          <w:szCs w:val="22"/>
        </w:rPr>
      </w:pPr>
      <w:r>
        <w:rPr>
          <w:szCs w:val="22"/>
        </w:rPr>
        <w:t xml:space="preserve">the Corporations Act </w:t>
      </w:r>
      <w:r>
        <w:rPr>
          <w:szCs w:val="22"/>
        </w:rPr>
        <w:tab/>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rPr>
                <w:szCs w:val="22"/>
              </w:rPr>
            </w:pPr>
            <w:r>
              <w:rPr>
                <w:szCs w:val="22"/>
              </w:rPr>
              <w:t>[Signature]</w:t>
            </w:r>
          </w:p>
        </w:tc>
        <w:tc>
          <w:tcPr>
            <w:tcW w:w="567" w:type="dxa"/>
          </w:tcPr>
          <w:p>
            <w:pPr>
              <w:pStyle w:val="yMiscellaneousBody"/>
              <w:spacing w:before="60"/>
              <w:rPr>
                <w:szCs w:val="22"/>
              </w:rPr>
            </w:pPr>
          </w:p>
        </w:tc>
        <w:tc>
          <w:tcPr>
            <w:tcW w:w="2977" w:type="dxa"/>
            <w:tcBorders>
              <w:bottom w:val="single" w:sz="4" w:space="0" w:color="auto"/>
            </w:tcBorders>
          </w:tcPr>
          <w:p>
            <w:pPr>
              <w:pStyle w:val="yMiscellaneousBody"/>
              <w:spacing w:before="60"/>
              <w:rPr>
                <w:szCs w:val="22"/>
              </w:rPr>
            </w:pPr>
            <w:r>
              <w:rPr>
                <w:szCs w:val="22"/>
              </w:rPr>
              <w:t>[Signature]</w:t>
            </w:r>
          </w:p>
        </w:tc>
      </w:tr>
      <w:tr>
        <w:tc>
          <w:tcPr>
            <w:tcW w:w="3544" w:type="dxa"/>
            <w:tcBorders>
              <w:top w:val="single" w:sz="4" w:space="0" w:color="auto"/>
            </w:tcBorders>
          </w:tcPr>
          <w:p>
            <w:pPr>
              <w:pStyle w:val="yMiscellaneousBody"/>
              <w:spacing w:before="60"/>
              <w:rPr>
                <w:szCs w:val="22"/>
              </w:rPr>
            </w:pPr>
            <w:r>
              <w:rPr>
                <w:szCs w:val="22"/>
              </w:rPr>
              <w:t>Signature of Director</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r>
              <w:rPr>
                <w:szCs w:val="22"/>
              </w:rPr>
              <w:t>Signature of Secretary</w:t>
            </w:r>
          </w:p>
        </w:tc>
      </w:tr>
      <w:tr>
        <w:tc>
          <w:tcPr>
            <w:tcW w:w="3544" w:type="dxa"/>
          </w:tcPr>
          <w:p>
            <w:pPr>
              <w:pStyle w:val="yMiscellaneousBody"/>
              <w:spacing w:before="60"/>
              <w:rPr>
                <w:szCs w:val="22"/>
              </w:rPr>
            </w:pPr>
          </w:p>
        </w:tc>
        <w:tc>
          <w:tcPr>
            <w:tcW w:w="567" w:type="dxa"/>
          </w:tcPr>
          <w:p>
            <w:pPr>
              <w:pStyle w:val="yMiscellaneousBody"/>
              <w:spacing w:before="60"/>
              <w:rPr>
                <w:szCs w:val="22"/>
              </w:rPr>
            </w:pPr>
          </w:p>
        </w:tc>
        <w:tc>
          <w:tcPr>
            <w:tcW w:w="2977" w:type="dxa"/>
          </w:tcPr>
          <w:p>
            <w:pPr>
              <w:pStyle w:val="yMiscellaneousBody"/>
              <w:spacing w:before="60"/>
              <w:rPr>
                <w:szCs w:val="22"/>
              </w:rPr>
            </w:pPr>
          </w:p>
        </w:tc>
      </w:tr>
      <w:tr>
        <w:tc>
          <w:tcPr>
            <w:tcW w:w="3544" w:type="dxa"/>
            <w:tcBorders>
              <w:bottom w:val="single" w:sz="4" w:space="0" w:color="auto"/>
            </w:tcBorders>
          </w:tcPr>
          <w:p>
            <w:pPr>
              <w:pStyle w:val="yMiscellaneousBody"/>
              <w:spacing w:before="60"/>
              <w:rPr>
                <w:szCs w:val="22"/>
              </w:rPr>
            </w:pPr>
            <w:r>
              <w:rPr>
                <w:szCs w:val="22"/>
              </w:rPr>
              <w:t>Uvashni Raman</w:t>
            </w:r>
          </w:p>
        </w:tc>
        <w:tc>
          <w:tcPr>
            <w:tcW w:w="567" w:type="dxa"/>
          </w:tcPr>
          <w:p>
            <w:pPr>
              <w:pStyle w:val="yMiscellaneousBody"/>
              <w:spacing w:before="60"/>
              <w:rPr>
                <w:szCs w:val="22"/>
              </w:rPr>
            </w:pPr>
          </w:p>
        </w:tc>
        <w:tc>
          <w:tcPr>
            <w:tcW w:w="2977" w:type="dxa"/>
            <w:tcBorders>
              <w:bottom w:val="single" w:sz="4" w:space="0" w:color="auto"/>
            </w:tcBorders>
          </w:tcPr>
          <w:p>
            <w:pPr>
              <w:pStyle w:val="yMiscellaneousBody"/>
              <w:spacing w:before="60"/>
              <w:rPr>
                <w:szCs w:val="22"/>
              </w:rPr>
            </w:pPr>
            <w:r>
              <w:rPr>
                <w:szCs w:val="22"/>
              </w:rPr>
              <w:t>Robin Lees</w:t>
            </w:r>
          </w:p>
        </w:tc>
      </w:tr>
      <w:tr>
        <w:tc>
          <w:tcPr>
            <w:tcW w:w="3544" w:type="dxa"/>
            <w:tcBorders>
              <w:top w:val="single" w:sz="4" w:space="0" w:color="auto"/>
            </w:tcBorders>
          </w:tcPr>
          <w:p>
            <w:pPr>
              <w:pStyle w:val="yMiscellaneousBody"/>
              <w:spacing w:before="60"/>
              <w:rPr>
                <w:szCs w:val="22"/>
              </w:rPr>
            </w:pPr>
            <w:r>
              <w:rPr>
                <w:szCs w:val="22"/>
              </w:rPr>
              <w:t>Full Name</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r>
              <w:rPr>
                <w:szCs w:val="22"/>
              </w:rPr>
              <w:t>Full Name</w:t>
            </w:r>
          </w:p>
        </w:tc>
      </w:tr>
    </w:tbl>
    <w:p>
      <w:pPr>
        <w:pStyle w:val="yMiscellaneousBody"/>
        <w:spacing w:before="360"/>
      </w:pPr>
      <w:r>
        <w:rPr>
          <w:b/>
        </w:rPr>
        <w:t>EXECUTED</w:t>
      </w:r>
      <w:r>
        <w:t xml:space="preserve"> by </w:t>
      </w:r>
      <w:r>
        <w:rPr>
          <w:b/>
        </w:rPr>
        <w:t xml:space="preserve">MITSUI IRON </w:t>
      </w:r>
      <w:smartTag w:uri="urn:schemas-microsoft-com:office:smarttags" w:element="State">
        <w:smartTag w:uri="urn:schemas-microsoft-com:office:smarttags" w:element="place">
          <w:r>
            <w:rPr>
              <w:b/>
            </w:rPr>
            <w:t>ORE</w:t>
          </w:r>
        </w:smartTag>
      </w:smartTag>
      <w:r>
        <w:rPr>
          <w:b/>
        </w:rPr>
        <w:tab/>
      </w:r>
      <w:r>
        <w:rPr>
          <w:b/>
        </w:rPr>
        <w:tab/>
      </w:r>
      <w:r>
        <w:t>)</w:t>
      </w:r>
    </w:p>
    <w:p>
      <w:pPr>
        <w:pStyle w:val="yMiscellaneousBody"/>
        <w:spacing w:before="0"/>
      </w:pPr>
      <w:r>
        <w:rPr>
          <w:b/>
        </w:rPr>
        <w:t>CORPORATION PTY. LTD</w:t>
      </w:r>
      <w:r>
        <w:tab/>
      </w:r>
      <w:r>
        <w:tab/>
      </w:r>
      <w:r>
        <w:tab/>
        <w:t>)</w:t>
      </w:r>
    </w:p>
    <w:p>
      <w:pPr>
        <w:pStyle w:val="yMiscellaneousBody"/>
        <w:spacing w:before="0"/>
      </w:pPr>
      <w:r>
        <w:t>ACN 050 157 456 in accordance with</w:t>
      </w:r>
      <w:r>
        <w:tab/>
      </w:r>
      <w:r>
        <w:tab/>
        <w:t>)</w:t>
      </w:r>
    </w:p>
    <w:p>
      <w:pPr>
        <w:pStyle w:val="yMiscellaneousBody"/>
        <w:spacing w:before="0" w:after="160"/>
      </w:pPr>
      <w:r>
        <w:t xml:space="preserve">section 127(1) of the Corporations Act </w:t>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pPr>
            <w:r>
              <w:t>[Signature]</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spacing w:before="60"/>
            </w:pPr>
          </w:p>
        </w:tc>
        <w:tc>
          <w:tcPr>
            <w:tcW w:w="567" w:type="dxa"/>
          </w:tcPr>
          <w:p>
            <w:pPr>
              <w:pStyle w:val="yMiscellaneousBody"/>
              <w:spacing w:before="60"/>
            </w:pPr>
          </w:p>
        </w:tc>
        <w:tc>
          <w:tcPr>
            <w:tcW w:w="2977" w:type="dxa"/>
          </w:tcPr>
          <w:p>
            <w:pPr>
              <w:pStyle w:val="yMiscellaneousBody"/>
              <w:spacing w:before="60"/>
            </w:pPr>
          </w:p>
        </w:tc>
      </w:tr>
      <w:tr>
        <w:tc>
          <w:tcPr>
            <w:tcW w:w="3544" w:type="dxa"/>
            <w:tcBorders>
              <w:bottom w:val="single" w:sz="4" w:space="0" w:color="auto"/>
            </w:tcBorders>
          </w:tcPr>
          <w:p>
            <w:pPr>
              <w:pStyle w:val="yMiscellaneousBody"/>
              <w:spacing w:before="60"/>
            </w:pPr>
            <w:r>
              <w:t>Ryuzo Nakamura</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Jiahe He</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keepNext/>
        <w:spacing w:before="360"/>
      </w:pPr>
      <w:r>
        <w:rPr>
          <w:b/>
        </w:rPr>
        <w:t>SIGNED</w:t>
      </w:r>
      <w:r>
        <w:t xml:space="preserve"> by </w:t>
      </w:r>
      <w:r>
        <w:rPr>
          <w:b/>
        </w:rPr>
        <w:t>Shuzaburo Tsuchihashi</w:t>
      </w:r>
      <w:r>
        <w:rPr>
          <w:b/>
        </w:rPr>
        <w:tab/>
      </w:r>
      <w:r>
        <w:rPr>
          <w:b/>
        </w:rPr>
        <w:tab/>
      </w:r>
      <w:r>
        <w:t>)</w:t>
      </w:r>
    </w:p>
    <w:p>
      <w:pPr>
        <w:pStyle w:val="yMiscellaneousBody"/>
        <w:keepNext/>
        <w:spacing w:before="0"/>
      </w:pPr>
      <w:r>
        <w:t xml:space="preserve">as attorney for </w:t>
      </w:r>
      <w:r>
        <w:rPr>
          <w:b/>
        </w:rPr>
        <w:t xml:space="preserve">ITOCHU MINERALS &amp; </w:t>
      </w:r>
      <w:r>
        <w:rPr>
          <w:b/>
        </w:rPr>
        <w:tab/>
      </w:r>
      <w:r>
        <w:t>)</w:t>
      </w:r>
    </w:p>
    <w:p>
      <w:pPr>
        <w:pStyle w:val="yMiscellaneousBody"/>
        <w:spacing w:before="0"/>
      </w:pPr>
      <w:r>
        <w:rPr>
          <w:b/>
        </w:rPr>
        <w:t>ENERGY OF AUSTRALIA PTY. LTD.</w:t>
      </w:r>
      <w:r>
        <w:rPr>
          <w:b/>
        </w:rPr>
        <w:tab/>
      </w:r>
      <w:r>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60"/>
            </w:pPr>
            <w:r>
              <w:t>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Name</w:t>
            </w:r>
          </w:p>
        </w:tc>
      </w:tr>
    </w:tbl>
    <w:p>
      <w:pPr>
        <w:pStyle w:val="yFootnotesection"/>
        <w:keepLines w:val="0"/>
        <w:spacing w:before="240"/>
      </w:pPr>
      <w:r>
        <w:tab/>
        <w:t>[Schedule 5 inserted: No. 62 of 2011 s. 21.]</w:t>
      </w:r>
    </w:p>
    <w:p>
      <w:pPr>
        <w:pStyle w:val="CentredBaseLine"/>
        <w:widowControl w:val="0"/>
        <w:spacing w:before="120"/>
        <w:jc w:val="center"/>
      </w:pPr>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41" w:name="_Toc381880433"/>
      <w:bookmarkStart w:id="42" w:name="_Toc419715016"/>
      <w:bookmarkStart w:id="43" w:name="_Toc419715099"/>
      <w:r>
        <w:t>Notes</w:t>
      </w:r>
      <w:bookmarkEnd w:id="41"/>
      <w:bookmarkEnd w:id="42"/>
      <w:bookmarkEnd w:id="43"/>
    </w:p>
    <w:p>
      <w:pPr>
        <w:pStyle w:val="nSubsection"/>
        <w:spacing w:before="60"/>
        <w:rPr>
          <w:snapToGrid w:val="0"/>
        </w:rPr>
      </w:pPr>
      <w:r>
        <w:rPr>
          <w:snapToGrid w:val="0"/>
          <w:vertAlign w:val="superscript"/>
        </w:rPr>
        <w:t>1</w:t>
      </w:r>
      <w:r>
        <w:rPr>
          <w:snapToGrid w:val="0"/>
        </w:rPr>
        <w:tab/>
        <w:t xml:space="preserve">This reprint is a compilation as at 3 January 2014 of the </w:t>
      </w:r>
      <w:r>
        <w:rPr>
          <w:i/>
          <w:noProof/>
          <w:snapToGrid w:val="0"/>
        </w:rPr>
        <w:t>Iron Ore (Marillana Creek) Agreement Act 1991</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44" w:name="_Toc381880434"/>
      <w:bookmarkStart w:id="45" w:name="_Toc419715100"/>
      <w:r>
        <w:rPr>
          <w:snapToGrid w:val="0"/>
        </w:rPr>
        <w:t>Compilation table</w:t>
      </w:r>
      <w:bookmarkEnd w:id="44"/>
      <w:bookmarkEnd w:id="45"/>
    </w:p>
    <w:tbl>
      <w:tblPr>
        <w:tblW w:w="7106" w:type="dxa"/>
        <w:tblInd w:w="90" w:type="dxa"/>
        <w:tblLayout w:type="fixed"/>
        <w:tblCellMar>
          <w:left w:w="56" w:type="dxa"/>
          <w:right w:w="56" w:type="dxa"/>
        </w:tblCellMar>
        <w:tblLook w:val="0000" w:firstRow="0" w:lastRow="0" w:firstColumn="0" w:lastColumn="0" w:noHBand="0" w:noVBand="0"/>
      </w:tblPr>
      <w:tblGrid>
        <w:gridCol w:w="9"/>
        <w:gridCol w:w="11"/>
        <w:gridCol w:w="2245"/>
        <w:gridCol w:w="8"/>
        <w:gridCol w:w="11"/>
        <w:gridCol w:w="1113"/>
        <w:gridCol w:w="8"/>
        <w:gridCol w:w="11"/>
        <w:gridCol w:w="1113"/>
        <w:gridCol w:w="8"/>
        <w:gridCol w:w="11"/>
        <w:gridCol w:w="2522"/>
        <w:gridCol w:w="6"/>
        <w:gridCol w:w="8"/>
        <w:gridCol w:w="22"/>
      </w:tblGrid>
      <w:tr>
        <w:trPr>
          <w:gridAfter w:val="3"/>
          <w:wAfter w:w="36" w:type="dxa"/>
          <w:cantSplit/>
          <w:tblHeader/>
        </w:trPr>
        <w:tc>
          <w:tcPr>
            <w:tcW w:w="2263"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4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19" w:type="dxa"/>
          <w:cantSplit/>
        </w:trPr>
        <w:tc>
          <w:tcPr>
            <w:tcW w:w="2268" w:type="dxa"/>
            <w:gridSpan w:val="3"/>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(Marillana Creek) Agreement Act 1991</w:t>
            </w:r>
          </w:p>
        </w:tc>
        <w:tc>
          <w:tcPr>
            <w:tcW w:w="1134" w:type="dxa"/>
            <w:gridSpan w:val="3"/>
          </w:tcPr>
          <w:p>
            <w:pPr>
              <w:pStyle w:val="nTable"/>
              <w:spacing w:after="40"/>
            </w:pPr>
            <w:r>
              <w:t>2 of 1991</w:t>
            </w:r>
          </w:p>
        </w:tc>
        <w:tc>
          <w:tcPr>
            <w:tcW w:w="1134" w:type="dxa"/>
            <w:gridSpan w:val="3"/>
          </w:tcPr>
          <w:p>
            <w:pPr>
              <w:pStyle w:val="nTable"/>
              <w:spacing w:after="40"/>
            </w:pPr>
            <w:r>
              <w:t>27 May 1991</w:t>
            </w:r>
          </w:p>
        </w:tc>
        <w:tc>
          <w:tcPr>
            <w:tcW w:w="2551" w:type="dxa"/>
            <w:gridSpan w:val="4"/>
          </w:tcPr>
          <w:p>
            <w:pPr>
              <w:pStyle w:val="nTable"/>
              <w:spacing w:after="40"/>
            </w:pPr>
            <w:r>
              <w:t>27 May 1991 (see s. 2)</w:t>
            </w:r>
          </w:p>
        </w:tc>
      </w:tr>
      <w:tr>
        <w:trPr>
          <w:gridAfter w:val="2"/>
          <w:wAfter w:w="19" w:type="dxa"/>
          <w:cantSplit/>
        </w:trPr>
        <w:tc>
          <w:tcPr>
            <w:tcW w:w="2268" w:type="dxa"/>
            <w:gridSpan w:val="3"/>
          </w:tcPr>
          <w:p>
            <w:pPr>
              <w:pStyle w:val="nTable"/>
              <w:spacing w:after="40"/>
              <w:ind w:right="113"/>
            </w:pPr>
            <w:r>
              <w:rPr>
                <w:i/>
              </w:rPr>
              <w:t>Acts Amendment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McCamey’s Monster and Marillana Creek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1994</w:t>
            </w:r>
            <w:r>
              <w:t xml:space="preserve"> Pt. 4</w:t>
            </w:r>
          </w:p>
        </w:tc>
        <w:tc>
          <w:tcPr>
            <w:tcW w:w="1134" w:type="dxa"/>
            <w:gridSpan w:val="3"/>
          </w:tcPr>
          <w:p>
            <w:pPr>
              <w:pStyle w:val="nTable"/>
              <w:spacing w:after="40"/>
            </w:pPr>
            <w:r>
              <w:t>29 of 1994</w:t>
            </w:r>
          </w:p>
        </w:tc>
        <w:tc>
          <w:tcPr>
            <w:tcW w:w="1134" w:type="dxa"/>
            <w:gridSpan w:val="3"/>
          </w:tcPr>
          <w:p>
            <w:pPr>
              <w:pStyle w:val="nTable"/>
              <w:spacing w:after="40"/>
            </w:pPr>
            <w:r>
              <w:t>8 Jul 1994</w:t>
            </w:r>
          </w:p>
        </w:tc>
        <w:tc>
          <w:tcPr>
            <w:tcW w:w="2551" w:type="dxa"/>
            <w:gridSpan w:val="4"/>
          </w:tcPr>
          <w:p>
            <w:pPr>
              <w:pStyle w:val="nTable"/>
              <w:spacing w:after="40"/>
            </w:pPr>
            <w:r>
              <w:t>8 Jul 1994 (see s. 2)</w:t>
            </w:r>
          </w:p>
        </w:tc>
      </w:tr>
      <w:tr>
        <w:trPr>
          <w:gridAfter w:val="2"/>
          <w:wAfter w:w="19" w:type="dxa"/>
          <w:cantSplit/>
        </w:trPr>
        <w:tc>
          <w:tcPr>
            <w:tcW w:w="2268" w:type="dxa"/>
            <w:gridSpan w:val="3"/>
          </w:tcPr>
          <w:p>
            <w:pPr>
              <w:pStyle w:val="nTable"/>
              <w:spacing w:after="40"/>
              <w:ind w:right="113"/>
            </w:pPr>
            <w:r>
              <w:rPr>
                <w:i/>
              </w:rPr>
              <w:t>Acts Amendment (</w:t>
            </w:r>
            <w:smartTag w:uri="urn:schemas-microsoft-com:office:smarttags" w:element="place">
              <w:smartTag w:uri="urn:schemas-microsoft-com:office:smarttags" w:element="City">
                <w:r>
                  <w:rPr>
                    <w:i/>
                  </w:rPr>
                  <w:t>Iron</w:t>
                </w:r>
              </w:smartTag>
              <w:r>
                <w:rPr>
                  <w:i/>
                </w:rPr>
                <w:t> </w:t>
              </w:r>
              <w:smartTag w:uri="urn:schemas-microsoft-com:office:smarttags" w:element="State">
                <w:r>
                  <w:rPr>
                    <w:i/>
                  </w:rPr>
                  <w:t>Ore</w:t>
                </w:r>
              </w:smartTag>
            </w:smartTag>
            <w:r>
              <w:rPr>
                <w:i/>
              </w:rPr>
              <w:t xml:space="preserve"> Agreements) Act 2000 </w:t>
            </w:r>
            <w:r>
              <w:t>Pt. 3</w:t>
            </w:r>
          </w:p>
        </w:tc>
        <w:tc>
          <w:tcPr>
            <w:tcW w:w="1134" w:type="dxa"/>
            <w:gridSpan w:val="3"/>
          </w:tcPr>
          <w:p>
            <w:pPr>
              <w:pStyle w:val="nTable"/>
              <w:spacing w:after="40"/>
            </w:pPr>
            <w:r>
              <w:t>57 of 2000</w:t>
            </w:r>
          </w:p>
        </w:tc>
        <w:tc>
          <w:tcPr>
            <w:tcW w:w="1134" w:type="dxa"/>
            <w:gridSpan w:val="3"/>
          </w:tcPr>
          <w:p>
            <w:pPr>
              <w:pStyle w:val="nTable"/>
              <w:spacing w:after="40"/>
            </w:pPr>
            <w:r>
              <w:t>7 Dec 2000</w:t>
            </w:r>
          </w:p>
        </w:tc>
        <w:tc>
          <w:tcPr>
            <w:tcW w:w="2551" w:type="dxa"/>
            <w:gridSpan w:val="4"/>
          </w:tcPr>
          <w:p>
            <w:pPr>
              <w:pStyle w:val="nTable"/>
              <w:spacing w:after="40"/>
            </w:pPr>
            <w:r>
              <w:t>7 Dec 2000 (see s. 2)</w:t>
            </w:r>
          </w:p>
        </w:tc>
      </w:tr>
      <w:tr>
        <w:trPr>
          <w:gridAfter w:val="2"/>
          <w:wAfter w:w="19" w:type="dxa"/>
          <w:cantSplit/>
        </w:trPr>
        <w:tc>
          <w:tcPr>
            <w:tcW w:w="7087" w:type="dxa"/>
            <w:gridSpan w:val="13"/>
          </w:tcPr>
          <w:p>
            <w:pPr>
              <w:pStyle w:val="nTable"/>
              <w:spacing w:after="40"/>
            </w:pPr>
            <w:r>
              <w:rPr>
                <w:b/>
              </w:rPr>
              <w:t xml:space="preserve">Reprint of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(Marillana Creek) Agreement Act 1991</w:t>
            </w:r>
            <w:r>
              <w:rPr>
                <w:b/>
              </w:rPr>
              <w:t xml:space="preserve"> at 5 Apr 2002</w:t>
            </w:r>
            <w:r>
              <w:br/>
              <w:t>(includes amendments listed above)</w:t>
            </w:r>
          </w:p>
        </w:tc>
      </w:tr>
      <w:tr>
        <w:trPr>
          <w:gridBefore w:val="2"/>
          <w:wBefore w:w="19" w:type="dxa"/>
          <w:cantSplit/>
        </w:trPr>
        <w:tc>
          <w:tcPr>
            <w:tcW w:w="2268" w:type="dxa"/>
            <w:gridSpan w:val="3"/>
          </w:tcPr>
          <w:p>
            <w:pPr>
              <w:pStyle w:val="nTable"/>
              <w:spacing w:after="40"/>
              <w:ind w:right="113"/>
              <w:rPr>
                <w:iCs/>
              </w:rPr>
            </w:pPr>
            <w:r>
              <w:rPr>
                <w:i/>
              </w:rPr>
              <w:t>Statutes (Repeals and Miscellaneous Amendments) Act 2009</w:t>
            </w:r>
            <w:r>
              <w:rPr>
                <w:iCs/>
              </w:rPr>
              <w:t xml:space="preserve"> s. 80</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4"/>
          </w:tcPr>
          <w:p>
            <w:pPr>
              <w:pStyle w:val="nTable"/>
              <w:spacing w:after="40"/>
            </w:pPr>
            <w:r>
              <w:t>22 May 2009 (see s. 2(b))</w:t>
            </w:r>
          </w:p>
        </w:tc>
      </w:tr>
      <w:tr>
        <w:trPr>
          <w:gridBefore w:val="1"/>
          <w:gridAfter w:val="1"/>
          <w:wBefore w:w="8" w:type="dxa"/>
          <w:wAfter w:w="11"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1"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4</w:t>
            </w:r>
          </w:p>
        </w:tc>
        <w:tc>
          <w:tcPr>
            <w:tcW w:w="1134" w:type="dxa"/>
            <w:gridSpan w:val="3"/>
            <w:tcBorders>
              <w:top w:val="nil"/>
              <w:bottom w:val="nil"/>
            </w:tcBorders>
          </w:tcPr>
          <w:p>
            <w:pPr>
              <w:pStyle w:val="nTable"/>
              <w:spacing w:after="40"/>
              <w:ind w:right="170"/>
            </w:pPr>
            <w:r>
              <w:t>34 of 2010</w:t>
            </w:r>
          </w:p>
        </w:tc>
        <w:tc>
          <w:tcPr>
            <w:tcW w:w="1134" w:type="dxa"/>
            <w:gridSpan w:val="3"/>
            <w:tcBorders>
              <w:top w:val="nil"/>
              <w:bottom w:val="nil"/>
            </w:tcBorders>
          </w:tcPr>
          <w:p>
            <w:pPr>
              <w:pStyle w:val="nTable"/>
              <w:spacing w:after="40"/>
            </w:pPr>
            <w:r>
              <w:t>26 Aug 2010</w:t>
            </w:r>
          </w:p>
        </w:tc>
        <w:tc>
          <w:tcPr>
            <w:tcW w:w="2551" w:type="dxa"/>
            <w:gridSpan w:val="4"/>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11</w:t>
            </w:r>
          </w:p>
        </w:tc>
        <w:tc>
          <w:tcPr>
            <w:tcW w:w="1134" w:type="dxa"/>
            <w:gridSpan w:val="3"/>
            <w:tcBorders>
              <w:top w:val="nil"/>
              <w:bottom w:val="nil"/>
            </w:tcBorders>
          </w:tcPr>
          <w:p>
            <w:pPr>
              <w:pStyle w:val="nTable"/>
              <w:spacing w:after="40"/>
              <w:ind w:right="170"/>
            </w:pPr>
            <w:r>
              <w:t>61 of 2010</w:t>
            </w:r>
          </w:p>
        </w:tc>
        <w:tc>
          <w:tcPr>
            <w:tcW w:w="1134" w:type="dxa"/>
            <w:gridSpan w:val="3"/>
            <w:tcBorders>
              <w:top w:val="nil"/>
              <w:bottom w:val="nil"/>
            </w:tcBorders>
          </w:tcPr>
          <w:p>
            <w:pPr>
              <w:pStyle w:val="nTable"/>
              <w:spacing w:after="40"/>
            </w:pPr>
            <w:r>
              <w:t>10 Dec 2010</w:t>
            </w:r>
          </w:p>
        </w:tc>
        <w:tc>
          <w:tcPr>
            <w:tcW w:w="2551" w:type="dxa"/>
            <w:gridSpan w:val="4"/>
            <w:tcBorders>
              <w:top w:val="nil"/>
              <w:bottom w:val="nil"/>
            </w:tcBorders>
          </w:tcPr>
          <w:p>
            <w:pPr>
              <w:pStyle w:val="nTable"/>
              <w:spacing w:after="40"/>
            </w:pPr>
            <w:r>
              <w:t>s. 45: 1 Jul 2010 (see s. 2(b));</w:t>
            </w:r>
            <w:r>
              <w:br/>
              <w:t>Pt. 11 other than s. 45: 11 Dec 2010 (see s. 2(c))</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6</w:t>
            </w:r>
          </w:p>
        </w:tc>
        <w:tc>
          <w:tcPr>
            <w:tcW w:w="1134" w:type="dxa"/>
            <w:gridSpan w:val="3"/>
            <w:tcBorders>
              <w:top w:val="nil"/>
              <w:bottom w:val="nil"/>
            </w:tcBorders>
          </w:tcPr>
          <w:p>
            <w:pPr>
              <w:pStyle w:val="nTable"/>
              <w:keepNext/>
              <w:keepLines/>
              <w:spacing w:after="40"/>
              <w:ind w:right="170"/>
            </w:pPr>
            <w:r>
              <w:t>62 of 2011</w:t>
            </w:r>
          </w:p>
        </w:tc>
        <w:tc>
          <w:tcPr>
            <w:tcW w:w="1134" w:type="dxa"/>
            <w:gridSpan w:val="3"/>
            <w:tcBorders>
              <w:top w:val="nil"/>
              <w:bottom w:val="nil"/>
            </w:tcBorders>
          </w:tcPr>
          <w:p>
            <w:pPr>
              <w:pStyle w:val="nTable"/>
              <w:keepNext/>
              <w:keepLines/>
              <w:spacing w:after="40"/>
            </w:pPr>
            <w:r>
              <w:t>14 Dec 2011</w:t>
            </w:r>
          </w:p>
        </w:tc>
        <w:tc>
          <w:tcPr>
            <w:tcW w:w="2551" w:type="dxa"/>
            <w:gridSpan w:val="4"/>
            <w:tcBorders>
              <w:top w:val="nil"/>
              <w:bottom w:val="nil"/>
            </w:tcBorders>
          </w:tcPr>
          <w:p>
            <w:pPr>
              <w:pStyle w:val="nTable"/>
              <w:keepNext/>
              <w:keepLines/>
              <w:spacing w:after="40"/>
            </w:pPr>
            <w:r>
              <w:t>15 Dec 2011 (see s. 2(b))</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7087" w:type="dxa"/>
            <w:gridSpan w:val="13"/>
            <w:tcBorders>
              <w:top w:val="nil"/>
              <w:bottom w:val="single" w:sz="8" w:space="0" w:color="auto"/>
            </w:tcBorders>
            <w:shd w:val="clear" w:color="auto" w:fill="auto"/>
          </w:tcPr>
          <w:p>
            <w:pPr>
              <w:pStyle w:val="nTable"/>
              <w:spacing w:after="40"/>
            </w:pPr>
            <w:r>
              <w:rPr>
                <w:b/>
              </w:rPr>
              <w:t xml:space="preserve">Reprint 2: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(Marillana Creek) Agreement Act 1991</w:t>
            </w:r>
            <w:r>
              <w:rPr>
                <w:b/>
              </w:rPr>
              <w:t xml:space="preserve"> at 3 Jan 2014</w:t>
            </w:r>
            <w:r>
              <w:br/>
              <w:t>(includes amendments listed above)</w:t>
            </w:r>
          </w:p>
        </w:tc>
      </w:tr>
    </w:tbl>
    <w:p>
      <w:pPr>
        <w:rPr>
          <w:sz w:val="16"/>
          <w:szCs w:val="16"/>
        </w:rPr>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47" w:name="_Toc419715101"/>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 6(1), 7(1)</w:t>
      </w:r>
    </w:p>
    <w:p>
      <w:pPr>
        <w:pStyle w:val="DefinedTerms"/>
      </w:pPr>
      <w:r>
        <w:t>aggregate project cost under the Processing Agreement</w:t>
      </w:r>
      <w:r>
        <w:tab/>
        <w:t>Sch. 2</w:t>
      </w:r>
    </w:p>
    <w:p>
      <w:pPr>
        <w:pStyle w:val="DefinedTerms"/>
      </w:pPr>
      <w:r>
        <w:t>approved mine workforce”</w:t>
      </w:r>
      <w:r>
        <w:tab/>
        <w:t>Sch. 2</w:t>
      </w:r>
    </w:p>
    <w:p>
      <w:pPr>
        <w:pStyle w:val="DefinedTerms"/>
      </w:pPr>
      <w:r>
        <w:t>approved production limit under this Clause</w:t>
      </w:r>
      <w:r>
        <w:tab/>
        <w:t>Sch. 2</w:t>
      </w:r>
    </w:p>
    <w:p>
      <w:pPr>
        <w:pStyle w:val="DefinedTerms"/>
      </w:pPr>
      <w:r>
        <w:t>BHP</w:t>
      </w:r>
      <w:r>
        <w:tab/>
        <w:t>Sch. 2</w:t>
      </w:r>
    </w:p>
    <w:p>
      <w:pPr>
        <w:pStyle w:val="DefinedTerms"/>
      </w:pPr>
      <w:r>
        <w:t>combined limit</w:t>
      </w:r>
      <w:r>
        <w:tab/>
        <w:t>Sch. 2</w:t>
      </w:r>
    </w:p>
    <w:p>
      <w:pPr>
        <w:pStyle w:val="DefinedTerms"/>
      </w:pPr>
      <w:r>
        <w:t>First Variation Agreement</w:t>
      </w:r>
      <w:r>
        <w:tab/>
        <w:t>3</w:t>
      </w:r>
    </w:p>
    <w:p>
      <w:pPr>
        <w:pStyle w:val="DefinedTerms"/>
      </w:pPr>
      <w:r>
        <w:t>Fourth Variation Agreement</w:t>
      </w:r>
      <w:r>
        <w:tab/>
        <w:t>3</w:t>
      </w:r>
    </w:p>
    <w:p>
      <w:pPr>
        <w:pStyle w:val="DefinedTerms"/>
      </w:pPr>
      <w:r>
        <w:t>Second Variation Agreement</w:t>
      </w:r>
      <w:r>
        <w:tab/>
        <w:t>3</w:t>
      </w:r>
    </w:p>
    <w:p>
      <w:pPr>
        <w:pStyle w:val="DefinedTerms"/>
      </w:pPr>
      <w:r>
        <w:t>Third Variation Agreement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p/>
    <w:p/>
    <w:p/>
    <w:p/>
    <w:p/>
    <w:p/>
    <w:p/>
    <w:p/>
    <w:p/>
    <w:p/>
    <w:p/>
    <w:p/>
    <w:p/>
    <w:p/>
    <w:p/>
    <w:p/>
    <w:p/>
    <w:p/>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(Marillana Creek) Agreement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(Marillana Creek) Agreement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(Marillana Creek) Agreement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(Marillana Creek) Agreement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lvlText w:val="%1."/>
      <w:lvlJc w:val="left"/>
      <w:pPr>
        <w:tabs>
          <w:tab w:val="num" w:pos="1800"/>
        </w:tabs>
        <w:ind w:left="1800" w:hanging="360"/>
      </w:pPr>
    </w:lvl>
  </w:abstractNum>
  <w:abstractNum w:abstractNumId="1">
    <w:nsid w:val="FFFFFF7D"/>
    <w:multiLevelType w:val="singleLevel"/>
    <w:tmpl w:val="34F4CF8E"/>
    <w:lvl w:ilvl="0">
      <w:start w:val="1"/>
      <w:numFmt w:val="decimal"/>
      <w:lvlText w:val="%1."/>
      <w:lvlJc w:val="left"/>
      <w:pPr>
        <w:tabs>
          <w:tab w:val="num" w:pos="1440"/>
        </w:tabs>
        <w:ind w:left="1440" w:hanging="360"/>
      </w:pPr>
    </w:lvl>
  </w:abstractNum>
  <w:abstractNum w:abstractNumId="2">
    <w:nsid w:val="FFFFFF7E"/>
    <w:multiLevelType w:val="singleLevel"/>
    <w:tmpl w:val="C13E14D2"/>
    <w:lvl w:ilvl="0">
      <w:start w:val="1"/>
      <w:numFmt w:val="decimal"/>
      <w:lvlText w:val="%1."/>
      <w:lvlJc w:val="left"/>
      <w:pPr>
        <w:tabs>
          <w:tab w:val="num" w:pos="1080"/>
        </w:tabs>
        <w:ind w:left="1080" w:hanging="360"/>
      </w:pPr>
    </w:lvl>
  </w:abstractNum>
  <w:abstractNum w:abstractNumId="3">
    <w:nsid w:val="FFFFFF7F"/>
    <w:multiLevelType w:val="singleLevel"/>
    <w:tmpl w:val="5478173C"/>
    <w:lvl w:ilvl="0">
      <w:start w:val="1"/>
      <w:numFmt w:val="decimal"/>
      <w:lvlText w:val="%1."/>
      <w:lvlJc w:val="left"/>
      <w:pPr>
        <w:tabs>
          <w:tab w:val="num" w:pos="720"/>
        </w:tabs>
        <w:ind w:left="720" w:hanging="360"/>
      </w:pPr>
    </w:lvl>
  </w:abstractNum>
  <w:abstractNum w:abstractNumId="4">
    <w:nsid w:val="FFFFFF80"/>
    <w:multiLevelType w:val="singleLevel"/>
    <w:tmpl w:val="47AAD00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lvlText w:val="%1."/>
      <w:lvlJc w:val="left"/>
      <w:pPr>
        <w:tabs>
          <w:tab w:val="num" w:pos="360"/>
        </w:tabs>
        <w:ind w:left="360" w:hanging="360"/>
      </w:pPr>
    </w:lvl>
  </w:abstractNum>
  <w:abstractNum w:abstractNumId="9">
    <w:nsid w:val="FFFFFF89"/>
    <w:multiLevelType w:val="singleLevel"/>
    <w:tmpl w:val="C0BC87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F262D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23"/>
    <w:docVar w:name="WAFER_20140114144917" w:val="RemoveTocBookmarks,RemoveLanguageTags,RemoveTrackChanges,RunningHeaders"/>
    <w:docVar w:name="WAFER_20140114144917_GUID" w:val="9dfe0ccf-4b36-4a39-a4bc-056585cf78cc"/>
    <w:docVar w:name="WAFER_20140115155216" w:val="RemoveTocBookmarks,RemoveUnusedBookmarks,RemoveLanguageTags,UsedStyles,ResetPageSize,UpdateArrangement"/>
    <w:docVar w:name="WAFER_20140115155216_GUID" w:val="76e2cafb-d3d8-42dc-a2cf-7fbf46b1b652"/>
    <w:docVar w:name="WAFER_20140115155314" w:val="RemoveTocBookmarks,RunningHeaders"/>
    <w:docVar w:name="WAFER_20140115155314_GUID" w:val="8e43ba17-dde8-4539-9d1b-61e33c41d6a9"/>
    <w:docVar w:name="WAFER_20140306135921" w:val="RemoveTocBookmarks,RemoveUnusedBookmarks,RemoveLanguageTags,UsedStyles,ResetPageSize"/>
    <w:docVar w:name="WAFER_20140306135921_GUID" w:val="13324e19-e6cd-4061-b0a6-b65b8a101760"/>
    <w:docVar w:name="WAFER_20140306140659" w:val="RemoveTocBookmarks,RunningHeaders"/>
    <w:docVar w:name="WAFER_20140306140659_GUID" w:val="6b0bb1e1-b601-40c5-b5f5-3e159c95de36"/>
    <w:docVar w:name="WAFER_20150518114520" w:val="ResetPageSize,UpdateArrangement,UpdateNTable"/>
    <w:docVar w:name="WAFER_20150518114520_GUID" w:val="c07b3b9d-4b8d-4aa5-968b-97ad5a500a83"/>
    <w:docVar w:name="WAFER_20151105134623" w:val="UpdateStyles,UsedStyles"/>
    <w:docVar w:name="WAFER_20151105134623_GUID" w:val="70832c52-c9d9-42fc-8ba3-c39c657ca7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556CA-E712-4B55-B32E-29CC4906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41501</Words>
  <Characters>207921</Characters>
  <Application>Microsoft Office Word</Application>
  <DocSecurity>0</DocSecurity>
  <Lines>5198</Lines>
  <Paragraphs>1768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1991 - 02-a0-05</dc:title>
  <dc:subject/>
  <dc:creator/>
  <cp:keywords/>
  <dc:description/>
  <cp:lastModifiedBy>svcMRProcess</cp:lastModifiedBy>
  <cp:revision>4</cp:revision>
  <cp:lastPrinted>2013-12-18T07:42:00Z</cp:lastPrinted>
  <dcterms:created xsi:type="dcterms:W3CDTF">2020-02-17T02:34:00Z</dcterms:created>
  <dcterms:modified xsi:type="dcterms:W3CDTF">2020-02-17T02:34:00Z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20140103</vt:lpwstr>
  </property>
  <property fmtid="{D5CDD505-2E9C-101B-9397-08002B2CF9AE}" pid="4" name="DocumentType">
    <vt:lpwstr>Act</vt:lpwstr>
  </property>
  <property fmtid="{D5CDD505-2E9C-101B-9397-08002B2CF9AE}" pid="5" name="ThisVersion">
    <vt:lpwstr>01-e0-00</vt:lpwstr>
  </property>
  <property fmtid="{D5CDD505-2E9C-101B-9397-08002B2CF9AE}" pid="6" name="OwlsUID">
    <vt:i4>393</vt:i4>
  </property>
  <property fmtid="{D5CDD505-2E9C-101B-9397-08002B2CF9AE}" pid="7" name="ReprintedAsAt">
    <vt:filetime>2014-01-02T16:00:00Z</vt:filetime>
  </property>
  <property fmtid="{D5CDD505-2E9C-101B-9397-08002B2CF9AE}" pid="8" name="ReprintNo">
    <vt:lpwstr>2</vt:lpwstr>
  </property>
  <property fmtid="{D5CDD505-2E9C-101B-9397-08002B2CF9AE}" pid="9" name="AsAtDate">
    <vt:lpwstr>03 Jan 2014</vt:lpwstr>
  </property>
  <property fmtid="{D5CDD505-2E9C-101B-9397-08002B2CF9AE}" pid="10" name="Suffix">
    <vt:lpwstr>02-a0-05</vt:lpwstr>
  </property>
</Properties>
</file>