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Plumbers Licensing Act 1995</w:t>
      </w:r>
      <w:r>
        <w:rPr>
          <w:sz w:val="48"/>
        </w:rPr>
        <w:fldChar w:fldCharType="end"/>
      </w:r>
    </w:p>
    <w:p>
      <w:pPr>
        <w:pStyle w:val="ReprintNo"/>
        <w:outlineLvl w:val="9"/>
      </w:pPr>
      <w:r>
        <w:t>Reprint 4:  The Act as at 24 January 2014</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sz w:val="20"/>
        </w:rPr>
        <w:object w:dxaOrig="613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75pt;height:27.75pt" o:ole="" fillcolor="window">
            <v:imagedata r:id="rId9" o:title=""/>
          </v:shape>
          <o:OLEObject Type="Embed" ProgID="Word.Picture.8" ShapeID="_x0000_i1025" DrawAspect="Content" ObjectID="_1649068504" r:id="rId10"/>
        </w:object>
      </w:r>
    </w:p>
    <w:p>
      <w:pPr>
        <w:tabs>
          <w:tab w:val="left" w:pos="567"/>
          <w:tab w:val="left" w:pos="851"/>
        </w:tabs>
        <w:spacing w:before="12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5"/>
        </w:numPr>
        <w:tabs>
          <w:tab w:val="clear" w:pos="360"/>
          <w:tab w:val="num" w:pos="1209"/>
        </w:tabs>
        <w:ind w:left="1200"/>
        <w:rPr>
          <w:sz w:val="20"/>
        </w:rPr>
      </w:pPr>
      <w:r>
        <w:rPr>
          <w:sz w:val="20"/>
        </w:rPr>
        <w:t>removed (because it was repealed or deleted from the law); or</w:t>
      </w:r>
    </w:p>
    <w:p>
      <w:pPr>
        <w:numPr>
          <w:ilvl w:val="0"/>
          <w:numId w:val="25"/>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
      <w:pPr>
        <w:jc w:val="center"/>
        <w:rPr>
          <w:b/>
        </w:rPr>
        <w:sectPr>
          <w:headerReference w:type="even" r:id="rId11"/>
          <w:headerReference w:type="default" r:id="rId12"/>
          <w:footerReference w:type="even" r:id="rId13"/>
          <w:footerReference w:type="default" r:id="rId14"/>
          <w:headerReference w:type="first" r:id="rId15"/>
          <w:footerReference w:type="first" r:id="rId16"/>
          <w:pgSz w:w="11906" w:h="16838" w:code="9"/>
          <w:pgMar w:top="2381" w:right="2409" w:bottom="3515"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24 January 2014</w:t>
            </w:r>
          </w:p>
        </w:tc>
      </w:tr>
    </w:tbl>
    <w:p>
      <w:pPr>
        <w:pStyle w:val="WA"/>
        <w:spacing w:before="120"/>
      </w:pPr>
      <w:r>
        <w:t>Western Australia</w:t>
      </w:r>
    </w:p>
    <w:p>
      <w:pPr>
        <w:pStyle w:val="NameofActRegPage1"/>
        <w:ind w:left="284" w:right="567"/>
      </w:pPr>
      <w:r>
        <w:fldChar w:fldCharType="begin"/>
      </w:r>
      <w:r>
        <w:instrText xml:space="preserve"> STYLEREF "Name Of Act/Reg"</w:instrText>
      </w:r>
      <w:r>
        <w:fldChar w:fldCharType="separate"/>
      </w:r>
      <w:r>
        <w:rPr>
          <w:noProof/>
        </w:rPr>
        <w:t>Plumbers Licensing Act 1995</w:t>
      </w:r>
      <w:r>
        <w:fldChar w:fldCharType="end"/>
      </w:r>
    </w:p>
    <w:p>
      <w:pPr>
        <w:pStyle w:val="Arrangement"/>
      </w:pPr>
      <w:r>
        <w:t>Contents</w:t>
      </w:r>
    </w:p>
    <w:p>
      <w:pPr>
        <w:pStyle w:val="TOC2"/>
        <w:tabs>
          <w:tab w:val="right" w:leader="dot" w:pos="7078"/>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_Toc379296400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_Toc379296401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_Toc379296402 \h </w:instrText>
      </w:r>
      <w:r>
        <w:fldChar w:fldCharType="separate"/>
      </w:r>
      <w:r>
        <w:t>2</w:t>
      </w:r>
      <w:r>
        <w:fldChar w:fldCharType="end"/>
      </w:r>
    </w:p>
    <w:p>
      <w:pPr>
        <w:pStyle w:val="TOC2"/>
        <w:tabs>
          <w:tab w:val="right" w:leader="dot" w:pos="7078"/>
        </w:tabs>
        <w:rPr>
          <w:rFonts w:asciiTheme="minorHAnsi" w:eastAsiaTheme="minorEastAsia" w:hAnsiTheme="minorHAnsi" w:cstheme="minorBidi"/>
          <w:b w:val="0"/>
          <w:sz w:val="22"/>
          <w:szCs w:val="22"/>
        </w:rPr>
      </w:pPr>
      <w:r>
        <w:t>Part 5A — Licensing of plumbers and related matters</w:t>
      </w:r>
    </w:p>
    <w:p>
      <w:pPr>
        <w:pStyle w:val="TOC4"/>
        <w:tabs>
          <w:tab w:val="right" w:leader="dot" w:pos="7078"/>
        </w:tabs>
        <w:rPr>
          <w:rFonts w:asciiTheme="minorHAnsi" w:eastAsiaTheme="minorEastAsia" w:hAnsiTheme="minorHAnsi" w:cstheme="minorBidi"/>
          <w:b w:val="0"/>
          <w:szCs w:val="22"/>
        </w:rPr>
      </w:pPr>
      <w:r>
        <w:t>Division 1</w:t>
      </w:r>
      <w:r>
        <w:rPr>
          <w:snapToGrid w:val="0"/>
        </w:rPr>
        <w:t> — </w:t>
      </w:r>
      <w:r>
        <w:t>Plumbers Licensing Board</w:t>
      </w:r>
    </w:p>
    <w:p>
      <w:pPr>
        <w:pStyle w:val="TOC8"/>
        <w:rPr>
          <w:rFonts w:asciiTheme="minorHAnsi" w:eastAsiaTheme="minorEastAsia" w:hAnsiTheme="minorHAnsi" w:cstheme="minorBidi"/>
          <w:szCs w:val="22"/>
        </w:rPr>
      </w:pPr>
      <w:r>
        <w:t>59.</w:t>
      </w:r>
      <w:r>
        <w:tab/>
        <w:t>Board established</w:t>
      </w:r>
      <w:r>
        <w:tab/>
      </w:r>
      <w:r>
        <w:fldChar w:fldCharType="begin"/>
      </w:r>
      <w:r>
        <w:instrText xml:space="preserve"> PAGEREF _Toc379296405 \h </w:instrText>
      </w:r>
      <w:r>
        <w:fldChar w:fldCharType="separate"/>
      </w:r>
      <w:r>
        <w:t>3</w:t>
      </w:r>
      <w:r>
        <w:fldChar w:fldCharType="end"/>
      </w:r>
    </w:p>
    <w:p>
      <w:pPr>
        <w:pStyle w:val="TOC8"/>
        <w:rPr>
          <w:rFonts w:asciiTheme="minorHAnsi" w:eastAsiaTheme="minorEastAsia" w:hAnsiTheme="minorHAnsi" w:cstheme="minorBidi"/>
          <w:szCs w:val="22"/>
        </w:rPr>
      </w:pPr>
      <w:r>
        <w:t>59A.</w:t>
      </w:r>
      <w:r>
        <w:tab/>
        <w:t>Membership</w:t>
      </w:r>
      <w:r>
        <w:tab/>
      </w:r>
      <w:r>
        <w:fldChar w:fldCharType="begin"/>
      </w:r>
      <w:r>
        <w:instrText xml:space="preserve"> PAGEREF _Toc379296406 \h </w:instrText>
      </w:r>
      <w:r>
        <w:fldChar w:fldCharType="separate"/>
      </w:r>
      <w:r>
        <w:t>3</w:t>
      </w:r>
      <w:r>
        <w:fldChar w:fldCharType="end"/>
      </w:r>
    </w:p>
    <w:p>
      <w:pPr>
        <w:pStyle w:val="TOC8"/>
        <w:rPr>
          <w:rFonts w:asciiTheme="minorHAnsi" w:eastAsiaTheme="minorEastAsia" w:hAnsiTheme="minorHAnsi" w:cstheme="minorBidi"/>
          <w:szCs w:val="22"/>
        </w:rPr>
      </w:pPr>
      <w:r>
        <w:t>59B.</w:t>
      </w:r>
      <w:r>
        <w:tab/>
        <w:t>Functions</w:t>
      </w:r>
      <w:r>
        <w:tab/>
      </w:r>
      <w:r>
        <w:fldChar w:fldCharType="begin"/>
      </w:r>
      <w:r>
        <w:instrText xml:space="preserve"> PAGEREF _Toc379296407 \h </w:instrText>
      </w:r>
      <w:r>
        <w:fldChar w:fldCharType="separate"/>
      </w:r>
      <w:r>
        <w:t>3</w:t>
      </w:r>
      <w:r>
        <w:fldChar w:fldCharType="end"/>
      </w:r>
    </w:p>
    <w:p>
      <w:pPr>
        <w:pStyle w:val="TOC8"/>
        <w:rPr>
          <w:rFonts w:asciiTheme="minorHAnsi" w:eastAsiaTheme="minorEastAsia" w:hAnsiTheme="minorHAnsi" w:cstheme="minorBidi"/>
          <w:szCs w:val="22"/>
        </w:rPr>
      </w:pPr>
      <w:r>
        <w:t>59C.</w:t>
      </w:r>
      <w:r>
        <w:tab/>
        <w:t>Powers</w:t>
      </w:r>
      <w:r>
        <w:tab/>
      </w:r>
      <w:r>
        <w:fldChar w:fldCharType="begin"/>
      </w:r>
      <w:r>
        <w:instrText xml:space="preserve"> PAGEREF _Toc379296408 \h </w:instrText>
      </w:r>
      <w:r>
        <w:fldChar w:fldCharType="separate"/>
      </w:r>
      <w:r>
        <w:t>4</w:t>
      </w:r>
      <w:r>
        <w:fldChar w:fldCharType="end"/>
      </w:r>
    </w:p>
    <w:p>
      <w:pPr>
        <w:pStyle w:val="TOC8"/>
        <w:rPr>
          <w:rFonts w:asciiTheme="minorHAnsi" w:eastAsiaTheme="minorEastAsia" w:hAnsiTheme="minorHAnsi" w:cstheme="minorBidi"/>
          <w:szCs w:val="22"/>
        </w:rPr>
      </w:pPr>
      <w:r>
        <w:t>59D.</w:t>
      </w:r>
      <w:r>
        <w:tab/>
        <w:t>Delegation by Board</w:t>
      </w:r>
      <w:r>
        <w:tab/>
      </w:r>
      <w:r>
        <w:fldChar w:fldCharType="begin"/>
      </w:r>
      <w:r>
        <w:instrText xml:space="preserve"> PAGEREF _Toc379296409 \h </w:instrText>
      </w:r>
      <w:r>
        <w:fldChar w:fldCharType="separate"/>
      </w:r>
      <w:r>
        <w:t>4</w:t>
      </w:r>
      <w:r>
        <w:fldChar w:fldCharType="end"/>
      </w:r>
    </w:p>
    <w:p>
      <w:pPr>
        <w:pStyle w:val="TOC8"/>
        <w:rPr>
          <w:rFonts w:asciiTheme="minorHAnsi" w:eastAsiaTheme="minorEastAsia" w:hAnsiTheme="minorHAnsi" w:cstheme="minorBidi"/>
          <w:szCs w:val="22"/>
        </w:rPr>
      </w:pPr>
      <w:r>
        <w:t>59E.</w:t>
      </w:r>
      <w:r>
        <w:tab/>
        <w:t>Minister may give Board directions</w:t>
      </w:r>
      <w:r>
        <w:tab/>
      </w:r>
      <w:r>
        <w:fldChar w:fldCharType="begin"/>
      </w:r>
      <w:r>
        <w:instrText xml:space="preserve"> PAGEREF _Toc379296410 \h </w:instrText>
      </w:r>
      <w:r>
        <w:fldChar w:fldCharType="separate"/>
      </w:r>
      <w:r>
        <w:t>4</w:t>
      </w:r>
      <w:r>
        <w:fldChar w:fldCharType="end"/>
      </w:r>
    </w:p>
    <w:p>
      <w:pPr>
        <w:pStyle w:val="TOC8"/>
        <w:rPr>
          <w:rFonts w:asciiTheme="minorHAnsi" w:eastAsiaTheme="minorEastAsia" w:hAnsiTheme="minorHAnsi" w:cstheme="minorBidi"/>
          <w:szCs w:val="22"/>
        </w:rPr>
      </w:pPr>
      <w:r>
        <w:t>59F.</w:t>
      </w:r>
      <w:r>
        <w:tab/>
        <w:t>Minister to have access to information</w:t>
      </w:r>
      <w:r>
        <w:tab/>
      </w:r>
      <w:r>
        <w:fldChar w:fldCharType="begin"/>
      </w:r>
      <w:r>
        <w:instrText xml:space="preserve"> PAGEREF _Toc379296411 \h </w:instrText>
      </w:r>
      <w:r>
        <w:fldChar w:fldCharType="separate"/>
      </w:r>
      <w:r>
        <w:t>5</w:t>
      </w:r>
      <w:r>
        <w:fldChar w:fldCharType="end"/>
      </w:r>
    </w:p>
    <w:p>
      <w:pPr>
        <w:pStyle w:val="TOC8"/>
        <w:rPr>
          <w:rFonts w:asciiTheme="minorHAnsi" w:eastAsiaTheme="minorEastAsia" w:hAnsiTheme="minorHAnsi" w:cstheme="minorBidi"/>
          <w:szCs w:val="22"/>
        </w:rPr>
      </w:pPr>
      <w:r>
        <w:t>59G.</w:t>
      </w:r>
      <w:r>
        <w:tab/>
        <w:t>Use by Board of government staff etc.</w:t>
      </w:r>
      <w:r>
        <w:tab/>
      </w:r>
      <w:r>
        <w:fldChar w:fldCharType="begin"/>
      </w:r>
      <w:r>
        <w:instrText xml:space="preserve"> PAGEREF _Toc379296412 \h </w:instrText>
      </w:r>
      <w:r>
        <w:fldChar w:fldCharType="separate"/>
      </w:r>
      <w:r>
        <w:t>7</w:t>
      </w:r>
      <w:r>
        <w:fldChar w:fldCharType="end"/>
      </w:r>
    </w:p>
    <w:p>
      <w:pPr>
        <w:pStyle w:val="TOC8"/>
        <w:rPr>
          <w:rFonts w:asciiTheme="minorHAnsi" w:eastAsiaTheme="minorEastAsia" w:hAnsiTheme="minorHAnsi" w:cstheme="minorBidi"/>
          <w:szCs w:val="22"/>
        </w:rPr>
      </w:pPr>
      <w:r>
        <w:t>59H.</w:t>
      </w:r>
      <w:r>
        <w:tab/>
      </w:r>
      <w:r>
        <w:rPr>
          <w:i/>
        </w:rPr>
        <w:t>Financial Management Act 2006</w:t>
      </w:r>
      <w:r>
        <w:t>, application of</w:t>
      </w:r>
      <w:r>
        <w:tab/>
      </w:r>
      <w:r>
        <w:fldChar w:fldCharType="begin"/>
      </w:r>
      <w:r>
        <w:instrText xml:space="preserve"> PAGEREF _Toc379296413 \h </w:instrText>
      </w:r>
      <w:r>
        <w:fldChar w:fldCharType="separate"/>
      </w:r>
      <w:r>
        <w:t>7</w:t>
      </w:r>
      <w:r>
        <w:fldChar w:fldCharType="end"/>
      </w:r>
    </w:p>
    <w:p>
      <w:pPr>
        <w:pStyle w:val="TOC4"/>
        <w:tabs>
          <w:tab w:val="right" w:leader="dot" w:pos="7078"/>
        </w:tabs>
        <w:rPr>
          <w:rFonts w:asciiTheme="minorHAnsi" w:eastAsiaTheme="minorEastAsia" w:hAnsiTheme="minorHAnsi" w:cstheme="minorBidi"/>
          <w:b w:val="0"/>
          <w:szCs w:val="22"/>
        </w:rPr>
      </w:pPr>
      <w:r>
        <w:t>Division 2 — Regulations</w:t>
      </w:r>
    </w:p>
    <w:p>
      <w:pPr>
        <w:pStyle w:val="TOC8"/>
        <w:rPr>
          <w:rFonts w:asciiTheme="minorHAnsi" w:eastAsiaTheme="minorEastAsia" w:hAnsiTheme="minorHAnsi" w:cstheme="minorBidi"/>
          <w:szCs w:val="22"/>
        </w:rPr>
      </w:pPr>
      <w:r>
        <w:t>59I.</w:t>
      </w:r>
      <w:r>
        <w:tab/>
        <w:t>Terms used</w:t>
      </w:r>
      <w:r>
        <w:tab/>
      </w:r>
      <w:r>
        <w:fldChar w:fldCharType="begin"/>
      </w:r>
      <w:r>
        <w:instrText xml:space="preserve"> PAGEREF _Toc379296415 \h </w:instrText>
      </w:r>
      <w:r>
        <w:fldChar w:fldCharType="separate"/>
      </w:r>
      <w:r>
        <w:t>8</w:t>
      </w:r>
      <w:r>
        <w:fldChar w:fldCharType="end"/>
      </w:r>
    </w:p>
    <w:p>
      <w:pPr>
        <w:pStyle w:val="TOC8"/>
        <w:rPr>
          <w:rFonts w:asciiTheme="minorHAnsi" w:eastAsiaTheme="minorEastAsia" w:hAnsiTheme="minorHAnsi" w:cstheme="minorBidi"/>
          <w:szCs w:val="22"/>
        </w:rPr>
      </w:pPr>
      <w:r>
        <w:t>59J.</w:t>
      </w:r>
      <w:r>
        <w:tab/>
        <w:t>Regulations; Building Services Account to be credited with certain fees</w:t>
      </w:r>
      <w:r>
        <w:tab/>
      </w:r>
      <w:r>
        <w:fldChar w:fldCharType="begin"/>
      </w:r>
      <w:r>
        <w:instrText xml:space="preserve"> PAGEREF _Toc379296416 \h </w:instrText>
      </w:r>
      <w:r>
        <w:fldChar w:fldCharType="separate"/>
      </w:r>
      <w:r>
        <w:t>8</w:t>
      </w:r>
      <w:r>
        <w:fldChar w:fldCharType="end"/>
      </w:r>
    </w:p>
    <w:p>
      <w:pPr>
        <w:pStyle w:val="TOC8"/>
        <w:rPr>
          <w:rFonts w:asciiTheme="minorHAnsi" w:eastAsiaTheme="minorEastAsia" w:hAnsiTheme="minorHAnsi" w:cstheme="minorBidi"/>
          <w:szCs w:val="22"/>
        </w:rPr>
      </w:pPr>
      <w:r>
        <w:t>59K.</w:t>
      </w:r>
      <w:r>
        <w:tab/>
        <w:t>Offences, regulations may create etc.</w:t>
      </w:r>
      <w:r>
        <w:tab/>
      </w:r>
      <w:r>
        <w:fldChar w:fldCharType="begin"/>
      </w:r>
      <w:r>
        <w:instrText xml:space="preserve"> PAGEREF _Toc379296417 \h </w:instrText>
      </w:r>
      <w:r>
        <w:fldChar w:fldCharType="separate"/>
      </w:r>
      <w:r>
        <w:t>9</w:t>
      </w:r>
      <w:r>
        <w:fldChar w:fldCharType="end"/>
      </w:r>
    </w:p>
    <w:p>
      <w:pPr>
        <w:pStyle w:val="TOC8"/>
        <w:rPr>
          <w:rFonts w:asciiTheme="minorHAnsi" w:eastAsiaTheme="minorEastAsia" w:hAnsiTheme="minorHAnsi" w:cstheme="minorBidi"/>
          <w:szCs w:val="22"/>
        </w:rPr>
      </w:pPr>
      <w:r>
        <w:t>59L.</w:t>
      </w:r>
      <w:r>
        <w:tab/>
        <w:t>Other laws, codes etc., regulations may adopt</w:t>
      </w:r>
      <w:r>
        <w:tab/>
      </w:r>
      <w:r>
        <w:fldChar w:fldCharType="begin"/>
      </w:r>
      <w:r>
        <w:instrText xml:space="preserve"> PAGEREF _Toc379296418 \h </w:instrText>
      </w:r>
      <w:r>
        <w:fldChar w:fldCharType="separate"/>
      </w:r>
      <w:r>
        <w:t>9</w:t>
      </w:r>
      <w:r>
        <w:fldChar w:fldCharType="end"/>
      </w:r>
    </w:p>
    <w:p>
      <w:pPr>
        <w:pStyle w:val="TOC2"/>
        <w:tabs>
          <w:tab w:val="right" w:leader="dot" w:pos="7078"/>
        </w:tabs>
        <w:rPr>
          <w:rFonts w:asciiTheme="minorHAnsi" w:eastAsiaTheme="minorEastAsia" w:hAnsiTheme="minorHAnsi" w:cstheme="minorBidi"/>
          <w:b w:val="0"/>
          <w:sz w:val="22"/>
          <w:szCs w:val="22"/>
        </w:rPr>
      </w:pPr>
      <w:r>
        <w:t>Part 6 — General</w:t>
      </w:r>
    </w:p>
    <w:p>
      <w:pPr>
        <w:pStyle w:val="TOC8"/>
        <w:rPr>
          <w:rFonts w:asciiTheme="minorHAnsi" w:eastAsiaTheme="minorEastAsia" w:hAnsiTheme="minorHAnsi" w:cstheme="minorBidi"/>
          <w:szCs w:val="22"/>
        </w:rPr>
      </w:pPr>
      <w:r>
        <w:t>60A.</w:t>
      </w:r>
      <w:r>
        <w:tab/>
        <w:t>Protection from liability</w:t>
      </w:r>
      <w:r>
        <w:tab/>
      </w:r>
      <w:r>
        <w:fldChar w:fldCharType="begin"/>
      </w:r>
      <w:r>
        <w:instrText xml:space="preserve"> PAGEREF _Toc379296420 \h </w:instrText>
      </w:r>
      <w:r>
        <w:fldChar w:fldCharType="separate"/>
      </w:r>
      <w:r>
        <w:t>10</w:t>
      </w:r>
      <w:r>
        <w:fldChar w:fldCharType="end"/>
      </w:r>
    </w:p>
    <w:p>
      <w:pPr>
        <w:pStyle w:val="TOC8"/>
        <w:rPr>
          <w:rFonts w:asciiTheme="minorHAnsi" w:eastAsiaTheme="minorEastAsia" w:hAnsiTheme="minorHAnsi" w:cstheme="minorBidi"/>
          <w:szCs w:val="22"/>
        </w:rPr>
      </w:pPr>
      <w:r>
        <w:t>60B.</w:t>
      </w:r>
      <w:r>
        <w:tab/>
        <w:t>Disclosure etc., certain information restricted</w:t>
      </w:r>
      <w:r>
        <w:tab/>
      </w:r>
      <w:r>
        <w:fldChar w:fldCharType="begin"/>
      </w:r>
      <w:r>
        <w:instrText xml:space="preserve"> PAGEREF _Toc379296421 \h </w:instrText>
      </w:r>
      <w:r>
        <w:fldChar w:fldCharType="separate"/>
      </w:r>
      <w:r>
        <w:t>10</w:t>
      </w:r>
      <w:r>
        <w:fldChar w:fldCharType="end"/>
      </w:r>
    </w:p>
    <w:p>
      <w:pPr>
        <w:pStyle w:val="TOC8"/>
        <w:rPr>
          <w:rFonts w:asciiTheme="minorHAnsi" w:eastAsiaTheme="minorEastAsia" w:hAnsiTheme="minorHAnsi" w:cstheme="minorBidi"/>
          <w:szCs w:val="22"/>
        </w:rPr>
      </w:pPr>
      <w:r>
        <w:t>60C.</w:t>
      </w:r>
      <w:r>
        <w:tab/>
        <w:t xml:space="preserve">Operating licence is not personal property for </w:t>
      </w:r>
      <w:r>
        <w:rPr>
          <w:i/>
          <w:iCs/>
        </w:rPr>
        <w:t>Personal Property Securities Act 2009</w:t>
      </w:r>
      <w:r>
        <w:t xml:space="preserve"> (Cwlth)</w:t>
      </w:r>
      <w:r>
        <w:tab/>
      </w:r>
      <w:r>
        <w:fldChar w:fldCharType="begin"/>
      </w:r>
      <w:r>
        <w:instrText xml:space="preserve"> PAGEREF _Toc379296422 \h </w:instrText>
      </w:r>
      <w:r>
        <w:fldChar w:fldCharType="separate"/>
      </w:r>
      <w:r>
        <w:t>11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Regulations</w:t>
      </w:r>
      <w:r>
        <w:tab/>
      </w:r>
      <w:r>
        <w:fldChar w:fldCharType="begin"/>
      </w:r>
      <w:r>
        <w:instrText xml:space="preserve"> PAGEREF _Toc379296423 \h </w:instrText>
      </w:r>
      <w:r>
        <w:fldChar w:fldCharType="separate"/>
      </w:r>
      <w:r>
        <w:t>11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Review of Act</w:t>
      </w:r>
      <w:r>
        <w:tab/>
      </w:r>
      <w:r>
        <w:fldChar w:fldCharType="begin"/>
      </w:r>
      <w:r>
        <w:instrText xml:space="preserve"> PAGEREF _Toc379296424 \h </w:instrText>
      </w:r>
      <w:r>
        <w:fldChar w:fldCharType="separate"/>
      </w:r>
      <w:r>
        <w:t>11</w:t>
      </w:r>
      <w:r>
        <w:fldChar w:fldCharType="end"/>
      </w:r>
    </w:p>
    <w:p>
      <w:pPr>
        <w:pStyle w:val="TOC2"/>
        <w:tabs>
          <w:tab w:val="right" w:leader="dot" w:pos="7078"/>
        </w:tabs>
        <w:rPr>
          <w:rFonts w:asciiTheme="minorHAnsi" w:eastAsiaTheme="minorEastAsia" w:hAnsiTheme="minorHAnsi" w:cstheme="minorBidi"/>
          <w:b w:val="0"/>
          <w:sz w:val="22"/>
          <w:szCs w:val="22"/>
        </w:rPr>
      </w:pPr>
      <w:r>
        <w:t>Schedule 3 — Purposes for which, or matters about which, regulations may be made</w:t>
      </w:r>
    </w:p>
    <w:p>
      <w:pPr>
        <w:pStyle w:val="TOC2"/>
        <w:tabs>
          <w:tab w:val="right" w:leader="dot" w:pos="7078"/>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_Toc379296427 \h </w:instrText>
      </w:r>
      <w:r>
        <w:fldChar w:fldCharType="separate"/>
      </w:r>
      <w:r>
        <w:t>15</w:t>
      </w:r>
      <w:r>
        <w:fldChar w:fldCharType="end"/>
      </w:r>
    </w:p>
    <w:p>
      <w:pPr>
        <w:pStyle w:val="TOC2"/>
        <w:tabs>
          <w:tab w:val="right" w:leader="dot" w:pos="7078"/>
        </w:tabs>
        <w:rPr>
          <w:rFonts w:asciiTheme="minorHAnsi" w:eastAsiaTheme="minorEastAsia" w:hAnsiTheme="minorHAnsi" w:cstheme="minorBidi"/>
          <w:b w:val="0"/>
          <w:sz w:val="22"/>
          <w:szCs w:val="22"/>
        </w:rPr>
      </w:pPr>
      <w:r>
        <w:t>Defined terms</w:t>
      </w:r>
    </w:p>
    <w:p>
      <w:pPr>
        <w:pStyle w:val="TOC2"/>
        <w:keepNext w:val="0"/>
        <w:tabs>
          <w:tab w:val="right" w:leader="dot" w:pos="7078"/>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7"/>
          <w:headerReference w:type="default" r:id="rId18"/>
          <w:footerReference w:type="even" r:id="rId19"/>
          <w:footerReference w:type="default" r:id="rId20"/>
          <w:headerReference w:type="first" r:id="rId21"/>
          <w:footerReference w:type="first" r:id="rId22"/>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24</w:t>
            </w:r>
            <w:r>
              <w:rPr>
                <w:b/>
                <w:snapToGrid w:val="0"/>
                <w:sz w:val="22"/>
              </w:rPr>
              <w:t xml:space="preserve"> January 2014</w:t>
            </w:r>
          </w:p>
        </w:tc>
      </w:tr>
    </w:tbl>
    <w:p>
      <w:pPr>
        <w:pStyle w:val="WA"/>
        <w:spacing w:before="120" w:after="1000"/>
      </w:pPr>
      <w:r>
        <w:t>Western Australia</w:t>
      </w:r>
    </w:p>
    <w:p>
      <w:pPr>
        <w:pStyle w:val="NameofActReg"/>
      </w:pPr>
      <w:r>
        <w:t>Plumbers Licensing Act 1995</w:t>
      </w:r>
    </w:p>
    <w:p>
      <w:pPr>
        <w:pStyle w:val="LongTitle"/>
        <w:rPr>
          <w:snapToGrid w:val="0"/>
        </w:rPr>
      </w:pPr>
      <w:r>
        <w:rPr>
          <w:snapToGrid w:val="0"/>
        </w:rPr>
        <w:t xml:space="preserve">An Act </w:t>
      </w:r>
      <w:r>
        <w:t xml:space="preserve">to establish a Board with functions related to the licensing of plumbers, to provide for regulation making powers in respect of the Board, licensing matters and the carrying out of plumbing work and to </w:t>
      </w:r>
      <w:r>
        <w:rPr>
          <w:snapToGrid w:val="0"/>
        </w:rPr>
        <w:t xml:space="preserve">make related provisions. </w:t>
      </w:r>
    </w:p>
    <w:p>
      <w:pPr>
        <w:pStyle w:val="Footnotelongtitle"/>
      </w:pPr>
      <w:r>
        <w:tab/>
        <w:t>[Long title amended by No. 39 of 1999 s. 4; No. 67 of 2003 Sch. 2 cl. 89; No. 25 of 2012 s. 192.]</w:t>
      </w:r>
    </w:p>
    <w:p>
      <w:pPr>
        <w:pStyle w:val="Heading2"/>
      </w:pPr>
      <w:bookmarkStart w:id="1" w:name="_Toc379296399"/>
      <w:r>
        <w:rPr>
          <w:rStyle w:val="CharPartNo"/>
        </w:rPr>
        <w:t>Part 1</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379296400"/>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iCs/>
        </w:rPr>
        <w:t>Plumbers</w:t>
      </w:r>
      <w:r>
        <w:rPr>
          <w:i/>
          <w:snapToGrid w:val="0"/>
        </w:rPr>
        <w:t xml:space="preserve"> Licensing Act 1995</w:t>
      </w:r>
      <w:r>
        <w:rPr>
          <w:snapToGrid w:val="0"/>
          <w:vertAlign w:val="superscript"/>
        </w:rPr>
        <w:t> 1</w:t>
      </w:r>
      <w:r>
        <w:rPr>
          <w:snapToGrid w:val="0"/>
        </w:rPr>
        <w:t>.</w:t>
      </w:r>
    </w:p>
    <w:p>
      <w:pPr>
        <w:pStyle w:val="Footnotesection"/>
      </w:pPr>
      <w:r>
        <w:tab/>
        <w:t>[Section 1 amended by No. 67 of 2003 Sch. 2 cl. 90; No. 25 of 2012 s. 193.]</w:t>
      </w:r>
    </w:p>
    <w:p>
      <w:pPr>
        <w:pStyle w:val="Heading5"/>
        <w:rPr>
          <w:snapToGrid w:val="0"/>
        </w:rPr>
      </w:pPr>
      <w:bookmarkStart w:id="3" w:name="_Toc379296401"/>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 xml:space="preserve">This Act comes into operation on the day on which Part 2 of the </w:t>
      </w:r>
      <w:r>
        <w:rPr>
          <w:i/>
          <w:snapToGrid w:val="0"/>
        </w:rPr>
        <w:t>Water Agencies Restructure (Transitional and Consequential Provisions) Act 1995</w:t>
      </w:r>
      <w:r>
        <w:rPr>
          <w:snapToGrid w:val="0"/>
        </w:rPr>
        <w:t xml:space="preserve"> comes into operation, that is, on the day fixed by proclamation made under section 2(2) of that Act</w:t>
      </w:r>
      <w:r>
        <w:rPr>
          <w:snapToGrid w:val="0"/>
          <w:vertAlign w:val="superscript"/>
        </w:rPr>
        <w:t> 1</w:t>
      </w:r>
      <w:r>
        <w:rPr>
          <w:snapToGrid w:val="0"/>
        </w:rPr>
        <w:t>.</w:t>
      </w:r>
    </w:p>
    <w:p>
      <w:pPr>
        <w:pStyle w:val="Heading5"/>
        <w:rPr>
          <w:snapToGrid w:val="0"/>
        </w:rPr>
      </w:pPr>
      <w:bookmarkStart w:id="4" w:name="_Toc379296402"/>
      <w:r>
        <w:rPr>
          <w:rStyle w:val="CharSectno"/>
        </w:rPr>
        <w:t>3</w:t>
      </w:r>
      <w:r>
        <w:rPr>
          <w:snapToGrid w:val="0"/>
        </w:rPr>
        <w:t>.</w:t>
      </w:r>
      <w:r>
        <w:rPr>
          <w:snapToGrid w:val="0"/>
        </w:rPr>
        <w:tab/>
        <w:t>Terms used</w:t>
      </w:r>
      <w:bookmarkEnd w:id="4"/>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Board</w:t>
      </w:r>
      <w:r>
        <w:t xml:space="preserve"> means the Plumbers Licensing Board established by section 59;</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plumber</w:t>
      </w:r>
      <w:r>
        <w:t xml:space="preserve"> means a person who carries out plumbing work as defined in section 59I.</w:t>
      </w:r>
    </w:p>
    <w:p>
      <w:pPr>
        <w:pStyle w:val="Footnotesection"/>
      </w:pPr>
      <w:r>
        <w:tab/>
        <w:t>[Section 3 amended by No. 39 of 1999 s. 5; No. 67 of 2003 Sch. 2 cl. 91; No. 25 of 2005 s. 64; No. 25 of 2012 s. 194.]</w:t>
      </w:r>
    </w:p>
    <w:p>
      <w:pPr>
        <w:pStyle w:val="Ednotesection"/>
      </w:pPr>
      <w:r>
        <w:t>[Part 2:</w:t>
      </w:r>
      <w:r>
        <w:tab/>
        <w:t>s. 4 deleted by No. 25 of 2012 s. 195;</w:t>
      </w:r>
      <w:r>
        <w:br/>
        <w:t>s. 5</w:t>
      </w:r>
      <w:r>
        <w:noBreakHyphen/>
        <w:t>9 deleted by No. 67 of 2003 Sch. 2 cl. 92.]</w:t>
      </w:r>
    </w:p>
    <w:p>
      <w:pPr>
        <w:pStyle w:val="Ednotesection"/>
      </w:pPr>
      <w:r>
        <w:t>[Part 3:</w:t>
      </w:r>
      <w:r>
        <w:tab/>
        <w:t>s. 10</w:t>
      </w:r>
      <w:r>
        <w:noBreakHyphen/>
        <w:t>42, 44</w:t>
      </w:r>
      <w:r>
        <w:noBreakHyphen/>
        <w:t>46M deleted by No. 25 of 2012 s. 195;</w:t>
      </w:r>
      <w:r>
        <w:br/>
        <w:t>s. 43 deleted by No. 67 of 2003 Sch. 2 cl. 103.]</w:t>
      </w:r>
    </w:p>
    <w:p>
      <w:pPr>
        <w:pStyle w:val="Ednotesection"/>
      </w:pPr>
      <w:r>
        <w:t>[Part 4 (s. 47</w:t>
      </w:r>
      <w:r>
        <w:noBreakHyphen/>
        <w:t>55) deleted by No. 25 of 2012 s. 195.]</w:t>
      </w:r>
    </w:p>
    <w:p>
      <w:pPr>
        <w:pStyle w:val="Ednotepart"/>
      </w:pPr>
      <w:r>
        <w:t>[Part 5 (s. 56</w:t>
      </w:r>
      <w:r>
        <w:noBreakHyphen/>
        <w:t>58) deleted by No. 67 of 2003 Sch. 2 cl. 107.]</w:t>
      </w:r>
    </w:p>
    <w:p>
      <w:pPr>
        <w:pStyle w:val="Heading2"/>
      </w:pPr>
      <w:bookmarkStart w:id="5" w:name="_Toc379296403"/>
      <w:r>
        <w:rPr>
          <w:rStyle w:val="CharPartNo"/>
        </w:rPr>
        <w:t>Part 5A</w:t>
      </w:r>
      <w:r>
        <w:t> — </w:t>
      </w:r>
      <w:r>
        <w:rPr>
          <w:rStyle w:val="CharPartText"/>
        </w:rPr>
        <w:t>Licensing of plumbers and related matters</w:t>
      </w:r>
      <w:bookmarkEnd w:id="5"/>
      <w:r>
        <w:rPr>
          <w:rStyle w:val="CharPartText"/>
        </w:rPr>
        <w:t xml:space="preserve"> </w:t>
      </w:r>
    </w:p>
    <w:p>
      <w:pPr>
        <w:pStyle w:val="Footnoteheading"/>
      </w:pPr>
      <w:r>
        <w:tab/>
        <w:t>[Heading inserted by No. 39 of 1999 s. 7.]</w:t>
      </w:r>
    </w:p>
    <w:p>
      <w:pPr>
        <w:pStyle w:val="Heading3"/>
        <w:rPr>
          <w:snapToGrid w:val="0"/>
        </w:rPr>
      </w:pPr>
      <w:bookmarkStart w:id="6" w:name="_Toc379296404"/>
      <w:r>
        <w:rPr>
          <w:rStyle w:val="CharDivNo"/>
        </w:rPr>
        <w:t>Division 1</w:t>
      </w:r>
      <w:r>
        <w:rPr>
          <w:snapToGrid w:val="0"/>
        </w:rPr>
        <w:t> — </w:t>
      </w:r>
      <w:r>
        <w:rPr>
          <w:rStyle w:val="CharDivText"/>
        </w:rPr>
        <w:t>Plumbers Licensing Board</w:t>
      </w:r>
      <w:bookmarkEnd w:id="6"/>
    </w:p>
    <w:p>
      <w:pPr>
        <w:pStyle w:val="Footnoteheading"/>
      </w:pPr>
      <w:r>
        <w:tab/>
        <w:t>[Heading inserted by No. 39 of 1999 s. 7.]</w:t>
      </w:r>
    </w:p>
    <w:p>
      <w:pPr>
        <w:pStyle w:val="Heading5"/>
      </w:pPr>
      <w:bookmarkStart w:id="7" w:name="_Toc379296405"/>
      <w:r>
        <w:rPr>
          <w:rStyle w:val="CharSectno"/>
        </w:rPr>
        <w:t>59</w:t>
      </w:r>
      <w:r>
        <w:t>.</w:t>
      </w:r>
      <w:r>
        <w:tab/>
        <w:t>Board established</w:t>
      </w:r>
      <w:bookmarkEnd w:id="7"/>
    </w:p>
    <w:p>
      <w:pPr>
        <w:pStyle w:val="Subsection"/>
      </w:pPr>
      <w:r>
        <w:tab/>
      </w:r>
      <w:r>
        <w:tab/>
        <w:t>A board called the Plumbers Licensing Board is established.</w:t>
      </w:r>
    </w:p>
    <w:p>
      <w:pPr>
        <w:pStyle w:val="Footnotesection"/>
      </w:pPr>
      <w:r>
        <w:tab/>
        <w:t>[Section 59 inserted by No. 39 of 1999 s. 7.]</w:t>
      </w:r>
    </w:p>
    <w:p>
      <w:pPr>
        <w:pStyle w:val="Heading5"/>
      </w:pPr>
      <w:bookmarkStart w:id="8" w:name="_Toc379296406"/>
      <w:r>
        <w:rPr>
          <w:rStyle w:val="CharSectno"/>
        </w:rPr>
        <w:t>59A</w:t>
      </w:r>
      <w:r>
        <w:t>.</w:t>
      </w:r>
      <w:r>
        <w:tab/>
        <w:t>Membership</w:t>
      </w:r>
      <w:bookmarkEnd w:id="8"/>
    </w:p>
    <w:p>
      <w:pPr>
        <w:pStyle w:val="Subsection"/>
      </w:pPr>
      <w:r>
        <w:tab/>
      </w:r>
      <w:r>
        <w:tab/>
        <w:t>The Board consists of not more than 9 members appointed by the Minister in accordance with the regulations.</w:t>
      </w:r>
    </w:p>
    <w:p>
      <w:pPr>
        <w:pStyle w:val="Footnotesection"/>
      </w:pPr>
      <w:r>
        <w:tab/>
        <w:t>[Section 59A inserted by No. 39 of 1999 s. 7.]</w:t>
      </w:r>
    </w:p>
    <w:p>
      <w:pPr>
        <w:pStyle w:val="Heading5"/>
      </w:pPr>
      <w:bookmarkStart w:id="9" w:name="_Toc379296407"/>
      <w:r>
        <w:rPr>
          <w:rStyle w:val="CharSectno"/>
        </w:rPr>
        <w:t>59B</w:t>
      </w:r>
      <w:r>
        <w:t>.</w:t>
      </w:r>
      <w:r>
        <w:tab/>
        <w:t>Functions</w:t>
      </w:r>
      <w:bookmarkEnd w:id="9"/>
    </w:p>
    <w:p>
      <w:pPr>
        <w:pStyle w:val="Subsection"/>
      </w:pPr>
      <w:r>
        <w:tab/>
        <w:t>(1)</w:t>
      </w:r>
      <w:r>
        <w:tab/>
        <w:t>The functions of the Board are —</w:t>
      </w:r>
    </w:p>
    <w:p>
      <w:pPr>
        <w:pStyle w:val="Indenta"/>
      </w:pPr>
      <w:r>
        <w:tab/>
        <w:t>(a)</w:t>
      </w:r>
      <w:r>
        <w:tab/>
        <w:t>to monitor matters relating to the qualification and training of plumbers, and to provide advice on those matters to the Minister and, with the approval of the Minister, to any other person or body concerned with those matters; and</w:t>
      </w:r>
    </w:p>
    <w:p>
      <w:pPr>
        <w:pStyle w:val="Indenta"/>
      </w:pPr>
      <w:r>
        <w:tab/>
        <w:t>(b)</w:t>
      </w:r>
      <w:r>
        <w:tab/>
        <w:t>to advise the Minister on matters relating to the licensing and regulation of plumbers; and</w:t>
      </w:r>
    </w:p>
    <w:p>
      <w:pPr>
        <w:pStyle w:val="Indenta"/>
      </w:pPr>
      <w:r>
        <w:tab/>
        <w:t>(c)</w:t>
      </w:r>
      <w:r>
        <w:tab/>
        <w:t>to administer any licensing scheme provided for by the regulations; and</w:t>
      </w:r>
    </w:p>
    <w:p>
      <w:pPr>
        <w:pStyle w:val="Indenta"/>
      </w:pPr>
      <w:r>
        <w:tab/>
        <w:t>(d)</w:t>
      </w:r>
      <w:r>
        <w:tab/>
        <w:t>to perform licensing, disciplinary and other functions given to it by the regulations.</w:t>
      </w:r>
    </w:p>
    <w:p>
      <w:pPr>
        <w:pStyle w:val="Subsection"/>
      </w:pPr>
      <w:r>
        <w:tab/>
        <w:t>(2)</w:t>
      </w:r>
      <w:r>
        <w:tab/>
        <w:t>It is also a function of the Board to do things that it is authorised to do by any other written law.</w:t>
      </w:r>
    </w:p>
    <w:p>
      <w:pPr>
        <w:pStyle w:val="Footnotesection"/>
      </w:pPr>
      <w:r>
        <w:tab/>
        <w:t>[Section 59B inserted by No. 39 of 1999 s. 7; amended by No. 67 of 2003 Sch. 2 cl. 108.]</w:t>
      </w:r>
    </w:p>
    <w:p>
      <w:pPr>
        <w:pStyle w:val="Heading5"/>
      </w:pPr>
      <w:bookmarkStart w:id="10" w:name="_Toc379296408"/>
      <w:r>
        <w:rPr>
          <w:rStyle w:val="CharSectno"/>
        </w:rPr>
        <w:t>59C</w:t>
      </w:r>
      <w:r>
        <w:t>.</w:t>
      </w:r>
      <w:r>
        <w:tab/>
        <w:t>Powers</w:t>
      </w:r>
      <w:bookmarkEnd w:id="10"/>
    </w:p>
    <w:p>
      <w:pPr>
        <w:pStyle w:val="Subsection"/>
      </w:pPr>
      <w:r>
        <w:tab/>
      </w:r>
      <w:r>
        <w:tab/>
        <w:t>The Board has all the powers it needs to perform its functions under this Act or any other written law.</w:t>
      </w:r>
    </w:p>
    <w:p>
      <w:pPr>
        <w:pStyle w:val="Footnotesection"/>
      </w:pPr>
      <w:r>
        <w:tab/>
        <w:t>[Section 59C inserted by No. 39 of 1999 s. 7.]</w:t>
      </w:r>
    </w:p>
    <w:p>
      <w:pPr>
        <w:pStyle w:val="Heading5"/>
      </w:pPr>
      <w:bookmarkStart w:id="11" w:name="_Toc379296409"/>
      <w:r>
        <w:rPr>
          <w:rStyle w:val="CharSectno"/>
        </w:rPr>
        <w:t>59D</w:t>
      </w:r>
      <w:r>
        <w:t>.</w:t>
      </w:r>
      <w:r>
        <w:tab/>
        <w:t>Delegation by Board</w:t>
      </w:r>
      <w:bookmarkEnd w:id="11"/>
    </w:p>
    <w:p>
      <w:pPr>
        <w:pStyle w:val="Subsection"/>
      </w:pPr>
      <w:r>
        <w:tab/>
        <w:t>(1)</w:t>
      </w:r>
      <w:r>
        <w:tab/>
        <w:t>The Board may, by instrument, delegate the performance of any of its functions, except this power of delegation and any disciplinary power conferred by the regulations or another written law.</w:t>
      </w:r>
    </w:p>
    <w:p>
      <w:pPr>
        <w:pStyle w:val="Subsection"/>
      </w:pPr>
      <w:r>
        <w:tab/>
        <w:t>(2)</w:t>
      </w:r>
      <w:r>
        <w:tab/>
        <w:t>A delegation under subsection (1) may be made to —</w:t>
      </w:r>
    </w:p>
    <w:p>
      <w:pPr>
        <w:pStyle w:val="Indenta"/>
      </w:pPr>
      <w:r>
        <w:tab/>
        <w:t>(a)</w:t>
      </w:r>
      <w:r>
        <w:tab/>
        <w:t>a member of the Board; or</w:t>
      </w:r>
    </w:p>
    <w:p>
      <w:pPr>
        <w:pStyle w:val="Indenta"/>
      </w:pPr>
      <w:r>
        <w:tab/>
        <w:t>(b)</w:t>
      </w:r>
      <w:r>
        <w:tab/>
        <w:t>any committee established under the regulations; or</w:t>
      </w:r>
    </w:p>
    <w:p>
      <w:pPr>
        <w:pStyle w:val="Indenta"/>
      </w:pPr>
      <w:r>
        <w:tab/>
        <w:t>(c)</w:t>
      </w:r>
      <w:r>
        <w:tab/>
        <w:t>with the approval of the Minister, any other person.</w:t>
      </w:r>
    </w:p>
    <w:p>
      <w:pPr>
        <w:pStyle w:val="Subsection"/>
        <w:spacing w:before="120"/>
      </w:pPr>
      <w:r>
        <w:tab/>
        <w:t>(3)</w:t>
      </w:r>
      <w:r>
        <w:tab/>
        <w:t>A function performed by a delegate is to be taken to be performed by the Board.</w:t>
      </w:r>
    </w:p>
    <w:p>
      <w:pPr>
        <w:pStyle w:val="Subsection"/>
        <w:spacing w:before="120"/>
      </w:pPr>
      <w:r>
        <w:tab/>
        <w:t>(4)</w:t>
      </w:r>
      <w:r>
        <w:tab/>
        <w:t>A delegate performing a function under this section is to be taken to do so in accordance with the terms of the delegation unless the contrary is shown.</w:t>
      </w:r>
    </w:p>
    <w:p>
      <w:pPr>
        <w:pStyle w:val="Footnotesection"/>
      </w:pPr>
      <w:r>
        <w:tab/>
        <w:t>[Section 59D inserted by No. 39 of 1999 s. 7.]</w:t>
      </w:r>
    </w:p>
    <w:p>
      <w:pPr>
        <w:pStyle w:val="Heading5"/>
      </w:pPr>
      <w:bookmarkStart w:id="12" w:name="_Toc379296410"/>
      <w:r>
        <w:rPr>
          <w:rStyle w:val="CharSectno"/>
        </w:rPr>
        <w:t>59E</w:t>
      </w:r>
      <w:r>
        <w:t>.</w:t>
      </w:r>
      <w:r>
        <w:tab/>
        <w:t>Minister may give Board directions</w:t>
      </w:r>
      <w:bookmarkEnd w:id="12"/>
    </w:p>
    <w:p>
      <w:pPr>
        <w:pStyle w:val="Subsection"/>
        <w:spacing w:before="120"/>
      </w:pPr>
      <w:r>
        <w:tab/>
        <w:t>(1)</w:t>
      </w:r>
      <w:r>
        <w:tab/>
        <w:t>Subject to subsection (2), the Minister may give directions in writing to the Board with respect to the performance of its functions, either generally or in relation to a particular matter, and the Board is to give effect to any such direction.</w:t>
      </w:r>
    </w:p>
    <w:p>
      <w:pPr>
        <w:pStyle w:val="Subsection"/>
        <w:spacing w:before="120"/>
      </w:pPr>
      <w:r>
        <w:tab/>
        <w:t>(2)</w:t>
      </w:r>
      <w:r>
        <w:tab/>
        <w:t>The Minister must not under subsection (1) direct the Board with respect to the performance of its licensing or disciplinary functions, whether under this Act or any other written law, in respect of —</w:t>
      </w:r>
    </w:p>
    <w:p>
      <w:pPr>
        <w:pStyle w:val="Indenta"/>
      </w:pPr>
      <w:r>
        <w:tab/>
        <w:t>(a)</w:t>
      </w:r>
      <w:r>
        <w:tab/>
        <w:t>a particular person; or</w:t>
      </w:r>
    </w:p>
    <w:p>
      <w:pPr>
        <w:pStyle w:val="Indenta"/>
      </w:pPr>
      <w:r>
        <w:tab/>
        <w:t>(b)</w:t>
      </w:r>
      <w:r>
        <w:tab/>
        <w:t>a particular application, complaint or proceeding.</w:t>
      </w:r>
    </w:p>
    <w:p>
      <w:pPr>
        <w:pStyle w:val="Subsection"/>
      </w:pPr>
      <w:r>
        <w:tab/>
        <w:t>(3)</w:t>
      </w:r>
      <w:r>
        <w:tab/>
        <w:t>The Minister must, within 14 days after a direction is given under subsection (1), cause a copy of it to be laid before each House of Parliament or dealt with in accordance with subsection (4).</w:t>
      </w:r>
    </w:p>
    <w:p>
      <w:pPr>
        <w:pStyle w:val="Subsection"/>
      </w:pPr>
      <w:r>
        <w:tab/>
        <w:t>(4)</w:t>
      </w:r>
      <w:r>
        <w:tab/>
        <w:t>If —</w:t>
      </w:r>
    </w:p>
    <w:p>
      <w:pPr>
        <w:pStyle w:val="Indenta"/>
      </w:pPr>
      <w:r>
        <w:tab/>
        <w:t>(a)</w:t>
      </w:r>
      <w:r>
        <w:tab/>
        <w:t>at the commencement of the period referred to in subsection (3)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(5)</w:t>
      </w:r>
      <w:r>
        <w:tab/>
        <w:t>A copy of a direction transmitted to the Clerk of a House is taken to have been laid before that House.</w:t>
      </w:r>
    </w:p>
    <w:p>
      <w:pPr>
        <w:pStyle w:val="Subsection"/>
      </w:pPr>
      <w:r>
        <w:tab/>
        <w:t>(6)</w:t>
      </w:r>
      <w:r>
        <w:tab/>
        <w:t>The laying of a copy of a direction that is taken to have occurred under subsection (5) is to be recorded in the Minutes, or Votes and Proceedings, of the House on the first sitting day of the House after the receipt of the copy by the Clerk.</w:t>
      </w:r>
    </w:p>
    <w:p>
      <w:pPr>
        <w:pStyle w:val="Subsection"/>
      </w:pPr>
      <w:r>
        <w:tab/>
        <w:t>(7)</w:t>
      </w:r>
      <w:r>
        <w:tab/>
        <w:t xml:space="preserve">The text of a direction given under subsection (1) is to be included in the annual report submitted by the accountable authority of the department under Part 5 of the </w:t>
      </w:r>
      <w:r>
        <w:rPr>
          <w:i/>
          <w:iCs/>
        </w:rPr>
        <w:t>Financial Management Act 2006</w:t>
      </w:r>
      <w:r>
        <w:t>.</w:t>
      </w:r>
    </w:p>
    <w:p>
      <w:pPr>
        <w:pStyle w:val="Footnotesection"/>
      </w:pPr>
      <w:r>
        <w:tab/>
        <w:t>[Section 59E inserted by No. 39 of 1999 s. 7; amended by No. 5 of 2005 s. 46; No. 77 of 2006 Sch. 1 cl. 178(1); No. 8 of 2009 s. 133(4) and (5).]</w:t>
      </w:r>
    </w:p>
    <w:p>
      <w:pPr>
        <w:pStyle w:val="Heading5"/>
      </w:pPr>
      <w:bookmarkStart w:id="13" w:name="_Toc379296411"/>
      <w:r>
        <w:rPr>
          <w:rStyle w:val="CharSectno"/>
        </w:rPr>
        <w:t>59F</w:t>
      </w:r>
      <w:r>
        <w:t>.</w:t>
      </w:r>
      <w:r>
        <w:tab/>
        <w:t>Minister to have access to information</w:t>
      </w:r>
      <w:bookmarkEnd w:id="13"/>
    </w:p>
    <w:p>
      <w:pPr>
        <w:pStyle w:val="Subsection"/>
      </w:pPr>
      <w:r>
        <w:tab/>
        <w:t>(1)</w:t>
      </w:r>
      <w:r>
        <w:tab/>
        <w:t>The Minister is entitled —</w:t>
      </w:r>
    </w:p>
    <w:p>
      <w:pPr>
        <w:pStyle w:val="Indenta"/>
      </w:pPr>
      <w:r>
        <w:tab/>
        <w:t>(a)</w:t>
      </w:r>
      <w:r>
        <w:tab/>
        <w:t>to have information in the possession of the Board; and</w:t>
      </w:r>
    </w:p>
    <w:p>
      <w:pPr>
        <w:pStyle w:val="Indenta"/>
      </w:pPr>
      <w:r>
        <w:tab/>
        <w:t>(b)</w:t>
      </w:r>
      <w:r>
        <w:tab/>
        <w:t>if the information is in or on a document, to have, and make and retain copies of, that document.</w:t>
      </w:r>
    </w:p>
    <w:p>
      <w:pPr>
        <w:pStyle w:val="Subsection"/>
        <w:keepNext/>
      </w:pPr>
      <w:r>
        <w:tab/>
        <w:t>(2)</w:t>
      </w:r>
      <w:r>
        <w:tab/>
        <w:t>For the purposes of subsection (1) the Minister may —</w:t>
      </w:r>
    </w:p>
    <w:p>
      <w:pPr>
        <w:pStyle w:val="Indenta"/>
      </w:pPr>
      <w:r>
        <w:tab/>
        <w:t>(a)</w:t>
      </w:r>
      <w:r>
        <w:tab/>
        <w:t>request the Board to furnish information to the Minister; and</w:t>
      </w:r>
    </w:p>
    <w:p>
      <w:pPr>
        <w:pStyle w:val="Indenta"/>
      </w:pPr>
      <w:r>
        <w:tab/>
        <w:t>(b)</w:t>
      </w:r>
      <w:r>
        <w:tab/>
        <w:t>request the Board to give the Minister access to information; and</w:t>
      </w:r>
    </w:p>
    <w:p>
      <w:pPr>
        <w:pStyle w:val="Indenta"/>
      </w:pPr>
      <w:r>
        <w:tab/>
        <w:t>(c)</w:t>
      </w:r>
      <w:r>
        <w:tab/>
        <w:t>for the purposes of paragraph (b) make use of the staff of the Board to obtain the information and furnish it to the Minister.</w:t>
      </w:r>
    </w:p>
    <w:p>
      <w:pPr>
        <w:pStyle w:val="Subsection"/>
      </w:pPr>
      <w:r>
        <w:tab/>
        <w:t>(3)</w:t>
      </w:r>
      <w:r>
        <w:tab/>
        <w:t>The Board is to —</w:t>
      </w:r>
    </w:p>
    <w:p>
      <w:pPr>
        <w:pStyle w:val="Indenta"/>
      </w:pPr>
      <w:r>
        <w:tab/>
        <w:t>(a)</w:t>
      </w:r>
      <w:r>
        <w:tab/>
        <w:t>comply with a request under subsection (2); and</w:t>
      </w:r>
    </w:p>
    <w:p>
      <w:pPr>
        <w:pStyle w:val="Indenta"/>
      </w:pPr>
      <w:r>
        <w:tab/>
        <w:t>(b)</w:t>
      </w:r>
      <w:r>
        <w:tab/>
        <w:t>make its staff and facilities available to the Minister for the purposes of subsection (2)(c).</w:t>
      </w:r>
    </w:p>
    <w:p>
      <w:pPr>
        <w:pStyle w:val="Subsection"/>
      </w:pPr>
      <w:r>
        <w:tab/>
        <w:t>(4)</w:t>
      </w:r>
      <w:r>
        <w:tab/>
        <w:t>The Minister is not entitled to have information under this section in a form that —</w:t>
      </w:r>
    </w:p>
    <w:p>
      <w:pPr>
        <w:pStyle w:val="Indenta"/>
      </w:pPr>
      <w:r>
        <w:tab/>
        <w:t>(a)</w:t>
      </w:r>
      <w:r>
        <w:tab/>
        <w:t>discloses the identity of a person involved in a complaint; or</w:t>
      </w:r>
    </w:p>
    <w:p>
      <w:pPr>
        <w:pStyle w:val="Indenta"/>
      </w:pPr>
      <w:r>
        <w:tab/>
        <w:t>(b)</w:t>
      </w:r>
      <w:r>
        <w:tab/>
        <w:t>might enable the identity of any such person to be ascertained,</w:t>
      </w:r>
    </w:p>
    <w:p>
      <w:pPr>
        <w:pStyle w:val="Subsection"/>
      </w:pPr>
      <w:r>
        <w:tab/>
      </w:r>
      <w:r>
        <w:tab/>
        <w:t>unless that person has consented to the disclosure.</w:t>
      </w:r>
    </w:p>
    <w:p>
      <w:pPr>
        <w:pStyle w:val="Subsection"/>
      </w:pPr>
      <w:r>
        <w:tab/>
        <w:t>(5)</w:t>
      </w:r>
      <w:r>
        <w:tab/>
        <w:t>In this section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Board;</w:t>
      </w:r>
    </w:p>
    <w:p>
      <w:pPr>
        <w:pStyle w:val="Defstart"/>
      </w:pPr>
      <w:r>
        <w:tab/>
      </w:r>
      <w:r>
        <w:rPr>
          <w:rStyle w:val="CharDefText"/>
        </w:rPr>
        <w:t>staff</w:t>
      </w:r>
      <w:r>
        <w:t xml:space="preserve"> means any person whose services are the subject of an arrangement under section 59G(1).</w:t>
      </w:r>
    </w:p>
    <w:p>
      <w:pPr>
        <w:pStyle w:val="Footnotesection"/>
      </w:pPr>
      <w:r>
        <w:tab/>
        <w:t>[Section 59F inserted by No. 39 of 1999 s. 7.]</w:t>
      </w:r>
    </w:p>
    <w:p>
      <w:pPr>
        <w:pStyle w:val="Heading5"/>
      </w:pPr>
      <w:bookmarkStart w:id="14" w:name="_Toc379296412"/>
      <w:r>
        <w:rPr>
          <w:rStyle w:val="CharSectno"/>
        </w:rPr>
        <w:t>59G</w:t>
      </w:r>
      <w:r>
        <w:t>.</w:t>
      </w:r>
      <w:r>
        <w:tab/>
        <w:t>Use by Board of government staff etc.</w:t>
      </w:r>
      <w:bookmarkEnd w:id="14"/>
    </w:p>
    <w:p>
      <w:pPr>
        <w:pStyle w:val="Subsection"/>
      </w:pPr>
      <w:r>
        <w:tab/>
        <w:t>(1)</w:t>
      </w:r>
      <w:r>
        <w:tab/>
        <w:t>The Board may by arrangement with the relevant employer make use, either full</w:t>
      </w:r>
      <w:r>
        <w:noBreakHyphen/>
        <w:t>time or part</w:t>
      </w:r>
      <w:r>
        <w:noBreakHyphen/>
        <w:t>time, of the services of any officer or employee —</w:t>
      </w:r>
    </w:p>
    <w:p>
      <w:pPr>
        <w:pStyle w:val="Indenta"/>
        <w:spacing w:before="100"/>
      </w:pPr>
      <w:r>
        <w:tab/>
        <w:t>(a)</w:t>
      </w:r>
      <w:r>
        <w:tab/>
        <w:t>in the Public Service; or</w:t>
      </w:r>
    </w:p>
    <w:p>
      <w:pPr>
        <w:pStyle w:val="Indenta"/>
        <w:spacing w:before="100"/>
      </w:pPr>
      <w:r>
        <w:tab/>
        <w:t>(b)</w:t>
      </w:r>
      <w:r>
        <w:tab/>
        <w:t>in a State agency or instrumentality.</w:t>
      </w:r>
    </w:p>
    <w:p>
      <w:pPr>
        <w:pStyle w:val="Subsection"/>
      </w:pPr>
      <w:r>
        <w:tab/>
        <w:t>(2)</w:t>
      </w:r>
      <w:r>
        <w:tab/>
        <w:t>The Board may by arrangement with —</w:t>
      </w:r>
    </w:p>
    <w:p>
      <w:pPr>
        <w:pStyle w:val="Indenta"/>
        <w:spacing w:before="100"/>
      </w:pPr>
      <w:r>
        <w:tab/>
        <w:t>(a)</w:t>
      </w:r>
      <w:r>
        <w:tab/>
        <w:t>a department of the Public Service; or</w:t>
      </w:r>
    </w:p>
    <w:p>
      <w:pPr>
        <w:pStyle w:val="Indenta"/>
        <w:spacing w:before="100"/>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on the terms agreed to by the parties.</w:t>
      </w:r>
    </w:p>
    <w:p>
      <w:pPr>
        <w:pStyle w:val="Footnotesection"/>
        <w:spacing w:before="160"/>
        <w:ind w:left="890" w:hanging="890"/>
      </w:pPr>
      <w:r>
        <w:tab/>
        <w:t>[Section 59G inserted by No. 39 of 1999 s. 7.]</w:t>
      </w:r>
    </w:p>
    <w:p>
      <w:pPr>
        <w:pStyle w:val="Heading5"/>
      </w:pPr>
      <w:bookmarkStart w:id="15" w:name="_Toc379296413"/>
      <w:r>
        <w:rPr>
          <w:rStyle w:val="CharSectno"/>
        </w:rPr>
        <w:t>59H</w:t>
      </w:r>
      <w:r>
        <w:t>.</w:t>
      </w:r>
      <w:r>
        <w:tab/>
      </w:r>
      <w:r>
        <w:rPr>
          <w:i/>
        </w:rPr>
        <w:t>Financial Management Act 2006</w:t>
      </w:r>
      <w:r>
        <w:t>, application of</w:t>
      </w:r>
      <w:bookmarkEnd w:id="15"/>
    </w:p>
    <w:p>
      <w:pPr>
        <w:pStyle w:val="Subsection"/>
      </w:pPr>
      <w:r>
        <w:tab/>
        <w:t>(1)</w:t>
      </w:r>
      <w:r>
        <w:tab/>
        <w:t>Any acts or things done by the Board under this Act or any other written law are to be regarded —</w:t>
      </w:r>
    </w:p>
    <w:p>
      <w:pPr>
        <w:pStyle w:val="Indenta"/>
        <w:spacing w:before="100"/>
      </w:pPr>
      <w:r>
        <w:tab/>
        <w:t>(a)</w:t>
      </w:r>
      <w:r>
        <w:tab/>
        <w:t xml:space="preserve">as services under the control of the department of the Public Service principally assisting the Minister in the administration of this Part for the purposes of section 52 of the </w:t>
      </w:r>
      <w:r>
        <w:rPr>
          <w:i/>
        </w:rPr>
        <w:t>Financial Management Act 2006</w:t>
      </w:r>
      <w:r>
        <w:rPr>
          <w:iCs/>
        </w:rPr>
        <w:t xml:space="preserve">; </w:t>
      </w:r>
      <w:r>
        <w:t>and</w:t>
      </w:r>
    </w:p>
    <w:p>
      <w:pPr>
        <w:pStyle w:val="Indenta"/>
        <w:spacing w:before="100"/>
      </w:pPr>
      <w:r>
        <w:tab/>
        <w:t>(b)</w:t>
      </w:r>
      <w:r>
        <w:tab/>
        <w:t>part of the operations of that department for the purposes of Part 5 of that Act.</w:t>
      </w:r>
    </w:p>
    <w:p>
      <w:pPr>
        <w:pStyle w:val="Subsection"/>
      </w:pPr>
      <w:r>
        <w:tab/>
        <w:t>(2)</w:t>
      </w:r>
      <w:r>
        <w:tab/>
        <w:t xml:space="preserve">The department’s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into licensing under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Footnotesection"/>
        <w:spacing w:before="160"/>
        <w:ind w:left="890" w:hanging="890"/>
      </w:pPr>
      <w:r>
        <w:tab/>
        <w:t>[Section 59H inserted by No. 39 of 1999 s. 7; amended by No. 55 of 2004 s. 1303; No. 77 of 2006 Sch. 1 cl. 178(2); No. 16 of 2011 s. 130(2).]</w:t>
      </w:r>
    </w:p>
    <w:p>
      <w:pPr>
        <w:pStyle w:val="Heading3"/>
        <w:keepLines/>
      </w:pPr>
      <w:bookmarkStart w:id="16" w:name="_Toc379296414"/>
      <w:r>
        <w:rPr>
          <w:rStyle w:val="CharDivNo"/>
        </w:rPr>
        <w:t>Division 2</w:t>
      </w:r>
      <w:r>
        <w:t> — </w:t>
      </w:r>
      <w:r>
        <w:rPr>
          <w:rStyle w:val="CharDivText"/>
        </w:rPr>
        <w:t>Regulations</w:t>
      </w:r>
      <w:bookmarkEnd w:id="16"/>
    </w:p>
    <w:p>
      <w:pPr>
        <w:pStyle w:val="Footnoteheading"/>
        <w:keepNext/>
        <w:keepLines/>
      </w:pPr>
      <w:r>
        <w:tab/>
        <w:t>[Heading inserted by No. 39 of 1999 s. 7.]</w:t>
      </w:r>
    </w:p>
    <w:p>
      <w:pPr>
        <w:pStyle w:val="Heading5"/>
      </w:pPr>
      <w:bookmarkStart w:id="17" w:name="_Toc379296415"/>
      <w:r>
        <w:rPr>
          <w:rStyle w:val="CharSectno"/>
        </w:rPr>
        <w:t>59I</w:t>
      </w:r>
      <w:r>
        <w:t>.</w:t>
      </w:r>
      <w:r>
        <w:tab/>
        <w:t>Terms used</w:t>
      </w:r>
      <w:bookmarkEnd w:id="17"/>
    </w:p>
    <w:p>
      <w:pPr>
        <w:pStyle w:val="Subsection"/>
        <w:keepNext/>
        <w:keepLines/>
      </w:pPr>
      <w:r>
        <w:tab/>
      </w:r>
      <w:r>
        <w:tab/>
        <w:t>In this Division and in Schedule 3 —</w:t>
      </w:r>
    </w:p>
    <w:p>
      <w:pPr>
        <w:pStyle w:val="Defstart"/>
        <w:keepNext/>
      </w:pPr>
      <w:r>
        <w:tab/>
      </w:r>
      <w:r>
        <w:rPr>
          <w:rStyle w:val="CharDefText"/>
        </w:rPr>
        <w:t>plumbing work</w:t>
      </w:r>
      <w:r>
        <w:t xml:space="preserve"> means work of a kind specified to be water supply plumbing, sanitary plumbing or drainage plumbing;</w:t>
      </w:r>
    </w:p>
    <w:p>
      <w:pPr>
        <w:pStyle w:val="Defstart"/>
      </w:pPr>
      <w:r>
        <w:tab/>
      </w:r>
      <w:r>
        <w:rPr>
          <w:rStyle w:val="CharDefText"/>
        </w:rPr>
        <w:t>specified</w:t>
      </w:r>
      <w:r>
        <w:t xml:space="preserve"> means specified in the regulations.</w:t>
      </w:r>
    </w:p>
    <w:p>
      <w:pPr>
        <w:pStyle w:val="Footnotesection"/>
      </w:pPr>
      <w:r>
        <w:tab/>
        <w:t>[Section 59I inserted by No. 39 of 1999 s. 7.]</w:t>
      </w:r>
    </w:p>
    <w:p>
      <w:pPr>
        <w:pStyle w:val="Heading5"/>
      </w:pPr>
      <w:bookmarkStart w:id="18" w:name="_Toc379296416"/>
      <w:r>
        <w:rPr>
          <w:rStyle w:val="CharSectno"/>
        </w:rPr>
        <w:t>59J</w:t>
      </w:r>
      <w:r>
        <w:t>.</w:t>
      </w:r>
      <w:r>
        <w:tab/>
        <w:t>Regulations; Building Services Account to be credited with certain fees</w:t>
      </w:r>
      <w:bookmarkEnd w:id="18"/>
    </w:p>
    <w:p>
      <w:pPr>
        <w:pStyle w:val="Subsection"/>
      </w:pPr>
      <w:r>
        <w:tab/>
        <w:t>(1)</w:t>
      </w:r>
      <w:r>
        <w:tab/>
        <w:t>Regulations may be made under section 61 for all or any of the purposes, or about all or any of the matters, set out in Schedule 3.</w:t>
      </w:r>
    </w:p>
    <w:p>
      <w:pPr>
        <w:pStyle w:val="Subsection"/>
      </w:pPr>
      <w:r>
        <w:tab/>
        <w:t>(2)</w:t>
      </w:r>
      <w:r>
        <w:tab/>
        <w:t>The Building Services Account is to be credited with fees paid or recovered under regulations referred to in subsection (1).</w:t>
      </w:r>
    </w:p>
    <w:p>
      <w:pPr>
        <w:pStyle w:val="Subsection"/>
        <w:keepNext/>
      </w:pPr>
      <w:r>
        <w:tab/>
        <w:t>(3)</w:t>
      </w:r>
      <w:r>
        <w:tab/>
        <w:t xml:space="preserve">In subsection (2) — </w:t>
      </w:r>
    </w:p>
    <w:p>
      <w:pPr>
        <w:pStyle w:val="Defstart"/>
      </w:pPr>
      <w:r>
        <w:tab/>
      </w:r>
      <w:r>
        <w:rPr>
          <w:rStyle w:val="CharDefText"/>
        </w:rPr>
        <w:t>Building Services Account</w:t>
      </w:r>
      <w:r>
        <w:t xml:space="preserve"> means the account referred to in the </w:t>
      </w:r>
      <w:r>
        <w:rPr>
          <w:i/>
        </w:rPr>
        <w:t>Building Services (Complaint Resolution and Administration) Act 2011</w:t>
      </w:r>
      <w:r>
        <w:t xml:space="preserve"> section 92(1).</w:t>
      </w:r>
    </w:p>
    <w:p>
      <w:pPr>
        <w:pStyle w:val="Footnotesection"/>
      </w:pPr>
      <w:r>
        <w:tab/>
        <w:t>[Section 59J inserted by No. 39 of 1999 s. 7; amended by No. 16 of 2011 s. 130(3) and (4).]</w:t>
      </w:r>
    </w:p>
    <w:p>
      <w:pPr>
        <w:pStyle w:val="Heading5"/>
      </w:pPr>
      <w:bookmarkStart w:id="19" w:name="_Toc379296417"/>
      <w:r>
        <w:rPr>
          <w:rStyle w:val="CharSectno"/>
        </w:rPr>
        <w:t>59K</w:t>
      </w:r>
      <w:r>
        <w:t>.</w:t>
      </w:r>
      <w:r>
        <w:tab/>
        <w:t>Offences, regulations may create etc.</w:t>
      </w:r>
      <w:bookmarkEnd w:id="19"/>
    </w:p>
    <w:p>
      <w:pPr>
        <w:pStyle w:val="Subsection"/>
      </w:pPr>
      <w:r>
        <w:tab/>
      </w:r>
      <w:r>
        <w:tab/>
        <w:t>Regulations referred to in section 59J may —</w:t>
      </w:r>
    </w:p>
    <w:p>
      <w:pPr>
        <w:pStyle w:val="Indenta"/>
      </w:pPr>
      <w:r>
        <w:tab/>
        <w:t>(a)</w:t>
      </w:r>
      <w:r>
        <w:tab/>
        <w:t>create offences and provide, in respect of an offence so created, for the imposition of a fine not exceeding $5 000; and</w:t>
      </w:r>
    </w:p>
    <w:p>
      <w:pPr>
        <w:pStyle w:val="Indenta"/>
      </w:pPr>
      <w:r>
        <w:tab/>
        <w:t>(b)</w:t>
      </w:r>
      <w:r>
        <w:tab/>
        <w:t>establish a scheme for the giving of infringement notices in respect of specified offences against the regulations, prescribe modified penalties for such offences and provide for the appointment of persons to give infringement notices and administer that scheme.</w:t>
      </w:r>
    </w:p>
    <w:p>
      <w:pPr>
        <w:pStyle w:val="Footnotesection"/>
      </w:pPr>
      <w:r>
        <w:tab/>
        <w:t>[Section 59K inserted by No. 39 of 1999 s. 7.]</w:t>
      </w:r>
    </w:p>
    <w:p>
      <w:pPr>
        <w:pStyle w:val="Heading5"/>
      </w:pPr>
      <w:bookmarkStart w:id="20" w:name="_Toc379296418"/>
      <w:r>
        <w:rPr>
          <w:rStyle w:val="CharSectno"/>
        </w:rPr>
        <w:t>59L</w:t>
      </w:r>
      <w:r>
        <w:t>.</w:t>
      </w:r>
      <w:r>
        <w:tab/>
        <w:t>Other laws, codes etc., regulations may adopt</w:t>
      </w:r>
      <w:bookmarkEnd w:id="20"/>
    </w:p>
    <w:p>
      <w:pPr>
        <w:pStyle w:val="Subsection"/>
        <w:keepNext/>
        <w:keepLines/>
      </w:pPr>
      <w:r>
        <w:tab/>
        <w:t>(1)</w:t>
      </w:r>
      <w:r>
        <w:tab/>
        <w:t>Regulations referred to in section 59J may adopt, either wholly or in part or with modifications —</w:t>
      </w:r>
    </w:p>
    <w:p>
      <w:pPr>
        <w:pStyle w:val="Indenta"/>
        <w:keepNext/>
        <w:keepLines/>
      </w:pPr>
      <w:r>
        <w:tab/>
        <w:t>(a)</w:t>
      </w:r>
      <w:r>
        <w:tab/>
        <w:t>any rules, regulations, codes, or other subsidiary legislation made, determined or issued under any other Act or under any Commonwealth Act; or</w:t>
      </w:r>
    </w:p>
    <w:p>
      <w:pPr>
        <w:pStyle w:val="Indenta"/>
      </w:pPr>
      <w:r>
        <w:tab/>
        <w:t>(b)</w:t>
      </w:r>
      <w:r>
        <w:tab/>
        <w:t>any of the standards, rules, codes or specifications of Standards Australia or a similar specified body.</w:t>
      </w:r>
    </w:p>
    <w:p>
      <w:pPr>
        <w:pStyle w:val="Subsection"/>
      </w:pPr>
      <w:r>
        <w:tab/>
        <w:t>(2)</w:t>
      </w:r>
      <w:r>
        <w:tab/>
        <w:t>If any subsidiary legislation, standard, rule, code or specification is adopted under subsection (1), it is adopted as in force from time to time unless the regulations specify that a particular text is adopted.</w:t>
      </w:r>
    </w:p>
    <w:p>
      <w:pPr>
        <w:pStyle w:val="Footnotesection"/>
      </w:pPr>
      <w:r>
        <w:tab/>
        <w:t>[Section 59L inserted by No. 39 of 1999 s. 7; amended by No. 74 of 2003 s. 128.]</w:t>
      </w:r>
    </w:p>
    <w:p>
      <w:pPr>
        <w:pStyle w:val="Heading2"/>
      </w:pPr>
      <w:bookmarkStart w:id="21" w:name="_Toc379296419"/>
      <w:r>
        <w:rPr>
          <w:rStyle w:val="CharPartNo"/>
        </w:rPr>
        <w:t>Part 6</w:t>
      </w:r>
      <w:r>
        <w:rPr>
          <w:rStyle w:val="CharDivNo"/>
        </w:rPr>
        <w:t> </w:t>
      </w:r>
      <w:r>
        <w:t>—</w:t>
      </w:r>
      <w:r>
        <w:rPr>
          <w:rStyle w:val="CharDivText"/>
        </w:rPr>
        <w:t> </w:t>
      </w:r>
      <w:r>
        <w:rPr>
          <w:rStyle w:val="CharPartText"/>
        </w:rPr>
        <w:t>General</w:t>
      </w:r>
      <w:bookmarkEnd w:id="21"/>
      <w:r>
        <w:rPr>
          <w:rStyle w:val="CharPartText"/>
        </w:rPr>
        <w:t xml:space="preserve"> </w:t>
      </w:r>
    </w:p>
    <w:p>
      <w:pPr>
        <w:pStyle w:val="Ednotesection"/>
        <w:spacing w:before="200"/>
      </w:pPr>
      <w:r>
        <w:t>[</w:t>
      </w:r>
      <w:r>
        <w:rPr>
          <w:b/>
        </w:rPr>
        <w:t>60.</w:t>
      </w:r>
      <w:r>
        <w:tab/>
        <w:t>Deleted by No. 67 of 2003 Sch. 2 cl. 109.]</w:t>
      </w:r>
    </w:p>
    <w:p>
      <w:pPr>
        <w:pStyle w:val="Heading5"/>
        <w:spacing w:before="200"/>
      </w:pPr>
      <w:bookmarkStart w:id="22" w:name="_Toc379296420"/>
      <w:r>
        <w:rPr>
          <w:rStyle w:val="CharSectno"/>
        </w:rPr>
        <w:t>60A</w:t>
      </w:r>
      <w:r>
        <w:t>.</w:t>
      </w:r>
      <w:r>
        <w:tab/>
        <w:t>Protection from liability</w:t>
      </w:r>
      <w:bookmarkEnd w:id="22"/>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(1a)</w:t>
      </w:r>
      <w:r>
        <w:tab/>
        <w:t xml:space="preserve">Subsection (1) does not apply to a person referred to in section 56(1) of the </w:t>
      </w:r>
      <w:r>
        <w:rPr>
          <w:i/>
        </w:rPr>
        <w:t>Economic Regulation Authority Act 2003</w:t>
      </w:r>
      <w:r>
        <w:t>.</w:t>
      </w:r>
    </w:p>
    <w:p>
      <w:pPr>
        <w:pStyle w:val="Subsection"/>
      </w:pPr>
      <w:r>
        <w:tab/>
        <w:t>(2)</w:t>
      </w:r>
      <w:r>
        <w:tab/>
        <w:t>The Board and the Crown are also relieved of any liability that either of them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60A inserted by No. 39 of 1999 s. 8; amended by No. 67 of 2003 Sch. 2 cl. 110.]</w:t>
      </w:r>
    </w:p>
    <w:p>
      <w:pPr>
        <w:pStyle w:val="Heading5"/>
        <w:spacing w:before="200"/>
      </w:pPr>
      <w:bookmarkStart w:id="23" w:name="_Toc379296421"/>
      <w:r>
        <w:rPr>
          <w:rStyle w:val="CharSectno"/>
        </w:rPr>
        <w:t>60B</w:t>
      </w:r>
      <w:r>
        <w:t>.</w:t>
      </w:r>
      <w:r>
        <w:tab/>
        <w:t>Disclosure etc., certain information restricted</w:t>
      </w:r>
      <w:bookmarkEnd w:id="23"/>
    </w:p>
    <w:p>
      <w:pPr>
        <w:pStyle w:val="Subsection"/>
        <w:spacing w:before="120"/>
      </w:pPr>
      <w:r>
        <w:tab/>
        <w:t>(1)</w:t>
      </w:r>
      <w:r>
        <w:tab/>
        <w:t xml:space="preserve">This section applies to a person — </w:t>
      </w:r>
    </w:p>
    <w:p>
      <w:pPr>
        <w:pStyle w:val="Indenta"/>
        <w:spacing w:before="60"/>
      </w:pPr>
      <w:r>
        <w:tab/>
        <w:t>(a)</w:t>
      </w:r>
      <w:r>
        <w:tab/>
        <w:t>who has been the Coordinator of Water Services under this Act; or</w:t>
      </w:r>
    </w:p>
    <w:p>
      <w:pPr>
        <w:pStyle w:val="Indenta"/>
        <w:spacing w:before="60"/>
      </w:pPr>
      <w:r>
        <w:tab/>
        <w:t>(b)</w:t>
      </w:r>
      <w:r>
        <w:tab/>
        <w:t>who is or has been a member of the Board; or</w:t>
      </w:r>
    </w:p>
    <w:p>
      <w:pPr>
        <w:pStyle w:val="Indenta"/>
        <w:spacing w:before="60"/>
      </w:pPr>
      <w:r>
        <w:tab/>
        <w:t>(c)</w:t>
      </w:r>
      <w:r>
        <w:tab/>
        <w:t>who is or has been a person performing functions under this Act.</w:t>
      </w:r>
    </w:p>
    <w:p>
      <w:pPr>
        <w:pStyle w:val="Subsection"/>
        <w:spacing w:before="120"/>
      </w:pPr>
      <w:r>
        <w:tab/>
        <w:t>(2)</w:t>
      </w:r>
      <w:r>
        <w:tab/>
        <w:t>A person to whom this section applies must not, directly or indirectly, record, disclose or make use of any information obtained in the course of duty except — </w:t>
      </w:r>
    </w:p>
    <w:p>
      <w:pPr>
        <w:pStyle w:val="Indenta"/>
        <w:spacing w:before="60"/>
      </w:pPr>
      <w:r>
        <w:tab/>
        <w:t>(a)</w:t>
      </w:r>
      <w:r>
        <w:tab/>
        <w:t>for the purpose of performing functions under this Act; or</w:t>
      </w:r>
    </w:p>
    <w:p>
      <w:pPr>
        <w:pStyle w:val="Indenta"/>
      </w:pPr>
      <w:r>
        <w:tab/>
        <w:t>(b)</w:t>
      </w:r>
      <w:r>
        <w:tab/>
        <w:t>as required or allowed by this Act or under another written law; or</w:t>
      </w:r>
    </w:p>
    <w:p>
      <w:pPr>
        <w:pStyle w:val="Indenta"/>
      </w:pPr>
      <w:r>
        <w:tab/>
        <w:t>(c)</w:t>
      </w:r>
      <w:r>
        <w:tab/>
        <w:t>with the written consent of the person to whom the information relates; or</w:t>
      </w:r>
    </w:p>
    <w:p>
      <w:pPr>
        <w:pStyle w:val="Indenta"/>
      </w:pPr>
      <w:r>
        <w:tab/>
        <w:t>(d)</w:t>
      </w:r>
      <w:r>
        <w:tab/>
        <w:t>in other prescribed circumstances.</w:t>
      </w:r>
    </w:p>
    <w:p>
      <w:pPr>
        <w:pStyle w:val="Penstart"/>
      </w:pPr>
      <w:r>
        <w:tab/>
        <w:t>Penalty: $5 000.</w:t>
      </w:r>
    </w:p>
    <w:p>
      <w:pPr>
        <w:pStyle w:val="Subsection"/>
      </w:pPr>
      <w:r>
        <w:tab/>
        <w:t>(3)</w:t>
      </w:r>
      <w:r>
        <w:tab/>
        <w:t>Subsection (2) does not apply to the disclosure of any summary or statistical information that could not reasonably be expected to enable particulars relating to any person or business to be ascertained.</w:t>
      </w:r>
    </w:p>
    <w:p>
      <w:pPr>
        <w:pStyle w:val="Footnotesection"/>
      </w:pPr>
      <w:r>
        <w:tab/>
        <w:t>[Section 60B inserted by No. 39 of 1999 s. 8; amended by No. 67 of 2003 Sch. 2 cl. 111.]</w:t>
      </w:r>
    </w:p>
    <w:p>
      <w:pPr>
        <w:pStyle w:val="Heading5"/>
      </w:pPr>
      <w:bookmarkStart w:id="24" w:name="_Toc379296422"/>
      <w:r>
        <w:rPr>
          <w:rStyle w:val="CharSectno"/>
        </w:rPr>
        <w:t>60C</w:t>
      </w:r>
      <w:r>
        <w:t>.</w:t>
      </w:r>
      <w:r>
        <w:tab/>
        <w:t xml:space="preserve">Operating licence is not personal property for </w:t>
      </w:r>
      <w:r>
        <w:rPr>
          <w:i/>
          <w:iCs/>
        </w:rPr>
        <w:t>Personal Property Securities Act 2009</w:t>
      </w:r>
      <w:r>
        <w:t xml:space="preserve"> (Cwlth)</w:t>
      </w:r>
      <w:bookmarkEnd w:id="24"/>
    </w:p>
    <w:p>
      <w:pPr>
        <w:pStyle w:val="Subsection"/>
      </w:pPr>
      <w:r>
        <w:tab/>
      </w:r>
      <w:r>
        <w:tab/>
        <w:t>If an operating licence granted under section 18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[Section 60C inserted by No. 42 of 2011 s. 122.]</w:t>
      </w:r>
    </w:p>
    <w:p>
      <w:pPr>
        <w:pStyle w:val="Heading5"/>
        <w:rPr>
          <w:snapToGrid w:val="0"/>
        </w:rPr>
      </w:pPr>
      <w:bookmarkStart w:id="25" w:name="_Toc379296423"/>
      <w:r>
        <w:rPr>
          <w:rStyle w:val="CharSectno"/>
        </w:rPr>
        <w:t>61</w:t>
      </w:r>
      <w:r>
        <w:rPr>
          <w:snapToGrid w:val="0"/>
        </w:rPr>
        <w:t>.</w:t>
      </w:r>
      <w:r>
        <w:rPr>
          <w:snapToGrid w:val="0"/>
        </w:rPr>
        <w:tab/>
        <w:t>Regulations</w:t>
      </w:r>
      <w:bookmarkEnd w:id="25"/>
    </w:p>
    <w:p>
      <w:pPr>
        <w:pStyle w:val="Subsection"/>
        <w:rPr>
          <w:snapToGrid w:val="0"/>
        </w:rPr>
      </w:pPr>
      <w:r>
        <w:rPr>
          <w:snapToGrid w:val="0"/>
        </w:rPr>
        <w:tab/>
      </w:r>
      <w:r>
        <w:rPr>
          <w:snapToGrid w:val="0"/>
        </w:rPr>
        <w:tab/>
        <w:t>The Governor may make any regulations prescribing all matters that are required or permitted by this Act to be prescribed or are necessary or convenient to be prescribed for giving effect to the purposes of this Act.</w:t>
      </w:r>
    </w:p>
    <w:p>
      <w:pPr>
        <w:pStyle w:val="Heading5"/>
        <w:rPr>
          <w:snapToGrid w:val="0"/>
        </w:rPr>
      </w:pPr>
      <w:bookmarkStart w:id="26" w:name="_Toc379296424"/>
      <w:r>
        <w:rPr>
          <w:rStyle w:val="CharSectno"/>
        </w:rPr>
        <w:t>62</w:t>
      </w:r>
      <w:r>
        <w:rPr>
          <w:snapToGrid w:val="0"/>
        </w:rPr>
        <w:t>.</w:t>
      </w:r>
      <w:r>
        <w:rPr>
          <w:snapToGrid w:val="0"/>
        </w:rPr>
        <w:tab/>
        <w:t>Review of Act</w:t>
      </w:r>
      <w:bookmarkEnd w:id="26"/>
    </w:p>
    <w:p>
      <w:pPr>
        <w:pStyle w:val="Subsection"/>
        <w:rPr>
          <w:snapToGrid w:val="0"/>
        </w:rPr>
      </w:pPr>
      <w:r>
        <w:rPr>
          <w:snapToGrid w:val="0"/>
        </w:rPr>
        <w:tab/>
        <w:t>(1)</w:t>
      </w:r>
      <w:r>
        <w:rPr>
          <w:snapToGrid w:val="0"/>
        </w:rPr>
        <w:tab/>
        <w:t>The Minister is to carry out a review of the operation and effectiveness of this Act as soon as is practicable after</w:t>
      </w:r>
      <w:r>
        <w:t xml:space="preserve"> every 5</w:t>
      </w:r>
      <w:r>
        <w:rPr>
          <w:vertAlign w:val="superscript"/>
        </w:rPr>
        <w:t>th</w:t>
      </w:r>
      <w:r>
        <w:t xml:space="preserve"> anniversary of the commencement of the </w:t>
      </w:r>
      <w:r>
        <w:rPr>
          <w:i/>
          <w:iCs/>
        </w:rPr>
        <w:t>Water Services Legislation Amendment and Repeal Act 2012</w:t>
      </w:r>
      <w:r>
        <w:rPr>
          <w:iCs/>
        </w:rPr>
        <w:t xml:space="preserve"> </w:t>
      </w:r>
      <w:r>
        <w:t>section 191.</w:t>
      </w:r>
    </w:p>
    <w:p>
      <w:pPr>
        <w:pStyle w:val="Subsection"/>
        <w:rPr>
          <w:snapToGrid w:val="0"/>
        </w:rPr>
      </w:pPr>
      <w:r>
        <w:rPr>
          <w:snapToGrid w:val="0"/>
        </w:rPr>
        <w:tab/>
        <w:t>(2)</w:t>
      </w:r>
      <w:r>
        <w:rPr>
          <w:snapToGrid w:val="0"/>
        </w:rPr>
        <w:tab/>
        <w:t>In the course of that review the Minister is to consider and have regard to — </w:t>
      </w:r>
    </w:p>
    <w:p>
      <w:pPr>
        <w:pStyle w:val="Ednotepara"/>
      </w:pPr>
      <w:r>
        <w:tab/>
        <w:t>[(a), (b)</w:t>
      </w:r>
      <w:r>
        <w:tab/>
        <w:t>deleted]</w:t>
      </w:r>
    </w:p>
    <w:p>
      <w:pPr>
        <w:pStyle w:val="Indenta"/>
      </w:pPr>
      <w:r>
        <w:tab/>
        <w:t>(ba)</w:t>
      </w:r>
      <w:r>
        <w:tab/>
        <w:t>the effectiveness of the operations of the Board; and</w:t>
      </w:r>
    </w:p>
    <w:p>
      <w:pPr>
        <w:pStyle w:val="Indenta"/>
      </w:pPr>
      <w:r>
        <w:tab/>
        <w:t>(bb)</w:t>
      </w:r>
      <w: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pStyle w:val="Footnotesection"/>
      </w:pPr>
      <w:r>
        <w:tab/>
        <w:t>[Section 62 amended by No. 39 of 1999 s. 9; No. 67 of 2003 Sch. 2 cl. 112; No. 25 of 2012 s. 196.]</w:t>
      </w:r>
    </w:p>
    <w:p>
      <w:pPr>
        <w:pStyle w:val="yEdnoteschedule"/>
      </w:pPr>
      <w:r>
        <w:t>[Schedules 1 and 2 deleted by No. 25 of 2012 s. 197.]</w:t>
      </w:r>
    </w:p>
    <w:p>
      <w:pPr>
        <w:rPr>
          <w:rStyle w:val="CharDivText"/>
        </w:rPr>
        <w:sectPr>
          <w:headerReference w:type="even" r:id="rId24"/>
          <w:headerReference w:type="default" r:id="rId25"/>
          <w:footerReference w:type="even" r:id="rId26"/>
          <w:footerReference w:type="default" r:id="rId27"/>
          <w:headerReference w:type="first" r:id="rId28"/>
          <w:footerReference w:type="first" r:id="rId29"/>
          <w:pgSz w:w="11906" w:h="16838" w:code="9"/>
          <w:pgMar w:top="2376" w:right="2405" w:bottom="3542" w:left="2405" w:header="706" w:footer="3380" w:gutter="0"/>
          <w:pgNumType w:start="1"/>
          <w:cols w:space="720"/>
          <w:noEndnote/>
          <w:titlePg/>
          <w:docGrid w:linePitch="326"/>
        </w:sectPr>
      </w:pPr>
    </w:p>
    <w:p>
      <w:pPr>
        <w:pStyle w:val="yScheduleHeading"/>
      </w:pPr>
      <w:bookmarkStart w:id="27" w:name="_Toc379296425"/>
      <w:r>
        <w:rPr>
          <w:rStyle w:val="CharSchNo"/>
        </w:rPr>
        <w:t>Schedule 3</w:t>
      </w:r>
      <w:r>
        <w:rPr>
          <w:rStyle w:val="CharSDivNo"/>
        </w:rPr>
        <w:t> </w:t>
      </w:r>
      <w:r>
        <w:t>—</w:t>
      </w:r>
      <w:r>
        <w:rPr>
          <w:rStyle w:val="CharSDivText"/>
        </w:rPr>
        <w:t> </w:t>
      </w:r>
      <w:r>
        <w:rPr>
          <w:rStyle w:val="CharSchText"/>
        </w:rPr>
        <w:t>Purposes for which, or matters about which, regulations may be made</w:t>
      </w:r>
      <w:bookmarkEnd w:id="27"/>
      <w:r>
        <w:t xml:space="preserve"> </w:t>
      </w:r>
    </w:p>
    <w:p>
      <w:pPr>
        <w:pStyle w:val="yShoulderClause"/>
        <w:rPr>
          <w:snapToGrid w:val="0"/>
        </w:rPr>
      </w:pPr>
      <w:r>
        <w:t>[s. 59J]</w:t>
      </w:r>
    </w:p>
    <w:p>
      <w:pPr>
        <w:pStyle w:val="yMiscellaneousBody"/>
        <w:tabs>
          <w:tab w:val="left" w:pos="567"/>
        </w:tabs>
        <w:ind w:left="567" w:hanging="567"/>
      </w:pPr>
      <w:r>
        <w:t>1.</w:t>
      </w:r>
      <w:r>
        <w:tab/>
        <w:t>The membership of the Board and the manner in which the membership is to be determined.</w:t>
      </w:r>
    </w:p>
    <w:p>
      <w:pPr>
        <w:pStyle w:val="yMiscellaneousBody"/>
        <w:tabs>
          <w:tab w:val="left" w:pos="567"/>
        </w:tabs>
        <w:spacing w:before="120"/>
        <w:ind w:left="567" w:hanging="567"/>
      </w:pPr>
      <w:r>
        <w:t>2.</w:t>
      </w:r>
      <w:r>
        <w:tab/>
        <w:t>The appointment of a chairperson and deputy chairperson of the Board.</w:t>
      </w:r>
    </w:p>
    <w:p>
      <w:pPr>
        <w:pStyle w:val="yMiscellaneousBody"/>
        <w:tabs>
          <w:tab w:val="left" w:pos="567"/>
        </w:tabs>
        <w:spacing w:before="120"/>
        <w:ind w:left="567" w:hanging="567"/>
      </w:pPr>
      <w:r>
        <w:t>3.</w:t>
      </w:r>
      <w:r>
        <w:tab/>
        <w:t>The term of office of members of the Board and the circumstances in which a member of the Board may be removed from office.</w:t>
      </w:r>
    </w:p>
    <w:p>
      <w:pPr>
        <w:pStyle w:val="yMiscellaneousBody"/>
        <w:tabs>
          <w:tab w:val="left" w:pos="567"/>
        </w:tabs>
        <w:spacing w:before="120"/>
        <w:ind w:left="567" w:hanging="567"/>
      </w:pPr>
      <w:r>
        <w:t>4.</w:t>
      </w:r>
      <w:r>
        <w:tab/>
        <w:t>The appointment of alternate members of the Board.</w:t>
      </w:r>
    </w:p>
    <w:p>
      <w:pPr>
        <w:pStyle w:val="yMiscellaneousBody"/>
        <w:tabs>
          <w:tab w:val="left" w:pos="567"/>
        </w:tabs>
        <w:spacing w:before="120"/>
        <w:ind w:left="567" w:hanging="567"/>
      </w:pPr>
      <w:r>
        <w:t>5.</w:t>
      </w:r>
      <w:r>
        <w:tab/>
        <w:t>The constitution and proceedings of the Board.</w:t>
      </w:r>
    </w:p>
    <w:p>
      <w:pPr>
        <w:pStyle w:val="yMiscellaneousBody"/>
        <w:tabs>
          <w:tab w:val="left" w:pos="567"/>
        </w:tabs>
        <w:spacing w:before="120"/>
        <w:ind w:left="567" w:hanging="567"/>
      </w:pPr>
      <w:r>
        <w:t>6.</w:t>
      </w:r>
      <w:r>
        <w:tab/>
        <w:t>The remuneration of members of the Board and members of any committee established by the Board.</w:t>
      </w:r>
    </w:p>
    <w:p>
      <w:pPr>
        <w:pStyle w:val="yMiscellaneousBody"/>
        <w:tabs>
          <w:tab w:val="left" w:pos="567"/>
        </w:tabs>
        <w:spacing w:before="120"/>
        <w:ind w:left="567" w:hanging="567"/>
      </w:pPr>
      <w:r>
        <w:t>7.</w:t>
      </w:r>
      <w:r>
        <w:tab/>
        <w:t>To permit the Board to establish committees for supervisory, regulatory, or other purposes and to provide for the constitution, practice and procedure of any such committee.</w:t>
      </w:r>
    </w:p>
    <w:p>
      <w:pPr>
        <w:pStyle w:val="yMiscellaneousBody"/>
        <w:tabs>
          <w:tab w:val="left" w:pos="567"/>
        </w:tabs>
        <w:spacing w:before="120"/>
        <w:ind w:left="567" w:hanging="567"/>
      </w:pPr>
      <w:r>
        <w:t>8.</w:t>
      </w:r>
      <w:r>
        <w:tab/>
        <w:t>The licensing of plumbers, including, without limitation —</w:t>
      </w:r>
    </w:p>
    <w:p>
      <w:pPr>
        <w:pStyle w:val="yMiscellaneousBody"/>
        <w:tabs>
          <w:tab w:val="left" w:pos="567"/>
          <w:tab w:val="left" w:pos="1134"/>
        </w:tabs>
        <w:spacing w:before="80"/>
        <w:ind w:left="1134" w:hanging="1134"/>
      </w:pPr>
      <w:r>
        <w:tab/>
        <w:t>(a)</w:t>
      </w:r>
      <w:r>
        <w:tab/>
        <w:t>the persons who may hold a licence; and</w:t>
      </w:r>
    </w:p>
    <w:p>
      <w:pPr>
        <w:pStyle w:val="yMiscellaneousBody"/>
        <w:tabs>
          <w:tab w:val="left" w:pos="567"/>
          <w:tab w:val="left" w:pos="1134"/>
        </w:tabs>
        <w:spacing w:before="80"/>
        <w:ind w:left="1134" w:hanging="1134"/>
      </w:pPr>
      <w:r>
        <w:tab/>
        <w:t>(b)</w:t>
      </w:r>
      <w:r>
        <w:tab/>
        <w:t>classes of licence and the plumbing work that may be carried out under the authority of a licence of a particular class; and</w:t>
      </w:r>
    </w:p>
    <w:p>
      <w:pPr>
        <w:pStyle w:val="yMiscellaneousBody"/>
        <w:tabs>
          <w:tab w:val="left" w:pos="567"/>
          <w:tab w:val="left" w:pos="1134"/>
        </w:tabs>
        <w:spacing w:before="80"/>
        <w:ind w:left="1134" w:hanging="1134"/>
      </w:pPr>
      <w:r>
        <w:tab/>
        <w:t>(c)</w:t>
      </w:r>
      <w:r>
        <w:tab/>
        <w:t>the qualifications, level of experience or competency requirements necessary for the grant of a licence of a particular class; and</w:t>
      </w:r>
    </w:p>
    <w:p>
      <w:pPr>
        <w:pStyle w:val="yMiscellaneousBody"/>
        <w:tabs>
          <w:tab w:val="left" w:pos="567"/>
          <w:tab w:val="left" w:pos="1134"/>
        </w:tabs>
        <w:spacing w:before="80"/>
        <w:ind w:left="1134" w:hanging="1134"/>
      </w:pPr>
      <w:r>
        <w:tab/>
        <w:t>(d)</w:t>
      </w:r>
      <w:r>
        <w:tab/>
        <w:t>the matters of which the Board must be satisfied before granting a licence of a particular class; and</w:t>
      </w:r>
    </w:p>
    <w:p>
      <w:pPr>
        <w:pStyle w:val="yMiscellaneousBody"/>
        <w:tabs>
          <w:tab w:val="left" w:pos="567"/>
          <w:tab w:val="left" w:pos="1134"/>
        </w:tabs>
        <w:spacing w:before="80"/>
        <w:ind w:left="1134" w:hanging="1134"/>
      </w:pPr>
      <w:r>
        <w:tab/>
        <w:t>(e)</w:t>
      </w:r>
      <w:r>
        <w:tab/>
        <w:t>the issue, duration, renewal, suspension or cancellation of licences; and</w:t>
      </w:r>
    </w:p>
    <w:p>
      <w:pPr>
        <w:pStyle w:val="yMiscellaneousBody"/>
        <w:tabs>
          <w:tab w:val="left" w:pos="567"/>
          <w:tab w:val="left" w:pos="1134"/>
        </w:tabs>
        <w:spacing w:before="80"/>
        <w:ind w:left="1134" w:hanging="1134"/>
      </w:pPr>
      <w:r>
        <w:tab/>
        <w:t>(f)</w:t>
      </w:r>
      <w:r>
        <w:tab/>
        <w:t>the imposition of conditions or restrictions on licences; and</w:t>
      </w:r>
    </w:p>
    <w:p>
      <w:pPr>
        <w:pStyle w:val="yMiscellaneousBody"/>
        <w:tabs>
          <w:tab w:val="left" w:pos="567"/>
          <w:tab w:val="left" w:pos="1134"/>
        </w:tabs>
        <w:spacing w:before="80"/>
        <w:ind w:left="1134" w:hanging="1134"/>
      </w:pPr>
      <w:r>
        <w:tab/>
        <w:t>(g)</w:t>
      </w:r>
      <w:r>
        <w:tab/>
        <w:t>the keeping of a register of specified information in respect of licences and matters relating to the amendment and accuracy of the register; and</w:t>
      </w:r>
    </w:p>
    <w:p>
      <w:pPr>
        <w:pStyle w:val="yMiscellaneousBody"/>
        <w:tabs>
          <w:tab w:val="left" w:pos="567"/>
          <w:tab w:val="left" w:pos="1134"/>
        </w:tabs>
        <w:spacing w:before="80"/>
        <w:ind w:left="1134" w:hanging="1134"/>
      </w:pPr>
      <w:r>
        <w:tab/>
        <w:t>(h)</w:t>
      </w:r>
      <w:r>
        <w:tab/>
        <w:t>the manner of making a complaint against or concerning a person who is or was the holder of a licence, and who may make such a complaint; and</w:t>
      </w:r>
    </w:p>
    <w:p>
      <w:pPr>
        <w:pStyle w:val="yMiscellaneousBody"/>
        <w:tabs>
          <w:tab w:val="left" w:pos="567"/>
          <w:tab w:val="left" w:pos="1134"/>
        </w:tabs>
        <w:spacing w:before="80"/>
        <w:ind w:left="1134" w:hanging="1134"/>
      </w:pPr>
      <w:r>
        <w:tab/>
        <w:t>(i)</w:t>
      </w:r>
      <w:r>
        <w:tab/>
        <w:t>disciplinary matters and the regulation of the practice and procedure to be followed in the investigation of disciplinary matters; and</w:t>
      </w:r>
    </w:p>
    <w:p>
      <w:pPr>
        <w:pStyle w:val="yMiscellaneousBody"/>
        <w:tabs>
          <w:tab w:val="left" w:pos="567"/>
          <w:tab w:val="left" w:pos="1134"/>
        </w:tabs>
        <w:spacing w:before="80"/>
        <w:ind w:left="1134" w:hanging="1134"/>
      </w:pPr>
      <w:r>
        <w:tab/>
        <w:t>(j)</w:t>
      </w:r>
      <w:r>
        <w:tab/>
        <w:t xml:space="preserve">the conferral on the </w:t>
      </w:r>
      <w:r>
        <w:rPr>
          <w:snapToGrid w:val="0"/>
        </w:rPr>
        <w:t>State Administrative Tribunal</w:t>
      </w:r>
      <w:r>
        <w:t xml:space="preserve"> of jurisdiction to deal with disciplinary matters and the orders that may be made following the hearing and determination of disciplinary matters, which may include orders imposing disciplinary penalties; and</w:t>
      </w:r>
    </w:p>
    <w:p>
      <w:pPr>
        <w:pStyle w:val="yMiscellaneousBody"/>
        <w:tabs>
          <w:tab w:val="left" w:pos="567"/>
          <w:tab w:val="left" w:pos="1134"/>
        </w:tabs>
        <w:spacing w:before="80"/>
        <w:ind w:left="1134" w:hanging="1134"/>
      </w:pPr>
      <w:r>
        <w:tab/>
        <w:t>(k)</w:t>
      </w:r>
      <w:r>
        <w:tab/>
        <w:t>the conferral on the State Administrative Tribunal of jurisdiction to deal with applications for the review of decisions of the Board or any committee established by the Board; and</w:t>
      </w:r>
    </w:p>
    <w:p>
      <w:pPr>
        <w:pStyle w:val="yMiscellaneousBody"/>
        <w:tabs>
          <w:tab w:val="left" w:pos="567"/>
          <w:tab w:val="left" w:pos="1134"/>
        </w:tabs>
        <w:spacing w:before="80"/>
        <w:ind w:left="1134" w:hanging="1134"/>
        <w:rPr>
          <w:i/>
          <w:iCs/>
        </w:rPr>
      </w:pPr>
      <w:r>
        <w:rPr>
          <w:i/>
          <w:iCs/>
        </w:rPr>
        <w:tab/>
        <w:t>[(l)</w:t>
      </w:r>
      <w:r>
        <w:rPr>
          <w:i/>
          <w:iCs/>
        </w:rPr>
        <w:tab/>
        <w:t>deleted]</w:t>
      </w:r>
    </w:p>
    <w:p>
      <w:pPr>
        <w:pStyle w:val="yMiscellaneousBody"/>
        <w:tabs>
          <w:tab w:val="left" w:pos="567"/>
          <w:tab w:val="left" w:pos="1134"/>
        </w:tabs>
        <w:spacing w:before="80"/>
        <w:ind w:left="1134" w:hanging="1134"/>
      </w:pPr>
      <w:r>
        <w:tab/>
        <w:t>(m)</w:t>
      </w:r>
      <w:r>
        <w:tab/>
        <w:t>the publication in specified circumstances of information relating to the cancellation or suspension of a licence, and the manner of such publication; and</w:t>
      </w:r>
    </w:p>
    <w:p>
      <w:pPr>
        <w:pStyle w:val="yMiscellaneousBody"/>
        <w:tabs>
          <w:tab w:val="left" w:pos="567"/>
          <w:tab w:val="left" w:pos="1134"/>
        </w:tabs>
        <w:spacing w:before="80"/>
        <w:ind w:left="1134" w:hanging="1134"/>
      </w:pPr>
      <w:r>
        <w:tab/>
        <w:t>(n)</w:t>
      </w:r>
      <w:r>
        <w:tab/>
        <w:t>the manner in which holders of licences may advertise, display or otherwise publicise the fact that they carry out plumbing work; and</w:t>
      </w:r>
    </w:p>
    <w:p>
      <w:pPr>
        <w:pStyle w:val="yMiscellaneousBody"/>
        <w:tabs>
          <w:tab w:val="left" w:pos="567"/>
          <w:tab w:val="left" w:pos="1134"/>
        </w:tabs>
        <w:spacing w:before="80"/>
        <w:ind w:left="1134" w:hanging="1134"/>
      </w:pPr>
      <w:r>
        <w:tab/>
        <w:t>(o)</w:t>
      </w:r>
      <w:r>
        <w:tab/>
        <w:t>matters of a savings or transitional nature.</w:t>
      </w:r>
    </w:p>
    <w:p>
      <w:pPr>
        <w:pStyle w:val="yMiscellaneousBody"/>
        <w:tabs>
          <w:tab w:val="left" w:pos="567"/>
        </w:tabs>
        <w:spacing w:before="120"/>
        <w:ind w:left="567" w:hanging="567"/>
      </w:pPr>
      <w:r>
        <w:t>9.</w:t>
      </w:r>
      <w:r>
        <w:tab/>
        <w:t>The prohibition of persons other than holders of licences from carrying out plumbing work.</w:t>
      </w:r>
    </w:p>
    <w:p>
      <w:pPr>
        <w:pStyle w:val="yMiscellaneousBody"/>
        <w:tabs>
          <w:tab w:val="left" w:pos="567"/>
        </w:tabs>
        <w:spacing w:before="120"/>
        <w:ind w:left="567" w:hanging="567"/>
      </w:pPr>
      <w:r>
        <w:t>10.</w:t>
      </w:r>
      <w:r>
        <w:tab/>
        <w:t>The regulation and control of plumbing work.</w:t>
      </w:r>
    </w:p>
    <w:p>
      <w:pPr>
        <w:pStyle w:val="yMiscellaneousBody"/>
        <w:tabs>
          <w:tab w:val="left" w:pos="567"/>
        </w:tabs>
        <w:spacing w:before="120"/>
        <w:ind w:left="567" w:hanging="567"/>
      </w:pPr>
      <w:r>
        <w:t>11.</w:t>
      </w:r>
      <w:r>
        <w:tab/>
        <w:t>Standards to be observed in, or in connection with, the carrying out of plumbing work.</w:t>
      </w:r>
    </w:p>
    <w:p>
      <w:pPr>
        <w:pStyle w:val="yMiscellaneousBody"/>
        <w:tabs>
          <w:tab w:val="left" w:pos="567"/>
        </w:tabs>
        <w:spacing w:before="120"/>
        <w:ind w:left="567" w:hanging="567"/>
      </w:pPr>
      <w:r>
        <w:t>12.</w:t>
      </w:r>
      <w:r>
        <w:tab/>
        <w:t>The appointment or authorisation of persons to inspect plumbing work and investigate complaints in respect of plumbing work, and their powers, including powers of entry, for the purposes of such inspection or investigation.</w:t>
      </w:r>
    </w:p>
    <w:p>
      <w:pPr>
        <w:pStyle w:val="yMiscellaneousBody"/>
        <w:tabs>
          <w:tab w:val="left" w:pos="567"/>
        </w:tabs>
        <w:spacing w:before="120"/>
        <w:ind w:left="567" w:hanging="567"/>
      </w:pPr>
      <w:r>
        <w:t>13.</w:t>
      </w:r>
      <w:r>
        <w:rPr>
          <w:b/>
        </w:rPr>
        <w:tab/>
      </w:r>
      <w:r>
        <w:t xml:space="preserve">Fees to be paid for or in connection with matters provided for in the regulations, other than for bringing matters before the </w:t>
      </w:r>
      <w:r>
        <w:rPr>
          <w:snapToGrid w:val="0"/>
        </w:rPr>
        <w:t>State Administrative Tribunal</w:t>
      </w:r>
      <w:r>
        <w:t>, and the persons liable to pay those fees.</w:t>
      </w:r>
    </w:p>
    <w:p>
      <w:pPr>
        <w:pStyle w:val="yFootnotesection"/>
        <w:ind w:left="885" w:firstLine="0"/>
      </w:pPr>
      <w:r>
        <w:t>[Schedule 3 inserted by No. 39 of 1999 s. 10; amended by No. 55 of 2004 s. 1304.]</w:t>
      </w:r>
    </w:p>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type w:val="continuous"/>
          <w:pgSz w:w="11906" w:h="16838" w:code="9"/>
          <w:pgMar w:top="2376" w:right="2405" w:bottom="3542" w:left="2405" w:header="706" w:footer="3380" w:gutter="0"/>
          <w:cols w:space="720"/>
          <w:noEndnote/>
          <w:docGrid w:linePitch="326"/>
        </w:sectPr>
      </w:pPr>
    </w:p>
    <w:p>
      <w:pPr>
        <w:pStyle w:val="nHeading2"/>
      </w:pPr>
      <w:bookmarkStart w:id="28" w:name="_Toc379296426"/>
      <w:r>
        <w:t>Notes</w:t>
      </w:r>
      <w:bookmarkEnd w:id="28"/>
    </w:p>
    <w:p>
      <w:pPr>
        <w:pStyle w:val="nSubsection"/>
        <w:rPr>
          <w:snapToGrid w:val="0"/>
        </w:rPr>
      </w:pPr>
      <w:r>
        <w:rPr>
          <w:snapToGrid w:val="0"/>
          <w:vertAlign w:val="superscript"/>
        </w:rPr>
        <w:t>1</w:t>
      </w:r>
      <w:r>
        <w:rPr>
          <w:snapToGrid w:val="0"/>
        </w:rPr>
        <w:tab/>
        <w:t xml:space="preserve">This reprint is a compilation as at 24 January 2014 of the </w:t>
      </w:r>
      <w:r>
        <w:rPr>
          <w:i/>
          <w:noProof/>
          <w:snapToGrid w:val="0"/>
        </w:rPr>
        <w:t>Plumbers Licensing Act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9" w:name="_Toc379296427"/>
      <w:r>
        <w:rPr>
          <w:snapToGrid w:val="0"/>
        </w:rPr>
        <w:t>Compilation table</w:t>
      </w:r>
      <w:bookmarkEnd w:id="29"/>
    </w:p>
    <w:tbl>
      <w:tblPr>
        <w:tblW w:w="7088" w:type="dxa"/>
        <w:tblInd w:w="56" w:type="dxa"/>
        <w:tblLayout w:type="fixed"/>
        <w:tblCellMar>
          <w:left w:w="56" w:type="dxa"/>
          <w:right w:w="56" w:type="dxa"/>
        </w:tblCellMar>
        <w:tblLook w:val="0000" w:firstRow="0" w:lastRow="0" w:firstColumn="0" w:lastColumn="0" w:noHBand="0" w:noVBand="0"/>
      </w:tblPr>
      <w:tblGrid>
        <w:gridCol w:w="2268"/>
        <w:gridCol w:w="1133"/>
        <w:gridCol w:w="1134"/>
        <w:gridCol w:w="2553"/>
      </w:tblGrid>
      <w:tr>
        <w:trPr>
          <w:cantSplit/>
          <w:tblHeader/>
        </w:trPr>
        <w:tc>
          <w:tcPr>
            <w:tcW w:w="2268" w:type="dxa"/>
            <w:tcBorders>
              <w:top w:val="single" w:sz="8" w:space="0" w:color="auto"/>
              <w:bottom w:val="single" w:sz="8" w:space="0" w:color="auto"/>
            </w:tcBorders>
            <w:shd w:val="clear" w:color="auto" w:fill="auto"/>
          </w:tcPr>
          <w:p>
            <w:pPr>
              <w:pStyle w:val="nTable"/>
              <w:rPr>
                <w:b/>
                <w:bCs/>
                <w:sz w:val="19"/>
              </w:rPr>
            </w:pPr>
            <w:r>
              <w:rPr>
                <w:b/>
                <w:bCs/>
                <w:sz w:val="19"/>
              </w:rPr>
              <w:t>Short title</w:t>
            </w:r>
          </w:p>
        </w:tc>
        <w:tc>
          <w:tcPr>
            <w:tcW w:w="1133" w:type="dxa"/>
            <w:tcBorders>
              <w:top w:val="single" w:sz="8" w:space="0" w:color="auto"/>
              <w:bottom w:val="single" w:sz="8" w:space="0" w:color="auto"/>
            </w:tcBorders>
            <w:shd w:val="clear" w:color="auto" w:fill="auto"/>
          </w:tcPr>
          <w:p>
            <w:pPr>
              <w:pStyle w:val="nTable"/>
              <w:spacing w:after="40"/>
              <w:rPr>
                <w:b/>
                <w:sz w:val="19"/>
                <w:szCs w:val="19"/>
              </w:rPr>
            </w:pPr>
            <w:r>
              <w:rPr>
                <w:b/>
                <w:sz w:val="19"/>
                <w:szCs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szCs w:val="19"/>
              </w:rPr>
            </w:pPr>
            <w:r>
              <w:rPr>
                <w:b/>
                <w:sz w:val="19"/>
                <w:szCs w:val="19"/>
              </w:rPr>
              <w:t>Assent</w:t>
            </w:r>
          </w:p>
        </w:tc>
        <w:tc>
          <w:tcPr>
            <w:tcW w:w="2553" w:type="dxa"/>
            <w:tcBorders>
              <w:top w:val="single" w:sz="8" w:space="0" w:color="auto"/>
              <w:bottom w:val="single" w:sz="8" w:space="0" w:color="auto"/>
            </w:tcBorders>
            <w:shd w:val="clear" w:color="auto" w:fill="auto"/>
          </w:tcPr>
          <w:p>
            <w:pPr>
              <w:pStyle w:val="nTable"/>
              <w:spacing w:after="40"/>
              <w:rPr>
                <w:b/>
                <w:sz w:val="19"/>
                <w:szCs w:val="19"/>
              </w:rPr>
            </w:pPr>
            <w:r>
              <w:rPr>
                <w:b/>
                <w:sz w:val="19"/>
                <w:szCs w:val="19"/>
              </w:rPr>
              <w:t>Commencement</w:t>
            </w:r>
          </w:p>
        </w:tc>
      </w:tr>
      <w:tr>
        <w:trPr>
          <w:cantSplit/>
        </w:trPr>
        <w:tc>
          <w:tcPr>
            <w:tcW w:w="2268" w:type="dxa"/>
          </w:tcPr>
          <w:p>
            <w:pPr>
              <w:pStyle w:val="nTable"/>
              <w:spacing w:after="40"/>
              <w:ind w:right="113"/>
              <w:rPr>
                <w:sz w:val="19"/>
                <w:szCs w:val="19"/>
              </w:rPr>
            </w:pPr>
            <w:r>
              <w:rPr>
                <w:i/>
                <w:sz w:val="19"/>
                <w:szCs w:val="19"/>
              </w:rPr>
              <w:t>Water Services Coordination Act 1995</w:t>
            </w:r>
            <w:r>
              <w:rPr>
                <w:i/>
                <w:sz w:val="19"/>
                <w:szCs w:val="19"/>
                <w:vertAlign w:val="superscript"/>
              </w:rPr>
              <w:t xml:space="preserve"> </w:t>
            </w:r>
            <w:r>
              <w:rPr>
                <w:sz w:val="19"/>
                <w:szCs w:val="19"/>
                <w:vertAlign w:val="superscript"/>
              </w:rPr>
              <w:t>2</w:t>
            </w:r>
          </w:p>
        </w:tc>
        <w:tc>
          <w:tcPr>
            <w:tcW w:w="1133" w:type="dxa"/>
          </w:tcPr>
          <w:p>
            <w:pPr>
              <w:pStyle w:val="nTable"/>
              <w:spacing w:after="40"/>
              <w:rPr>
                <w:sz w:val="19"/>
                <w:szCs w:val="19"/>
              </w:rPr>
            </w:pPr>
            <w:r>
              <w:rPr>
                <w:sz w:val="19"/>
                <w:szCs w:val="19"/>
              </w:rPr>
              <w:t>72 of 1995</w:t>
            </w:r>
          </w:p>
        </w:tc>
        <w:tc>
          <w:tcPr>
            <w:tcW w:w="1134" w:type="dxa"/>
          </w:tcPr>
          <w:p>
            <w:pPr>
              <w:pStyle w:val="nTable"/>
              <w:spacing w:after="40"/>
              <w:rPr>
                <w:sz w:val="19"/>
                <w:szCs w:val="19"/>
              </w:rPr>
            </w:pPr>
            <w:r>
              <w:rPr>
                <w:sz w:val="19"/>
                <w:szCs w:val="19"/>
              </w:rPr>
              <w:t>27 Dec 1995</w:t>
            </w:r>
          </w:p>
        </w:tc>
        <w:tc>
          <w:tcPr>
            <w:tcW w:w="2553" w:type="dxa"/>
          </w:tcPr>
          <w:p>
            <w:pPr>
              <w:pStyle w:val="nTable"/>
              <w:spacing w:after="40"/>
              <w:rPr>
                <w:sz w:val="19"/>
                <w:szCs w:val="19"/>
              </w:rPr>
            </w:pPr>
            <w:r>
              <w:rPr>
                <w:sz w:val="19"/>
                <w:szCs w:val="19"/>
              </w:rPr>
              <w:t xml:space="preserve">1 Jan 1996 (see s. 2 and </w:t>
            </w:r>
            <w:r>
              <w:rPr>
                <w:i/>
                <w:sz w:val="19"/>
                <w:szCs w:val="19"/>
              </w:rPr>
              <w:t>Gazette</w:t>
            </w:r>
            <w:r>
              <w:rPr>
                <w:sz w:val="19"/>
                <w:szCs w:val="19"/>
              </w:rPr>
              <w:t xml:space="preserve"> 29 Dec 1995 p. 6291)</w:t>
            </w:r>
          </w:p>
        </w:tc>
      </w:tr>
      <w:tr>
        <w:trPr>
          <w:cantSplit/>
        </w:trPr>
        <w:tc>
          <w:tcPr>
            <w:tcW w:w="2268" w:type="dxa"/>
          </w:tcPr>
          <w:p>
            <w:pPr>
              <w:pStyle w:val="nTable"/>
              <w:spacing w:after="40"/>
              <w:ind w:right="113"/>
              <w:rPr>
                <w:b/>
                <w:sz w:val="19"/>
                <w:szCs w:val="19"/>
                <w:vertAlign w:val="superscript"/>
              </w:rPr>
            </w:pPr>
            <w:r>
              <w:rPr>
                <w:i/>
                <w:sz w:val="19"/>
                <w:szCs w:val="19"/>
              </w:rPr>
              <w:t>Taxes and Charges (Land Subdivision) Legislation Amendment Act 1996</w:t>
            </w:r>
            <w:r>
              <w:rPr>
                <w:sz w:val="19"/>
                <w:szCs w:val="19"/>
              </w:rPr>
              <w:t xml:space="preserve"> Pt. 5</w:t>
            </w:r>
            <w:r>
              <w:rPr>
                <w:sz w:val="19"/>
                <w:szCs w:val="19"/>
                <w:vertAlign w:val="superscript"/>
              </w:rPr>
              <w:t> 3</w:t>
            </w:r>
          </w:p>
        </w:tc>
        <w:tc>
          <w:tcPr>
            <w:tcW w:w="1133" w:type="dxa"/>
          </w:tcPr>
          <w:p>
            <w:pPr>
              <w:pStyle w:val="nTable"/>
              <w:spacing w:after="40"/>
              <w:rPr>
                <w:sz w:val="19"/>
                <w:szCs w:val="19"/>
              </w:rPr>
            </w:pPr>
            <w:r>
              <w:rPr>
                <w:sz w:val="19"/>
                <w:szCs w:val="19"/>
              </w:rPr>
              <w:t>12 of 1996</w:t>
            </w:r>
          </w:p>
        </w:tc>
        <w:tc>
          <w:tcPr>
            <w:tcW w:w="1134" w:type="dxa"/>
          </w:tcPr>
          <w:p>
            <w:pPr>
              <w:pStyle w:val="nTable"/>
              <w:spacing w:after="40"/>
              <w:rPr>
                <w:sz w:val="19"/>
                <w:szCs w:val="19"/>
              </w:rPr>
            </w:pPr>
            <w:r>
              <w:rPr>
                <w:sz w:val="19"/>
                <w:szCs w:val="19"/>
              </w:rPr>
              <w:t>28 Jun 1996</w:t>
            </w:r>
          </w:p>
        </w:tc>
        <w:tc>
          <w:tcPr>
            <w:tcW w:w="2553" w:type="dxa"/>
          </w:tcPr>
          <w:p>
            <w:pPr>
              <w:pStyle w:val="nTable"/>
              <w:spacing w:after="40"/>
              <w:rPr>
                <w:sz w:val="19"/>
                <w:szCs w:val="19"/>
              </w:rPr>
            </w:pPr>
            <w:r>
              <w:rPr>
                <w:sz w:val="19"/>
                <w:szCs w:val="19"/>
              </w:rPr>
              <w:t>28 Jun 1996 (see s. 2)</w:t>
            </w:r>
          </w:p>
        </w:tc>
      </w:tr>
      <w:tr>
        <w:trPr>
          <w:cantSplit/>
        </w:trPr>
        <w:tc>
          <w:tcPr>
            <w:tcW w:w="2268" w:type="dxa"/>
          </w:tcPr>
          <w:p>
            <w:pPr>
              <w:pStyle w:val="nTable"/>
              <w:spacing w:after="40"/>
              <w:ind w:right="113"/>
              <w:rPr>
                <w:sz w:val="19"/>
                <w:szCs w:val="19"/>
              </w:rPr>
            </w:pPr>
            <w:r>
              <w:rPr>
                <w:i/>
                <w:sz w:val="19"/>
                <w:szCs w:val="19"/>
              </w:rPr>
              <w:t xml:space="preserve">Water Legislation Amendment Act 1997 </w:t>
            </w:r>
            <w:r>
              <w:rPr>
                <w:sz w:val="19"/>
                <w:szCs w:val="19"/>
              </w:rPr>
              <w:t>Pt. 6</w:t>
            </w:r>
          </w:p>
        </w:tc>
        <w:tc>
          <w:tcPr>
            <w:tcW w:w="1133" w:type="dxa"/>
          </w:tcPr>
          <w:p>
            <w:pPr>
              <w:pStyle w:val="nTable"/>
              <w:spacing w:after="40"/>
              <w:rPr>
                <w:sz w:val="19"/>
                <w:szCs w:val="19"/>
              </w:rPr>
            </w:pPr>
            <w:r>
              <w:rPr>
                <w:sz w:val="19"/>
                <w:szCs w:val="19"/>
              </w:rPr>
              <w:t>32 of 1997</w:t>
            </w:r>
          </w:p>
        </w:tc>
        <w:tc>
          <w:tcPr>
            <w:tcW w:w="1134" w:type="dxa"/>
          </w:tcPr>
          <w:p>
            <w:pPr>
              <w:pStyle w:val="nTable"/>
              <w:spacing w:after="40"/>
              <w:rPr>
                <w:sz w:val="19"/>
                <w:szCs w:val="19"/>
              </w:rPr>
            </w:pPr>
            <w:r>
              <w:rPr>
                <w:sz w:val="19"/>
                <w:szCs w:val="19"/>
              </w:rPr>
              <w:t>3 Oct 1997</w:t>
            </w:r>
          </w:p>
        </w:tc>
        <w:tc>
          <w:tcPr>
            <w:tcW w:w="2553" w:type="dxa"/>
          </w:tcPr>
          <w:p>
            <w:pPr>
              <w:pStyle w:val="nTable"/>
              <w:spacing w:after="40"/>
              <w:rPr>
                <w:sz w:val="19"/>
                <w:szCs w:val="19"/>
              </w:rPr>
            </w:pPr>
            <w:r>
              <w:rPr>
                <w:sz w:val="19"/>
                <w:szCs w:val="19"/>
              </w:rPr>
              <w:t xml:space="preserve">15 Apr 1998 (see s. 2 and </w:t>
            </w:r>
            <w:r>
              <w:rPr>
                <w:i/>
                <w:sz w:val="19"/>
                <w:szCs w:val="19"/>
              </w:rPr>
              <w:t>Gazette</w:t>
            </w:r>
            <w:r>
              <w:rPr>
                <w:sz w:val="19"/>
                <w:szCs w:val="19"/>
              </w:rPr>
              <w:t xml:space="preserve"> 15 Apr 1998 p. 2041)</w:t>
            </w:r>
          </w:p>
        </w:tc>
      </w:tr>
      <w:tr>
        <w:trPr>
          <w:cantSplit/>
        </w:trPr>
        <w:tc>
          <w:tcPr>
            <w:tcW w:w="2268" w:type="dxa"/>
          </w:tcPr>
          <w:p>
            <w:pPr>
              <w:pStyle w:val="nTable"/>
              <w:spacing w:after="40"/>
              <w:ind w:right="113"/>
              <w:rPr>
                <w:sz w:val="19"/>
                <w:szCs w:val="19"/>
              </w:rPr>
            </w:pPr>
            <w:r>
              <w:rPr>
                <w:i/>
                <w:sz w:val="19"/>
                <w:szCs w:val="19"/>
              </w:rPr>
              <w:t>Water Services Coordination Amendment Act 1997</w:t>
            </w:r>
          </w:p>
        </w:tc>
        <w:tc>
          <w:tcPr>
            <w:tcW w:w="1133" w:type="dxa"/>
          </w:tcPr>
          <w:p>
            <w:pPr>
              <w:pStyle w:val="nTable"/>
              <w:spacing w:after="40"/>
              <w:rPr>
                <w:sz w:val="19"/>
                <w:szCs w:val="19"/>
              </w:rPr>
            </w:pPr>
            <w:r>
              <w:rPr>
                <w:sz w:val="19"/>
                <w:szCs w:val="19"/>
              </w:rPr>
              <w:t>33 of 1997</w:t>
            </w:r>
          </w:p>
        </w:tc>
        <w:tc>
          <w:tcPr>
            <w:tcW w:w="1134" w:type="dxa"/>
          </w:tcPr>
          <w:p>
            <w:pPr>
              <w:pStyle w:val="nTable"/>
              <w:spacing w:after="40"/>
              <w:rPr>
                <w:sz w:val="19"/>
                <w:szCs w:val="19"/>
              </w:rPr>
            </w:pPr>
            <w:r>
              <w:rPr>
                <w:sz w:val="19"/>
                <w:szCs w:val="19"/>
              </w:rPr>
              <w:t>3 Oct 1997</w:t>
            </w:r>
          </w:p>
        </w:tc>
        <w:tc>
          <w:tcPr>
            <w:tcW w:w="2553" w:type="dxa"/>
          </w:tcPr>
          <w:p>
            <w:pPr>
              <w:pStyle w:val="nTable"/>
              <w:spacing w:after="40"/>
              <w:rPr>
                <w:sz w:val="19"/>
                <w:szCs w:val="19"/>
              </w:rPr>
            </w:pPr>
            <w:r>
              <w:rPr>
                <w:sz w:val="19"/>
                <w:szCs w:val="19"/>
              </w:rPr>
              <w:t>3 Oct 1997 (see s. 2)</w:t>
            </w:r>
          </w:p>
        </w:tc>
      </w:tr>
      <w:tr>
        <w:trPr>
          <w:cantSplit/>
        </w:trPr>
        <w:tc>
          <w:tcPr>
            <w:tcW w:w="2268" w:type="dxa"/>
          </w:tcPr>
          <w:p>
            <w:pPr>
              <w:pStyle w:val="nTable"/>
              <w:spacing w:after="40"/>
              <w:ind w:right="113"/>
              <w:rPr>
                <w:sz w:val="19"/>
                <w:szCs w:val="19"/>
              </w:rPr>
            </w:pPr>
            <w:r>
              <w:rPr>
                <w:i/>
                <w:sz w:val="19"/>
                <w:szCs w:val="19"/>
              </w:rPr>
              <w:t>Water Services Coordination Amendment Act 1999</w:t>
            </w:r>
          </w:p>
        </w:tc>
        <w:tc>
          <w:tcPr>
            <w:tcW w:w="1133" w:type="dxa"/>
          </w:tcPr>
          <w:p>
            <w:pPr>
              <w:pStyle w:val="nTable"/>
              <w:spacing w:after="40"/>
              <w:rPr>
                <w:sz w:val="19"/>
                <w:szCs w:val="19"/>
              </w:rPr>
            </w:pPr>
            <w:r>
              <w:rPr>
                <w:sz w:val="19"/>
                <w:szCs w:val="19"/>
              </w:rPr>
              <w:t>39 of 1999</w:t>
            </w:r>
          </w:p>
        </w:tc>
        <w:tc>
          <w:tcPr>
            <w:tcW w:w="1134" w:type="dxa"/>
          </w:tcPr>
          <w:p>
            <w:pPr>
              <w:pStyle w:val="nTable"/>
              <w:spacing w:after="40"/>
              <w:rPr>
                <w:sz w:val="19"/>
                <w:szCs w:val="19"/>
              </w:rPr>
            </w:pPr>
            <w:r>
              <w:rPr>
                <w:sz w:val="19"/>
                <w:szCs w:val="19"/>
              </w:rPr>
              <w:t>9 Nov 1999</w:t>
            </w:r>
          </w:p>
        </w:tc>
        <w:tc>
          <w:tcPr>
            <w:tcW w:w="2553" w:type="dxa"/>
          </w:tcPr>
          <w:p>
            <w:pPr>
              <w:pStyle w:val="nTable"/>
              <w:spacing w:after="40"/>
              <w:rPr>
                <w:sz w:val="19"/>
                <w:szCs w:val="19"/>
              </w:rPr>
            </w:pPr>
            <w:r>
              <w:rPr>
                <w:sz w:val="19"/>
                <w:szCs w:val="19"/>
              </w:rPr>
              <w:t>s. 1 and 2: 9 Nov 1999;</w:t>
            </w:r>
            <w:r>
              <w:rPr>
                <w:sz w:val="19"/>
                <w:szCs w:val="19"/>
              </w:rPr>
              <w:br/>
              <w:t xml:space="preserve">Act other than s. 1 and 2: 19 Jun 2000 (see s. 2 and </w:t>
            </w:r>
            <w:r>
              <w:rPr>
                <w:i/>
                <w:sz w:val="19"/>
                <w:szCs w:val="19"/>
              </w:rPr>
              <w:t>Gazette</w:t>
            </w:r>
            <w:r>
              <w:rPr>
                <w:sz w:val="19"/>
                <w:szCs w:val="19"/>
              </w:rPr>
              <w:t xml:space="preserve"> 16 Jun 2000 p. 2939)</w:t>
            </w:r>
          </w:p>
        </w:tc>
      </w:tr>
      <w:tr>
        <w:trPr>
          <w:cantSplit/>
        </w:trPr>
        <w:tc>
          <w:tcPr>
            <w:tcW w:w="2268" w:type="dxa"/>
          </w:tcPr>
          <w:p>
            <w:pPr>
              <w:pStyle w:val="nTable"/>
              <w:spacing w:after="40"/>
              <w:ind w:right="113"/>
              <w:rPr>
                <w:sz w:val="19"/>
                <w:szCs w:val="19"/>
              </w:rPr>
            </w:pPr>
            <w:r>
              <w:rPr>
                <w:i/>
                <w:sz w:val="19"/>
                <w:szCs w:val="19"/>
              </w:rPr>
              <w:t>Gas Corporation (Business Disposal) Act 1999</w:t>
            </w:r>
            <w:r>
              <w:rPr>
                <w:sz w:val="19"/>
                <w:szCs w:val="19"/>
              </w:rPr>
              <w:t xml:space="preserve"> s. 87</w:t>
            </w:r>
          </w:p>
        </w:tc>
        <w:tc>
          <w:tcPr>
            <w:tcW w:w="1133" w:type="dxa"/>
          </w:tcPr>
          <w:p>
            <w:pPr>
              <w:pStyle w:val="nTable"/>
              <w:spacing w:after="40"/>
              <w:rPr>
                <w:sz w:val="19"/>
                <w:szCs w:val="19"/>
              </w:rPr>
            </w:pPr>
            <w:r>
              <w:rPr>
                <w:sz w:val="19"/>
                <w:szCs w:val="19"/>
              </w:rPr>
              <w:t>58 of 1999</w:t>
            </w:r>
          </w:p>
        </w:tc>
        <w:tc>
          <w:tcPr>
            <w:tcW w:w="1134" w:type="dxa"/>
          </w:tcPr>
          <w:p>
            <w:pPr>
              <w:pStyle w:val="nTable"/>
              <w:spacing w:after="40"/>
              <w:rPr>
                <w:sz w:val="19"/>
                <w:szCs w:val="19"/>
              </w:rPr>
            </w:pPr>
            <w:r>
              <w:rPr>
                <w:sz w:val="19"/>
                <w:szCs w:val="19"/>
              </w:rPr>
              <w:t>24 Dec 1999</w:t>
            </w:r>
          </w:p>
        </w:tc>
        <w:tc>
          <w:tcPr>
            <w:tcW w:w="2553" w:type="dxa"/>
          </w:tcPr>
          <w:p>
            <w:pPr>
              <w:pStyle w:val="nTable"/>
              <w:spacing w:after="40"/>
              <w:rPr>
                <w:sz w:val="19"/>
                <w:szCs w:val="19"/>
              </w:rPr>
            </w:pPr>
            <w:r>
              <w:rPr>
                <w:sz w:val="19"/>
                <w:szCs w:val="19"/>
              </w:rPr>
              <w:t xml:space="preserve">1 Jul 2000 (see s. 2(2) and </w:t>
            </w:r>
            <w:r>
              <w:rPr>
                <w:i/>
                <w:sz w:val="19"/>
                <w:szCs w:val="19"/>
              </w:rPr>
              <w:t>Gazette</w:t>
            </w:r>
            <w:r>
              <w:rPr>
                <w:sz w:val="19"/>
                <w:szCs w:val="19"/>
              </w:rPr>
              <w:t xml:space="preserve"> 4 Jul 2000 p. 3545)</w:t>
            </w:r>
          </w:p>
        </w:tc>
      </w:tr>
      <w:tr>
        <w:trPr>
          <w:cantSplit/>
        </w:trPr>
        <w:tc>
          <w:tcPr>
            <w:tcW w:w="7088" w:type="dxa"/>
            <w:gridSpan w:val="4"/>
          </w:tcPr>
          <w:p>
            <w:pPr>
              <w:pStyle w:val="nTable"/>
              <w:spacing w:after="40"/>
              <w:rPr>
                <w:sz w:val="19"/>
                <w:szCs w:val="19"/>
              </w:rPr>
            </w:pPr>
            <w:r>
              <w:rPr>
                <w:b/>
                <w:bCs/>
                <w:sz w:val="19"/>
                <w:szCs w:val="19"/>
              </w:rPr>
              <w:t xml:space="preserve">Reprint of the </w:t>
            </w:r>
            <w:r>
              <w:rPr>
                <w:b/>
                <w:bCs/>
                <w:i/>
                <w:sz w:val="19"/>
                <w:szCs w:val="19"/>
              </w:rPr>
              <w:t>Water Services Coordination Act 1995</w:t>
            </w:r>
            <w:r>
              <w:rPr>
                <w:b/>
                <w:bCs/>
                <w:iCs/>
                <w:sz w:val="19"/>
                <w:szCs w:val="19"/>
              </w:rPr>
              <w:t xml:space="preserve"> as at 28 Jul 2000 </w:t>
            </w:r>
            <w:r>
              <w:rPr>
                <w:iCs/>
                <w:sz w:val="19"/>
                <w:szCs w:val="19"/>
              </w:rPr>
              <w:t>(includes amendments listed above)</w:t>
            </w:r>
          </w:p>
        </w:tc>
      </w:tr>
      <w:tr>
        <w:trPr>
          <w:cantSplit/>
        </w:trPr>
        <w:tc>
          <w:tcPr>
            <w:tcW w:w="2268" w:type="dxa"/>
          </w:tcPr>
          <w:p>
            <w:pPr>
              <w:pStyle w:val="nTable"/>
              <w:spacing w:after="40"/>
              <w:ind w:right="113"/>
              <w:rPr>
                <w:i/>
                <w:sz w:val="19"/>
                <w:szCs w:val="19"/>
              </w:rPr>
            </w:pPr>
            <w:r>
              <w:rPr>
                <w:i/>
                <w:sz w:val="19"/>
                <w:szCs w:val="19"/>
              </w:rPr>
              <w:t>Corporations (Consequential Amendments) Act 2001</w:t>
            </w:r>
            <w:r>
              <w:rPr>
                <w:sz w:val="19"/>
                <w:szCs w:val="19"/>
              </w:rPr>
              <w:t xml:space="preserve"> s. 220</w:t>
            </w:r>
          </w:p>
        </w:tc>
        <w:tc>
          <w:tcPr>
            <w:tcW w:w="1133" w:type="dxa"/>
          </w:tcPr>
          <w:p>
            <w:pPr>
              <w:pStyle w:val="nTable"/>
              <w:spacing w:after="40"/>
              <w:rPr>
                <w:sz w:val="19"/>
                <w:szCs w:val="19"/>
              </w:rPr>
            </w:pPr>
            <w:r>
              <w:rPr>
                <w:sz w:val="19"/>
                <w:szCs w:val="19"/>
              </w:rPr>
              <w:t>10 of 2001</w:t>
            </w:r>
          </w:p>
        </w:tc>
        <w:tc>
          <w:tcPr>
            <w:tcW w:w="1134" w:type="dxa"/>
          </w:tcPr>
          <w:p>
            <w:pPr>
              <w:pStyle w:val="nTable"/>
              <w:spacing w:after="40"/>
              <w:rPr>
                <w:sz w:val="19"/>
                <w:szCs w:val="19"/>
              </w:rPr>
            </w:pPr>
            <w:r>
              <w:rPr>
                <w:sz w:val="19"/>
                <w:szCs w:val="19"/>
              </w:rPr>
              <w:t>28 Jun 2001</w:t>
            </w:r>
          </w:p>
        </w:tc>
        <w:tc>
          <w:tcPr>
            <w:tcW w:w="2553" w:type="dxa"/>
          </w:tcPr>
          <w:p>
            <w:pPr>
              <w:pStyle w:val="nTable"/>
              <w:spacing w:after="40"/>
              <w:rPr>
                <w:sz w:val="19"/>
                <w:szCs w:val="19"/>
              </w:rPr>
            </w:pPr>
            <w:r>
              <w:rPr>
                <w:sz w:val="19"/>
                <w:szCs w:val="19"/>
              </w:rPr>
              <w:t xml:space="preserve">15 Jul 2001 (see s. 2 and </w:t>
            </w:r>
            <w:r>
              <w:rPr>
                <w:i/>
                <w:sz w:val="19"/>
                <w:szCs w:val="19"/>
              </w:rPr>
              <w:t>Gazette</w:t>
            </w:r>
            <w:r>
              <w:rPr>
                <w:sz w:val="19"/>
                <w:szCs w:val="19"/>
              </w:rPr>
              <w:t xml:space="preserve"> 29 Jun 2001 p. 3257 and Cwlth </w:t>
            </w:r>
            <w:r>
              <w:rPr>
                <w:i/>
                <w:sz w:val="19"/>
                <w:szCs w:val="19"/>
              </w:rPr>
              <w:t>Gazette</w:t>
            </w:r>
            <w:r>
              <w:rPr>
                <w:sz w:val="19"/>
                <w:szCs w:val="19"/>
              </w:rPr>
              <w:t xml:space="preserve"> 13 Jul 2001 No. S285)</w:t>
            </w:r>
          </w:p>
        </w:tc>
      </w:tr>
      <w:tr>
        <w:trPr>
          <w:cantSplit/>
        </w:trPr>
        <w:tc>
          <w:tcPr>
            <w:tcW w:w="2268" w:type="dxa"/>
          </w:tcPr>
          <w:p>
            <w:pPr>
              <w:pStyle w:val="nTable"/>
              <w:spacing w:after="40"/>
              <w:ind w:right="113"/>
              <w:rPr>
                <w:b/>
                <w:i/>
                <w:sz w:val="19"/>
                <w:szCs w:val="19"/>
              </w:rPr>
            </w:pPr>
            <w:r>
              <w:rPr>
                <w:i/>
                <w:sz w:val="19"/>
                <w:szCs w:val="19"/>
              </w:rPr>
              <w:t>Economic Regulation Authority Act 2003</w:t>
            </w:r>
            <w:r>
              <w:rPr>
                <w:sz w:val="19"/>
                <w:szCs w:val="19"/>
              </w:rPr>
              <w:t xml:space="preserve"> Sch. 2 Div. 18</w:t>
            </w:r>
            <w:r>
              <w:rPr>
                <w:sz w:val="19"/>
                <w:szCs w:val="19"/>
                <w:vertAlign w:val="superscript"/>
              </w:rPr>
              <w:t> 4</w:t>
            </w:r>
          </w:p>
        </w:tc>
        <w:tc>
          <w:tcPr>
            <w:tcW w:w="1133" w:type="dxa"/>
          </w:tcPr>
          <w:p>
            <w:pPr>
              <w:pStyle w:val="nTable"/>
              <w:spacing w:after="40"/>
              <w:rPr>
                <w:sz w:val="19"/>
                <w:szCs w:val="19"/>
              </w:rPr>
            </w:pPr>
            <w:r>
              <w:rPr>
                <w:sz w:val="19"/>
                <w:szCs w:val="19"/>
              </w:rPr>
              <w:t>67 of 2003</w:t>
            </w:r>
          </w:p>
        </w:tc>
        <w:tc>
          <w:tcPr>
            <w:tcW w:w="1134" w:type="dxa"/>
          </w:tcPr>
          <w:p>
            <w:pPr>
              <w:pStyle w:val="nTable"/>
              <w:spacing w:after="40"/>
              <w:rPr>
                <w:sz w:val="19"/>
                <w:szCs w:val="19"/>
              </w:rPr>
            </w:pPr>
            <w:r>
              <w:rPr>
                <w:sz w:val="19"/>
                <w:szCs w:val="19"/>
              </w:rPr>
              <w:t>5 Dec 2003</w:t>
            </w:r>
          </w:p>
        </w:tc>
        <w:tc>
          <w:tcPr>
            <w:tcW w:w="2553" w:type="dxa"/>
          </w:tcPr>
          <w:p>
            <w:pPr>
              <w:pStyle w:val="nTable"/>
              <w:spacing w:after="40"/>
              <w:rPr>
                <w:sz w:val="19"/>
                <w:szCs w:val="19"/>
              </w:rPr>
            </w:pPr>
            <w:r>
              <w:rPr>
                <w:sz w:val="19"/>
                <w:szCs w:val="19"/>
              </w:rPr>
              <w:t xml:space="preserve">1 Jan 2004 (see s. 2 and </w:t>
            </w:r>
            <w:r>
              <w:rPr>
                <w:i/>
                <w:sz w:val="19"/>
                <w:szCs w:val="19"/>
              </w:rPr>
              <w:t>Gazette</w:t>
            </w:r>
            <w:r>
              <w:rPr>
                <w:sz w:val="19"/>
                <w:szCs w:val="19"/>
              </w:rPr>
              <w:t xml:space="preserve"> 30 Dec 2003 p. 5723)</w:t>
            </w:r>
          </w:p>
        </w:tc>
      </w:tr>
      <w:tr>
        <w:trPr>
          <w:cantSplit/>
        </w:trPr>
        <w:tc>
          <w:tcPr>
            <w:tcW w:w="2268" w:type="dxa"/>
          </w:tcPr>
          <w:p>
            <w:pPr>
              <w:pStyle w:val="nTable"/>
              <w:spacing w:after="40"/>
              <w:ind w:right="113"/>
              <w:rPr>
                <w:sz w:val="19"/>
                <w:szCs w:val="19"/>
              </w:rPr>
            </w:pPr>
            <w:r>
              <w:rPr>
                <w:i/>
                <w:sz w:val="19"/>
                <w:szCs w:val="19"/>
              </w:rPr>
              <w:t>Statutes (Repeals and Minor Amendments) Act 2003</w:t>
            </w:r>
            <w:r>
              <w:rPr>
                <w:sz w:val="19"/>
                <w:szCs w:val="19"/>
              </w:rPr>
              <w:t xml:space="preserve"> s. 128</w:t>
            </w:r>
          </w:p>
        </w:tc>
        <w:tc>
          <w:tcPr>
            <w:tcW w:w="1133" w:type="dxa"/>
          </w:tcPr>
          <w:p>
            <w:pPr>
              <w:pStyle w:val="nTable"/>
              <w:spacing w:after="40"/>
              <w:rPr>
                <w:sz w:val="19"/>
                <w:szCs w:val="19"/>
              </w:rPr>
            </w:pPr>
            <w:r>
              <w:rPr>
                <w:sz w:val="19"/>
                <w:szCs w:val="19"/>
              </w:rPr>
              <w:t>74 of 2003</w:t>
            </w:r>
          </w:p>
        </w:tc>
        <w:tc>
          <w:tcPr>
            <w:tcW w:w="1134" w:type="dxa"/>
          </w:tcPr>
          <w:p>
            <w:pPr>
              <w:pStyle w:val="nTable"/>
              <w:spacing w:after="40"/>
              <w:rPr>
                <w:sz w:val="19"/>
                <w:szCs w:val="19"/>
              </w:rPr>
            </w:pPr>
            <w:r>
              <w:rPr>
                <w:sz w:val="19"/>
                <w:szCs w:val="19"/>
              </w:rPr>
              <w:t>15 Dec 2003</w:t>
            </w:r>
          </w:p>
        </w:tc>
        <w:tc>
          <w:tcPr>
            <w:tcW w:w="2553" w:type="dxa"/>
          </w:tcPr>
          <w:p>
            <w:pPr>
              <w:pStyle w:val="nTable"/>
              <w:spacing w:after="40"/>
              <w:rPr>
                <w:sz w:val="19"/>
                <w:szCs w:val="19"/>
              </w:rPr>
            </w:pPr>
            <w:r>
              <w:rPr>
                <w:sz w:val="19"/>
                <w:szCs w:val="19"/>
              </w:rPr>
              <w:t>15 Dec 2003 (see s. 2)</w:t>
            </w:r>
          </w:p>
        </w:tc>
      </w:tr>
      <w:tr>
        <w:trPr>
          <w:cantSplit/>
        </w:trPr>
        <w:tc>
          <w:tcPr>
            <w:tcW w:w="2268" w:type="dxa"/>
          </w:tcPr>
          <w:p>
            <w:pPr>
              <w:pStyle w:val="nTable"/>
              <w:spacing w:after="40"/>
              <w:ind w:right="113"/>
              <w:rPr>
                <w:b/>
                <w:i/>
                <w:sz w:val="19"/>
                <w:szCs w:val="19"/>
              </w:rPr>
            </w:pPr>
            <w:r>
              <w:rPr>
                <w:i/>
                <w:sz w:val="19"/>
                <w:szCs w:val="19"/>
              </w:rPr>
              <w:t>State Administrative Tribunal (Conferral of Jurisdiction) Amendment and Repeal Act 2004</w:t>
            </w:r>
            <w:r>
              <w:rPr>
                <w:i/>
                <w:iCs/>
                <w:sz w:val="19"/>
                <w:szCs w:val="19"/>
              </w:rPr>
              <w:t xml:space="preserve"> </w:t>
            </w:r>
            <w:r>
              <w:rPr>
                <w:sz w:val="19"/>
                <w:szCs w:val="19"/>
              </w:rPr>
              <w:t>Pt. 2 Div. 133</w:t>
            </w:r>
            <w:r>
              <w:rPr>
                <w:sz w:val="19"/>
                <w:szCs w:val="19"/>
                <w:vertAlign w:val="superscript"/>
              </w:rPr>
              <w:t> 5, 6</w:t>
            </w:r>
          </w:p>
        </w:tc>
        <w:tc>
          <w:tcPr>
            <w:tcW w:w="1133" w:type="dxa"/>
          </w:tcPr>
          <w:p>
            <w:pPr>
              <w:pStyle w:val="nTable"/>
              <w:spacing w:after="40"/>
              <w:rPr>
                <w:sz w:val="19"/>
                <w:szCs w:val="19"/>
              </w:rPr>
            </w:pPr>
            <w:r>
              <w:rPr>
                <w:sz w:val="19"/>
                <w:szCs w:val="19"/>
              </w:rPr>
              <w:t>55 of 2004</w:t>
            </w:r>
          </w:p>
        </w:tc>
        <w:tc>
          <w:tcPr>
            <w:tcW w:w="1134" w:type="dxa"/>
          </w:tcPr>
          <w:p>
            <w:pPr>
              <w:pStyle w:val="nTable"/>
              <w:spacing w:after="40"/>
              <w:rPr>
                <w:sz w:val="19"/>
                <w:szCs w:val="19"/>
              </w:rPr>
            </w:pPr>
            <w:r>
              <w:rPr>
                <w:sz w:val="19"/>
                <w:szCs w:val="19"/>
              </w:rPr>
              <w:t>24 Nov 2004</w:t>
            </w:r>
          </w:p>
        </w:tc>
        <w:tc>
          <w:tcPr>
            <w:tcW w:w="2553" w:type="dxa"/>
          </w:tcPr>
          <w:p>
            <w:pPr>
              <w:pStyle w:val="nTable"/>
              <w:spacing w:after="40"/>
              <w:rPr>
                <w:sz w:val="19"/>
                <w:szCs w:val="19"/>
              </w:rPr>
            </w:pPr>
            <w:r>
              <w:rPr>
                <w:sz w:val="19"/>
                <w:szCs w:val="19"/>
              </w:rPr>
              <w:t xml:space="preserve">1 Jan 2005 (see s. 2 and </w:t>
            </w:r>
            <w:r>
              <w:rPr>
                <w:i/>
                <w:iCs/>
                <w:sz w:val="19"/>
                <w:szCs w:val="19"/>
              </w:rPr>
              <w:t>Gazette</w:t>
            </w:r>
            <w:r>
              <w:rPr>
                <w:sz w:val="19"/>
                <w:szCs w:val="19"/>
              </w:rPr>
              <w:t xml:space="preserve"> 31 Dec 2004 p. 7130)</w:t>
            </w:r>
          </w:p>
        </w:tc>
      </w:tr>
      <w:tr>
        <w:trPr>
          <w:cantSplit/>
        </w:trPr>
        <w:tc>
          <w:tcPr>
            <w:tcW w:w="2268" w:type="dxa"/>
          </w:tcPr>
          <w:p>
            <w:pPr>
              <w:pStyle w:val="nTable"/>
              <w:spacing w:after="40"/>
              <w:ind w:right="113"/>
              <w:rPr>
                <w:i/>
                <w:sz w:val="19"/>
                <w:szCs w:val="19"/>
              </w:rPr>
            </w:pPr>
            <w:r>
              <w:rPr>
                <w:i/>
                <w:iCs/>
                <w:snapToGrid w:val="0"/>
                <w:sz w:val="19"/>
                <w:szCs w:val="19"/>
              </w:rPr>
              <w:t>Financial Administration Legislation Amendment Act 2005</w:t>
            </w:r>
            <w:r>
              <w:rPr>
                <w:snapToGrid w:val="0"/>
                <w:sz w:val="19"/>
                <w:szCs w:val="19"/>
              </w:rPr>
              <w:t xml:space="preserve"> s. 46</w:t>
            </w:r>
          </w:p>
        </w:tc>
        <w:tc>
          <w:tcPr>
            <w:tcW w:w="1133" w:type="dxa"/>
          </w:tcPr>
          <w:p>
            <w:pPr>
              <w:pStyle w:val="nTable"/>
              <w:spacing w:after="40"/>
              <w:rPr>
                <w:sz w:val="19"/>
                <w:szCs w:val="19"/>
              </w:rPr>
            </w:pPr>
            <w:r>
              <w:rPr>
                <w:snapToGrid w:val="0"/>
                <w:sz w:val="19"/>
                <w:szCs w:val="19"/>
              </w:rPr>
              <w:t>5 of 2005</w:t>
            </w:r>
          </w:p>
        </w:tc>
        <w:tc>
          <w:tcPr>
            <w:tcW w:w="1134" w:type="dxa"/>
          </w:tcPr>
          <w:p>
            <w:pPr>
              <w:pStyle w:val="nTable"/>
              <w:spacing w:after="40"/>
              <w:rPr>
                <w:sz w:val="19"/>
                <w:szCs w:val="19"/>
              </w:rPr>
            </w:pPr>
            <w:r>
              <w:rPr>
                <w:sz w:val="19"/>
                <w:szCs w:val="19"/>
              </w:rPr>
              <w:t>27 Jun 2005</w:t>
            </w:r>
          </w:p>
        </w:tc>
        <w:tc>
          <w:tcPr>
            <w:tcW w:w="2553" w:type="dxa"/>
          </w:tcPr>
          <w:p>
            <w:pPr>
              <w:pStyle w:val="nTable"/>
              <w:spacing w:after="40"/>
              <w:rPr>
                <w:sz w:val="19"/>
                <w:szCs w:val="19"/>
              </w:rPr>
            </w:pPr>
            <w:r>
              <w:rPr>
                <w:snapToGrid w:val="0"/>
                <w:sz w:val="19"/>
                <w:szCs w:val="19"/>
              </w:rPr>
              <w:t xml:space="preserve">1 Jan 2006 (see s. 2 and </w:t>
            </w:r>
            <w:r>
              <w:rPr>
                <w:i/>
                <w:iCs/>
                <w:snapToGrid w:val="0"/>
                <w:sz w:val="19"/>
                <w:szCs w:val="19"/>
              </w:rPr>
              <w:t xml:space="preserve">Gazette </w:t>
            </w:r>
            <w:r>
              <w:rPr>
                <w:snapToGrid w:val="0"/>
                <w:sz w:val="19"/>
                <w:szCs w:val="19"/>
              </w:rPr>
              <w:t>23 Dec 2005 p. 6243)</w:t>
            </w:r>
          </w:p>
        </w:tc>
      </w:tr>
      <w:tr>
        <w:trPr>
          <w:cantSplit/>
        </w:trPr>
        <w:tc>
          <w:tcPr>
            <w:tcW w:w="2268" w:type="dxa"/>
          </w:tcPr>
          <w:p>
            <w:pPr>
              <w:pStyle w:val="nTable"/>
              <w:spacing w:after="40"/>
              <w:ind w:right="113"/>
              <w:rPr>
                <w:i/>
                <w:iCs/>
                <w:snapToGrid w:val="0"/>
                <w:sz w:val="19"/>
                <w:szCs w:val="19"/>
              </w:rPr>
            </w:pPr>
            <w:r>
              <w:rPr>
                <w:i/>
                <w:iCs/>
                <w:snapToGrid w:val="0"/>
                <w:sz w:val="19"/>
                <w:szCs w:val="19"/>
              </w:rPr>
              <w:t>Water Legislation Amendment (Competition Policy) Act 2005</w:t>
            </w:r>
            <w:r>
              <w:rPr>
                <w:snapToGrid w:val="0"/>
                <w:sz w:val="19"/>
                <w:szCs w:val="19"/>
              </w:rPr>
              <w:t xml:space="preserve"> s. 7(4), 28(2), 60(2) and Pt. 8</w:t>
            </w:r>
          </w:p>
        </w:tc>
        <w:tc>
          <w:tcPr>
            <w:tcW w:w="1133" w:type="dxa"/>
          </w:tcPr>
          <w:p>
            <w:pPr>
              <w:pStyle w:val="nTable"/>
              <w:spacing w:after="40"/>
              <w:rPr>
                <w:snapToGrid w:val="0"/>
                <w:sz w:val="19"/>
                <w:szCs w:val="19"/>
              </w:rPr>
            </w:pPr>
            <w:r>
              <w:rPr>
                <w:snapToGrid w:val="0"/>
                <w:sz w:val="19"/>
                <w:szCs w:val="19"/>
              </w:rPr>
              <w:t>25 of 2005</w:t>
            </w:r>
          </w:p>
        </w:tc>
        <w:tc>
          <w:tcPr>
            <w:tcW w:w="1134" w:type="dxa"/>
          </w:tcPr>
          <w:p>
            <w:pPr>
              <w:pStyle w:val="nTable"/>
              <w:spacing w:after="40"/>
              <w:rPr>
                <w:sz w:val="19"/>
                <w:szCs w:val="19"/>
              </w:rPr>
            </w:pPr>
            <w:r>
              <w:rPr>
                <w:sz w:val="19"/>
                <w:szCs w:val="19"/>
              </w:rPr>
              <w:t>12 Dec 2005</w:t>
            </w:r>
          </w:p>
        </w:tc>
        <w:tc>
          <w:tcPr>
            <w:tcW w:w="2553" w:type="dxa"/>
          </w:tcPr>
          <w:p>
            <w:pPr>
              <w:pStyle w:val="nTable"/>
              <w:spacing w:after="40"/>
              <w:rPr>
                <w:snapToGrid w:val="0"/>
                <w:sz w:val="19"/>
                <w:szCs w:val="19"/>
              </w:rPr>
            </w:pPr>
            <w:r>
              <w:rPr>
                <w:snapToGrid w:val="0"/>
                <w:sz w:val="19"/>
                <w:szCs w:val="19"/>
              </w:rPr>
              <w:t xml:space="preserve">3 Jun 2006 (see s. 2 and </w:t>
            </w:r>
            <w:r>
              <w:rPr>
                <w:i/>
                <w:iCs/>
                <w:snapToGrid w:val="0"/>
                <w:sz w:val="19"/>
                <w:szCs w:val="19"/>
              </w:rPr>
              <w:t>Gazette</w:t>
            </w:r>
            <w:r>
              <w:rPr>
                <w:snapToGrid w:val="0"/>
                <w:sz w:val="19"/>
                <w:szCs w:val="19"/>
              </w:rPr>
              <w:t xml:space="preserve"> 2 Jun 2006 p. 1985)</w:t>
            </w:r>
          </w:p>
        </w:tc>
      </w:tr>
      <w:tr>
        <w:trPr>
          <w:cantSplit/>
        </w:trPr>
        <w:tc>
          <w:tcPr>
            <w:tcW w:w="2268" w:type="dxa"/>
          </w:tcPr>
          <w:p>
            <w:pPr>
              <w:pStyle w:val="nTable"/>
              <w:spacing w:after="40"/>
              <w:ind w:right="113"/>
              <w:rPr>
                <w:i/>
                <w:iCs/>
                <w:snapToGrid w:val="0"/>
                <w:sz w:val="19"/>
                <w:szCs w:val="19"/>
              </w:rPr>
            </w:pPr>
            <w:r>
              <w:rPr>
                <w:i/>
                <w:iCs/>
                <w:snapToGrid w:val="0"/>
                <w:sz w:val="19"/>
                <w:szCs w:val="19"/>
              </w:rPr>
              <w:t>Planning and Development (Consequential and Transitional Provisions) Act 2005</w:t>
            </w:r>
            <w:r>
              <w:rPr>
                <w:snapToGrid w:val="0"/>
                <w:sz w:val="19"/>
                <w:szCs w:val="19"/>
              </w:rPr>
              <w:t xml:space="preserve"> s. 15</w:t>
            </w:r>
          </w:p>
        </w:tc>
        <w:tc>
          <w:tcPr>
            <w:tcW w:w="1133" w:type="dxa"/>
          </w:tcPr>
          <w:p>
            <w:pPr>
              <w:pStyle w:val="nTable"/>
              <w:spacing w:after="40"/>
              <w:rPr>
                <w:snapToGrid w:val="0"/>
                <w:sz w:val="19"/>
                <w:szCs w:val="19"/>
              </w:rPr>
            </w:pPr>
            <w:r>
              <w:rPr>
                <w:snapToGrid w:val="0"/>
                <w:sz w:val="19"/>
                <w:szCs w:val="19"/>
              </w:rPr>
              <w:t>38 of 2005</w:t>
            </w:r>
          </w:p>
        </w:tc>
        <w:tc>
          <w:tcPr>
            <w:tcW w:w="1134" w:type="dxa"/>
          </w:tcPr>
          <w:p>
            <w:pPr>
              <w:pStyle w:val="nTable"/>
              <w:spacing w:after="40"/>
              <w:rPr>
                <w:sz w:val="19"/>
                <w:szCs w:val="19"/>
              </w:rPr>
            </w:pPr>
            <w:r>
              <w:rPr>
                <w:sz w:val="19"/>
                <w:szCs w:val="19"/>
              </w:rPr>
              <w:t>12 Dec 2005</w:t>
            </w:r>
          </w:p>
        </w:tc>
        <w:tc>
          <w:tcPr>
            <w:tcW w:w="2553" w:type="dxa"/>
          </w:tcPr>
          <w:p>
            <w:pPr>
              <w:pStyle w:val="nTable"/>
              <w:spacing w:after="40"/>
              <w:rPr>
                <w:snapToGrid w:val="0"/>
                <w:sz w:val="19"/>
                <w:szCs w:val="19"/>
              </w:rPr>
            </w:pPr>
            <w:r>
              <w:rPr>
                <w:snapToGrid w:val="0"/>
                <w:sz w:val="19"/>
                <w:szCs w:val="19"/>
              </w:rPr>
              <w:t xml:space="preserve">9 Apr 2006 (see s. 2 and </w:t>
            </w:r>
            <w:r>
              <w:rPr>
                <w:i/>
                <w:iCs/>
                <w:snapToGrid w:val="0"/>
                <w:sz w:val="19"/>
                <w:szCs w:val="19"/>
              </w:rPr>
              <w:t>Gazette</w:t>
            </w:r>
            <w:r>
              <w:rPr>
                <w:snapToGrid w:val="0"/>
                <w:sz w:val="19"/>
                <w:szCs w:val="19"/>
              </w:rPr>
              <w:t xml:space="preserve"> 21 Mar 2006 p. 1078)</w:t>
            </w:r>
          </w:p>
        </w:tc>
      </w:tr>
      <w:tr>
        <w:trPr>
          <w:cantSplit/>
        </w:trPr>
        <w:tc>
          <w:tcPr>
            <w:tcW w:w="7088" w:type="dxa"/>
            <w:gridSpan w:val="4"/>
          </w:tcPr>
          <w:p>
            <w:pPr>
              <w:pStyle w:val="nTable"/>
              <w:spacing w:after="40"/>
              <w:rPr>
                <w:snapToGrid w:val="0"/>
                <w:sz w:val="19"/>
                <w:szCs w:val="19"/>
              </w:rPr>
            </w:pPr>
            <w:r>
              <w:rPr>
                <w:b/>
                <w:bCs/>
                <w:sz w:val="19"/>
                <w:szCs w:val="19"/>
              </w:rPr>
              <w:t xml:space="preserve">Reprint 2: The </w:t>
            </w:r>
            <w:r>
              <w:rPr>
                <w:b/>
                <w:bCs/>
                <w:i/>
                <w:sz w:val="19"/>
                <w:szCs w:val="19"/>
              </w:rPr>
              <w:t>Water Services Licensing Act 1995</w:t>
            </w:r>
            <w:r>
              <w:rPr>
                <w:b/>
                <w:bCs/>
                <w:iCs/>
                <w:sz w:val="19"/>
                <w:szCs w:val="19"/>
              </w:rPr>
              <w:t xml:space="preserve"> as at 4 Aug 2006 </w:t>
            </w:r>
            <w:r>
              <w:rPr>
                <w:iCs/>
                <w:sz w:val="19"/>
                <w:szCs w:val="19"/>
              </w:rPr>
              <w:t>(includes amendments listed above)</w:t>
            </w:r>
          </w:p>
        </w:tc>
      </w:tr>
      <w:tr>
        <w:trPr>
          <w:cantSplit/>
        </w:trPr>
        <w:tc>
          <w:tcPr>
            <w:tcW w:w="2268" w:type="dxa"/>
          </w:tcPr>
          <w:p>
            <w:pPr>
              <w:pStyle w:val="nTable"/>
              <w:spacing w:after="40"/>
              <w:ind w:right="113"/>
              <w:rPr>
                <w:i/>
                <w:iCs/>
                <w:snapToGrid w:val="0"/>
                <w:sz w:val="19"/>
                <w:szCs w:val="19"/>
              </w:rPr>
            </w:pPr>
            <w:r>
              <w:rPr>
                <w:i/>
                <w:iCs/>
                <w:snapToGrid w:val="0"/>
                <w:sz w:val="19"/>
                <w:szCs w:val="19"/>
              </w:rPr>
              <w:t>Financial Legislation Amendment and Repeal Act 2006</w:t>
            </w:r>
            <w:r>
              <w:rPr>
                <w:snapToGrid w:val="0"/>
                <w:sz w:val="19"/>
                <w:szCs w:val="19"/>
              </w:rPr>
              <w:t xml:space="preserve"> Sch. 1 cl. 178</w:t>
            </w:r>
          </w:p>
        </w:tc>
        <w:tc>
          <w:tcPr>
            <w:tcW w:w="1133" w:type="dxa"/>
          </w:tcPr>
          <w:p>
            <w:pPr>
              <w:pStyle w:val="nTable"/>
              <w:spacing w:after="40"/>
              <w:rPr>
                <w:snapToGrid w:val="0"/>
                <w:sz w:val="19"/>
                <w:szCs w:val="19"/>
              </w:rPr>
            </w:pPr>
            <w:r>
              <w:rPr>
                <w:snapToGrid w:val="0"/>
                <w:sz w:val="19"/>
                <w:szCs w:val="19"/>
              </w:rPr>
              <w:t>77 of 2006</w:t>
            </w:r>
          </w:p>
        </w:tc>
        <w:tc>
          <w:tcPr>
            <w:tcW w:w="1134" w:type="dxa"/>
          </w:tcPr>
          <w:p>
            <w:pPr>
              <w:pStyle w:val="nTable"/>
              <w:spacing w:after="40"/>
              <w:rPr>
                <w:sz w:val="19"/>
                <w:szCs w:val="19"/>
              </w:rPr>
            </w:pPr>
            <w:r>
              <w:rPr>
                <w:sz w:val="19"/>
                <w:szCs w:val="19"/>
              </w:rPr>
              <w:t>21 Dec 2006</w:t>
            </w:r>
          </w:p>
        </w:tc>
        <w:tc>
          <w:tcPr>
            <w:tcW w:w="2553" w:type="dxa"/>
          </w:tcPr>
          <w:p>
            <w:pPr>
              <w:pStyle w:val="nTable"/>
              <w:spacing w:after="40"/>
              <w:rPr>
                <w:snapToGrid w:val="0"/>
                <w:sz w:val="19"/>
                <w:szCs w:val="19"/>
              </w:rPr>
            </w:pPr>
            <w:r>
              <w:rPr>
                <w:snapToGrid w:val="0"/>
                <w:sz w:val="19"/>
                <w:szCs w:val="19"/>
              </w:rPr>
              <w:t xml:space="preserve">1 Feb 2007 (see s. 2(1) and </w:t>
            </w:r>
            <w:r>
              <w:rPr>
                <w:i/>
                <w:iCs/>
                <w:snapToGrid w:val="0"/>
                <w:sz w:val="19"/>
                <w:szCs w:val="19"/>
              </w:rPr>
              <w:t>Gazette</w:t>
            </w:r>
            <w:r>
              <w:rPr>
                <w:snapToGrid w:val="0"/>
                <w:sz w:val="19"/>
                <w:szCs w:val="19"/>
              </w:rPr>
              <w:t xml:space="preserve"> 19 Jan 2007 p. 137)</w:t>
            </w:r>
          </w:p>
        </w:tc>
      </w:tr>
      <w:tr>
        <w:trPr>
          <w:cantSplit/>
        </w:trPr>
        <w:tc>
          <w:tcPr>
            <w:tcW w:w="2268" w:type="dxa"/>
          </w:tcPr>
          <w:p>
            <w:pPr>
              <w:pStyle w:val="nTable"/>
              <w:spacing w:after="40"/>
              <w:rPr>
                <w:iCs/>
                <w:sz w:val="19"/>
                <w:szCs w:val="19"/>
                <w:vertAlign w:val="superscript"/>
              </w:rPr>
            </w:pPr>
            <w:r>
              <w:rPr>
                <w:i/>
                <w:sz w:val="19"/>
                <w:szCs w:val="19"/>
              </w:rPr>
              <w:t>Duties Legislation Amendment Act 2008</w:t>
            </w:r>
            <w:r>
              <w:rPr>
                <w:iCs/>
                <w:sz w:val="19"/>
                <w:szCs w:val="19"/>
              </w:rPr>
              <w:t xml:space="preserve"> Sch. 1 cl. 40</w:t>
            </w:r>
          </w:p>
        </w:tc>
        <w:tc>
          <w:tcPr>
            <w:tcW w:w="1133" w:type="dxa"/>
          </w:tcPr>
          <w:p>
            <w:pPr>
              <w:pStyle w:val="nTable"/>
              <w:spacing w:after="40"/>
              <w:rPr>
                <w:sz w:val="19"/>
                <w:szCs w:val="19"/>
              </w:rPr>
            </w:pPr>
            <w:r>
              <w:rPr>
                <w:sz w:val="19"/>
                <w:szCs w:val="19"/>
              </w:rPr>
              <w:t>12 of 2008</w:t>
            </w:r>
          </w:p>
        </w:tc>
        <w:tc>
          <w:tcPr>
            <w:tcW w:w="1134" w:type="dxa"/>
          </w:tcPr>
          <w:p>
            <w:pPr>
              <w:pStyle w:val="nTable"/>
              <w:spacing w:after="40"/>
              <w:rPr>
                <w:sz w:val="19"/>
                <w:szCs w:val="19"/>
              </w:rPr>
            </w:pPr>
            <w:r>
              <w:rPr>
                <w:sz w:val="19"/>
                <w:szCs w:val="19"/>
              </w:rPr>
              <w:t>14 Apr 2008</w:t>
            </w:r>
          </w:p>
        </w:tc>
        <w:tc>
          <w:tcPr>
            <w:tcW w:w="2553" w:type="dxa"/>
          </w:tcPr>
          <w:p>
            <w:pPr>
              <w:pStyle w:val="nTable"/>
              <w:spacing w:after="40"/>
              <w:rPr>
                <w:sz w:val="19"/>
                <w:szCs w:val="19"/>
              </w:rPr>
            </w:pPr>
            <w:r>
              <w:rPr>
                <w:sz w:val="19"/>
                <w:szCs w:val="19"/>
              </w:rPr>
              <w:t>1 Jul 2008 (see s. 2(d))</w:t>
            </w:r>
          </w:p>
        </w:tc>
      </w:tr>
      <w:tr>
        <w:trPr>
          <w:cantSplit/>
        </w:trPr>
        <w:tc>
          <w:tcPr>
            <w:tcW w:w="2268" w:type="dxa"/>
          </w:tcPr>
          <w:p>
            <w:pPr>
              <w:pStyle w:val="nTable"/>
              <w:spacing w:after="40"/>
              <w:ind w:right="113"/>
              <w:rPr>
                <w:iCs/>
                <w:sz w:val="19"/>
                <w:szCs w:val="19"/>
              </w:rPr>
            </w:pPr>
            <w:r>
              <w:rPr>
                <w:i/>
                <w:sz w:val="19"/>
                <w:szCs w:val="19"/>
              </w:rPr>
              <w:t>Statutes (Repeals and Miscellaneous Amendments) Act 2009</w:t>
            </w:r>
            <w:r>
              <w:rPr>
                <w:iCs/>
                <w:sz w:val="19"/>
                <w:szCs w:val="19"/>
              </w:rPr>
              <w:t xml:space="preserve"> s. 133</w:t>
            </w:r>
          </w:p>
        </w:tc>
        <w:tc>
          <w:tcPr>
            <w:tcW w:w="1133" w:type="dxa"/>
          </w:tcPr>
          <w:p>
            <w:pPr>
              <w:pStyle w:val="nTable"/>
              <w:spacing w:after="40"/>
              <w:rPr>
                <w:sz w:val="19"/>
                <w:szCs w:val="19"/>
              </w:rPr>
            </w:pPr>
            <w:r>
              <w:rPr>
                <w:sz w:val="19"/>
                <w:szCs w:val="19"/>
              </w:rPr>
              <w:t xml:space="preserve">8 of 2009 </w:t>
            </w:r>
          </w:p>
        </w:tc>
        <w:tc>
          <w:tcPr>
            <w:tcW w:w="1134" w:type="dxa"/>
          </w:tcPr>
          <w:p>
            <w:pPr>
              <w:pStyle w:val="nTable"/>
              <w:spacing w:after="40"/>
              <w:rPr>
                <w:sz w:val="19"/>
                <w:szCs w:val="19"/>
              </w:rPr>
            </w:pPr>
            <w:r>
              <w:rPr>
                <w:sz w:val="19"/>
                <w:szCs w:val="19"/>
              </w:rPr>
              <w:t>21 May 2009</w:t>
            </w:r>
          </w:p>
        </w:tc>
        <w:tc>
          <w:tcPr>
            <w:tcW w:w="2553" w:type="dxa"/>
          </w:tcPr>
          <w:p>
            <w:pPr>
              <w:pStyle w:val="nTable"/>
              <w:spacing w:after="40"/>
              <w:rPr>
                <w:sz w:val="19"/>
                <w:szCs w:val="19"/>
              </w:rPr>
            </w:pPr>
            <w:r>
              <w:rPr>
                <w:sz w:val="19"/>
                <w:szCs w:val="19"/>
              </w:rPr>
              <w:t>22 May 2009 (see s. 2(b))</w:t>
            </w:r>
          </w:p>
        </w:tc>
      </w:tr>
      <w:tr>
        <w:trPr>
          <w:cantSplit/>
        </w:trPr>
        <w:tc>
          <w:tcPr>
            <w:tcW w:w="2268" w:type="dxa"/>
          </w:tcPr>
          <w:p>
            <w:pPr>
              <w:pStyle w:val="nTable"/>
              <w:spacing w:after="40"/>
              <w:ind w:right="113"/>
              <w:rPr>
                <w:iCs/>
                <w:snapToGrid w:val="0"/>
                <w:sz w:val="19"/>
                <w:szCs w:val="19"/>
              </w:rPr>
            </w:pPr>
            <w:r>
              <w:rPr>
                <w:i/>
                <w:snapToGrid w:val="0"/>
                <w:sz w:val="19"/>
                <w:szCs w:val="19"/>
              </w:rPr>
              <w:t>Standardisation of Formatting Act 2010</w:t>
            </w:r>
            <w:r>
              <w:rPr>
                <w:iCs/>
                <w:snapToGrid w:val="0"/>
                <w:sz w:val="19"/>
                <w:szCs w:val="19"/>
              </w:rPr>
              <w:t xml:space="preserve"> s. 4</w:t>
            </w:r>
          </w:p>
        </w:tc>
        <w:tc>
          <w:tcPr>
            <w:tcW w:w="1133" w:type="dxa"/>
          </w:tcPr>
          <w:p>
            <w:pPr>
              <w:pStyle w:val="nTable"/>
              <w:spacing w:after="40"/>
              <w:rPr>
                <w:snapToGrid w:val="0"/>
                <w:sz w:val="19"/>
                <w:szCs w:val="19"/>
              </w:rPr>
            </w:pPr>
            <w:r>
              <w:rPr>
                <w:snapToGrid w:val="0"/>
                <w:sz w:val="19"/>
                <w:szCs w:val="19"/>
              </w:rPr>
              <w:t>19 of 2010</w:t>
            </w:r>
          </w:p>
        </w:tc>
        <w:tc>
          <w:tcPr>
            <w:tcW w:w="1134" w:type="dxa"/>
          </w:tcPr>
          <w:p>
            <w:pPr>
              <w:pStyle w:val="nTable"/>
              <w:spacing w:after="40"/>
              <w:rPr>
                <w:snapToGrid w:val="0"/>
                <w:sz w:val="19"/>
                <w:szCs w:val="19"/>
              </w:rPr>
            </w:pPr>
            <w:r>
              <w:rPr>
                <w:snapToGrid w:val="0"/>
                <w:sz w:val="19"/>
                <w:szCs w:val="19"/>
              </w:rPr>
              <w:t>28 Jun 2010</w:t>
            </w:r>
          </w:p>
        </w:tc>
        <w:tc>
          <w:tcPr>
            <w:tcW w:w="2553" w:type="dxa"/>
          </w:tcPr>
          <w:p>
            <w:pPr>
              <w:pStyle w:val="nTable"/>
              <w:spacing w:after="40"/>
              <w:rPr>
                <w:snapToGrid w:val="0"/>
                <w:sz w:val="19"/>
                <w:szCs w:val="19"/>
              </w:rPr>
            </w:pPr>
            <w:r>
              <w:rPr>
                <w:snapToGrid w:val="0"/>
                <w:sz w:val="19"/>
                <w:szCs w:val="19"/>
              </w:rPr>
              <w:t xml:space="preserve">11 Sep 2010 (see s. 2(b) and </w:t>
            </w:r>
            <w:r>
              <w:rPr>
                <w:i/>
                <w:iCs/>
                <w:snapToGrid w:val="0"/>
                <w:sz w:val="19"/>
                <w:szCs w:val="19"/>
              </w:rPr>
              <w:t>Gazette</w:t>
            </w:r>
            <w:r>
              <w:rPr>
                <w:snapToGrid w:val="0"/>
                <w:sz w:val="19"/>
                <w:szCs w:val="19"/>
              </w:rPr>
              <w:t xml:space="preserve"> 10 Sep 2010 p. 4341)</w:t>
            </w:r>
          </w:p>
        </w:tc>
      </w:tr>
      <w:tr>
        <w:trPr>
          <w:cantSplit/>
        </w:trPr>
        <w:tc>
          <w:tcPr>
            <w:tcW w:w="2268" w:type="dxa"/>
          </w:tcPr>
          <w:p>
            <w:pPr>
              <w:pStyle w:val="nTable"/>
              <w:spacing w:after="40"/>
              <w:ind w:right="113"/>
              <w:rPr>
                <w:i/>
                <w:snapToGrid w:val="0"/>
                <w:sz w:val="19"/>
                <w:szCs w:val="19"/>
              </w:rPr>
            </w:pPr>
            <w:r>
              <w:rPr>
                <w:i/>
                <w:snapToGrid w:val="0"/>
                <w:sz w:val="19"/>
                <w:szCs w:val="19"/>
              </w:rPr>
              <w:t xml:space="preserve">Building Services (Complaint Resolution and Administration) Act 2011 </w:t>
            </w:r>
            <w:r>
              <w:rPr>
                <w:snapToGrid w:val="0"/>
                <w:sz w:val="19"/>
                <w:szCs w:val="19"/>
              </w:rPr>
              <w:t>s. 130</w:t>
            </w:r>
          </w:p>
        </w:tc>
        <w:tc>
          <w:tcPr>
            <w:tcW w:w="1133" w:type="dxa"/>
          </w:tcPr>
          <w:p>
            <w:pPr>
              <w:pStyle w:val="nTable"/>
              <w:spacing w:after="40"/>
              <w:rPr>
                <w:snapToGrid w:val="0"/>
                <w:sz w:val="19"/>
                <w:szCs w:val="19"/>
              </w:rPr>
            </w:pPr>
            <w:r>
              <w:rPr>
                <w:snapToGrid w:val="0"/>
                <w:sz w:val="19"/>
                <w:szCs w:val="19"/>
              </w:rPr>
              <w:t>16 of 2011</w:t>
            </w:r>
          </w:p>
        </w:tc>
        <w:tc>
          <w:tcPr>
            <w:tcW w:w="1134" w:type="dxa"/>
          </w:tcPr>
          <w:p>
            <w:pPr>
              <w:pStyle w:val="nTable"/>
              <w:spacing w:after="40"/>
              <w:rPr>
                <w:snapToGrid w:val="0"/>
                <w:sz w:val="19"/>
                <w:szCs w:val="19"/>
              </w:rPr>
            </w:pPr>
            <w:r>
              <w:rPr>
                <w:snapToGrid w:val="0"/>
                <w:sz w:val="19"/>
                <w:szCs w:val="19"/>
              </w:rPr>
              <w:t>25 May 2011</w:t>
            </w:r>
          </w:p>
        </w:tc>
        <w:tc>
          <w:tcPr>
            <w:tcW w:w="2553" w:type="dxa"/>
          </w:tcPr>
          <w:p>
            <w:pPr>
              <w:pStyle w:val="nTable"/>
              <w:spacing w:after="40"/>
              <w:rPr>
                <w:snapToGrid w:val="0"/>
                <w:sz w:val="19"/>
                <w:szCs w:val="19"/>
              </w:rPr>
            </w:pPr>
            <w:r>
              <w:rPr>
                <w:snapToGrid w:val="0"/>
                <w:sz w:val="19"/>
                <w:szCs w:val="19"/>
              </w:rPr>
              <w:t xml:space="preserve">29 Aug 2011 (see s. 2(b) and </w:t>
            </w:r>
            <w:r>
              <w:rPr>
                <w:i/>
                <w:snapToGrid w:val="0"/>
                <w:sz w:val="19"/>
                <w:szCs w:val="19"/>
              </w:rPr>
              <w:t>Gazette</w:t>
            </w:r>
            <w:r>
              <w:rPr>
                <w:snapToGrid w:val="0"/>
                <w:sz w:val="19"/>
                <w:szCs w:val="19"/>
              </w:rPr>
              <w:t xml:space="preserve"> 26 Aug 2011 p. 3475)</w:t>
            </w:r>
          </w:p>
        </w:tc>
      </w:tr>
      <w:tr>
        <w:trPr>
          <w:cantSplit/>
        </w:trPr>
        <w:tc>
          <w:tcPr>
            <w:tcW w:w="2268" w:type="dxa"/>
          </w:tcPr>
          <w:p>
            <w:pPr>
              <w:pStyle w:val="nTable"/>
              <w:spacing w:after="40"/>
              <w:ind w:right="113"/>
              <w:rPr>
                <w:i/>
                <w:snapToGrid w:val="0"/>
                <w:sz w:val="19"/>
                <w:szCs w:val="19"/>
              </w:rPr>
            </w:pPr>
            <w:r>
              <w:rPr>
                <w:i/>
                <w:snapToGrid w:val="0"/>
                <w:sz w:val="19"/>
                <w:szCs w:val="19"/>
              </w:rPr>
              <w:t>Personal Property Securities (Consequential Repeals and Amendments) Act 2011</w:t>
            </w:r>
            <w:r>
              <w:rPr>
                <w:snapToGrid w:val="0"/>
                <w:sz w:val="19"/>
                <w:szCs w:val="19"/>
              </w:rPr>
              <w:t xml:space="preserve"> Pt. 13 Div. 4</w:t>
            </w:r>
          </w:p>
        </w:tc>
        <w:tc>
          <w:tcPr>
            <w:tcW w:w="1133" w:type="dxa"/>
          </w:tcPr>
          <w:p>
            <w:pPr>
              <w:pStyle w:val="nTable"/>
              <w:spacing w:after="40"/>
              <w:rPr>
                <w:snapToGrid w:val="0"/>
                <w:sz w:val="19"/>
                <w:szCs w:val="19"/>
              </w:rPr>
            </w:pPr>
            <w:r>
              <w:rPr>
                <w:snapToGrid w:val="0"/>
                <w:sz w:val="19"/>
                <w:szCs w:val="19"/>
              </w:rPr>
              <w:t>42 of 2011</w:t>
            </w:r>
          </w:p>
        </w:tc>
        <w:tc>
          <w:tcPr>
            <w:tcW w:w="1134" w:type="dxa"/>
          </w:tcPr>
          <w:p>
            <w:pPr>
              <w:pStyle w:val="nTable"/>
              <w:spacing w:after="40"/>
              <w:rPr>
                <w:snapToGrid w:val="0"/>
                <w:sz w:val="19"/>
                <w:szCs w:val="19"/>
              </w:rPr>
            </w:pPr>
            <w:r>
              <w:rPr>
                <w:sz w:val="19"/>
                <w:szCs w:val="19"/>
              </w:rPr>
              <w:t>4 Oct 2011</w:t>
            </w:r>
          </w:p>
        </w:tc>
        <w:tc>
          <w:tcPr>
            <w:tcW w:w="2553" w:type="dxa"/>
          </w:tcPr>
          <w:p>
            <w:pPr>
              <w:pStyle w:val="nTable"/>
              <w:spacing w:after="40"/>
              <w:rPr>
                <w:snapToGrid w:val="0"/>
                <w:sz w:val="19"/>
                <w:szCs w:val="19"/>
              </w:rPr>
            </w:pPr>
            <w:r>
              <w:rPr>
                <w:snapToGrid w:val="0"/>
                <w:sz w:val="19"/>
                <w:szCs w:val="19"/>
              </w:rPr>
              <w:t>30 Jan 2012 (see s. 2(c) and Cwlth Legislative Instrument No. F2011L02397 cl. 5 registered 21 Nov 2011)</w:t>
            </w:r>
          </w:p>
        </w:tc>
      </w:tr>
      <w:tr>
        <w:trPr>
          <w:cantSplit/>
        </w:trPr>
        <w:tc>
          <w:tcPr>
            <w:tcW w:w="7088" w:type="dxa"/>
            <w:gridSpan w:val="4"/>
          </w:tcPr>
          <w:p>
            <w:pPr>
              <w:pStyle w:val="nTable"/>
              <w:spacing w:after="40"/>
              <w:rPr>
                <w:snapToGrid w:val="0"/>
                <w:sz w:val="19"/>
                <w:szCs w:val="19"/>
              </w:rPr>
            </w:pPr>
            <w:r>
              <w:rPr>
                <w:b/>
                <w:bCs/>
                <w:sz w:val="19"/>
                <w:szCs w:val="19"/>
              </w:rPr>
              <w:t xml:space="preserve">Reprint 3: The </w:t>
            </w:r>
            <w:r>
              <w:rPr>
                <w:b/>
                <w:bCs/>
                <w:i/>
                <w:sz w:val="19"/>
                <w:szCs w:val="19"/>
              </w:rPr>
              <w:t>Water Services Licensing Act 1995</w:t>
            </w:r>
            <w:r>
              <w:rPr>
                <w:b/>
                <w:bCs/>
                <w:iCs/>
                <w:sz w:val="19"/>
                <w:szCs w:val="19"/>
              </w:rPr>
              <w:t xml:space="preserve"> as at 6 Jul 2012 </w:t>
            </w:r>
            <w:r>
              <w:rPr>
                <w:iCs/>
                <w:sz w:val="19"/>
                <w:szCs w:val="19"/>
              </w:rPr>
              <w:t>(includes amendments listed above)</w:t>
            </w:r>
          </w:p>
        </w:tc>
      </w:tr>
      <w:tr>
        <w:trPr>
          <w:cantSplit/>
        </w:trPr>
        <w:tc>
          <w:tcPr>
            <w:tcW w:w="2268" w:type="dxa"/>
            <w:shd w:val="clear" w:color="auto" w:fill="auto"/>
          </w:tcPr>
          <w:p>
            <w:pPr>
              <w:pStyle w:val="nTable"/>
              <w:spacing w:after="40"/>
              <w:ind w:right="113"/>
              <w:rPr>
                <w:i/>
                <w:snapToGrid w:val="0"/>
                <w:sz w:val="19"/>
                <w:szCs w:val="19"/>
              </w:rPr>
            </w:pPr>
            <w:r>
              <w:rPr>
                <w:i/>
                <w:snapToGrid w:val="0"/>
                <w:sz w:val="19"/>
                <w:szCs w:val="19"/>
              </w:rPr>
              <w:t>Water Services Legislation Amendment and Repeal Act 2012</w:t>
            </w:r>
            <w:r>
              <w:rPr>
                <w:snapToGrid w:val="0"/>
                <w:sz w:val="19"/>
                <w:szCs w:val="19"/>
              </w:rPr>
              <w:t xml:space="preserve"> Pt. 8</w:t>
            </w:r>
          </w:p>
        </w:tc>
        <w:tc>
          <w:tcPr>
            <w:tcW w:w="1133" w:type="dxa"/>
            <w:shd w:val="clear" w:color="auto" w:fill="auto"/>
          </w:tcPr>
          <w:p>
            <w:pPr>
              <w:pStyle w:val="nTable"/>
              <w:spacing w:after="40"/>
              <w:rPr>
                <w:snapToGrid w:val="0"/>
                <w:sz w:val="19"/>
                <w:szCs w:val="19"/>
              </w:rPr>
            </w:pPr>
            <w:r>
              <w:rPr>
                <w:sz w:val="19"/>
                <w:szCs w:val="19"/>
              </w:rPr>
              <w:t>25 of 2012</w:t>
            </w:r>
          </w:p>
        </w:tc>
        <w:tc>
          <w:tcPr>
            <w:tcW w:w="1134" w:type="dxa"/>
            <w:shd w:val="clear" w:color="auto" w:fill="auto"/>
          </w:tcPr>
          <w:p>
            <w:pPr>
              <w:pStyle w:val="nTable"/>
              <w:spacing w:after="40"/>
              <w:rPr>
                <w:snapToGrid w:val="0"/>
                <w:sz w:val="19"/>
                <w:szCs w:val="19"/>
              </w:rPr>
            </w:pPr>
            <w:r>
              <w:rPr>
                <w:sz w:val="19"/>
                <w:szCs w:val="19"/>
              </w:rPr>
              <w:t>3 Sep 2012</w:t>
            </w:r>
          </w:p>
        </w:tc>
        <w:tc>
          <w:tcPr>
            <w:tcW w:w="2553" w:type="dxa"/>
            <w:shd w:val="clear" w:color="auto" w:fill="auto"/>
          </w:tcPr>
          <w:p>
            <w:pPr>
              <w:pStyle w:val="nTable"/>
              <w:spacing w:after="40"/>
              <w:rPr>
                <w:snapToGrid w:val="0"/>
                <w:sz w:val="19"/>
                <w:szCs w:val="19"/>
              </w:rPr>
            </w:pPr>
            <w:r>
              <w:rPr>
                <w:snapToGrid w:val="0"/>
                <w:sz w:val="19"/>
                <w:szCs w:val="19"/>
              </w:rPr>
              <w:t xml:space="preserve">18 Nov 2013 (see s. 2(b) and </w:t>
            </w:r>
            <w:r>
              <w:rPr>
                <w:i/>
                <w:snapToGrid w:val="0"/>
                <w:sz w:val="19"/>
                <w:szCs w:val="19"/>
              </w:rPr>
              <w:t>Gazette</w:t>
            </w:r>
            <w:r>
              <w:rPr>
                <w:snapToGrid w:val="0"/>
                <w:sz w:val="19"/>
                <w:szCs w:val="19"/>
              </w:rPr>
              <w:t xml:space="preserve"> 14 Nov 2013 p. 5028)</w:t>
            </w:r>
          </w:p>
        </w:tc>
      </w:tr>
      <w:tr>
        <w:trPr>
          <w:cantSplit/>
        </w:trPr>
        <w:tc>
          <w:tcPr>
            <w:tcW w:w="7088" w:type="dxa"/>
            <w:gridSpan w:val="4"/>
            <w:tcBorders>
              <w:bottom w:val="single" w:sz="8" w:space="0" w:color="auto"/>
            </w:tcBorders>
            <w:shd w:val="clear" w:color="auto" w:fill="auto"/>
          </w:tcPr>
          <w:p>
            <w:pPr>
              <w:pStyle w:val="nTable"/>
              <w:spacing w:after="40"/>
              <w:rPr>
                <w:snapToGrid w:val="0"/>
                <w:sz w:val="19"/>
                <w:szCs w:val="19"/>
              </w:rPr>
            </w:pPr>
            <w:r>
              <w:rPr>
                <w:b/>
                <w:bCs/>
                <w:sz w:val="19"/>
                <w:szCs w:val="19"/>
              </w:rPr>
              <w:t xml:space="preserve">Reprint 4: The </w:t>
            </w:r>
            <w:r>
              <w:rPr>
                <w:b/>
                <w:i/>
                <w:sz w:val="19"/>
                <w:szCs w:val="19"/>
              </w:rPr>
              <w:t>Plumbers Licensing Act</w:t>
            </w:r>
            <w:r>
              <w:rPr>
                <w:b/>
                <w:bCs/>
                <w:i/>
                <w:sz w:val="19"/>
                <w:szCs w:val="19"/>
              </w:rPr>
              <w:t> 1995</w:t>
            </w:r>
            <w:r>
              <w:rPr>
                <w:b/>
                <w:bCs/>
                <w:iCs/>
                <w:sz w:val="19"/>
                <w:szCs w:val="19"/>
              </w:rPr>
              <w:t xml:space="preserve"> as at 24 Jan 2014 </w:t>
            </w:r>
            <w:r>
              <w:rPr>
                <w:iCs/>
                <w:sz w:val="19"/>
                <w:szCs w:val="19"/>
              </w:rPr>
              <w:t>(includes amendments listed above)</w:t>
            </w:r>
          </w:p>
        </w:tc>
      </w:tr>
    </w:tbl>
    <w:p>
      <w:pPr>
        <w:pStyle w:val="nSubsection"/>
      </w:pPr>
      <w:r>
        <w:rPr>
          <w:vertAlign w:val="superscript"/>
        </w:rPr>
        <w:t>2</w:t>
      </w:r>
      <w:r>
        <w:rPr>
          <w:vertAlign w:val="superscript"/>
        </w:rPr>
        <w:tab/>
      </w:r>
      <w:r>
        <w:t xml:space="preserve">Short title was initially the </w:t>
      </w:r>
      <w:r>
        <w:rPr>
          <w:i/>
        </w:rPr>
        <w:t xml:space="preserve">Water Services Coordination Act 1995 </w:t>
      </w:r>
      <w:r>
        <w:t xml:space="preserve">and was subsequently changed to the </w:t>
      </w:r>
      <w:r>
        <w:rPr>
          <w:i/>
        </w:rPr>
        <w:t>Water Services Licensing Act 1995</w:t>
      </w:r>
      <w:r>
        <w:rPr>
          <w:snapToGrid w:val="0"/>
        </w:rPr>
        <w:t>,</w:t>
      </w:r>
      <w:r>
        <w:rPr>
          <w:iCs/>
          <w:snapToGrid w:val="0"/>
        </w:rPr>
        <w:t xml:space="preserve"> and now known as the </w:t>
      </w:r>
      <w:r>
        <w:rPr>
          <w:i/>
        </w:rPr>
        <w:t>Plumbers Licensing Act 1995</w:t>
      </w:r>
      <w:r>
        <w:rPr>
          <w:iCs/>
          <w:snapToGrid w:val="0"/>
        </w:rPr>
        <w:t xml:space="preserve"> (see note under s. 1).</w:t>
      </w:r>
    </w:p>
    <w:p>
      <w:pPr>
        <w:pStyle w:val="nSubsection"/>
        <w:rPr>
          <w:snapToGrid w:val="0"/>
        </w:rPr>
      </w:pPr>
      <w:r>
        <w:rPr>
          <w:snapToGrid w:val="0"/>
          <w:vertAlign w:val="superscript"/>
        </w:rPr>
        <w:t>3</w:t>
      </w:r>
      <w:r>
        <w:rPr>
          <w:snapToGrid w:val="0"/>
        </w:rPr>
        <w:tab/>
        <w:t xml:space="preserve">The </w:t>
      </w:r>
      <w:r>
        <w:rPr>
          <w:i/>
          <w:snapToGrid w:val="0"/>
        </w:rPr>
        <w:t>Taxes and Charges (Land Subdivision) Legislation Amendment Act 1996</w:t>
      </w:r>
      <w:r>
        <w:rPr>
          <w:snapToGrid w:val="0"/>
        </w:rPr>
        <w:t xml:space="preserve"> Pt. 6 is a review provision that is of no further effect.</w:t>
      </w:r>
    </w:p>
    <w:p>
      <w:pPr>
        <w:pStyle w:val="nSubsection"/>
      </w:pPr>
      <w:r>
        <w:rPr>
          <w:vertAlign w:val="superscript"/>
        </w:rPr>
        <w:t>4</w:t>
      </w:r>
      <w:r>
        <w:tab/>
        <w:t xml:space="preserve">The </w:t>
      </w:r>
      <w:r>
        <w:rPr>
          <w:i/>
        </w:rPr>
        <w:t xml:space="preserve">Economic Regulation Authority Act 2003 </w:t>
      </w:r>
      <w:r>
        <w:t>s. 63(1), which gives effect to Sch. 3, reads as follows:</w:t>
      </w:r>
    </w:p>
    <w:p>
      <w:pPr>
        <w:pStyle w:val="BlankOpen"/>
      </w:pPr>
    </w:p>
    <w:p>
      <w:pPr>
        <w:pStyle w:val="nzHeading5"/>
      </w:pPr>
      <w:r>
        <w:t>63.</w:t>
      </w:r>
      <w:r>
        <w:tab/>
        <w:t>Transitional and saving provisions</w:t>
      </w:r>
    </w:p>
    <w:p>
      <w:pPr>
        <w:pStyle w:val="nzSubsection"/>
      </w:pPr>
      <w:r>
        <w:tab/>
        <w:t>(1)</w:t>
      </w:r>
      <w:r>
        <w:tab/>
        <w:t>Schedule 3 has effect to make transitional and saving provisions in respect of the amendments made in Schedule 2 Divisions 8, 12 and 18.</w:t>
      </w:r>
    </w:p>
    <w:p>
      <w:pPr>
        <w:pStyle w:val="BlankClose"/>
      </w:pPr>
    </w:p>
    <w:p>
      <w:pPr>
        <w:pStyle w:val="nSubsection"/>
      </w:pPr>
      <w:r>
        <w:tab/>
        <w:t>Schedule 3 reads as follows:</w:t>
      </w:r>
    </w:p>
    <w:p>
      <w:pPr>
        <w:pStyle w:val="BlankOpen"/>
      </w:pPr>
    </w:p>
    <w:p>
      <w:pPr>
        <w:pStyle w:val="nzHeading3"/>
      </w:pPr>
      <w:r>
        <w:rPr>
          <w:rStyle w:val="CharSchNo"/>
        </w:rPr>
        <w:t>Schedule 3</w:t>
      </w:r>
      <w:r>
        <w:t> — </w:t>
      </w:r>
      <w:r>
        <w:rPr>
          <w:rStyle w:val="CharSchText"/>
        </w:rPr>
        <w:t>Transitional and saving provisions for amendments in Schedule 2 Divisions 8, 12 and 18</w:t>
      </w:r>
    </w:p>
    <w:p>
      <w:pPr>
        <w:pStyle w:val="yShoulderClause"/>
      </w:pPr>
      <w:r>
        <w:t>[s. 63(1)]</w:t>
      </w:r>
    </w:p>
    <w:p>
      <w:pPr>
        <w:pStyle w:val="nzHeading5"/>
      </w:pPr>
      <w:r>
        <w:t>1.</w:t>
      </w:r>
      <w:r>
        <w:tab/>
        <w:t>Definitions</w:t>
      </w:r>
    </w:p>
    <w:p>
      <w:pPr>
        <w:pStyle w:val="nzSubsection"/>
      </w:pPr>
      <w:r>
        <w:tab/>
      </w:r>
      <w:r>
        <w:tab/>
        <w:t xml:space="preserve">In this Schedule — </w:t>
      </w:r>
    </w:p>
    <w:p>
      <w:pPr>
        <w:pStyle w:val="nzDefstart"/>
      </w:pPr>
      <w:r>
        <w:tab/>
      </w:r>
      <w:r>
        <w:rPr>
          <w:rStyle w:val="CharDefText"/>
        </w:rPr>
        <w:t>commencement day</w:t>
      </w:r>
      <w:r>
        <w:t xml:space="preserve"> means the day on which this Schedule comes into operation;</w:t>
      </w:r>
    </w:p>
    <w:p>
      <w:pPr>
        <w:pStyle w:val="nzDefstart"/>
      </w:pPr>
      <w:r>
        <w:rPr>
          <w:b/>
        </w:rPr>
        <w:tab/>
      </w:r>
      <w:r>
        <w:rPr>
          <w:rStyle w:val="CharDefText"/>
        </w:rPr>
        <w:t>former official</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as in effect immediately before the commencement day;</w:t>
      </w:r>
    </w:p>
    <w:p>
      <w:pPr>
        <w:pStyle w:val="nz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r>
        <w:t>2.</w:t>
      </w:r>
      <w:r>
        <w:tab/>
      </w:r>
      <w:r>
        <w:rPr>
          <w:i/>
        </w:rPr>
        <w:t>Interpretation Act 1984</w:t>
      </w:r>
      <w:r>
        <w:t xml:space="preserve"> to apply</w:t>
      </w:r>
    </w:p>
    <w:p>
      <w:pPr>
        <w:pStyle w:val="nzSubsection"/>
      </w:pPr>
      <w:r>
        <w:tab/>
      </w:r>
      <w:r>
        <w:tab/>
        <w:t xml:space="preserve">This Schedule does not limit the operation of the </w:t>
      </w:r>
      <w:r>
        <w:rPr>
          <w:i/>
        </w:rPr>
        <w:t>Interpretation Act 1984</w:t>
      </w:r>
      <w:r>
        <w:t>.</w:t>
      </w:r>
    </w:p>
    <w:p>
      <w:pPr>
        <w:pStyle w:val="nzHeading5"/>
      </w:pPr>
      <w:r>
        <w:t>3.</w:t>
      </w:r>
      <w:r>
        <w:tab/>
        <w:t>Decisions of Gas Pipelines Access Regulator</w:t>
      </w:r>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r>
        <w:t>4.</w:t>
      </w:r>
      <w:r>
        <w:tab/>
        <w:t>Decisions of Rail Access Regulator</w:t>
      </w:r>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r>
        <w:t>5.</w:t>
      </w:r>
      <w:r>
        <w:tab/>
        <w:t xml:space="preserve">Licences under Part 3 of the </w:t>
      </w:r>
      <w:r>
        <w:rPr>
          <w:i/>
        </w:rPr>
        <w:t>Water Services Coordination Act 1995</w:t>
      </w:r>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pPr>
      <w:r>
        <w:t>6.</w:t>
      </w:r>
      <w:r>
        <w:tab/>
        <w:t>Continuing effect of things done</w:t>
      </w:r>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r>
        <w:t>7.</w:t>
      </w:r>
      <w:r>
        <w:tab/>
        <w:t>Completion of things begun</w:t>
      </w:r>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r>
        <w:t>8.</w:t>
      </w:r>
      <w:r>
        <w:tab/>
        <w:t>Proceedings etc.</w:t>
      </w:r>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r>
        <w:t>9.</w:t>
      </w:r>
      <w:r>
        <w:tab/>
        <w:t>Records</w:t>
      </w:r>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nzHeading5"/>
      </w:pPr>
      <w:r>
        <w:t>10.</w:t>
      </w:r>
      <w:r>
        <w:tab/>
        <w:t>Bank accounts</w:t>
      </w:r>
    </w:p>
    <w:p>
      <w:pPr>
        <w:pStyle w:val="nz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 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r>
        <w:t>11.</w:t>
      </w:r>
      <w:r>
        <w:tab/>
        <w:t>References to former official in agreements and instruments</w:t>
      </w:r>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pPr>
      <w:r>
        <w:tab/>
        <w:t>(b)</w:t>
      </w:r>
      <w:r>
        <w:tab/>
        <w:t>which contains a reference to a former official,</w:t>
      </w:r>
    </w:p>
    <w:p>
      <w:pPr>
        <w:pStyle w:val="nzSubsection"/>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r>
        <w:t>12.</w:t>
      </w:r>
      <w:r>
        <w:tab/>
        <w:t>References to former official in written law</w:t>
      </w:r>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r>
        <w:t>13.</w:t>
      </w:r>
      <w:r>
        <w:tab/>
        <w:t>Immunity to continue</w:t>
      </w:r>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r>
        <w:t>14.</w:t>
      </w:r>
      <w:r>
        <w:tab/>
        <w:t>Saving</w:t>
      </w:r>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BlankClose"/>
      </w:pPr>
    </w:p>
    <w:p>
      <w:pPr>
        <w:pStyle w:val="nSubsection"/>
        <w:rPr>
          <w:iCs/>
        </w:rPr>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Lines/>
        <w:rPr>
          <w:sz w:val="19"/>
        </w:rPr>
      </w:pPr>
      <w:r>
        <w:rPr>
          <w:vertAlign w:val="superscript"/>
        </w:rPr>
        <w:t>6</w:t>
      </w:r>
      <w:r>
        <w:tab/>
        <w:t xml:space="preserve">The amendment to s. 57 in the </w:t>
      </w:r>
      <w:r>
        <w:rPr>
          <w:i/>
          <w:iCs/>
        </w:rPr>
        <w:t>State Administrative Tribunal (Conferral of Jurisdiction) Amendment and Repeal Act 2004</w:t>
      </w:r>
      <w:r>
        <w:t xml:space="preserve"> s. 1302 is not included because the section it seeks to amend was deleted by the </w:t>
      </w:r>
      <w:r>
        <w:rPr>
          <w:i/>
          <w:iCs/>
        </w:rPr>
        <w:t>Economic Regulation Authority Act 2003</w:t>
      </w:r>
      <w:r>
        <w:rPr>
          <w:sz w:val="19"/>
        </w:rPr>
        <w:t xml:space="preserve"> Sch. 2 cl. 107.</w:t>
      </w:r>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bookmarkStart w:id="30" w:name="AutoSch"/>
      <w:bookmarkEnd w:id="30"/>
    </w:p>
    <w:p/>
    <w:p>
      <w:pPr>
        <w:pStyle w:val="nHeading2"/>
        <w:rPr>
          <w:sz w:val="28"/>
        </w:rPr>
      </w:pPr>
      <w:bookmarkStart w:id="31" w:name="_Toc379296428"/>
      <w:r>
        <w:rPr>
          <w:sz w:val="28"/>
        </w:rPr>
        <w:t>Defined terms</w:t>
      </w:r>
      <w:bookmarkEnd w:id="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2" w:name="DefinedTerms"/>
      <w:bookmarkEnd w:id="32"/>
      <w:r>
        <w:t>Board</w:t>
      </w:r>
      <w:r>
        <w:tab/>
        <w:t>3</w:t>
      </w:r>
    </w:p>
    <w:p>
      <w:pPr>
        <w:pStyle w:val="DefinedTerms"/>
      </w:pPr>
      <w:r>
        <w:t>Building Services Account</w:t>
      </w:r>
      <w:r>
        <w:tab/>
        <w:t>59J(3)</w:t>
      </w:r>
    </w:p>
    <w:p>
      <w:pPr>
        <w:pStyle w:val="DefinedTerms"/>
      </w:pPr>
      <w:r>
        <w:t>department</w:t>
      </w:r>
      <w:r>
        <w:tab/>
        <w:t>3</w:t>
      </w:r>
    </w:p>
    <w:p>
      <w:pPr>
        <w:pStyle w:val="DefinedTerms"/>
      </w:pPr>
      <w:r>
        <w:t>document</w:t>
      </w:r>
      <w:r>
        <w:tab/>
        <w:t>59F(5)</w:t>
      </w:r>
    </w:p>
    <w:p>
      <w:pPr>
        <w:pStyle w:val="DefinedTerms"/>
      </w:pPr>
      <w:r>
        <w:t>information</w:t>
      </w:r>
      <w:r>
        <w:tab/>
        <w:t>59F(5)</w:t>
      </w:r>
    </w:p>
    <w:p>
      <w:pPr>
        <w:pStyle w:val="DefinedTerms"/>
      </w:pPr>
      <w:r>
        <w:t>plumber</w:t>
      </w:r>
      <w:r>
        <w:tab/>
        <w:t>3</w:t>
      </w:r>
    </w:p>
    <w:p>
      <w:pPr>
        <w:pStyle w:val="DefinedTerms"/>
      </w:pPr>
      <w:r>
        <w:t>plumbing work</w:t>
      </w:r>
      <w:r>
        <w:tab/>
        <w:t>59I</w:t>
      </w:r>
    </w:p>
    <w:p>
      <w:pPr>
        <w:pStyle w:val="DefinedTerms"/>
      </w:pPr>
      <w:r>
        <w:t>specified</w:t>
      </w:r>
      <w:r>
        <w:tab/>
        <w:t>59I</w:t>
      </w:r>
    </w:p>
    <w:p>
      <w:pPr>
        <w:pStyle w:val="DefinedTerms"/>
      </w:pPr>
      <w:r>
        <w:t>staff</w:t>
      </w:r>
      <w:r>
        <w:tab/>
        <w:t>59F(5)</w:t>
      </w:r>
    </w:p>
    <w:p>
      <w:pPr>
        <w:pStyle w:val="DefinedTerms"/>
      </w:pPr>
    </w:p>
    <w:p>
      <w:pPr>
        <w:rPr>
          <w:sz w:val="20"/>
        </w:rPr>
      </w:pPr>
    </w:p>
    <w:p/>
    <w:p/>
    <w:p/>
    <w:p/>
    <w:p/>
    <w:p/>
    <w:p/>
    <w:p/>
    <w:p/>
    <w:p/>
    <w:p/>
    <w:p/>
    <w:p/>
    <w:p/>
    <w:p/>
    <w:p/>
    <w:p/>
    <w:p/>
    <w:p/>
    <w:p/>
    <w:p/>
    <w:p/>
    <w:p/>
    <w:p>
      <w:pPr>
        <w:sectPr>
          <w:headerReference w:type="even" r:id="rId36"/>
          <w:headerReference w:type="default" r:id="rId37"/>
          <w:footerReference w:type="even" r:id="rId38"/>
          <w:footerReference w:type="default" r:id="rId39"/>
          <w:headerReference w:type="first" r:id="rId40"/>
          <w:footerReference w:type="first" r:id="rId41"/>
          <w:pgSz w:w="11906" w:h="16838" w:code="9"/>
          <w:pgMar w:top="2376" w:right="2405" w:bottom="3542" w:left="2405" w:header="706" w:footer="3380" w:gutter="0"/>
          <w:cols w:space="720"/>
          <w:noEndnote/>
          <w:docGrid w:linePitch="326"/>
        </w:sectPr>
      </w:pPr>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2"/>
      <w:headerReference w:type="default" r:id="rId4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w:t>
    </w:r>
    <w:r>
      <w:rPr>
        <w:rStyle w:val="CharPageNo"/>
      </w:rPr>
      <w:fldChar w:fldCharType="end"/>
    </w:r>
    <w:r>
      <w:rPr>
        <w:rStyle w:val="CharPageNo"/>
      </w:rPr>
      <w:tab/>
    </w:r>
    <w:r>
      <w:t xml:space="preserve">Reprint </w:t>
    </w:r>
    <w:fldSimple w:instr=" DOCPROPERTY &quot;ReprintNo&quot; ">
      <w:r>
        <w:t>4</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20</w:t>
    </w:r>
    <w:r>
      <w:rPr>
        <w:rStyle w:val="CharPageNo"/>
      </w:rPr>
      <w:fldChar w:fldCharType="end"/>
    </w:r>
    <w:r>
      <w:rPr>
        <w:rStyle w:val="CharPageNo"/>
      </w:rPr>
      <w:tab/>
    </w:r>
    <w:r>
      <w:t xml:space="preserve">Reprint </w:t>
    </w:r>
    <w:fldSimple w:instr=" DOCPROPERTY &quot;ReprintNo&quot; ">
      <w:r>
        <w:t>4</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19</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21</w:t>
    </w:r>
    <w:r>
      <w:rPr>
        <w:rStyle w:val="CharPageNo"/>
      </w:rPr>
      <w:fldChar w:fldCharType="end"/>
    </w:r>
    <w:r>
      <w:rPr>
        <w:rStyle w:val="CharPageNo"/>
      </w:rPr>
      <w:tab/>
    </w:r>
    <w:r>
      <w:t xml:space="preserve">Reprint </w:t>
    </w:r>
    <w:fldSimple w:instr=" DOCPROPERTY &quot;ReprintNo&quot; ">
      <w:r>
        <w:t>4</w:t>
      </w:r>
    </w:fldSimple>
  </w:p>
  <w:p>
    <w:pPr>
      <w:pStyle w:val="FooterPageLeft"/>
      <w:tabs>
        <w:tab w:val="right" w:pos="7088"/>
      </w:tabs>
      <w:rPr>
        <w:rFonts w:ascii="Times New Roman" w:hAnsi="Times New Roman"/>
        <w:sz w:val="16"/>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Plumbers Licensing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Plumbers Licensing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Plumbers Licensing Act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Plumbers Licensing Act 1995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Plumbers Licensing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Plumbers Licensing Act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Plumbers Licensing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Plumbers Licensing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Plumbers Licensing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Plumbers Licensing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Plumbers Licensing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Plumbers Licensing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6F2FED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F0A2BE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2A4DB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823240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DC901DE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86AA05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9B2B2F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FEE2D4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D2AFA6A"/>
    <w:lvl w:ilvl="0">
      <w:start w:val="1"/>
      <w:numFmt w:val="decimal"/>
      <w:pStyle w:val="ListNumber"/>
      <w:lvlText w:val="%1."/>
      <w:lvlJc w:val="left"/>
      <w:pPr>
        <w:tabs>
          <w:tab w:val="num" w:pos="360"/>
        </w:tabs>
        <w:ind w:left="360" w:hanging="360"/>
      </w:pPr>
    </w:lvl>
  </w:abstractNum>
  <w:abstractNum w:abstractNumId="9">
    <w:nsid w:val="FFFFFF89"/>
    <w:multiLevelType w:val="singleLevel"/>
    <w:tmpl w:val="6FF2F8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842056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9"/>
  </w:num>
  <w:num w:numId="2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204163623"/>
    <w:docVar w:name="WAFER_20131210103400" w:val="RemoveTocBookmarks,RemoveUnusedBookmarks,RemoveLanguageTags,UsedStyles,ResetPageSize,UpdateArrangement"/>
    <w:docVar w:name="WAFER_20131210103400_GUID" w:val="9735d17e-41c9-4610-a9ab-9e842dd135da"/>
    <w:docVar w:name="WAFER_20140117111326" w:val="RemoveTocBookmarks,RemoveUnusedBookmarks,RemoveLanguageTags,UsedStyles,RemoveTrackChanges"/>
    <w:docVar w:name="WAFER_20140117111326_GUID" w:val="3de3a581-199a-475e-97d2-7afefd9d9ecb"/>
    <w:docVar w:name="WAFER_20140117111353" w:val="RemoveTocBookmarks,RemoveLanguageTags,RemoveTrackChanges,RunningHeaders"/>
    <w:docVar w:name="WAFER_20140117111353_GUID" w:val="1a1e0d5b-d526-4a52-b3d9-80211d9ff67d"/>
    <w:docVar w:name="WAFER_20140204163623" w:val="RemoveTocBookmarks,RemoveLanguageTags,RemoveTrackChanges,RunningHeaders"/>
    <w:docVar w:name="WAFER_20140204163623_GUID" w:val="58ab5293-51cd-4b63-876d-935fcf53791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oter" Target="footer7.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3.xml"/><Relationship Id="rId42"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header" Target="header12.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footer" Target="footer9.xml"/><Relationship Id="rId41" Type="http://schemas.openxmlformats.org/officeDocument/2006/relationships/footer" Target="foot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header" Target="header1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3.png"/><Relationship Id="rId28" Type="http://schemas.openxmlformats.org/officeDocument/2006/relationships/header" Target="header9.xml"/><Relationship Id="rId36" Type="http://schemas.openxmlformats.org/officeDocument/2006/relationships/header" Target="header15.xml"/><Relationship Id="rId10" Type="http://schemas.openxmlformats.org/officeDocument/2006/relationships/oleObject" Target="embeddings/oleObject1.bin"/><Relationship Id="rId19" Type="http://schemas.openxmlformats.org/officeDocument/2006/relationships/footer" Target="footer4.xml"/><Relationship Id="rId31" Type="http://schemas.openxmlformats.org/officeDocument/2006/relationships/header" Target="header10.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image" Target="media/image4.png"/><Relationship Id="rId35" Type="http://schemas.openxmlformats.org/officeDocument/2006/relationships/header" Target="header14.xml"/><Relationship Id="rId43"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5950</Words>
  <Characters>27791</Characters>
  <Application>Microsoft Office Word</Application>
  <DocSecurity>0</DocSecurity>
  <Lines>868</Lines>
  <Paragraphs>527</Paragraphs>
  <ScaleCrop>false</ScaleCrop>
  <HeadingPairs>
    <vt:vector size="2" baseType="variant">
      <vt:variant>
        <vt:lpstr>Title</vt:lpstr>
      </vt:variant>
      <vt:variant>
        <vt:i4>1</vt:i4>
      </vt:variant>
    </vt:vector>
  </HeadingPairs>
  <TitlesOfParts>
    <vt:vector size="1" baseType="lpstr">
      <vt:lpstr>Water Services Licensing Act 1995</vt:lpstr>
    </vt:vector>
  </TitlesOfParts>
  <Manager/>
  <Company/>
  <LinksUpToDate>false</LinksUpToDate>
  <CharactersWithSpaces>33214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Plumbers Licensing Act 1995 - 04-00-00</dc:title>
  <dc:subject/>
  <dc:creator/>
  <cp:keywords/>
  <dc:description/>
  <cp:lastModifiedBy>svcMRProcess</cp:lastModifiedBy>
  <cp:revision>4</cp:revision>
  <cp:lastPrinted>2014-01-17T01:27:00Z</cp:lastPrinted>
  <dcterms:created xsi:type="dcterms:W3CDTF">2020-04-22T05:49:00Z</dcterms:created>
  <dcterms:modified xsi:type="dcterms:W3CDTF">2020-04-22T05:49:00Z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1995</vt:lpwstr>
  </property>
  <property fmtid="{D5CDD505-2E9C-101B-9397-08002B2CF9AE}" pid="3" name="CommencementDate">
    <vt:lpwstr>20140124</vt:lpwstr>
  </property>
  <property fmtid="{D5CDD505-2E9C-101B-9397-08002B2CF9AE}" pid="4" name="DocumentType">
    <vt:lpwstr>Act</vt:lpwstr>
  </property>
  <property fmtid="{D5CDD505-2E9C-101B-9397-08002B2CF9AE}" pid="5" name="OwlsUID">
    <vt:i4>869</vt:i4>
  </property>
  <property fmtid="{D5CDD505-2E9C-101B-9397-08002B2CF9AE}" pid="6" name="AsAtDate">
    <vt:lpwstr>24 Jan 2014</vt:lpwstr>
  </property>
  <property fmtid="{D5CDD505-2E9C-101B-9397-08002B2CF9AE}" pid="7" name="Suffix">
    <vt:lpwstr>04-00-00</vt:lpwstr>
  </property>
  <property fmtid="{D5CDD505-2E9C-101B-9397-08002B2CF9AE}" pid="8" name="ThisVersion">
    <vt:lpwstr>02-i0-00</vt:lpwstr>
  </property>
  <property fmtid="{D5CDD505-2E9C-101B-9397-08002B2CF9AE}" pid="9" name="ReprintNo">
    <vt:lpwstr>4</vt:lpwstr>
  </property>
  <property fmtid="{D5CDD505-2E9C-101B-9397-08002B2CF9AE}" pid="10" name="ReprintedAsAt">
    <vt:filetime>2014-01-23T16:00:00Z</vt:filetime>
  </property>
</Properties>
</file>