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Pay-roll Tax Assessment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_Toc381880567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_Toc381880568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_Toc381880569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_Toc381880570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_Toc381880571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Liability and assessment</w:t>
      </w:r>
    </w:p>
    <w:p>
      <w:pPr>
        <w:pStyle w:val="TOC4"/>
        <w:tabs>
          <w:tab w:val="right" w:leader="dot" w:pos="7086"/>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_Toc381880574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_Toc381880575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_Toc381880576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_Toc381880577 \h </w:instrText>
      </w:r>
      <w:r>
        <w:fldChar w:fldCharType="separate"/>
      </w:r>
      <w:r>
        <w:t>6</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_Toc381880578 \h </w:instrText>
      </w:r>
      <w:r>
        <w:fldChar w:fldCharType="separate"/>
      </w:r>
      <w:r>
        <w:t>7</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_Toc381880579 \h </w:instrText>
      </w:r>
      <w:r>
        <w:fldChar w:fldCharType="separate"/>
      </w:r>
      <w:r>
        <w:t>8</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_Toc381880580 \h </w:instrText>
      </w:r>
      <w:r>
        <w:fldChar w:fldCharType="separate"/>
      </w:r>
      <w:r>
        <w:t>8</w:t>
      </w:r>
      <w:r>
        <w:fldChar w:fldCharType="end"/>
      </w:r>
    </w:p>
    <w:p>
      <w:pPr>
        <w:pStyle w:val="TOC8"/>
        <w:rPr>
          <w:rFonts w:asciiTheme="minorHAnsi" w:eastAsiaTheme="minorEastAsia" w:hAnsiTheme="minorHAnsi" w:cstheme="minorBidi"/>
          <w:szCs w:val="22"/>
        </w:rPr>
      </w:pPr>
      <w:r>
        <w:t>8.</w:t>
      </w:r>
      <w:r>
        <w:tab/>
        <w:t>Tax thresholds</w:t>
      </w:r>
      <w:r>
        <w:tab/>
      </w:r>
      <w:r>
        <w:fldChar w:fldCharType="begin"/>
      </w:r>
      <w:r>
        <w:instrText xml:space="preserve"> PAGEREF _Toc381880581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2A — Wages</w:t>
      </w:r>
    </w:p>
    <w:p>
      <w:pPr>
        <w:pStyle w:val="TOC6"/>
        <w:tabs>
          <w:tab w:val="right" w:leader="dot" w:pos="7086"/>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_Toc381880584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_Toc381880586 \h </w:instrText>
      </w:r>
      <w:r>
        <w:fldChar w:fldCharType="separate"/>
      </w:r>
      <w:r>
        <w:t>10</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_Toc381880587 \h </w:instrText>
      </w:r>
      <w:r>
        <w:fldChar w:fldCharType="separate"/>
      </w:r>
      <w:r>
        <w:t>11</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_Toc381880588 \h </w:instrText>
      </w:r>
      <w:r>
        <w:fldChar w:fldCharType="separate"/>
      </w:r>
      <w:r>
        <w:t>11</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_Toc381880589 \h </w:instrText>
      </w:r>
      <w:r>
        <w:fldChar w:fldCharType="separate"/>
      </w:r>
      <w:r>
        <w:t>12</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_Toc381880590 \h </w:instrText>
      </w:r>
      <w:r>
        <w:fldChar w:fldCharType="separate"/>
      </w:r>
      <w:r>
        <w:t>12</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_Toc381880591 \h </w:instrText>
      </w:r>
      <w:r>
        <w:fldChar w:fldCharType="separate"/>
      </w:r>
      <w:r>
        <w:t>13</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_Toc381880592 \h </w:instrText>
      </w:r>
      <w:r>
        <w:fldChar w:fldCharType="separate"/>
      </w:r>
      <w:r>
        <w:t>13</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_Toc381880593 \h </w:instrText>
      </w:r>
      <w:r>
        <w:fldChar w:fldCharType="separate"/>
      </w:r>
      <w:r>
        <w:t>14</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_Toc381880594 \h </w:instrText>
      </w:r>
      <w:r>
        <w:fldChar w:fldCharType="separate"/>
      </w:r>
      <w:r>
        <w:t>16</w:t>
      </w:r>
      <w:r>
        <w:fldChar w:fldCharType="end"/>
      </w:r>
    </w:p>
    <w:p>
      <w:pPr>
        <w:pStyle w:val="TOC6"/>
        <w:tabs>
          <w:tab w:val="right" w:leader="dot" w:pos="7086"/>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_Toc381880596 \h </w:instrText>
      </w:r>
      <w:r>
        <w:fldChar w:fldCharType="separate"/>
      </w:r>
      <w:r>
        <w:t>16</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_Toc381880597 \h </w:instrText>
      </w:r>
      <w:r>
        <w:fldChar w:fldCharType="separate"/>
      </w:r>
      <w:r>
        <w:t>16</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_Toc381880598 \h </w:instrText>
      </w:r>
      <w:r>
        <w:fldChar w:fldCharType="separate"/>
      </w:r>
      <w:r>
        <w:t>18</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_Toc381880599 \h </w:instrText>
      </w:r>
      <w:r>
        <w:fldChar w:fldCharType="separate"/>
      </w:r>
      <w:r>
        <w:t>19</w:t>
      </w:r>
      <w:r>
        <w:fldChar w:fldCharType="end"/>
      </w:r>
    </w:p>
    <w:p>
      <w:pPr>
        <w:pStyle w:val="TOC6"/>
        <w:tabs>
          <w:tab w:val="right" w:leader="dot" w:pos="7086"/>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_Toc381880601 \h </w:instrText>
      </w:r>
      <w:r>
        <w:fldChar w:fldCharType="separate"/>
      </w:r>
      <w:r>
        <w:t>19</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_Toc381880602 \h </w:instrText>
      </w:r>
      <w:r>
        <w:fldChar w:fldCharType="separate"/>
      </w:r>
      <w:r>
        <w:t>21</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_Toc381880603 \h </w:instrText>
      </w:r>
      <w:r>
        <w:fldChar w:fldCharType="separate"/>
      </w:r>
      <w:r>
        <w:t>21</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_Toc381880604 \h </w:instrText>
      </w:r>
      <w:r>
        <w:fldChar w:fldCharType="separate"/>
      </w:r>
      <w:r>
        <w:t>22</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_Toc381880605 \h </w:instrText>
      </w:r>
      <w:r>
        <w:fldChar w:fldCharType="separate"/>
      </w:r>
      <w:r>
        <w:t>23</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_Toc381880606 \h </w:instrText>
      </w:r>
      <w:r>
        <w:fldChar w:fldCharType="separate"/>
      </w:r>
      <w:r>
        <w:t>24</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_Toc381880607 \h </w:instrText>
      </w:r>
      <w:r>
        <w:fldChar w:fldCharType="separate"/>
      </w:r>
      <w:r>
        <w:t>24</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_Toc381880608 \h </w:instrText>
      </w:r>
      <w:r>
        <w:fldChar w:fldCharType="separate"/>
      </w:r>
      <w:r>
        <w:t>25</w:t>
      </w:r>
      <w:r>
        <w:fldChar w:fldCharType="end"/>
      </w:r>
    </w:p>
    <w:p>
      <w:pPr>
        <w:pStyle w:val="TOC6"/>
        <w:tabs>
          <w:tab w:val="right" w:leader="dot" w:pos="7086"/>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_Toc381880610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_Toc381880612 \h </w:instrText>
      </w:r>
      <w:r>
        <w:fldChar w:fldCharType="separate"/>
      </w:r>
      <w:r>
        <w:t>27</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_Toc381880613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_Toc381880615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_Toc381880617 \h </w:instrText>
      </w:r>
      <w:r>
        <w:fldChar w:fldCharType="separate"/>
      </w:r>
      <w:r>
        <w:t>29</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_Toc381880618 \h </w:instrText>
      </w:r>
      <w:r>
        <w:fldChar w:fldCharType="separate"/>
      </w:r>
      <w:r>
        <w:t>29</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_Toc381880619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_Toc381880621 \h </w:instrText>
      </w:r>
      <w:r>
        <w:fldChar w:fldCharType="separate"/>
      </w:r>
      <w:r>
        <w:t>31</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employers</w:t>
      </w:r>
      <w:r>
        <w:tab/>
      </w:r>
      <w:r>
        <w:fldChar w:fldCharType="begin"/>
      </w:r>
      <w:r>
        <w:instrText xml:space="preserve"> PAGEREF _Toc381880622 \h </w:instrText>
      </w:r>
      <w:r>
        <w:fldChar w:fldCharType="separate"/>
      </w:r>
      <w:r>
        <w:t>32</w:t>
      </w:r>
      <w:r>
        <w:fldChar w:fldCharType="end"/>
      </w:r>
    </w:p>
    <w:p>
      <w:pPr>
        <w:pStyle w:val="TOC8"/>
        <w:rPr>
          <w:rFonts w:asciiTheme="minorHAnsi" w:eastAsiaTheme="minorEastAsia" w:hAnsiTheme="minorHAnsi" w:cstheme="minorBidi"/>
          <w:szCs w:val="22"/>
        </w:rPr>
      </w:pPr>
      <w:r>
        <w:t>12</w:t>
      </w:r>
      <w:r>
        <w:rPr>
          <w:color w:val="000000"/>
        </w:rPr>
        <w:t>.</w:t>
      </w:r>
      <w:r>
        <w:rPr>
          <w:color w:val="000000"/>
        </w:rPr>
        <w:tab/>
        <w:t>Apportioned threshold amount: local non</w:t>
      </w:r>
      <w:r>
        <w:rPr>
          <w:color w:val="000000"/>
        </w:rPr>
        <w:noBreakHyphen/>
        <w:t>group employers</w:t>
      </w:r>
      <w:r>
        <w:tab/>
      </w:r>
      <w:r>
        <w:fldChar w:fldCharType="begin"/>
      </w:r>
      <w:r>
        <w:instrText xml:space="preserve"> PAGEREF _Toc381880623 \h </w:instrText>
      </w:r>
      <w:r>
        <w:fldChar w:fldCharType="separate"/>
      </w:r>
      <w:r>
        <w:t>32</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_Toc381880624 \h </w:instrText>
      </w:r>
      <w:r>
        <w:fldChar w:fldCharType="separate"/>
      </w:r>
      <w:r>
        <w:t>33</w:t>
      </w:r>
      <w:r>
        <w:fldChar w:fldCharType="end"/>
      </w:r>
    </w:p>
    <w:p>
      <w:pPr>
        <w:pStyle w:val="TOC8"/>
        <w:rPr>
          <w:rFonts w:asciiTheme="minorHAnsi" w:eastAsiaTheme="minorEastAsia" w:hAnsiTheme="minorHAnsi" w:cstheme="minorBidi"/>
          <w:szCs w:val="22"/>
        </w:rPr>
      </w:pPr>
      <w:r>
        <w:t>14</w:t>
      </w:r>
      <w:r>
        <w:rPr>
          <w:color w:val="000000"/>
        </w:rPr>
        <w:t>.</w:t>
      </w:r>
      <w:r>
        <w:rPr>
          <w:color w:val="000000"/>
        </w:rPr>
        <w:tab/>
        <w:t>Apportioned threshold amounts: interstate non</w:t>
      </w:r>
      <w:r>
        <w:rPr>
          <w:color w:val="000000"/>
        </w:rPr>
        <w:noBreakHyphen/>
        <w:t>group employers</w:t>
      </w:r>
      <w:r>
        <w:tab/>
      </w:r>
      <w:r>
        <w:fldChar w:fldCharType="begin"/>
      </w:r>
      <w:r>
        <w:instrText xml:space="preserve"> PAGEREF _Toc381880625 \h </w:instrText>
      </w:r>
      <w:r>
        <w:fldChar w:fldCharType="separate"/>
      </w:r>
      <w:r>
        <w:t>34</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_Toc381880626 \h </w:instrText>
      </w:r>
      <w:r>
        <w:fldChar w:fldCharType="separate"/>
      </w:r>
      <w:r>
        <w:t>35</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_Toc381880627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_Toc381880629 \h </w:instrText>
      </w:r>
      <w:r>
        <w:fldChar w:fldCharType="separate"/>
      </w:r>
      <w:r>
        <w:t>36</w:t>
      </w:r>
      <w:r>
        <w:fldChar w:fldCharType="end"/>
      </w:r>
    </w:p>
    <w:p>
      <w:pPr>
        <w:pStyle w:val="TOC8"/>
        <w:rPr>
          <w:rFonts w:asciiTheme="minorHAnsi" w:eastAsiaTheme="minorEastAsia" w:hAnsiTheme="minorHAnsi" w:cstheme="minorBidi"/>
          <w:szCs w:val="22"/>
        </w:rPr>
      </w:pPr>
      <w:r>
        <w:t>18</w:t>
      </w:r>
      <w:r>
        <w:rPr>
          <w:color w:val="000000"/>
        </w:rPr>
        <w:t>.</w:t>
      </w:r>
      <w:r>
        <w:rPr>
          <w:color w:val="000000"/>
        </w:rPr>
        <w:tab/>
        <w:t>Apportioned threshold amounts: groups</w:t>
      </w:r>
      <w:r>
        <w:tab/>
      </w:r>
      <w:r>
        <w:fldChar w:fldCharType="begin"/>
      </w:r>
      <w:r>
        <w:instrText xml:space="preserve"> PAGEREF _Toc381880630 \h </w:instrText>
      </w:r>
      <w:r>
        <w:fldChar w:fldCharType="separate"/>
      </w:r>
      <w:r>
        <w:t>38</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_Toc381880631 \h </w:instrText>
      </w:r>
      <w:r>
        <w:fldChar w:fldCharType="separate"/>
      </w:r>
      <w:r>
        <w:t>39</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_Toc381880632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_Toc381880634 \h </w:instrText>
      </w:r>
      <w:r>
        <w:fldChar w:fldCharType="separate"/>
      </w:r>
      <w:r>
        <w:t>40</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_Toc381880635 \h </w:instrText>
      </w:r>
      <w:r>
        <w:fldChar w:fldCharType="separate"/>
      </w:r>
      <w:r>
        <w:t>41</w:t>
      </w:r>
      <w:r>
        <w:fldChar w:fldCharType="end"/>
      </w:r>
    </w:p>
    <w:p>
      <w:pPr>
        <w:pStyle w:val="TOC8"/>
        <w:rPr>
          <w:rFonts w:asciiTheme="minorHAnsi" w:eastAsiaTheme="minorEastAsia" w:hAnsiTheme="minorHAnsi" w:cstheme="minorBidi"/>
          <w:szCs w:val="22"/>
        </w:rPr>
      </w:pPr>
      <w:r>
        <w:t>22A.</w:t>
      </w:r>
      <w:r>
        <w:tab/>
        <w:t>Effect of change in tax rate during 2004/5 year</w:t>
      </w:r>
      <w:r>
        <w:tab/>
      </w:r>
      <w:r>
        <w:fldChar w:fldCharType="begin"/>
      </w:r>
      <w:r>
        <w:instrText xml:space="preserve"> PAGEREF _Toc381880636 \h </w:instrText>
      </w:r>
      <w:r>
        <w:fldChar w:fldCharType="separate"/>
      </w:r>
      <w:r>
        <w:t>41</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_Toc381880637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_Toc381880639 \h </w:instrText>
      </w:r>
      <w:r>
        <w:fldChar w:fldCharType="separate"/>
      </w:r>
      <w:r>
        <w:t>45</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_Toc381880640 \h </w:instrText>
      </w:r>
      <w:r>
        <w:fldChar w:fldCharType="separate"/>
      </w:r>
      <w:r>
        <w:t>45</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_Toc381880641 \h </w:instrText>
      </w:r>
      <w:r>
        <w:fldChar w:fldCharType="separate"/>
      </w:r>
      <w:r>
        <w:t>46</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_Toc381880642 \h </w:instrText>
      </w:r>
      <w:r>
        <w:fldChar w:fldCharType="separate"/>
      </w:r>
      <w:r>
        <w:t>47</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_Toc381880643 \h </w:instrText>
      </w:r>
      <w:r>
        <w:fldChar w:fldCharType="separate"/>
      </w:r>
      <w:r>
        <w:t>47</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_Toc381880644 \h </w:instrText>
      </w:r>
      <w:r>
        <w:fldChar w:fldCharType="separate"/>
      </w:r>
      <w:r>
        <w:t>48</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_Toc381880645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_Toc381880647 \h </w:instrText>
      </w:r>
      <w:r>
        <w:fldChar w:fldCharType="separate"/>
      </w:r>
      <w:r>
        <w:t>53</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_Toc381880648 \h </w:instrText>
      </w:r>
      <w:r>
        <w:fldChar w:fldCharType="separate"/>
      </w:r>
      <w:r>
        <w:t>53</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_Toc381880649 \h </w:instrText>
      </w:r>
      <w:r>
        <w:fldChar w:fldCharType="separate"/>
      </w:r>
      <w:r>
        <w:t>54</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_Toc381880650 \h </w:instrText>
      </w:r>
      <w:r>
        <w:fldChar w:fldCharType="separate"/>
      </w:r>
      <w:r>
        <w:t>54</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_Toc381880651 \h </w:instrText>
      </w:r>
      <w:r>
        <w:fldChar w:fldCharType="separate"/>
      </w:r>
      <w:r>
        <w:t>56</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_Toc381880652 \h </w:instrText>
      </w:r>
      <w:r>
        <w:fldChar w:fldCharType="separate"/>
      </w:r>
      <w:r>
        <w:t>57</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_Toc381880653 \h </w:instrText>
      </w:r>
      <w:r>
        <w:fldChar w:fldCharType="separate"/>
      </w:r>
      <w:r>
        <w:t>58</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_Toc381880654 \h </w:instrText>
      </w:r>
      <w:r>
        <w:fldChar w:fldCharType="separate"/>
      </w:r>
      <w:r>
        <w:t>59</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_Toc381880655 \h </w:instrText>
      </w:r>
      <w:r>
        <w:fldChar w:fldCharType="separate"/>
      </w:r>
      <w:r>
        <w:t>60</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_Toc381880656 \h </w:instrText>
      </w:r>
      <w:r>
        <w:fldChar w:fldCharType="separate"/>
      </w:r>
      <w:r>
        <w:t>60</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_Toc381880657 \h </w:instrText>
      </w:r>
      <w:r>
        <w:fldChar w:fldCharType="separate"/>
      </w:r>
      <w:r>
        <w:t>61</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_Toc381880658 \h </w:instrText>
      </w:r>
      <w:r>
        <w:fldChar w:fldCharType="separate"/>
      </w:r>
      <w:r>
        <w:t>61</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_Toc381880659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_Toc381880661 \h </w:instrText>
      </w:r>
      <w:r>
        <w:fldChar w:fldCharType="separate"/>
      </w:r>
      <w:r>
        <w:t>64</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_Toc381880662 \h </w:instrText>
      </w:r>
      <w:r>
        <w:fldChar w:fldCharType="separate"/>
      </w:r>
      <w:r>
        <w:t>67</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_Toc381880663 \h </w:instrText>
      </w:r>
      <w:r>
        <w:fldChar w:fldCharType="separate"/>
      </w:r>
      <w:r>
        <w:t>68</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_Toc381880664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_Toc381880666 \h </w:instrText>
      </w:r>
      <w:r>
        <w:fldChar w:fldCharType="separate"/>
      </w:r>
      <w:r>
        <w:t>71</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_Toc381880667 \h </w:instrText>
      </w:r>
      <w:r>
        <w:fldChar w:fldCharType="separate"/>
      </w:r>
      <w:r>
        <w:t>71</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_Toc381880668 \h </w:instrText>
      </w:r>
      <w:r>
        <w:fldChar w:fldCharType="separate"/>
      </w:r>
      <w:r>
        <w:t>72</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_Toc381880669 \h </w:instrText>
      </w:r>
      <w:r>
        <w:fldChar w:fldCharType="separate"/>
      </w:r>
      <w:r>
        <w:t>73</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_Toc381880670 \h </w:instrText>
      </w:r>
      <w:r>
        <w:fldChar w:fldCharType="separate"/>
      </w:r>
      <w:r>
        <w:t>74</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_Toc381880671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_Toc381880674 \h </w:instrText>
      </w:r>
      <w:r>
        <w:fldChar w:fldCharType="separate"/>
      </w:r>
      <w:r>
        <w:t>76</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_Toc381880675 \h </w:instrText>
      </w:r>
      <w:r>
        <w:fldChar w:fldCharType="separate"/>
      </w:r>
      <w:r>
        <w:t>76</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_Toc381880676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_Toc381880678 \h </w:instrText>
      </w:r>
      <w:r>
        <w:fldChar w:fldCharType="separate"/>
      </w:r>
      <w:r>
        <w:t>77</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_Toc381880679 \h </w:instrText>
      </w:r>
      <w:r>
        <w:fldChar w:fldCharType="separate"/>
      </w:r>
      <w:r>
        <w:t>77</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_Toc381880680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_Toc381880682 \h </w:instrText>
      </w:r>
      <w:r>
        <w:fldChar w:fldCharType="separate"/>
      </w:r>
      <w:r>
        <w:t>78</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_Toc381880683 \h </w:instrText>
      </w:r>
      <w:r>
        <w:fldChar w:fldCharType="separate"/>
      </w:r>
      <w:r>
        <w:t>78</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_Toc381880684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_Toc381880686 \h </w:instrText>
      </w:r>
      <w:r>
        <w:fldChar w:fldCharType="separate"/>
      </w:r>
      <w:r>
        <w:t>80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_Toc381880688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rStyle w:val="CharPartNo"/>
        </w:rPr>
      </w:pPr>
      <w:r>
        <w:fldChar w:fldCharType="end"/>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uppressLineNumbers/>
        <w:spacing w:before="120"/>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1" w:name="_Toc381880566"/>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188056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3" w:name="_Toc381880568"/>
      <w:r>
        <w:rPr>
          <w:rStyle w:val="CharSectno"/>
        </w:rPr>
        <w:t>2</w:t>
      </w:r>
      <w:r>
        <w:t>.</w:t>
      </w:r>
      <w:r>
        <w:tab/>
        <w:t>Commencement</w:t>
      </w:r>
      <w:bookmarkEnd w:id="3"/>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4" w:name="_Toc381880569"/>
      <w:r>
        <w:rPr>
          <w:rStyle w:val="CharSectno"/>
        </w:rPr>
        <w:t>3</w:t>
      </w:r>
      <w:r>
        <w:t>.</w:t>
      </w:r>
      <w:r>
        <w:tab/>
        <w:t>Relationship with other Acts</w:t>
      </w:r>
      <w:bookmarkEnd w:id="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5" w:name="_Toc381880570"/>
      <w:r>
        <w:rPr>
          <w:rStyle w:val="CharSectno"/>
        </w:rPr>
        <w:t>4</w:t>
      </w:r>
      <w:r>
        <w:t>.</w:t>
      </w:r>
      <w:r>
        <w:tab/>
        <w:t>Terms used</w:t>
      </w:r>
      <w:bookmarkEnd w:id="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6" w:name="_Toc381880571"/>
      <w:r>
        <w:rPr>
          <w:rStyle w:val="CharSectno"/>
        </w:rPr>
        <w:t>5A</w:t>
      </w:r>
      <w:r>
        <w:t>.</w:t>
      </w:r>
      <w:r>
        <w:tab/>
        <w:t>Notes in text</w:t>
      </w:r>
      <w:bookmarkEnd w:id="6"/>
    </w:p>
    <w:p>
      <w:pPr>
        <w:pStyle w:val="Subsection"/>
      </w:pPr>
      <w:r>
        <w:tab/>
      </w:r>
      <w:r>
        <w:tab/>
        <w:t>A note included in this Act is explanatory and is not part of this Act.</w:t>
      </w:r>
    </w:p>
    <w:p>
      <w:pPr>
        <w:pStyle w:val="Footnotesection"/>
      </w:pPr>
      <w:r>
        <w:tab/>
        <w:t>[Section 5A inserted by No. 15 of 2010 s. 4.]</w:t>
      </w:r>
    </w:p>
    <w:p>
      <w:pPr>
        <w:pStyle w:val="Heading2"/>
      </w:pPr>
      <w:bookmarkStart w:id="7" w:name="_Toc381880572"/>
      <w:r>
        <w:rPr>
          <w:rStyle w:val="CharPartNo"/>
        </w:rPr>
        <w:t>Part 2</w:t>
      </w:r>
      <w:r>
        <w:t xml:space="preserve"> — </w:t>
      </w:r>
      <w:r>
        <w:rPr>
          <w:rStyle w:val="CharPartText"/>
        </w:rPr>
        <w:t>Liability and assessment</w:t>
      </w:r>
      <w:bookmarkEnd w:id="7"/>
    </w:p>
    <w:p>
      <w:pPr>
        <w:pStyle w:val="Heading3"/>
      </w:pPr>
      <w:bookmarkStart w:id="8" w:name="_Toc381880573"/>
      <w:r>
        <w:rPr>
          <w:rStyle w:val="CharDivNo"/>
        </w:rPr>
        <w:t>Division 1</w:t>
      </w:r>
      <w:r>
        <w:t xml:space="preserve"> — </w:t>
      </w:r>
      <w:r>
        <w:rPr>
          <w:rStyle w:val="CharDivText"/>
        </w:rPr>
        <w:t>Liability to pay</w:t>
      </w:r>
      <w:r>
        <w:rPr>
          <w:rStyle w:val="CharDivText"/>
        </w:rPr>
        <w:noBreakHyphen/>
        <w:t>roll tax</w:t>
      </w:r>
      <w:bookmarkEnd w:id="8"/>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9" w:name="_Toc381880574"/>
      <w:r>
        <w:rPr>
          <w:rStyle w:val="CharSectno"/>
        </w:rPr>
        <w:t>5</w:t>
      </w:r>
      <w:r>
        <w:t>.</w:t>
      </w:r>
      <w:r>
        <w:tab/>
        <w:t>Pay</w:t>
      </w:r>
      <w:r>
        <w:noBreakHyphen/>
        <w:t>roll tax on WA taxable wages</w:t>
      </w:r>
      <w:bookmarkEnd w:id="9"/>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by No. 15 of 2010 s. 5.]</w:t>
      </w:r>
    </w:p>
    <w:p>
      <w:pPr>
        <w:pStyle w:val="Heading5"/>
      </w:pPr>
      <w:bookmarkStart w:id="10" w:name="_Toc381880575"/>
      <w:r>
        <w:rPr>
          <w:rStyle w:val="CharSectno"/>
        </w:rPr>
        <w:t>6A</w:t>
      </w:r>
      <w:r>
        <w:t>.</w:t>
      </w:r>
      <w:r>
        <w:tab/>
        <w:t>Wages that are taxable in this jurisdiction</w:t>
      </w:r>
      <w:bookmarkEnd w:id="10"/>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NotesPerm"/>
        <w:tabs>
          <w:tab w:val="clear" w:pos="879"/>
          <w:tab w:val="left" w:pos="851"/>
        </w:tabs>
        <w:spacing w:before="140"/>
        <w:ind w:left="1418" w:hanging="1418"/>
      </w:pPr>
      <w:r>
        <w:tab/>
        <w:t>Note:</w:t>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NotesPerm"/>
        <w:tabs>
          <w:tab w:val="left" w:pos="851"/>
        </w:tabs>
        <w:spacing w:before="140"/>
        <w:ind w:left="1418" w:hanging="1418"/>
      </w:pPr>
      <w:r>
        <w:tab/>
        <w:t>Note:</w:t>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NotesPerm"/>
        <w:tabs>
          <w:tab w:val="left" w:pos="851"/>
        </w:tabs>
        <w:ind w:left="1418" w:hanging="1418"/>
      </w:pPr>
      <w:r>
        <w:tab/>
        <w:t>Note:</w:t>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by No. 15 of 2010 s. 6.]</w:t>
      </w:r>
    </w:p>
    <w:p>
      <w:pPr>
        <w:pStyle w:val="Heading5"/>
      </w:pPr>
      <w:bookmarkStart w:id="11" w:name="_Toc381880576"/>
      <w:r>
        <w:rPr>
          <w:rStyle w:val="CharSectno"/>
        </w:rPr>
        <w:t>6B</w:t>
      </w:r>
      <w:r>
        <w:t>.</w:t>
      </w:r>
      <w:r>
        <w:tab/>
        <w:t>Jurisdiction in which person who performs services is based</w:t>
      </w:r>
      <w:bookmarkEnd w:id="11"/>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by No. 15 of 2010 s. 6.]</w:t>
      </w:r>
    </w:p>
    <w:p>
      <w:pPr>
        <w:pStyle w:val="Heading5"/>
      </w:pPr>
      <w:bookmarkStart w:id="12" w:name="_Toc381880577"/>
      <w:r>
        <w:rPr>
          <w:rStyle w:val="CharSectno"/>
        </w:rPr>
        <w:t>6C</w:t>
      </w:r>
      <w:r>
        <w:t>.</w:t>
      </w:r>
      <w:r>
        <w:tab/>
        <w:t>Jurisdiction in which employer is based</w:t>
      </w:r>
      <w:bookmarkEnd w:id="12"/>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by No. 15 of 2010 s. 6.]</w:t>
      </w:r>
    </w:p>
    <w:p>
      <w:pPr>
        <w:pStyle w:val="Heading5"/>
        <w:spacing w:before="260"/>
      </w:pPr>
      <w:bookmarkStart w:id="13" w:name="_Toc381880578"/>
      <w:r>
        <w:rPr>
          <w:rStyle w:val="CharSectno"/>
        </w:rPr>
        <w:t>6D</w:t>
      </w:r>
      <w:r>
        <w:t>.</w:t>
      </w:r>
      <w:r>
        <w:tab/>
        <w:t>Place and date of payment of wages</w:t>
      </w:r>
      <w:bookmarkEnd w:id="13"/>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by No. 15 of 2010 s. 6.]</w:t>
      </w:r>
    </w:p>
    <w:p>
      <w:pPr>
        <w:pStyle w:val="Heading5"/>
      </w:pPr>
      <w:bookmarkStart w:id="14" w:name="_Toc381880579"/>
      <w:r>
        <w:rPr>
          <w:rStyle w:val="CharSectno"/>
        </w:rPr>
        <w:t>6</w:t>
      </w:r>
      <w:r>
        <w:t>.</w:t>
      </w:r>
      <w:r>
        <w:tab/>
        <w:t>Time for payment of pay</w:t>
      </w:r>
      <w:r>
        <w:noBreakHyphen/>
        <w:t>roll tax</w:t>
      </w:r>
      <w:bookmarkEnd w:id="14"/>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5" w:name="_Toc381880580"/>
      <w:r>
        <w:rPr>
          <w:rStyle w:val="CharSectno"/>
        </w:rPr>
        <w:t>7</w:t>
      </w:r>
      <w:r>
        <w:t>.</w:t>
      </w:r>
      <w:r>
        <w:tab/>
        <w:t>Liability to pay</w:t>
      </w:r>
      <w:r>
        <w:noBreakHyphen/>
        <w:t>roll tax</w:t>
      </w:r>
      <w:bookmarkEnd w:id="15"/>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6" w:name="_Toc381880581"/>
      <w:r>
        <w:rPr>
          <w:rStyle w:val="CharSectno"/>
        </w:rPr>
        <w:t>8</w:t>
      </w:r>
      <w:r>
        <w:t>.</w:t>
      </w:r>
      <w:r>
        <w:tab/>
        <w:t>Tax thresholds</w:t>
      </w:r>
      <w:bookmarkEnd w:id="16"/>
    </w:p>
    <w:p>
      <w:pPr>
        <w:pStyle w:val="Subsection"/>
      </w:pPr>
      <w:r>
        <w:tab/>
        <w:t>(1)</w:t>
      </w:r>
      <w:r>
        <w:tab/>
        <w:t>The annual threshold amount for a financial year beginning on or after 1 July </w:t>
      </w:r>
      <w:r>
        <w:rPr>
          <w:color w:val="000000"/>
        </w:rPr>
        <w:t>2003 is $750 000</w:t>
      </w:r>
      <w:r>
        <w:t>.</w:t>
      </w:r>
    </w:p>
    <w:p>
      <w:pPr>
        <w:pStyle w:val="Subsection"/>
      </w:pPr>
      <w:r>
        <w:tab/>
        <w:t>(2)</w:t>
      </w:r>
      <w:r>
        <w:tab/>
        <w:t>The monthly threshold amount for a financial year beginning on or after 1 July </w:t>
      </w:r>
      <w:r>
        <w:rPr>
          <w:color w:val="000000"/>
        </w:rPr>
        <w:t>2003 is $62 500</w:t>
      </w:r>
      <w:r>
        <w:t>.</w:t>
      </w:r>
    </w:p>
    <w:p>
      <w:pPr>
        <w:pStyle w:val="Footnotesection"/>
        <w:spacing w:before="100"/>
        <w:ind w:left="890" w:hanging="890"/>
      </w:pPr>
      <w:r>
        <w:tab/>
        <w:t>[Section 8 amended by No. 40 of 2003 s. 12.]</w:t>
      </w:r>
    </w:p>
    <w:p>
      <w:pPr>
        <w:pStyle w:val="Ednotesection"/>
      </w:pPr>
      <w:r>
        <w:t>[</w:t>
      </w:r>
      <w:r>
        <w:rPr>
          <w:b/>
        </w:rPr>
        <w:t>9.</w:t>
      </w:r>
      <w:r>
        <w:tab/>
        <w:t>Deleted by No. 40 of 2003 s. 13.]</w:t>
      </w:r>
    </w:p>
    <w:p>
      <w:pPr>
        <w:pStyle w:val="Heading3"/>
      </w:pPr>
      <w:bookmarkStart w:id="17" w:name="_Toc381880582"/>
      <w:r>
        <w:rPr>
          <w:rStyle w:val="CharDivNo"/>
        </w:rPr>
        <w:t>Division 2A</w:t>
      </w:r>
      <w:r>
        <w:t> — </w:t>
      </w:r>
      <w:r>
        <w:rPr>
          <w:rStyle w:val="CharDivText"/>
        </w:rPr>
        <w:t>Wages</w:t>
      </w:r>
      <w:bookmarkEnd w:id="17"/>
    </w:p>
    <w:p>
      <w:pPr>
        <w:pStyle w:val="Footnoteheading"/>
        <w:spacing w:before="100"/>
      </w:pPr>
      <w:r>
        <w:tab/>
        <w:t>[Heading inserted by No. 15 of 2010 s. 7.]</w:t>
      </w:r>
    </w:p>
    <w:p>
      <w:pPr>
        <w:pStyle w:val="Heading4"/>
      </w:pPr>
      <w:bookmarkStart w:id="18" w:name="_Toc381880583"/>
      <w:r>
        <w:t>Subdivision 1 — General concept of wages</w:t>
      </w:r>
      <w:bookmarkEnd w:id="18"/>
    </w:p>
    <w:p>
      <w:pPr>
        <w:pStyle w:val="Footnoteheading"/>
        <w:spacing w:before="100"/>
      </w:pPr>
      <w:r>
        <w:tab/>
        <w:t>[Heading inserted by No. 15 of 2010 s. 7.]</w:t>
      </w:r>
    </w:p>
    <w:p>
      <w:pPr>
        <w:pStyle w:val="Heading5"/>
      </w:pPr>
      <w:bookmarkStart w:id="19" w:name="_Toc381880584"/>
      <w:r>
        <w:rPr>
          <w:rStyle w:val="CharSectno"/>
        </w:rPr>
        <w:t>9AA</w:t>
      </w:r>
      <w:r>
        <w:t>.</w:t>
      </w:r>
      <w:r>
        <w:tab/>
        <w:t>Term used: wages</w:t>
      </w:r>
      <w:bookmarkEnd w:id="19"/>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by No. 15 of 2010 s. 7.]</w:t>
      </w:r>
    </w:p>
    <w:p>
      <w:pPr>
        <w:pStyle w:val="Heading4"/>
      </w:pPr>
      <w:bookmarkStart w:id="20" w:name="_Toc381880585"/>
      <w:r>
        <w:t>Subdivision 2 — Fringe benefits and specified taxable benefits</w:t>
      </w:r>
      <w:bookmarkEnd w:id="20"/>
    </w:p>
    <w:p>
      <w:pPr>
        <w:pStyle w:val="Footnoteheading"/>
      </w:pPr>
      <w:r>
        <w:tab/>
        <w:t>[Heading inserted by No. 15 of 2010 s. 7.]</w:t>
      </w:r>
    </w:p>
    <w:p>
      <w:pPr>
        <w:pStyle w:val="Heading5"/>
      </w:pPr>
      <w:bookmarkStart w:id="21" w:name="_Toc381880586"/>
      <w:r>
        <w:rPr>
          <w:rStyle w:val="CharSectno"/>
        </w:rPr>
        <w:t>9BA</w:t>
      </w:r>
      <w:r>
        <w:t>.</w:t>
      </w:r>
      <w:r>
        <w:tab/>
        <w:t>Wages include fringe benefits and specified taxable benefits</w:t>
      </w:r>
      <w:bookmarkEnd w:id="21"/>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by No. 15 of 2010 s. 7; amended by No. 29 of 2012 s. 17.]</w:t>
      </w:r>
    </w:p>
    <w:p>
      <w:pPr>
        <w:pStyle w:val="Heading5"/>
      </w:pPr>
      <w:bookmarkStart w:id="22" w:name="_Toc381880587"/>
      <w:r>
        <w:rPr>
          <w:rStyle w:val="CharSectno"/>
        </w:rPr>
        <w:t>9BB</w:t>
      </w:r>
      <w:r>
        <w:t>.</w:t>
      </w:r>
      <w:r>
        <w:tab/>
        <w:t>Actual value of fringe benefit</w:t>
      </w:r>
      <w:bookmarkEnd w:id="22"/>
    </w:p>
    <w:p>
      <w:pPr>
        <w:pStyle w:val="Subsection"/>
      </w:pPr>
      <w:r>
        <w:tab/>
        <w:t>(1)</w:t>
      </w:r>
      <w:r>
        <w:tab/>
        <w:t>The value of a fringe benefit (</w:t>
      </w:r>
      <w:r>
        <w:rPr>
          <w:b/>
          <w:i/>
        </w:rPr>
        <w:t>V</w:t>
      </w:r>
      <w:r>
        <w:t xml:space="preserve">) is to be calculated in accordance with the formula — </w:t>
      </w:r>
    </w:p>
    <w:p>
      <w:pPr>
        <w:pStyle w:val="Equation"/>
        <w:shd w:val="clear" w:color="000000" w:fill="auto"/>
        <w:ind w:left="1418"/>
      </w:pPr>
      <w:r>
        <w:rPr>
          <w:position w:val="-24"/>
        </w:rPr>
        <w:drawing>
          <wp:inline distT="0" distB="0" distL="0" distR="0">
            <wp:extent cx="139954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9540" cy="397510"/>
                    </a:xfrm>
                    <a:prstGeom prst="rect">
                      <a:avLst/>
                    </a:prstGeom>
                    <a:noFill/>
                    <a:ln>
                      <a:noFill/>
                    </a:ln>
                  </pic:spPr>
                </pic:pic>
              </a:graphicData>
            </a:graphic>
          </wp:inline>
        </w:drawing>
      </w:r>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by No. 15 of 2010 s. 7.]</w:t>
      </w:r>
    </w:p>
    <w:p>
      <w:pPr>
        <w:pStyle w:val="Heading5"/>
      </w:pPr>
      <w:bookmarkStart w:id="23" w:name="_Toc381880588"/>
      <w:r>
        <w:rPr>
          <w:rStyle w:val="CharSectno"/>
        </w:rPr>
        <w:t>9BC</w:t>
      </w:r>
      <w:r>
        <w:t>.</w:t>
      </w:r>
      <w:r>
        <w:tab/>
        <w:t>Basis for including value of fringe benefits in returns</w:t>
      </w:r>
      <w:bookmarkEnd w:id="23"/>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by No. 15 of 2010 s. 7.]</w:t>
      </w:r>
    </w:p>
    <w:p>
      <w:pPr>
        <w:pStyle w:val="Heading5"/>
      </w:pPr>
      <w:bookmarkStart w:id="24" w:name="_Toc381880589"/>
      <w:r>
        <w:rPr>
          <w:rStyle w:val="CharSectno"/>
        </w:rPr>
        <w:t>9BD</w:t>
      </w:r>
      <w:r>
        <w:t>.</w:t>
      </w:r>
      <w:r>
        <w:tab/>
        <w:t>Eligibility to use estimated value method</w:t>
      </w:r>
      <w:bookmarkEnd w:id="24"/>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by No. 15 of 2010 s. 7.]</w:t>
      </w:r>
    </w:p>
    <w:p>
      <w:pPr>
        <w:pStyle w:val="Heading5"/>
      </w:pPr>
      <w:bookmarkStart w:id="25" w:name="_Toc381880590"/>
      <w:r>
        <w:rPr>
          <w:rStyle w:val="CharSectno"/>
        </w:rPr>
        <w:t>9BE</w:t>
      </w:r>
      <w:r>
        <w:t>.</w:t>
      </w:r>
      <w:r>
        <w:tab/>
        <w:t>Returns (other than annual returns) using estimated value method</w:t>
      </w:r>
      <w:bookmarkEnd w:id="25"/>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Equation"/>
        <w:shd w:val="clear" w:color="000000" w:fill="auto"/>
        <w:ind w:left="1418"/>
      </w:pPr>
      <w:r>
        <w:rPr>
          <w:position w:val="-24"/>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by No. 15 of 2010 s. 7.]</w:t>
      </w:r>
    </w:p>
    <w:p>
      <w:pPr>
        <w:pStyle w:val="Heading5"/>
      </w:pPr>
      <w:bookmarkStart w:id="26" w:name="_Toc381880591"/>
      <w:r>
        <w:rPr>
          <w:rStyle w:val="CharSectno"/>
        </w:rPr>
        <w:t>9BF</w:t>
      </w:r>
      <w:r>
        <w:t>.</w:t>
      </w:r>
      <w:r>
        <w:tab/>
        <w:t>Annual returns using estimated value method</w:t>
      </w:r>
      <w:bookmarkEnd w:id="26"/>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by No. 15 of 2010 s. 7.]</w:t>
      </w:r>
    </w:p>
    <w:p>
      <w:pPr>
        <w:pStyle w:val="Heading5"/>
      </w:pPr>
      <w:bookmarkStart w:id="27" w:name="_Toc381880592"/>
      <w:r>
        <w:rPr>
          <w:rStyle w:val="CharSectno"/>
        </w:rPr>
        <w:t>9BG</w:t>
      </w:r>
      <w:r>
        <w:t>.</w:t>
      </w:r>
      <w:r>
        <w:tab/>
        <w:t>Final returns using estimated value method</w:t>
      </w:r>
      <w:bookmarkEnd w:id="27"/>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by No. 15 of 2010 s. 7.]</w:t>
      </w:r>
    </w:p>
    <w:p>
      <w:pPr>
        <w:pStyle w:val="Heading5"/>
      </w:pPr>
      <w:bookmarkStart w:id="28" w:name="_Toc381880593"/>
      <w:r>
        <w:rPr>
          <w:rStyle w:val="CharSectno"/>
        </w:rPr>
        <w:t>9BH</w:t>
      </w:r>
      <w:r>
        <w:t>.</w:t>
      </w:r>
      <w:r>
        <w:tab/>
        <w:t>Changing method of valuing fringe benefits</w:t>
      </w:r>
      <w:bookmarkEnd w:id="28"/>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by No. 15 of 2010 s. 7.]</w:t>
      </w:r>
    </w:p>
    <w:p>
      <w:pPr>
        <w:pStyle w:val="Heading5"/>
      </w:pPr>
      <w:bookmarkStart w:id="29" w:name="_Toc381880594"/>
      <w:r>
        <w:rPr>
          <w:rStyle w:val="CharSectno"/>
        </w:rPr>
        <w:t>9BI</w:t>
      </w:r>
      <w:r>
        <w:t>.</w:t>
      </w:r>
      <w:r>
        <w:tab/>
        <w:t>Value of specified taxable benefit</w:t>
      </w:r>
      <w:bookmarkEnd w:id="29"/>
    </w:p>
    <w:p>
      <w:pPr>
        <w:pStyle w:val="Subsection"/>
      </w:pPr>
      <w:r>
        <w:tab/>
      </w:r>
      <w:r>
        <w:tab/>
        <w:t>The value of a specified taxable benefit is the prescribed value, or the value calculated in the prescribed manner (whichever is relevant).</w:t>
      </w:r>
    </w:p>
    <w:p>
      <w:pPr>
        <w:pStyle w:val="Footnotesection"/>
      </w:pPr>
      <w:r>
        <w:tab/>
        <w:t>[Section 9BI inserted by No. 15 of 2010 s. 7.]</w:t>
      </w:r>
    </w:p>
    <w:p>
      <w:pPr>
        <w:pStyle w:val="Heading4"/>
      </w:pPr>
      <w:bookmarkStart w:id="30" w:name="_Toc381880595"/>
      <w:r>
        <w:t>Subdivision 3 — Superannuation contributions</w:t>
      </w:r>
      <w:bookmarkEnd w:id="30"/>
    </w:p>
    <w:p>
      <w:pPr>
        <w:pStyle w:val="Footnoteheading"/>
      </w:pPr>
      <w:r>
        <w:tab/>
        <w:t>[Heading inserted by No. 15 of 2010 s. 7.]</w:t>
      </w:r>
    </w:p>
    <w:p>
      <w:pPr>
        <w:pStyle w:val="Heading5"/>
      </w:pPr>
      <w:bookmarkStart w:id="31" w:name="_Toc381880596"/>
      <w:r>
        <w:rPr>
          <w:rStyle w:val="CharSectno"/>
        </w:rPr>
        <w:t>9CA</w:t>
      </w:r>
      <w:r>
        <w:t>.</w:t>
      </w:r>
      <w:r>
        <w:tab/>
        <w:t>Terms used</w:t>
      </w:r>
      <w:bookmarkEnd w:id="31"/>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by No. 15 of 2010 s. 7.]</w:t>
      </w:r>
    </w:p>
    <w:p>
      <w:pPr>
        <w:pStyle w:val="Heading5"/>
      </w:pPr>
      <w:bookmarkStart w:id="32" w:name="_Toc381880597"/>
      <w:r>
        <w:rPr>
          <w:rStyle w:val="CharSectno"/>
        </w:rPr>
        <w:t>9CB</w:t>
      </w:r>
      <w:r>
        <w:t>.</w:t>
      </w:r>
      <w:r>
        <w:tab/>
        <w:t>Wages include superannuation contributions and other similar amounts</w:t>
      </w:r>
      <w:bookmarkEnd w:id="32"/>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by No. 15 of 2010 s. 7.]</w:t>
      </w:r>
    </w:p>
    <w:p>
      <w:pPr>
        <w:pStyle w:val="Heading5"/>
      </w:pPr>
      <w:bookmarkStart w:id="33" w:name="_Toc381880598"/>
      <w:r>
        <w:rPr>
          <w:rStyle w:val="CharSectno"/>
        </w:rPr>
        <w:t>9CC</w:t>
      </w:r>
      <w:r>
        <w:t>.</w:t>
      </w:r>
      <w:r>
        <w:tab/>
        <w:t>Superannuation contributions</w:t>
      </w:r>
      <w:bookmarkEnd w:id="33"/>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by No. 15 of 2010 s. 7.]</w:t>
      </w:r>
    </w:p>
    <w:p>
      <w:pPr>
        <w:pStyle w:val="Heading5"/>
      </w:pPr>
      <w:bookmarkStart w:id="34" w:name="_Toc381880599"/>
      <w:r>
        <w:rPr>
          <w:rStyle w:val="CharSectno"/>
        </w:rPr>
        <w:t>9CD</w:t>
      </w:r>
      <w:r>
        <w:t>.</w:t>
      </w:r>
      <w:r>
        <w:tab/>
        <w:t>Notional contributions</w:t>
      </w:r>
      <w:bookmarkEnd w:id="34"/>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by No. 15 of 2010 s. 7.]</w:t>
      </w:r>
    </w:p>
    <w:p>
      <w:pPr>
        <w:pStyle w:val="Heading4"/>
      </w:pPr>
      <w:bookmarkStart w:id="35" w:name="_Toc381880600"/>
      <w:r>
        <w:t>Subdivision 4 — Shares and options</w:t>
      </w:r>
      <w:bookmarkEnd w:id="35"/>
    </w:p>
    <w:p>
      <w:pPr>
        <w:pStyle w:val="Footnoteheading"/>
        <w:spacing w:before="100"/>
      </w:pPr>
      <w:r>
        <w:tab/>
        <w:t>[Heading inserted by No. 15 of 2010 s. 7.]</w:t>
      </w:r>
    </w:p>
    <w:p>
      <w:pPr>
        <w:pStyle w:val="Heading5"/>
      </w:pPr>
      <w:bookmarkStart w:id="36" w:name="_Toc381880601"/>
      <w:r>
        <w:rPr>
          <w:rStyle w:val="CharSectno"/>
        </w:rPr>
        <w:t>9DA</w:t>
      </w:r>
      <w:r>
        <w:t>.</w:t>
      </w:r>
      <w:r>
        <w:tab/>
        <w:t>Wages include shares and options granted to employees</w:t>
      </w:r>
      <w:bookmarkEnd w:id="36"/>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pPr>
      <w:r>
        <w:tab/>
        <w:t>(b)</w:t>
      </w:r>
      <w:r>
        <w:tab/>
        <w:t>is granted to the employee under an employee share scheme within the meaning of that section.</w:t>
      </w:r>
    </w:p>
    <w:p>
      <w:pPr>
        <w:pStyle w:val="NotesPerm"/>
        <w:tabs>
          <w:tab w:val="clear" w:pos="879"/>
          <w:tab w:val="left" w:pos="851"/>
        </w:tabs>
        <w:ind w:left="1418" w:hanging="1418"/>
      </w:pPr>
      <w:r>
        <w:tab/>
        <w:t>Note:</w:t>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by No. 15 of 2010 s. 7; amended by No. 29 of 2012 s. 18.]</w:t>
      </w:r>
    </w:p>
    <w:p>
      <w:pPr>
        <w:pStyle w:val="Heading5"/>
      </w:pPr>
      <w:bookmarkStart w:id="37" w:name="_Toc381880602"/>
      <w:r>
        <w:rPr>
          <w:rStyle w:val="CharSectno"/>
        </w:rPr>
        <w:t>9DB</w:t>
      </w:r>
      <w:r>
        <w:t>.</w:t>
      </w:r>
      <w:r>
        <w:tab/>
        <w:t>Relevant day: choice of</w:t>
      </w:r>
      <w:bookmarkEnd w:id="37"/>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by No. 15 of 2010 s. 7; amended by No. 29 of 2012 s. 19.]</w:t>
      </w:r>
    </w:p>
    <w:p>
      <w:pPr>
        <w:pStyle w:val="Heading5"/>
        <w:spacing w:before="180"/>
      </w:pPr>
      <w:bookmarkStart w:id="38" w:name="_Toc381880603"/>
      <w:r>
        <w:rPr>
          <w:rStyle w:val="CharSectno"/>
        </w:rPr>
        <w:t>9DC</w:t>
      </w:r>
      <w:r>
        <w:t>.</w:t>
      </w:r>
      <w:r>
        <w:tab/>
        <w:t>Relevant day: special cases</w:t>
      </w:r>
      <w:bookmarkEnd w:id="38"/>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by No. 15 of 2010 s. 7; amended by No. 29 of 2012 s. 20.]</w:t>
      </w:r>
    </w:p>
    <w:p>
      <w:pPr>
        <w:pStyle w:val="Heading5"/>
      </w:pPr>
      <w:bookmarkStart w:id="39" w:name="_Toc381880604"/>
      <w:r>
        <w:rPr>
          <w:rStyle w:val="CharSectno"/>
        </w:rPr>
        <w:t>9DD</w:t>
      </w:r>
      <w:r>
        <w:t>.</w:t>
      </w:r>
      <w:r>
        <w:tab/>
        <w:t>Value of shares and options</w:t>
      </w:r>
      <w:bookmarkEnd w:id="39"/>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NotesPerm"/>
        <w:tabs>
          <w:tab w:val="clear" w:pos="879"/>
          <w:tab w:val="left" w:pos="851"/>
        </w:tabs>
        <w:ind w:left="1418" w:hanging="1418"/>
      </w:pPr>
      <w:r>
        <w:tab/>
        <w:t>Note:</w:t>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by No. 15 of 2010 s. 7; amended by No. 29 of 2012 s. 21.]</w:t>
      </w:r>
    </w:p>
    <w:p>
      <w:pPr>
        <w:pStyle w:val="Heading5"/>
      </w:pPr>
      <w:bookmarkStart w:id="40" w:name="_Toc381880605"/>
      <w:r>
        <w:rPr>
          <w:rStyle w:val="CharSectno"/>
        </w:rPr>
        <w:t>9DE</w:t>
      </w:r>
      <w:r>
        <w:t>.</w:t>
      </w:r>
      <w:r>
        <w:tab/>
        <w:t>Effect of rescission, cancellation etc. of share or option</w:t>
      </w:r>
      <w:bookmarkEnd w:id="40"/>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by No. 15 of 2010 s. 7; amended by No. 29 of 2012 s. 22.]</w:t>
      </w:r>
    </w:p>
    <w:p>
      <w:pPr>
        <w:pStyle w:val="Heading5"/>
      </w:pPr>
      <w:bookmarkStart w:id="41" w:name="_Toc381880606"/>
      <w:r>
        <w:rPr>
          <w:rStyle w:val="CharSectno"/>
        </w:rPr>
        <w:t>9DF</w:t>
      </w:r>
      <w:r>
        <w:t>.</w:t>
      </w:r>
      <w:r>
        <w:tab/>
        <w:t>Grant of share under exercise of option</w:t>
      </w:r>
      <w:bookmarkEnd w:id="41"/>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by No. 29 of 2012 s. 23.]</w:t>
      </w:r>
    </w:p>
    <w:p>
      <w:pPr>
        <w:pStyle w:val="Heading5"/>
      </w:pPr>
      <w:bookmarkStart w:id="42" w:name="_Toc381880607"/>
      <w:r>
        <w:rPr>
          <w:rStyle w:val="CharSectno"/>
        </w:rPr>
        <w:t>9DG</w:t>
      </w:r>
      <w:r>
        <w:t>.</w:t>
      </w:r>
      <w:r>
        <w:tab/>
        <w:t>Wages include certain shares and options granted to directors</w:t>
      </w:r>
      <w:bookmarkEnd w:id="42"/>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by No. 15 of 2010 s. 7; amended by No. 29 of 2012 s. 24.]</w:t>
      </w:r>
    </w:p>
    <w:p>
      <w:pPr>
        <w:pStyle w:val="Heading5"/>
      </w:pPr>
      <w:bookmarkStart w:id="43" w:name="_Toc381880608"/>
      <w:r>
        <w:rPr>
          <w:rStyle w:val="CharSectno"/>
        </w:rPr>
        <w:t>9DH</w:t>
      </w:r>
      <w:r>
        <w:t>.</w:t>
      </w:r>
      <w:r>
        <w:tab/>
        <w:t>Place where wages (as shares or options) are payable</w:t>
      </w:r>
      <w:bookmarkEnd w:id="43"/>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by No. 15 of 2010 s. 7.]</w:t>
      </w:r>
    </w:p>
    <w:p>
      <w:pPr>
        <w:pStyle w:val="Heading4"/>
      </w:pPr>
      <w:bookmarkStart w:id="44" w:name="_Toc381880609"/>
      <w:r>
        <w:t>Subdivision 5 — Termination payments</w:t>
      </w:r>
      <w:bookmarkEnd w:id="44"/>
    </w:p>
    <w:p>
      <w:pPr>
        <w:pStyle w:val="Footnoteheading"/>
      </w:pPr>
      <w:r>
        <w:tab/>
        <w:t>[Heading inserted by No. 15 of 2010 s. 7.]</w:t>
      </w:r>
    </w:p>
    <w:p>
      <w:pPr>
        <w:pStyle w:val="Heading5"/>
        <w:spacing w:before="200"/>
      </w:pPr>
      <w:bookmarkStart w:id="45" w:name="_Toc381880610"/>
      <w:r>
        <w:rPr>
          <w:rStyle w:val="CharSectno"/>
        </w:rPr>
        <w:t>9EA</w:t>
      </w:r>
      <w:r>
        <w:t>.</w:t>
      </w:r>
      <w:r>
        <w:tab/>
        <w:t>Wages include termination payments</w:t>
      </w:r>
      <w:bookmarkEnd w:id="45"/>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by No. 15 of 2010 s. 7.]</w:t>
      </w:r>
    </w:p>
    <w:p>
      <w:pPr>
        <w:pStyle w:val="Heading4"/>
      </w:pPr>
      <w:bookmarkStart w:id="46" w:name="_Toc381880611"/>
      <w:r>
        <w:t>Subdivision 6 — Allowances</w:t>
      </w:r>
      <w:bookmarkEnd w:id="46"/>
    </w:p>
    <w:p>
      <w:pPr>
        <w:pStyle w:val="Footnoteheading"/>
      </w:pPr>
      <w:r>
        <w:tab/>
        <w:t>[Heading inserted by No. 15 of 2010 s. 7.]</w:t>
      </w:r>
    </w:p>
    <w:p>
      <w:pPr>
        <w:pStyle w:val="Heading5"/>
      </w:pPr>
      <w:bookmarkStart w:id="47" w:name="_Toc381880612"/>
      <w:r>
        <w:rPr>
          <w:rStyle w:val="CharSectno"/>
        </w:rPr>
        <w:t>9FA</w:t>
      </w:r>
      <w:r>
        <w:t>.</w:t>
      </w:r>
      <w:r>
        <w:tab/>
        <w:t>Motor vehicle allowances</w:t>
      </w:r>
      <w:bookmarkEnd w:id="47"/>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1418"/>
      </w:pPr>
      <w:r>
        <w:rPr>
          <w:position w:val="-4"/>
        </w:rPr>
        <w:drawing>
          <wp:inline distT="0" distB="0" distL="0" distR="0">
            <wp:extent cx="643890" cy="167005"/>
            <wp:effectExtent l="0" t="0" r="381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43890" cy="167005"/>
                    </a:xfrm>
                    <a:prstGeom prst="rect">
                      <a:avLst/>
                    </a:prstGeom>
                    <a:noFill/>
                    <a:ln>
                      <a:noFill/>
                    </a:ln>
                  </pic:spPr>
                </pic:pic>
              </a:graphicData>
            </a:graphic>
          </wp:inline>
        </w:drawing>
      </w:r>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by No. 15 of 2010 s. 7.]</w:t>
      </w:r>
    </w:p>
    <w:p>
      <w:pPr>
        <w:pStyle w:val="Heading5"/>
      </w:pPr>
      <w:bookmarkStart w:id="48" w:name="_Toc381880613"/>
      <w:r>
        <w:rPr>
          <w:rStyle w:val="CharSectno"/>
        </w:rPr>
        <w:t>9FB</w:t>
      </w:r>
      <w:r>
        <w:t>.</w:t>
      </w:r>
      <w:r>
        <w:tab/>
        <w:t>Accommodation allowances</w:t>
      </w:r>
      <w:bookmarkEnd w:id="48"/>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by No. 15 of 2010 s. 7.]</w:t>
      </w:r>
    </w:p>
    <w:p>
      <w:pPr>
        <w:pStyle w:val="Heading4"/>
      </w:pPr>
      <w:bookmarkStart w:id="49" w:name="_Toc381880614"/>
      <w:r>
        <w:t>Subdivision 7 — Employment agents</w:t>
      </w:r>
      <w:bookmarkEnd w:id="49"/>
    </w:p>
    <w:p>
      <w:pPr>
        <w:pStyle w:val="Footnoteheading"/>
      </w:pPr>
      <w:r>
        <w:tab/>
        <w:t>[Heading inserted by No. 15 of 2010 s. 7.]</w:t>
      </w:r>
    </w:p>
    <w:p>
      <w:pPr>
        <w:pStyle w:val="Heading5"/>
      </w:pPr>
      <w:bookmarkStart w:id="50" w:name="_Toc381880615"/>
      <w:r>
        <w:rPr>
          <w:rStyle w:val="CharSectno"/>
        </w:rPr>
        <w:t>9GA</w:t>
      </w:r>
      <w:r>
        <w:t>.</w:t>
      </w:r>
      <w:r>
        <w:tab/>
        <w:t>Wages include amounts paid by employment agents</w:t>
      </w:r>
      <w:bookmarkEnd w:id="50"/>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by No. 15 of 2010 s. 7.]</w:t>
      </w:r>
    </w:p>
    <w:p>
      <w:pPr>
        <w:pStyle w:val="Heading4"/>
      </w:pPr>
      <w:bookmarkStart w:id="51" w:name="_Toc381880616"/>
      <w:r>
        <w:t>Subdivision 8 — Miscellaneous provisions</w:t>
      </w:r>
      <w:bookmarkEnd w:id="51"/>
    </w:p>
    <w:p>
      <w:pPr>
        <w:pStyle w:val="Footnoteheading"/>
        <w:spacing w:before="80"/>
      </w:pPr>
      <w:r>
        <w:tab/>
        <w:t>[Heading inserted by No. 15 of 2010 s. 7.]</w:t>
      </w:r>
    </w:p>
    <w:p>
      <w:pPr>
        <w:pStyle w:val="Heading5"/>
      </w:pPr>
      <w:bookmarkStart w:id="52" w:name="_Toc381880617"/>
      <w:r>
        <w:rPr>
          <w:rStyle w:val="CharSectno"/>
        </w:rPr>
        <w:t>9HA</w:t>
      </w:r>
      <w:r>
        <w:t>.</w:t>
      </w:r>
      <w:r>
        <w:tab/>
        <w:t>Value of wages paid in kind</w:t>
      </w:r>
      <w:bookmarkEnd w:id="52"/>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by No. 15 of 2010 s. 7.]</w:t>
      </w:r>
    </w:p>
    <w:p>
      <w:pPr>
        <w:pStyle w:val="Heading5"/>
      </w:pPr>
      <w:bookmarkStart w:id="53" w:name="_Toc381880618"/>
      <w:r>
        <w:rPr>
          <w:rStyle w:val="CharSectno"/>
        </w:rPr>
        <w:t>9HB</w:t>
      </w:r>
      <w:r>
        <w:t>.</w:t>
      </w:r>
      <w:r>
        <w:tab/>
        <w:t>GST excluded from wages</w:t>
      </w:r>
      <w:bookmarkEnd w:id="53"/>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by No. 15 of 2010 s. 7.]</w:t>
      </w:r>
    </w:p>
    <w:p>
      <w:pPr>
        <w:pStyle w:val="Heading5"/>
      </w:pPr>
      <w:bookmarkStart w:id="54" w:name="_Toc381880619"/>
      <w:r>
        <w:rPr>
          <w:rStyle w:val="CharSectno"/>
        </w:rPr>
        <w:t>9HC</w:t>
      </w:r>
      <w:r>
        <w:t>.</w:t>
      </w:r>
      <w:r>
        <w:tab/>
        <w:t>Wages paid by or to third parties</w:t>
      </w:r>
      <w:bookmarkEnd w:id="54"/>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by No. 15 of 2010 s. 7.]</w:t>
      </w:r>
    </w:p>
    <w:p>
      <w:pPr>
        <w:pStyle w:val="Heading3"/>
      </w:pPr>
      <w:bookmarkStart w:id="55" w:name="_Toc381880620"/>
      <w:r>
        <w:rPr>
          <w:rStyle w:val="CharDivNo"/>
        </w:rPr>
        <w:t>Division 2</w:t>
      </w:r>
      <w:r>
        <w:t xml:space="preserve"> — </w:t>
      </w:r>
      <w:r>
        <w:rPr>
          <w:rStyle w:val="CharDivText"/>
        </w:rPr>
        <w:t>Non</w:t>
      </w:r>
      <w:r>
        <w:rPr>
          <w:rStyle w:val="CharDivText"/>
        </w:rPr>
        <w:noBreakHyphen/>
        <w:t>group employers’ liability</w:t>
      </w:r>
      <w:bookmarkEnd w:id="55"/>
    </w:p>
    <w:p>
      <w:pPr>
        <w:pStyle w:val="Heading5"/>
      </w:pPr>
      <w:bookmarkStart w:id="56" w:name="_Toc381880621"/>
      <w:r>
        <w:rPr>
          <w:rStyle w:val="CharSectno"/>
        </w:rPr>
        <w:t>10</w:t>
      </w:r>
      <w:r>
        <w:t>.</w:t>
      </w:r>
      <w:r>
        <w:tab/>
        <w:t>Annual tax liability: local non</w:t>
      </w:r>
      <w:r>
        <w:noBreakHyphen/>
        <w:t>group employers</w:t>
      </w:r>
      <w:bookmarkEnd w:id="56"/>
    </w:p>
    <w:p>
      <w:pPr>
        <w:pStyle w:val="Subsection"/>
      </w:pPr>
      <w:r>
        <w:tab/>
        <w:t>(1)</w:t>
      </w:r>
      <w:r>
        <w:tab/>
        <w:t>If an employer is a local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rPr>
          <w:color w:val="000000"/>
        </w:rPr>
      </w:pPr>
      <w:r>
        <w:rPr>
          <w:color w:val="000000"/>
        </w:rPr>
        <w:tab/>
        <w:t>(b)</w:t>
      </w:r>
      <w:r>
        <w:rPr>
          <w:color w:val="000000"/>
        </w:rPr>
        <w:tab/>
        <w:t xml:space="preserve">the </w:t>
      </w:r>
      <w:r>
        <w:t>annual</w:t>
      </w:r>
      <w:r>
        <w:rPr>
          <w:color w:val="000000"/>
        </w:rPr>
        <w:t xml:space="preserve"> threshold amount for the assessment year.</w:t>
      </w:r>
    </w:p>
    <w:p>
      <w:pPr>
        <w:pStyle w:val="Subsection"/>
      </w:pPr>
      <w:r>
        <w:tab/>
        <w:t>(2)</w:t>
      </w:r>
      <w:r>
        <w:tab/>
        <w:t>If an employer is a local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 xml:space="preserve">the </w:t>
      </w:r>
      <w:r>
        <w:t>apportioned</w:t>
      </w:r>
      <w:r>
        <w:rPr>
          <w:color w:val="000000"/>
        </w:rPr>
        <w:t xml:space="preserve"> threshold amount for that part of the assessment year calculated in accordance with section 12(1).</w:t>
      </w:r>
    </w:p>
    <w:p>
      <w:pPr>
        <w:pStyle w:val="Footnotesection"/>
      </w:pPr>
      <w:r>
        <w:tab/>
        <w:t>[Section 10 amended by No. 40 of 2003 s. 14.]</w:t>
      </w:r>
    </w:p>
    <w:p>
      <w:pPr>
        <w:pStyle w:val="Heading5"/>
        <w:spacing w:before="260"/>
      </w:pPr>
      <w:bookmarkStart w:id="57" w:name="_Toc381880622"/>
      <w:r>
        <w:rPr>
          <w:rStyle w:val="CharSectno"/>
        </w:rPr>
        <w:t>11</w:t>
      </w:r>
      <w:r>
        <w:t>.</w:t>
      </w:r>
      <w:r>
        <w:tab/>
        <w:t>Tax payable with returns: local non</w:t>
      </w:r>
      <w:r>
        <w:noBreakHyphen/>
        <w:t>group employers</w:t>
      </w:r>
      <w:bookmarkEnd w:id="57"/>
    </w:p>
    <w:p>
      <w:pPr>
        <w:pStyle w:val="Subsection"/>
      </w:pPr>
      <w:r>
        <w:tab/>
      </w:r>
      <w:r>
        <w:tab/>
        <w:t>The amount of pay</w:t>
      </w:r>
      <w:r>
        <w:noBreakHyphen/>
        <w:t>roll tax payable by a local non</w:t>
      </w:r>
      <w:r>
        <w:noBreakHyphen/>
        <w:t xml:space="preserve">group employer for a progressive return period or for part of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employer during the period or part of the period; and</w:t>
      </w:r>
    </w:p>
    <w:p>
      <w:pPr>
        <w:pStyle w:val="Indenta"/>
        <w:rPr>
          <w:color w:val="000000"/>
        </w:rPr>
      </w:pPr>
      <w:r>
        <w:rPr>
          <w:color w:val="000000"/>
        </w:rPr>
        <w:tab/>
        <w:t>(b)</w:t>
      </w:r>
      <w:r>
        <w:rPr>
          <w:color w:val="000000"/>
        </w:rPr>
        <w:tab/>
        <w:t xml:space="preserve">the apportioned threshold amount for the </w:t>
      </w:r>
      <w:r>
        <w:t xml:space="preserve">period </w:t>
      </w:r>
      <w:r>
        <w:rPr>
          <w:color w:val="000000"/>
        </w:rPr>
        <w:t xml:space="preserve">or part of the </w:t>
      </w:r>
      <w:r>
        <w:t xml:space="preserve">period </w:t>
      </w:r>
      <w:r>
        <w:rPr>
          <w:color w:val="000000"/>
        </w:rPr>
        <w:t>calculated in accordance with section 12(2).</w:t>
      </w:r>
    </w:p>
    <w:p>
      <w:pPr>
        <w:pStyle w:val="Footnotesection"/>
      </w:pPr>
      <w:r>
        <w:tab/>
        <w:t>[Section 11 amended by No. 40 of 2003 s. 15; No. 82 of 2004 s. 7.]</w:t>
      </w:r>
    </w:p>
    <w:p>
      <w:pPr>
        <w:pStyle w:val="Heading5"/>
        <w:spacing w:before="260"/>
      </w:pPr>
      <w:bookmarkStart w:id="58" w:name="_Toc381880623"/>
      <w:r>
        <w:rPr>
          <w:rStyle w:val="CharSectno"/>
        </w:rPr>
        <w:t>12</w:t>
      </w:r>
      <w:r>
        <w:rPr>
          <w:color w:val="000000"/>
        </w:rPr>
        <w:t>.</w:t>
      </w:r>
      <w:r>
        <w:rPr>
          <w:color w:val="000000"/>
        </w:rPr>
        <w:tab/>
        <w:t>Apportioned threshold amount: local non</w:t>
      </w:r>
      <w:r>
        <w:rPr>
          <w:color w:val="000000"/>
        </w:rPr>
        <w:noBreakHyphen/>
        <w:t>group employers</w:t>
      </w:r>
      <w:bookmarkEnd w:id="58"/>
    </w:p>
    <w:p>
      <w:pPr>
        <w:pStyle w:val="Subsection"/>
        <w:rPr>
          <w:color w:val="000000"/>
        </w:rPr>
      </w:pPr>
      <w:r>
        <w:rPr>
          <w:color w:val="000000"/>
        </w:rPr>
        <w:tab/>
        <w:t>(1)</w:t>
      </w:r>
      <w:r>
        <w:rPr>
          <w:color w:val="000000"/>
        </w:rPr>
        <w:tab/>
        <w:t xml:space="preserve">For the purposes of section 10(2)(b), the apportioned threshold amount for part of an assessment year is </w:t>
      </w:r>
      <w:r>
        <w:rPr>
          <w:b/>
          <w:bCs/>
          <w:i/>
          <w:iCs/>
          <w:color w:val="000000"/>
        </w:rPr>
        <w:t>A</w:t>
      </w:r>
      <w:r>
        <w:rPr>
          <w:color w:val="000000"/>
        </w:rPr>
        <w:t xml:space="preserve"> in the formula —</w:t>
      </w:r>
    </w:p>
    <w:p>
      <w:pPr>
        <w:pStyle w:val="Equation"/>
        <w:spacing w:before="120"/>
        <w:ind w:left="1440"/>
      </w:pPr>
      <w:r>
        <w:rPr>
          <w:position w:val="-28"/>
        </w:rPr>
        <w:object w:dxaOrig="12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33.75pt" o:ole="" fillcolor="window">
            <v:imagedata r:id="rId24" o:title=""/>
          </v:shape>
          <o:OLEObject Type="Embed" ProgID="Equation.3" ShapeID="_x0000_i1025" DrawAspect="Content" ObjectID="_1643582180" r:id="rId25"/>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Subsection"/>
        <w:keepNext/>
        <w:rPr>
          <w:color w:val="000000"/>
        </w:rPr>
      </w:pPr>
      <w:r>
        <w:rPr>
          <w:color w:val="000000"/>
        </w:rPr>
        <w:tab/>
        <w:t>(2)</w:t>
      </w:r>
      <w:r>
        <w:rPr>
          <w:color w:val="000000"/>
        </w:rPr>
        <w:tab/>
        <w:t xml:space="preserve">For the purposes of section 11(b), the apportioned threshold amount for a </w:t>
      </w:r>
      <w:r>
        <w:t xml:space="preserve">progressive return period </w:t>
      </w:r>
      <w:r>
        <w:rPr>
          <w:color w:val="000000"/>
        </w:rPr>
        <w:t xml:space="preserve">or part of a </w:t>
      </w:r>
      <w:r>
        <w:t xml:space="preserve">progressive return period </w:t>
      </w:r>
      <w:r>
        <w:rPr>
          <w:color w:val="000000"/>
        </w:rPr>
        <w:t xml:space="preserve">is </w:t>
      </w:r>
      <w:r>
        <w:rPr>
          <w:b/>
          <w:bCs/>
          <w:i/>
          <w:iCs/>
          <w:color w:val="000000"/>
        </w:rPr>
        <w:t>A</w:t>
      </w:r>
      <w:r>
        <w:rPr>
          <w:color w:val="000000"/>
        </w:rPr>
        <w:t xml:space="preserve"> in the formula —</w:t>
      </w:r>
    </w:p>
    <w:p>
      <w:pPr>
        <w:pStyle w:val="Equation"/>
        <w:ind w:left="1440"/>
      </w:pPr>
      <w:r>
        <w:rPr>
          <w:position w:val="-28"/>
        </w:rPr>
        <w:object w:dxaOrig="1620" w:dyaOrig="680">
          <v:shape id="_x0000_i1026" type="#_x0000_t75" style="width:81pt;height:33.75pt" o:ole="" fillcolor="window">
            <v:imagedata r:id="rId26" o:title=""/>
          </v:shape>
          <o:OLEObject Type="Embed" ProgID="Equation.3" ShapeID="_x0000_i1026" DrawAspect="Content" ObjectID="_1643582181" r:id="rId27"/>
        </w:object>
      </w:r>
    </w:p>
    <w:p>
      <w:pPr>
        <w:pStyle w:val="Subsection"/>
      </w:pPr>
      <w:r>
        <w:tab/>
      </w:r>
      <w:r>
        <w:tab/>
        <w:t>where —</w:t>
      </w:r>
    </w:p>
    <w:p>
      <w:pPr>
        <w:pStyle w:val="Defstart"/>
      </w:pPr>
      <w:r>
        <w:tab/>
      </w:r>
      <w:r>
        <w:rPr>
          <w:b/>
          <w:bCs/>
          <w:i/>
          <w:iCs/>
        </w:rPr>
        <w:t>N</w:t>
      </w:r>
      <w:r>
        <w:t xml:space="preserve"> is the number of months in the period;</w:t>
      </w:r>
    </w:p>
    <w:p>
      <w:pPr>
        <w:pStyle w:val="Defstart"/>
      </w:pPr>
      <w:r>
        <w:rPr>
          <w:color w:val="000000"/>
        </w:rPr>
        <w:tab/>
      </w:r>
      <w:r>
        <w:rPr>
          <w:b/>
          <w:bCs/>
          <w:i/>
          <w:iCs/>
        </w:rPr>
        <w:t>T</w:t>
      </w:r>
      <w:r>
        <w:rPr>
          <w:color w:val="000000"/>
        </w:rPr>
        <w:t xml:space="preserve"> is the monthly threshold amount for the assessment year;</w:t>
      </w:r>
    </w:p>
    <w:p>
      <w:pPr>
        <w:pStyle w:val="Defstart"/>
      </w:pPr>
      <w:r>
        <w:tab/>
      </w:r>
      <w:r>
        <w:rPr>
          <w:b/>
          <w:bCs/>
          <w:i/>
          <w:iCs/>
        </w:rPr>
        <w:t>D</w:t>
      </w:r>
      <w:r>
        <w:t xml:space="preserve"> is the number of days in the period, or part of the period, during which WA taxable wages were paid or payable by the employer;</w:t>
      </w:r>
    </w:p>
    <w:p>
      <w:pPr>
        <w:pStyle w:val="Defstart"/>
      </w:pPr>
      <w:r>
        <w:tab/>
      </w:r>
      <w:r>
        <w:rPr>
          <w:b/>
          <w:bCs/>
          <w:i/>
          <w:iCs/>
        </w:rPr>
        <w:t>P</w:t>
      </w:r>
      <w:r>
        <w:t xml:space="preserve"> is the number of days in the period.</w:t>
      </w:r>
    </w:p>
    <w:p>
      <w:pPr>
        <w:pStyle w:val="Footnotesection"/>
      </w:pPr>
      <w:r>
        <w:tab/>
        <w:t>[Section 12 inserted by No. 40 of 2003 s. 16; amended by No. 82 of 2004 s. 8.]</w:t>
      </w:r>
    </w:p>
    <w:p>
      <w:pPr>
        <w:pStyle w:val="Heading5"/>
      </w:pPr>
      <w:bookmarkStart w:id="59" w:name="_Toc381880624"/>
      <w:r>
        <w:rPr>
          <w:rStyle w:val="CharSectno"/>
        </w:rPr>
        <w:t>13</w:t>
      </w:r>
      <w:r>
        <w:t>.</w:t>
      </w:r>
      <w:r>
        <w:tab/>
        <w:t>Annual tax liability: interstate non</w:t>
      </w:r>
      <w:r>
        <w:noBreakHyphen/>
        <w:t>group employers</w:t>
      </w:r>
      <w:bookmarkEnd w:id="59"/>
    </w:p>
    <w:p>
      <w:pPr>
        <w:pStyle w:val="Subsection"/>
        <w:spacing w:before="140"/>
      </w:pPr>
      <w:r>
        <w:tab/>
        <w:t>(1)</w:t>
      </w:r>
      <w:r>
        <w:tab/>
        <w:t>If an employer is an interstate non</w:t>
      </w:r>
      <w:r>
        <w:noBreakHyphen/>
        <w:t>group employer for the whole of an assessment year, the amount of pay</w:t>
      </w:r>
      <w:r>
        <w:noBreakHyphen/>
        <w:t xml:space="preserve">roll tax payable by the employer for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the assessment year; and</w:t>
      </w:r>
    </w:p>
    <w:p>
      <w:pPr>
        <w:pStyle w:val="Indenta"/>
      </w:pPr>
      <w:r>
        <w:rPr>
          <w:color w:val="000000"/>
        </w:rPr>
        <w:tab/>
        <w:t>(b)</w:t>
      </w:r>
      <w:r>
        <w:rPr>
          <w:color w:val="000000"/>
        </w:rPr>
        <w:tab/>
        <w:t>the apportioned threshold amount for the assessment year calculated in accordance with section 14(1).</w:t>
      </w:r>
    </w:p>
    <w:p>
      <w:pPr>
        <w:pStyle w:val="Subsection"/>
        <w:spacing w:before="140"/>
      </w:pPr>
      <w:r>
        <w:tab/>
        <w:t>(2)</w:t>
      </w:r>
      <w:r>
        <w:tab/>
        <w:t>If an employer is an interstate non</w:t>
      </w:r>
      <w:r>
        <w:noBreakHyphen/>
        <w:t>group employer for only part of an assessment year, the amount of pay</w:t>
      </w:r>
      <w:r>
        <w:noBreakHyphen/>
        <w:t xml:space="preserve">roll tax payable by the employer for that part of the assessment year is the amount calculated by applying the </w:t>
      </w:r>
      <w:r>
        <w:rPr>
          <w:color w:val="000000"/>
        </w:rPr>
        <w:t>pay</w:t>
      </w:r>
      <w:r>
        <w:rPr>
          <w:color w:val="000000"/>
        </w:rPr>
        <w:noBreakHyphen/>
        <w:t>roll tax rate</w:t>
      </w:r>
      <w:r>
        <w:t xml:space="preserve"> to the amount equal to the difference between —</w:t>
      </w:r>
    </w:p>
    <w:p>
      <w:pPr>
        <w:pStyle w:val="Indenta"/>
      </w:pPr>
      <w:r>
        <w:tab/>
        <w:t>(a)</w:t>
      </w:r>
      <w:r>
        <w:tab/>
        <w:t>the total amount of WA taxable wages paid or payable by the employer during that part of the assessment year; and</w:t>
      </w:r>
    </w:p>
    <w:p>
      <w:pPr>
        <w:pStyle w:val="Indenta"/>
        <w:rPr>
          <w:color w:val="000000"/>
        </w:rPr>
      </w:pPr>
      <w:r>
        <w:rPr>
          <w:color w:val="000000"/>
        </w:rPr>
        <w:tab/>
        <w:t>(b)</w:t>
      </w:r>
      <w:r>
        <w:rPr>
          <w:color w:val="000000"/>
        </w:rPr>
        <w:tab/>
        <w:t>the apportioned threshold amount for that part of the assessment year worked out in accordance with section 14(2).</w:t>
      </w:r>
    </w:p>
    <w:p>
      <w:pPr>
        <w:pStyle w:val="Footnotesection"/>
      </w:pPr>
      <w:r>
        <w:tab/>
        <w:t>[Section 13 amended by No. 40 of 2003 s. 17.]</w:t>
      </w:r>
    </w:p>
    <w:p>
      <w:pPr>
        <w:pStyle w:val="Heading5"/>
      </w:pPr>
      <w:bookmarkStart w:id="60" w:name="_Toc381880625"/>
      <w:r>
        <w:rPr>
          <w:rStyle w:val="CharSectno"/>
        </w:rPr>
        <w:t>14</w:t>
      </w:r>
      <w:r>
        <w:rPr>
          <w:color w:val="000000"/>
        </w:rPr>
        <w:t>.</w:t>
      </w:r>
      <w:r>
        <w:rPr>
          <w:color w:val="000000"/>
        </w:rPr>
        <w:tab/>
        <w:t>Apportioned threshold amounts: interstate non</w:t>
      </w:r>
      <w:r>
        <w:rPr>
          <w:color w:val="000000"/>
        </w:rPr>
        <w:noBreakHyphen/>
        <w:t>group employers</w:t>
      </w:r>
      <w:bookmarkEnd w:id="60"/>
    </w:p>
    <w:p>
      <w:pPr>
        <w:pStyle w:val="Subsection"/>
        <w:rPr>
          <w:color w:val="000000"/>
        </w:rPr>
      </w:pPr>
      <w:r>
        <w:rPr>
          <w:color w:val="000000"/>
        </w:rPr>
        <w:tab/>
        <w:t>(1)</w:t>
      </w:r>
      <w:r>
        <w:rPr>
          <w:color w:val="000000"/>
        </w:rPr>
        <w:tab/>
        <w:t xml:space="preserve">For the purposes of section 13(1)(b), the apportioned threshold amount for an assessment year is </w:t>
      </w:r>
      <w:r>
        <w:rPr>
          <w:b/>
          <w:bCs/>
          <w:i/>
          <w:iCs/>
          <w:color w:val="000000"/>
        </w:rPr>
        <w:t>A</w:t>
      </w:r>
      <w:r>
        <w:rPr>
          <w:color w:val="000000"/>
        </w:rPr>
        <w:t xml:space="preserve"> in the formula —</w:t>
      </w:r>
    </w:p>
    <w:p>
      <w:pPr>
        <w:pStyle w:val="Equation"/>
        <w:ind w:left="1440"/>
      </w:pPr>
      <w:r>
        <w:rPr>
          <w:position w:val="-32"/>
        </w:rPr>
        <w:object w:dxaOrig="1680" w:dyaOrig="760">
          <v:shape id="_x0000_i1027" type="#_x0000_t75" style="width:83.25pt;height:38.25pt" o:ole="" fillcolor="window">
            <v:imagedata r:id="rId28" o:title=""/>
          </v:shape>
          <o:OLEObject Type="Embed" ProgID="Equation.3" ShapeID="_x0000_i1027" DrawAspect="Content" ObjectID="_1643582182" r:id="rId29"/>
        </w:object>
      </w:r>
    </w:p>
    <w:p>
      <w:pPr>
        <w:pStyle w:val="Subsection"/>
        <w:keepNext/>
        <w:keepLines/>
        <w:spacing w:before="120"/>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the assessment year;</w:t>
      </w:r>
    </w:p>
    <w:p>
      <w:pPr>
        <w:pStyle w:val="Defstart"/>
      </w:pPr>
      <w:r>
        <w:tab/>
      </w:r>
      <w:r>
        <w:rPr>
          <w:b/>
          <w:bCs/>
          <w:i/>
          <w:iCs/>
        </w:rPr>
        <w:t>I</w:t>
      </w:r>
      <w:r>
        <w:t xml:space="preserve"> is the total amount of interstate taxable wages paid or payable by the employer during the assessment year.</w:t>
      </w:r>
    </w:p>
    <w:p>
      <w:pPr>
        <w:pStyle w:val="Subsection"/>
        <w:rPr>
          <w:color w:val="000000"/>
        </w:rPr>
      </w:pPr>
      <w:r>
        <w:rPr>
          <w:color w:val="000000"/>
        </w:rPr>
        <w:tab/>
        <w:t>(2)</w:t>
      </w:r>
      <w:r>
        <w:rPr>
          <w:color w:val="000000"/>
        </w:rPr>
        <w:tab/>
        <w:t xml:space="preserve">For the purposes of section 13(2)(b), the apportioned threshold amount for a part of the assessment year is </w:t>
      </w:r>
      <w:r>
        <w:rPr>
          <w:b/>
          <w:bCs/>
          <w:i/>
          <w:iCs/>
          <w:color w:val="000000"/>
        </w:rPr>
        <w:t>A</w:t>
      </w:r>
      <w:r>
        <w:rPr>
          <w:color w:val="000000"/>
        </w:rPr>
        <w:t xml:space="preserve"> in the formula —</w:t>
      </w:r>
    </w:p>
    <w:p>
      <w:pPr>
        <w:pStyle w:val="Equation"/>
        <w:ind w:left="1440"/>
      </w:pPr>
      <w:r>
        <w:rPr>
          <w:position w:val="-32"/>
        </w:rPr>
        <w:object w:dxaOrig="2260" w:dyaOrig="760">
          <v:shape id="_x0000_i1028" type="#_x0000_t75" style="width:112.5pt;height:38.25pt" o:ole="" fillcolor="window">
            <v:imagedata r:id="rId30" o:title=""/>
          </v:shape>
          <o:OLEObject Type="Embed" ProgID="Equation.3" ShapeID="_x0000_i1028" DrawAspect="Content" ObjectID="_1643582183" r:id="rId31"/>
        </w:object>
      </w:r>
    </w:p>
    <w:p>
      <w:pPr>
        <w:pStyle w:val="Subsection"/>
      </w:pPr>
      <w:r>
        <w:tab/>
      </w:r>
      <w:r>
        <w:tab/>
        <w:t>where —</w:t>
      </w:r>
    </w:p>
    <w:p>
      <w:pPr>
        <w:pStyle w:val="Defstart"/>
      </w:pPr>
      <w:r>
        <w:tab/>
      </w:r>
      <w:r>
        <w:rPr>
          <w:b/>
          <w:bCs/>
          <w:i/>
          <w:iCs/>
        </w:rPr>
        <w:t>T</w:t>
      </w:r>
      <w:r>
        <w:t xml:space="preserve"> is the annual threshold amount for the assessment year;</w:t>
      </w:r>
    </w:p>
    <w:p>
      <w:pPr>
        <w:pStyle w:val="Defstart"/>
      </w:pPr>
      <w:r>
        <w:tab/>
      </w:r>
      <w:r>
        <w:rPr>
          <w:b/>
          <w:bCs/>
          <w:i/>
          <w:iCs/>
        </w:rPr>
        <w:t>W</w:t>
      </w:r>
      <w:r>
        <w:t xml:space="preserve"> is the total amount of WA taxable wages paid or payable by the employer during that part of the assessment year;</w:t>
      </w:r>
    </w:p>
    <w:p>
      <w:pPr>
        <w:pStyle w:val="Defstart"/>
      </w:pPr>
      <w:r>
        <w:tab/>
      </w:r>
      <w:r>
        <w:rPr>
          <w:b/>
          <w:bCs/>
          <w:i/>
          <w:iCs/>
        </w:rPr>
        <w:t>I</w:t>
      </w:r>
      <w:r>
        <w:t xml:space="preserve"> is the total amount of interstate taxable wages paid or payable by the employer during that part of the assessment year;</w:t>
      </w:r>
    </w:p>
    <w:p>
      <w:pPr>
        <w:pStyle w:val="Defstart"/>
      </w:pPr>
      <w:r>
        <w:tab/>
      </w:r>
      <w:r>
        <w:rPr>
          <w:b/>
          <w:bCs/>
          <w:i/>
          <w:iCs/>
        </w:rPr>
        <w:t>P</w:t>
      </w:r>
      <w:r>
        <w:t xml:space="preserve"> is the number of days in that part of the assessment year;</w:t>
      </w:r>
    </w:p>
    <w:p>
      <w:pPr>
        <w:pStyle w:val="Defstart"/>
      </w:pPr>
      <w:r>
        <w:tab/>
      </w:r>
      <w:r>
        <w:rPr>
          <w:b/>
          <w:bCs/>
          <w:i/>
          <w:iCs/>
        </w:rPr>
        <w:t>Y</w:t>
      </w:r>
      <w:r>
        <w:t xml:space="preserve"> is the number of days in the assessment year.</w:t>
      </w:r>
    </w:p>
    <w:p>
      <w:pPr>
        <w:pStyle w:val="Footnotesection"/>
      </w:pPr>
      <w:r>
        <w:tab/>
        <w:t>[Section 14 inserted by No. 40 of 2003 s. 18.]</w:t>
      </w:r>
    </w:p>
    <w:p>
      <w:pPr>
        <w:pStyle w:val="Heading5"/>
      </w:pPr>
      <w:bookmarkStart w:id="61" w:name="_Toc381880626"/>
      <w:r>
        <w:rPr>
          <w:rStyle w:val="CharSectno"/>
        </w:rPr>
        <w:t>15</w:t>
      </w:r>
      <w:r>
        <w:t>.</w:t>
      </w:r>
      <w:r>
        <w:tab/>
        <w:t>Tax payable with progressive returns: interstate non</w:t>
      </w:r>
      <w:r>
        <w:noBreakHyphen/>
        <w:t>group employers</w:t>
      </w:r>
      <w:bookmarkEnd w:id="61"/>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The employer may ask the Commissioner to nominate a different amount if the employer expects that the amounts of WA taxable wages and interstate taxable wages payable by the employer for the assessment year will vary significantly from the amounts of WA taxable wages and interstate taxable wages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by No. 40 of 2003 s. 19; No. 82 of 2004 s. 9.]</w:t>
      </w:r>
    </w:p>
    <w:p>
      <w:pPr>
        <w:pStyle w:val="Heading5"/>
      </w:pPr>
      <w:bookmarkStart w:id="62" w:name="_Toc381880627"/>
      <w:r>
        <w:rPr>
          <w:rStyle w:val="CharSectno"/>
        </w:rPr>
        <w:t>16</w:t>
      </w:r>
      <w:r>
        <w:t>.</w:t>
      </w:r>
      <w:r>
        <w:tab/>
        <w:t>Annual reconciliation: non</w:t>
      </w:r>
      <w:r>
        <w:noBreakHyphen/>
        <w:t>group employers</w:t>
      </w:r>
      <w:bookmarkEnd w:id="62"/>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by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63" w:name="_Toc381880628"/>
      <w:r>
        <w:rPr>
          <w:rStyle w:val="CharDivNo"/>
        </w:rPr>
        <w:t>Division 3</w:t>
      </w:r>
      <w:r>
        <w:t xml:space="preserve"> — </w:t>
      </w:r>
      <w:r>
        <w:rPr>
          <w:rStyle w:val="CharDivText"/>
        </w:rPr>
        <w:t>Group employers’ liability</w:t>
      </w:r>
      <w:bookmarkEnd w:id="63"/>
    </w:p>
    <w:p>
      <w:pPr>
        <w:pStyle w:val="Heading5"/>
      </w:pPr>
      <w:bookmarkStart w:id="64" w:name="_Toc381880629"/>
      <w:r>
        <w:rPr>
          <w:rStyle w:val="CharSectno"/>
        </w:rPr>
        <w:t>17</w:t>
      </w:r>
      <w:r>
        <w:t>.</w:t>
      </w:r>
      <w:r>
        <w:tab/>
        <w:t>Annual tax liability: groups</w:t>
      </w:r>
      <w:bookmarkEnd w:id="64"/>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WA taxable wages or interstate taxable wages as a group member, whether or not any member of the group pays or is liable to pay WA taxable wages or interstate taxable wages as a group member throughout the whole assessment year.</w:t>
      </w:r>
    </w:p>
    <w:p>
      <w:pPr>
        <w:pStyle w:val="Subsection"/>
      </w:pPr>
      <w:r>
        <w:tab/>
        <w:t>(2)</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the assessment year; and</w:t>
      </w:r>
    </w:p>
    <w:p>
      <w:pPr>
        <w:pStyle w:val="Indenta"/>
      </w:pPr>
      <w:r>
        <w:rPr>
          <w:color w:val="000000"/>
        </w:rPr>
        <w:tab/>
        <w:t>(b)</w:t>
      </w:r>
      <w:r>
        <w:rPr>
          <w:color w:val="000000"/>
        </w:rPr>
        <w:tab/>
        <w:t>the apportioned threshold amount for the assessment year calculated in accordance with section 18(1).</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during part only of the assessment year there is at least one member of the group who pays or is liable to pay WA taxable wages or interstate taxable wages as a group member, whether or not that member or any other member of the group pays or is liable to pay WA taxable wages or interstate taxable wages as a group member throughout that part of the assessment year; and</w:t>
      </w:r>
    </w:p>
    <w:p>
      <w:pPr>
        <w:pStyle w:val="Indenta"/>
      </w:pPr>
      <w:r>
        <w:tab/>
        <w:t>(b)</w:t>
      </w:r>
      <w:r>
        <w:tab/>
        <w:t>during the remainder of the assessment year there is no member of the group who pays or is liable to pay WA taxable wages or interstate taxable wages as a group member.</w:t>
      </w:r>
    </w:p>
    <w:p>
      <w:pPr>
        <w:pStyle w:val="Subsection"/>
      </w:pPr>
      <w:r>
        <w:tab/>
        <w:t>(4)</w:t>
      </w:r>
      <w:r>
        <w:tab/>
        <w:t>The amount of pay</w:t>
      </w:r>
      <w:r>
        <w:noBreakHyphen/>
        <w:t xml:space="preserve">roll tax payable by the group for the assessment year is the amount calculated by applying the </w:t>
      </w:r>
      <w:r>
        <w:rPr>
          <w:color w:val="000000"/>
        </w:rPr>
        <w:t>pay</w:t>
      </w:r>
      <w:r>
        <w:rPr>
          <w:color w:val="000000"/>
        </w:rPr>
        <w:noBreakHyphen/>
        <w:t xml:space="preserve">roll tax rate </w:t>
      </w:r>
      <w:r>
        <w:t>to the amount equal to the difference between —</w:t>
      </w:r>
    </w:p>
    <w:p>
      <w:pPr>
        <w:pStyle w:val="Indenta"/>
      </w:pPr>
      <w:r>
        <w:tab/>
        <w:t>(a)</w:t>
      </w:r>
      <w:r>
        <w:tab/>
        <w:t>the total amount of WA taxable wages paid or payable by the group members during that part of the assessment year; and</w:t>
      </w:r>
    </w:p>
    <w:p>
      <w:pPr>
        <w:pStyle w:val="Indenta"/>
        <w:rPr>
          <w:color w:val="000000"/>
        </w:rPr>
      </w:pPr>
      <w:r>
        <w:rPr>
          <w:color w:val="000000"/>
        </w:rPr>
        <w:tab/>
        <w:t>(b)</w:t>
      </w:r>
      <w:r>
        <w:rPr>
          <w:color w:val="000000"/>
        </w:rPr>
        <w:tab/>
        <w:t>the apportioned threshold amount for that part of the assessment year calculated in accordance with section 18(2).</w:t>
      </w:r>
    </w:p>
    <w:p>
      <w:pPr>
        <w:pStyle w:val="Footnotesection"/>
        <w:ind w:left="890" w:hanging="890"/>
      </w:pPr>
      <w:r>
        <w:tab/>
        <w:t>[Section 17 amended by No. 40 of 2003 s. 20.]</w:t>
      </w:r>
    </w:p>
    <w:p>
      <w:pPr>
        <w:pStyle w:val="Heading5"/>
      </w:pPr>
      <w:bookmarkStart w:id="65" w:name="_Toc381880630"/>
      <w:r>
        <w:rPr>
          <w:rStyle w:val="CharSectno"/>
        </w:rPr>
        <w:t>18</w:t>
      </w:r>
      <w:r>
        <w:rPr>
          <w:color w:val="000000"/>
        </w:rPr>
        <w:t>.</w:t>
      </w:r>
      <w:r>
        <w:rPr>
          <w:color w:val="000000"/>
        </w:rPr>
        <w:tab/>
        <w:t>Apportioned threshold amounts: groups</w:t>
      </w:r>
      <w:bookmarkEnd w:id="65"/>
    </w:p>
    <w:p>
      <w:pPr>
        <w:pStyle w:val="Subsection"/>
        <w:rPr>
          <w:color w:val="000000"/>
        </w:rPr>
      </w:pPr>
      <w:r>
        <w:rPr>
          <w:color w:val="000000"/>
        </w:rPr>
        <w:tab/>
        <w:t>(1)</w:t>
      </w:r>
      <w:r>
        <w:rPr>
          <w:color w:val="000000"/>
        </w:rPr>
        <w:tab/>
        <w:t xml:space="preserve">For the purposes of section 17(2)(b), the apportioned threshold amount for an assessment year is </w:t>
      </w:r>
      <w:r>
        <w:rPr>
          <w:b/>
          <w:bCs/>
          <w:i/>
          <w:iCs/>
          <w:color w:val="000000"/>
        </w:rPr>
        <w:t>A</w:t>
      </w:r>
      <w:r>
        <w:rPr>
          <w:color w:val="000000"/>
        </w:rPr>
        <w:t xml:space="preserve"> in the formula —</w:t>
      </w:r>
    </w:p>
    <w:p>
      <w:pPr>
        <w:pStyle w:val="Equation"/>
        <w:spacing w:before="60"/>
        <w:ind w:left="1440"/>
      </w:pPr>
      <w:r>
        <w:rPr>
          <w:position w:val="-32"/>
        </w:rPr>
        <w:object w:dxaOrig="1680" w:dyaOrig="760">
          <v:shape id="_x0000_i1029" type="#_x0000_t75" style="width:83.25pt;height:38.25pt" o:ole="" fillcolor="window">
            <v:imagedata r:id="rId32" o:title=""/>
          </v:shape>
          <o:OLEObject Type="Embed" ProgID="Equation.3" ShapeID="_x0000_i1029" DrawAspect="Content" ObjectID="_1643582184" r:id="rId33"/>
        </w:object>
      </w:r>
    </w:p>
    <w:p>
      <w:pPr>
        <w:pStyle w:val="Subsection"/>
        <w:keepNext/>
      </w:pPr>
      <w:r>
        <w:tab/>
      </w:r>
      <w:r>
        <w:tab/>
        <w:t>where —</w:t>
      </w:r>
    </w:p>
    <w:p>
      <w:pPr>
        <w:pStyle w:val="Defstart"/>
        <w:spacing w:before="10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the assessment year;</w:t>
      </w:r>
    </w:p>
    <w:p>
      <w:pPr>
        <w:pStyle w:val="Defstart"/>
        <w:spacing w:before="100"/>
      </w:pPr>
      <w:r>
        <w:tab/>
      </w:r>
      <w:r>
        <w:rPr>
          <w:b/>
          <w:bCs/>
          <w:i/>
          <w:iCs/>
        </w:rPr>
        <w:t>I</w:t>
      </w:r>
      <w:r>
        <w:t xml:space="preserve"> is the total amount of interstate taxable wages paid or payable by the group during the assessment year.</w:t>
      </w:r>
    </w:p>
    <w:p>
      <w:pPr>
        <w:pStyle w:val="Subsection"/>
        <w:rPr>
          <w:color w:val="000000"/>
        </w:rPr>
      </w:pPr>
      <w:r>
        <w:rPr>
          <w:color w:val="000000"/>
        </w:rPr>
        <w:tab/>
        <w:t>(2)</w:t>
      </w:r>
      <w:r>
        <w:rPr>
          <w:color w:val="000000"/>
        </w:rPr>
        <w:tab/>
        <w:t xml:space="preserve">For the purposes of section 17(4)(b), the apportioned threshold amount for part of the assessment year is </w:t>
      </w:r>
      <w:r>
        <w:rPr>
          <w:b/>
          <w:bCs/>
          <w:i/>
          <w:iCs/>
          <w:color w:val="000000"/>
        </w:rPr>
        <w:t>A</w:t>
      </w:r>
      <w:r>
        <w:rPr>
          <w:color w:val="000000"/>
        </w:rPr>
        <w:t xml:space="preserve"> in the formula —</w:t>
      </w:r>
    </w:p>
    <w:p>
      <w:pPr>
        <w:pStyle w:val="Equation"/>
        <w:spacing w:before="60"/>
        <w:ind w:left="1440"/>
      </w:pPr>
      <w:r>
        <w:rPr>
          <w:position w:val="-32"/>
        </w:rPr>
        <w:object w:dxaOrig="2260" w:dyaOrig="760">
          <v:shape id="_x0000_i1030" type="#_x0000_t75" style="width:112.5pt;height:38.25pt" o:ole="" fillcolor="window">
            <v:imagedata r:id="rId34" o:title=""/>
          </v:shape>
          <o:OLEObject Type="Embed" ProgID="Equation.3" ShapeID="_x0000_i1030" DrawAspect="Content" ObjectID="_1643582185" r:id="rId35"/>
        </w:object>
      </w:r>
    </w:p>
    <w:p>
      <w:pPr>
        <w:pStyle w:val="Subsection"/>
        <w:keepNext/>
      </w:pPr>
      <w:r>
        <w:tab/>
      </w:r>
      <w:r>
        <w:tab/>
        <w:t>where —</w:t>
      </w:r>
    </w:p>
    <w:p>
      <w:pPr>
        <w:pStyle w:val="Defstart"/>
        <w:spacing w:before="60"/>
      </w:pPr>
      <w:r>
        <w:tab/>
      </w:r>
      <w:r>
        <w:rPr>
          <w:b/>
          <w:bCs/>
          <w:i/>
          <w:iCs/>
        </w:rPr>
        <w:t>T</w:t>
      </w:r>
      <w:r>
        <w:t xml:space="preserve"> is the annual threshold amount for the assessment year;</w:t>
      </w:r>
    </w:p>
    <w:p>
      <w:pPr>
        <w:pStyle w:val="Defstart"/>
        <w:spacing w:before="100"/>
      </w:pPr>
      <w:r>
        <w:tab/>
      </w:r>
      <w:r>
        <w:rPr>
          <w:b/>
          <w:bCs/>
          <w:i/>
          <w:iCs/>
        </w:rPr>
        <w:t>W</w:t>
      </w:r>
      <w:r>
        <w:t xml:space="preserve"> is the total amount of WA taxable wages paid or payable by the group for that part of the assessment year;</w:t>
      </w:r>
    </w:p>
    <w:p>
      <w:pPr>
        <w:pStyle w:val="Defstart"/>
        <w:spacing w:before="100"/>
      </w:pPr>
      <w:r>
        <w:tab/>
      </w:r>
      <w:r>
        <w:rPr>
          <w:b/>
          <w:bCs/>
          <w:i/>
          <w:iCs/>
        </w:rPr>
        <w:t>I</w:t>
      </w:r>
      <w:r>
        <w:t xml:space="preserve"> is the total amount of interstate taxable wages paid or payable by the group during that part of the assessment year;</w:t>
      </w:r>
    </w:p>
    <w:p>
      <w:pPr>
        <w:pStyle w:val="Defstart"/>
        <w:spacing w:before="100"/>
      </w:pPr>
      <w:r>
        <w:tab/>
      </w:r>
      <w:r>
        <w:rPr>
          <w:b/>
          <w:bCs/>
          <w:i/>
          <w:iCs/>
        </w:rPr>
        <w:t>P</w:t>
      </w:r>
      <w:r>
        <w:t xml:space="preserve"> is the number of days in that part of the assessment year;</w:t>
      </w:r>
    </w:p>
    <w:p>
      <w:pPr>
        <w:pStyle w:val="Defstart"/>
        <w:spacing w:before="100"/>
      </w:pPr>
      <w:r>
        <w:tab/>
      </w:r>
      <w:r>
        <w:rPr>
          <w:b/>
          <w:bCs/>
          <w:i/>
          <w:iCs/>
        </w:rPr>
        <w:t>Y</w:t>
      </w:r>
      <w:r>
        <w:t xml:space="preserve"> is the number of days in the assessment year.</w:t>
      </w:r>
    </w:p>
    <w:p>
      <w:pPr>
        <w:pStyle w:val="Footnotesection"/>
      </w:pPr>
      <w:r>
        <w:tab/>
        <w:t>[Section 18 inserted by No. 40 of 2003 s. 21.]</w:t>
      </w:r>
    </w:p>
    <w:p>
      <w:pPr>
        <w:pStyle w:val="Heading5"/>
      </w:pPr>
      <w:bookmarkStart w:id="66" w:name="_Toc381880631"/>
      <w:r>
        <w:rPr>
          <w:rStyle w:val="CharSectno"/>
        </w:rPr>
        <w:t>19</w:t>
      </w:r>
      <w:r>
        <w:t>.</w:t>
      </w:r>
      <w:r>
        <w:tab/>
        <w:t>Tax payable with progressive returns: groups</w:t>
      </w:r>
      <w:bookmarkEnd w:id="6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the amount nominated by the Commissioner having regard to the amounts of WA taxable wages and interstate taxable wages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A member of the group may ask the Commissioner to nominate a different amount if the member expects that the amounts of WA taxable wages and interstate taxable wages payable by the group for the assessment year will vary significantly from the amounts of WA taxable wages and interstate taxable wages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by No. 40 of 2003 s. 22; No. 82 of 2004 s. 11.]</w:t>
      </w:r>
    </w:p>
    <w:p>
      <w:pPr>
        <w:pStyle w:val="Heading5"/>
      </w:pPr>
      <w:bookmarkStart w:id="67" w:name="_Toc381880632"/>
      <w:r>
        <w:rPr>
          <w:rStyle w:val="CharSectno"/>
        </w:rPr>
        <w:t>20</w:t>
      </w:r>
      <w:r>
        <w:t>.</w:t>
      </w:r>
      <w:r>
        <w:tab/>
        <w:t>Annual reconciliation: groups</w:t>
      </w:r>
      <w:bookmarkEnd w:id="67"/>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by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68" w:name="_Toc381880633"/>
      <w:r>
        <w:rPr>
          <w:rStyle w:val="CharDivNo"/>
        </w:rPr>
        <w:t>Division 4</w:t>
      </w:r>
      <w:r>
        <w:t xml:space="preserve"> — </w:t>
      </w:r>
      <w:r>
        <w:rPr>
          <w:rStyle w:val="CharDivText"/>
        </w:rPr>
        <w:t>Assessment generally</w:t>
      </w:r>
      <w:bookmarkEnd w:id="68"/>
    </w:p>
    <w:p>
      <w:pPr>
        <w:pStyle w:val="Heading5"/>
      </w:pPr>
      <w:bookmarkStart w:id="69" w:name="_Toc381880634"/>
      <w:r>
        <w:rPr>
          <w:rStyle w:val="CharSectno"/>
        </w:rPr>
        <w:t>21</w:t>
      </w:r>
      <w:r>
        <w:t>.</w:t>
      </w:r>
      <w:r>
        <w:tab/>
        <w:t>Tax</w:t>
      </w:r>
      <w:r>
        <w:noBreakHyphen/>
        <w:t>reducing arrangements</w:t>
      </w:r>
      <w:bookmarkEnd w:id="69"/>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by No. 15 of 2010 s. 8.]</w:t>
      </w:r>
    </w:p>
    <w:p>
      <w:pPr>
        <w:pStyle w:val="Heading5"/>
      </w:pPr>
      <w:bookmarkStart w:id="70" w:name="_Toc381880635"/>
      <w:r>
        <w:rPr>
          <w:rStyle w:val="CharSectno"/>
        </w:rPr>
        <w:t>22</w:t>
      </w:r>
      <w:r>
        <w:t>.</w:t>
      </w:r>
      <w:r>
        <w:tab/>
        <w:t>Adjustments for changes in annual threshold amount</w:t>
      </w:r>
      <w:bookmarkEnd w:id="70"/>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Heading5"/>
      </w:pPr>
      <w:bookmarkStart w:id="71" w:name="_Toc381880636"/>
      <w:r>
        <w:rPr>
          <w:rStyle w:val="CharSectno"/>
        </w:rPr>
        <w:t>22A</w:t>
      </w:r>
      <w:r>
        <w:t>.</w:t>
      </w:r>
      <w:r>
        <w:tab/>
        <w:t>Effect of change in tax rate during 2004/5 year</w:t>
      </w:r>
      <w:bookmarkEnd w:id="71"/>
    </w:p>
    <w:p>
      <w:pPr>
        <w:pStyle w:val="Subsection"/>
      </w:pPr>
      <w:r>
        <w:tab/>
        <w:t>(1)</w:t>
      </w:r>
      <w:r>
        <w:tab/>
        <w:t>The purpose of this section is to modify provisions of this Act that operate by reference to the pay</w:t>
      </w:r>
      <w:r>
        <w:noBreakHyphen/>
        <w:t xml:space="preserve">roll tax rate, and related provisions, to the extent that they apply to the assessment year commencing on 1 July 2004 (the </w:t>
      </w:r>
      <w:r>
        <w:rPr>
          <w:rStyle w:val="CharDefText"/>
        </w:rPr>
        <w:t>2004/5 year</w:t>
      </w:r>
      <w:r>
        <w:t>).</w:t>
      </w:r>
    </w:p>
    <w:p>
      <w:pPr>
        <w:pStyle w:val="Subsection"/>
      </w:pPr>
      <w:r>
        <w:tab/>
        <w:t>(2)</w:t>
      </w:r>
      <w:r>
        <w:tab/>
        <w:t>The modifications are required because the rate of pay</w:t>
      </w:r>
      <w:r>
        <w:noBreakHyphen/>
        <w:t xml:space="preserve">roll tax (the </w:t>
      </w:r>
      <w:r>
        <w:rPr>
          <w:rStyle w:val="CharDefText"/>
        </w:rPr>
        <w:t>old rate</w:t>
      </w:r>
      <w:r>
        <w:t xml:space="preserve">) for the first 6 months of the 2004/5 year (the </w:t>
      </w:r>
      <w:r>
        <w:rPr>
          <w:rStyle w:val="CharDefText"/>
        </w:rPr>
        <w:t>first period</w:t>
      </w:r>
      <w:r>
        <w:t>) differs from the rate of pay</w:t>
      </w:r>
      <w:r>
        <w:noBreakHyphen/>
        <w:t xml:space="preserve">roll tax (the </w:t>
      </w:r>
      <w:r>
        <w:rPr>
          <w:rStyle w:val="CharDefText"/>
        </w:rPr>
        <w:t>new rate</w:t>
      </w:r>
      <w:r>
        <w:t xml:space="preserve">) for the last 6 months of that year (the </w:t>
      </w:r>
      <w:r>
        <w:rPr>
          <w:rStyle w:val="CharDefText"/>
        </w:rPr>
        <w:t>second period</w:t>
      </w:r>
      <w:r>
        <w:t>).</w:t>
      </w:r>
    </w:p>
    <w:p>
      <w:pPr>
        <w:pStyle w:val="Subsection"/>
      </w:pPr>
      <w:r>
        <w:tab/>
        <w:t>(3)</w:t>
      </w:r>
      <w:r>
        <w:tab/>
        <w:t>When using a provision of this Act to calculate the amount of pay</w:t>
      </w:r>
      <w:r>
        <w:noBreakHyphen/>
        <w:t>roll tax payable for —</w:t>
      </w:r>
    </w:p>
    <w:p>
      <w:pPr>
        <w:pStyle w:val="Indenta"/>
      </w:pPr>
      <w:r>
        <w:tab/>
        <w:t>(a)</w:t>
      </w:r>
      <w:r>
        <w:tab/>
        <w:t>the whole or part of a progressive return period that is during the 2004/5 year and before the second period commences, a reference to the pay</w:t>
      </w:r>
      <w:r>
        <w:noBreakHyphen/>
        <w:t>roll tax rate means the old rate;</w:t>
      </w:r>
    </w:p>
    <w:p>
      <w:pPr>
        <w:pStyle w:val="Indenta"/>
      </w:pPr>
      <w:r>
        <w:tab/>
        <w:t>(b)</w:t>
      </w:r>
      <w:r>
        <w:tab/>
        <w:t>the whole or part of a progressive return period that is during the 2004/5 year and after the first period ends, a reference to the pay</w:t>
      </w:r>
      <w:r>
        <w:noBreakHyphen/>
        <w:t>roll tax rate means the new rate.</w:t>
      </w:r>
    </w:p>
    <w:p>
      <w:pPr>
        <w:pStyle w:val="Subsection"/>
        <w:keepNext/>
      </w:pPr>
      <w:r>
        <w:tab/>
        <w:t>(4)</w:t>
      </w:r>
      <w:r>
        <w:tab/>
        <w:t>To calculate the amount of pay</w:t>
      </w:r>
      <w:r>
        <w:noBreakHyphen/>
        <w:t xml:space="preserve">roll tax payable by an employer or group for a period (the </w:t>
      </w:r>
      <w:r>
        <w:rPr>
          <w:rStyle w:val="CharDefText"/>
        </w:rPr>
        <w:t>tax period</w:t>
      </w:r>
      <w:r>
        <w:t>) that is the whole or part of the 2004/5 year —</w:t>
      </w:r>
    </w:p>
    <w:p>
      <w:pPr>
        <w:pStyle w:val="Indenta"/>
        <w:spacing w:before="60"/>
      </w:pPr>
      <w:r>
        <w:tab/>
        <w:t>(a)</w:t>
      </w:r>
      <w:r>
        <w:tab/>
        <w:t>separate amounts are to be calculated, as described in subsection (5), for —</w:t>
      </w:r>
    </w:p>
    <w:p>
      <w:pPr>
        <w:pStyle w:val="Indenti"/>
        <w:spacing w:before="60"/>
      </w:pPr>
      <w:r>
        <w:tab/>
        <w:t>(i)</w:t>
      </w:r>
      <w:r>
        <w:tab/>
        <w:t xml:space="preserve">any part of the tax period that is before 1 January 2005 (the </w:t>
      </w:r>
      <w:r>
        <w:rPr>
          <w:rStyle w:val="CharDefText"/>
        </w:rPr>
        <w:t>first part of the tax period</w:t>
      </w:r>
      <w:r>
        <w:t>); and</w:t>
      </w:r>
    </w:p>
    <w:p>
      <w:pPr>
        <w:pStyle w:val="Indenti"/>
        <w:spacing w:before="60"/>
      </w:pPr>
      <w:r>
        <w:tab/>
        <w:t>(ii)</w:t>
      </w:r>
      <w:r>
        <w:tab/>
        <w:t xml:space="preserve">any part of the tax period that is after 31 December 2004 (the </w:t>
      </w:r>
      <w:r>
        <w:rPr>
          <w:rStyle w:val="CharDefText"/>
        </w:rPr>
        <w:t>second part of the tax period</w:t>
      </w:r>
      <w:r>
        <w:t>);</w:t>
      </w:r>
    </w:p>
    <w:p>
      <w:pPr>
        <w:pStyle w:val="Indenta"/>
        <w:spacing w:before="60"/>
      </w:pPr>
      <w:r>
        <w:tab/>
      </w:r>
      <w:r>
        <w:tab/>
        <w:t>and</w:t>
      </w:r>
    </w:p>
    <w:p>
      <w:pPr>
        <w:pStyle w:val="Indenta"/>
        <w:spacing w:before="70"/>
      </w:pPr>
      <w:r>
        <w:tab/>
        <w:t>(b)</w:t>
      </w:r>
      <w:r>
        <w:tab/>
        <w:t>the amount, if any, calculated for the second part of the tax period is to be added to the amount, if any, calculated for the first part of the tax period to give the total amount payable for the tax period.</w:t>
      </w:r>
    </w:p>
    <w:p>
      <w:pPr>
        <w:pStyle w:val="Subsection"/>
      </w:pPr>
      <w:r>
        <w:tab/>
        <w:t>(5)</w:t>
      </w:r>
      <w:r>
        <w:tab/>
        <w:t xml:space="preserve">To calculate the amount for the first part of the tax period or the second part of the tax period (the </w:t>
      </w:r>
      <w:r>
        <w:rPr>
          <w:rStyle w:val="CharDefText"/>
        </w:rPr>
        <w:t>relevant part period</w:t>
      </w:r>
      <w:r>
        <w:t>), the provision that applies for the calculation of the amount of pay</w:t>
      </w:r>
      <w:r>
        <w:noBreakHyphen/>
        <w:t>roll tax payable for the tax period is to be used, but in using that provision —</w:t>
      </w:r>
    </w:p>
    <w:p>
      <w:pPr>
        <w:pStyle w:val="Indenta"/>
        <w:spacing w:before="60"/>
      </w:pPr>
      <w:r>
        <w:tab/>
        <w:t>(a)</w:t>
      </w:r>
      <w:r>
        <w:tab/>
        <w:t>a reference to the tax period is to be taken to refer to the relevant part period, except in a reference to an annual threshold amount or an apportioned threshold amount; and</w:t>
      </w:r>
    </w:p>
    <w:p>
      <w:pPr>
        <w:pStyle w:val="Indenta"/>
        <w:spacing w:before="60"/>
      </w:pPr>
      <w:r>
        <w:tab/>
        <w:t>(b)</w:t>
      </w:r>
      <w:r>
        <w:tab/>
        <w:t>a reference to the pay</w:t>
      </w:r>
      <w:r>
        <w:noBreakHyphen/>
        <w:t>roll tax rate means —</w:t>
      </w:r>
    </w:p>
    <w:p>
      <w:pPr>
        <w:pStyle w:val="Indenti"/>
        <w:spacing w:before="60"/>
      </w:pPr>
      <w:r>
        <w:tab/>
        <w:t>(i)</w:t>
      </w:r>
      <w:r>
        <w:tab/>
        <w:t>if the relevant part period is the first part of the tax period, the old rate; and</w:t>
      </w:r>
    </w:p>
    <w:p>
      <w:pPr>
        <w:pStyle w:val="Indenti"/>
        <w:spacing w:before="60"/>
      </w:pPr>
      <w:r>
        <w:tab/>
        <w:t>(ii)</w:t>
      </w:r>
      <w:r>
        <w:tab/>
        <w:t>if the relevant part period is the second part of the tax period, the new rate;</w:t>
      </w:r>
    </w:p>
    <w:p>
      <w:pPr>
        <w:pStyle w:val="Indenta"/>
        <w:spacing w:before="60"/>
      </w:pPr>
      <w:r>
        <w:tab/>
      </w:r>
      <w:r>
        <w:tab/>
        <w:t>and</w:t>
      </w:r>
    </w:p>
    <w:p>
      <w:pPr>
        <w:pStyle w:val="Indenta"/>
        <w:spacing w:before="60"/>
      </w:pPr>
      <w:r>
        <w:tab/>
        <w:t>(c)</w:t>
      </w:r>
      <w:r>
        <w:tab/>
        <w:t>if the provision is section 10(1), the amount referred to in section 10(1)(b) is to be multiplied by the part period factor, as defined in subsection (6); and</w:t>
      </w:r>
    </w:p>
    <w:p>
      <w:pPr>
        <w:pStyle w:val="Indenta"/>
        <w:spacing w:before="60"/>
      </w:pPr>
      <w:r>
        <w:tab/>
        <w:t>(d)</w:t>
      </w:r>
      <w:r>
        <w:tab/>
        <w:t xml:space="preserve">if the provision refers to an apportioned threshold amount, the calculation of the apportioned threshold amount for the tax period under section 12(1), 14, or 18, as the case requires, (the </w:t>
      </w:r>
      <w:r>
        <w:rPr>
          <w:rStyle w:val="CharDefText"/>
        </w:rPr>
        <w:t>calculation provision</w:t>
      </w:r>
      <w:r>
        <w:t>) is modified by multiplying the amount that T represents in the formula in the calculation provision by the part period factor, as defined in subsection (6).</w:t>
      </w:r>
    </w:p>
    <w:p>
      <w:pPr>
        <w:pStyle w:val="Subsection"/>
        <w:spacing w:before="140"/>
      </w:pPr>
      <w:r>
        <w:tab/>
        <w:t>(6)</w:t>
      </w:r>
      <w:r>
        <w:tab/>
        <w:t>In subsection (5)(c) and (d) —</w:t>
      </w:r>
    </w:p>
    <w:p>
      <w:pPr>
        <w:pStyle w:val="Defstart"/>
      </w:pPr>
      <w:r>
        <w:rPr>
          <w:b/>
        </w:rPr>
        <w:tab/>
      </w:r>
      <w:r>
        <w:rPr>
          <w:rStyle w:val="CharDefText"/>
        </w:rPr>
        <w:t>part period factor</w:t>
      </w:r>
      <w:r>
        <w:t xml:space="preserve"> means the amount represented by </w:t>
      </w:r>
      <w:r>
        <w:rPr>
          <w:b/>
          <w:bCs/>
          <w:i/>
          <w:iCs/>
        </w:rPr>
        <w:t>F</w:t>
      </w:r>
      <w:r>
        <w:t xml:space="preserve"> in the formula —</w:t>
      </w:r>
    </w:p>
    <w:p>
      <w:pPr>
        <w:pStyle w:val="Equation"/>
        <w:ind w:left="1440"/>
      </w:pPr>
      <w:r>
        <w:rPr>
          <w:position w:val="-24"/>
        </w:rPr>
        <w:object w:dxaOrig="780" w:dyaOrig="620">
          <v:shape id="_x0000_i1031" type="#_x0000_t75" style="width:39pt;height:31.5pt" o:ole="">
            <v:imagedata r:id="rId36" o:title=""/>
          </v:shape>
          <o:OLEObject Type="Embed" ProgID="Equation.3" ShapeID="_x0000_i1031" DrawAspect="Content" ObjectID="_1643582186" r:id="rId37"/>
        </w:object>
      </w:r>
    </w:p>
    <w:p>
      <w:pPr>
        <w:pStyle w:val="Defstart"/>
      </w:pPr>
      <w:r>
        <w:tab/>
        <w:t>where —</w:t>
      </w:r>
    </w:p>
    <w:p>
      <w:pPr>
        <w:pStyle w:val="Defstart"/>
        <w:spacing w:before="60"/>
      </w:pPr>
      <w:r>
        <w:tab/>
      </w:r>
      <w:r>
        <w:rPr>
          <w:b/>
          <w:bCs/>
          <w:i/>
          <w:iCs/>
        </w:rPr>
        <w:t>W</w:t>
      </w:r>
      <w:r>
        <w:rPr>
          <w:rFonts w:ascii="Times" w:hAnsi="Times"/>
          <w:b/>
          <w:bCs/>
          <w:i/>
          <w:iCs/>
          <w:vertAlign w:val="subscript"/>
        </w:rPr>
        <w:t>P</w:t>
      </w:r>
      <w:r>
        <w:t xml:space="preserve"> is the total amount of WA taxable wages paid or payable by the employer or group during the relevant part period;</w:t>
      </w:r>
    </w:p>
    <w:p>
      <w:pPr>
        <w:pStyle w:val="Defstart"/>
        <w:spacing w:before="60"/>
      </w:pPr>
      <w:r>
        <w:tab/>
      </w:r>
      <w:r>
        <w:rPr>
          <w:b/>
          <w:bCs/>
          <w:i/>
          <w:iCs/>
        </w:rPr>
        <w:t>W</w:t>
      </w:r>
      <w:r>
        <w:t xml:space="preserve"> is the total amount of WA taxable wages paid or payable by the employer or group during the tax period.</w:t>
      </w:r>
    </w:p>
    <w:p>
      <w:pPr>
        <w:pStyle w:val="Footnotesection"/>
        <w:spacing w:before="80"/>
      </w:pPr>
      <w:r>
        <w:tab/>
        <w:t>[Section 22A inserted by No. 82 of 2004 s. 4.]</w:t>
      </w:r>
    </w:p>
    <w:p>
      <w:pPr>
        <w:pStyle w:val="Heading5"/>
      </w:pPr>
      <w:bookmarkStart w:id="72" w:name="_Toc381880637"/>
      <w:r>
        <w:rPr>
          <w:rStyle w:val="CharSectno"/>
        </w:rPr>
        <w:t>23</w:t>
      </w:r>
      <w:r>
        <w:t>.</w:t>
      </w:r>
      <w:r>
        <w:tab/>
        <w:t>Taxable wages not paid throughout assessment year</w:t>
      </w:r>
      <w:bookmarkEnd w:id="72"/>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by No. 40 of 2003 s. 23.]</w:t>
      </w:r>
    </w:p>
    <w:p>
      <w:pPr>
        <w:pStyle w:val="Heading2"/>
      </w:pPr>
      <w:bookmarkStart w:id="73" w:name="_Toc381880638"/>
      <w:r>
        <w:rPr>
          <w:rStyle w:val="CharPartNo"/>
        </w:rPr>
        <w:t>Part 3</w:t>
      </w:r>
      <w:r>
        <w:rPr>
          <w:rStyle w:val="CharDivNo"/>
        </w:rPr>
        <w:t xml:space="preserve"> </w:t>
      </w:r>
      <w:r>
        <w:t>—</w:t>
      </w:r>
      <w:r>
        <w:rPr>
          <w:rStyle w:val="CharDivText"/>
        </w:rPr>
        <w:t xml:space="preserve"> </w:t>
      </w:r>
      <w:r>
        <w:rPr>
          <w:rStyle w:val="CharPartText"/>
        </w:rPr>
        <w:t>Registration and returns</w:t>
      </w:r>
      <w:bookmarkEnd w:id="73"/>
    </w:p>
    <w:p>
      <w:pPr>
        <w:pStyle w:val="Heading5"/>
      </w:pPr>
      <w:bookmarkStart w:id="74" w:name="_Toc381880639"/>
      <w:r>
        <w:rPr>
          <w:rStyle w:val="CharSectno"/>
        </w:rPr>
        <w:t>24</w:t>
      </w:r>
      <w:r>
        <w:t>.</w:t>
      </w:r>
      <w:r>
        <w:tab/>
        <w:t>Applications for registration as employer</w:t>
      </w:r>
      <w:bookmarkEnd w:id="74"/>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by No. 15 of 2010 s. 19.]</w:t>
      </w:r>
    </w:p>
    <w:p>
      <w:pPr>
        <w:pStyle w:val="Heading5"/>
      </w:pPr>
      <w:bookmarkStart w:id="75" w:name="_Toc381880640"/>
      <w:r>
        <w:rPr>
          <w:rStyle w:val="CharSectno"/>
        </w:rPr>
        <w:t>25</w:t>
      </w:r>
      <w:r>
        <w:t>.</w:t>
      </w:r>
      <w:r>
        <w:tab/>
        <w:t>Registration and cancellation of registration</w:t>
      </w:r>
      <w:bookmarkEnd w:id="75"/>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by No. 29 of 2012 s. 27.]</w:t>
      </w:r>
    </w:p>
    <w:p>
      <w:pPr>
        <w:pStyle w:val="Heading5"/>
        <w:spacing w:before="180"/>
      </w:pPr>
      <w:bookmarkStart w:id="76" w:name="_Toc381880641"/>
      <w:r>
        <w:rPr>
          <w:rStyle w:val="CharSectno"/>
        </w:rPr>
        <w:t>26</w:t>
      </w:r>
      <w:r>
        <w:t>.</w:t>
      </w:r>
      <w:r>
        <w:tab/>
        <w:t>Monthly returns</w:t>
      </w:r>
      <w:bookmarkEnd w:id="76"/>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by No. 15 of 2010 s. 9.]</w:t>
      </w:r>
    </w:p>
    <w:p>
      <w:pPr>
        <w:pStyle w:val="Heading5"/>
      </w:pPr>
      <w:bookmarkStart w:id="77" w:name="_Toc381880642"/>
      <w:r>
        <w:rPr>
          <w:rStyle w:val="CharSectno"/>
        </w:rPr>
        <w:t>27</w:t>
      </w:r>
      <w:r>
        <w:t>.</w:t>
      </w:r>
      <w:r>
        <w:tab/>
        <w:t>Additional returns for reconciliation purposes</w:t>
      </w:r>
      <w:bookmarkEnd w:id="77"/>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by No. 40 of 2003 s. 24; No. 82 of 2004 s. 13; No. 15 of 2010 s. 10 and 19.]</w:t>
      </w:r>
    </w:p>
    <w:p>
      <w:pPr>
        <w:pStyle w:val="Heading5"/>
      </w:pPr>
      <w:bookmarkStart w:id="78" w:name="_Toc381880643"/>
      <w:r>
        <w:rPr>
          <w:rStyle w:val="CharSectno"/>
        </w:rPr>
        <w:t>28</w:t>
      </w:r>
      <w:r>
        <w:t>.</w:t>
      </w:r>
      <w:r>
        <w:tab/>
        <w:t>Further returns</w:t>
      </w:r>
      <w:bookmarkEnd w:id="78"/>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by No. 15 of 2010 s. 19.]</w:t>
      </w:r>
    </w:p>
    <w:p>
      <w:pPr>
        <w:pStyle w:val="Heading5"/>
      </w:pPr>
      <w:bookmarkStart w:id="79" w:name="_Toc381880644"/>
      <w:r>
        <w:rPr>
          <w:rStyle w:val="CharSectno"/>
        </w:rPr>
        <w:t>28A</w:t>
      </w:r>
      <w:r>
        <w:t>.</w:t>
      </w:r>
      <w:r>
        <w:tab/>
        <w:t>Manner of lodging and paying in certain cases</w:t>
      </w:r>
      <w:bookmarkEnd w:id="79"/>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by No. 82 of 2004 s. 14.]</w:t>
      </w:r>
    </w:p>
    <w:p>
      <w:pPr>
        <w:pStyle w:val="Heading5"/>
      </w:pPr>
      <w:bookmarkStart w:id="80" w:name="_Toc381880645"/>
      <w:r>
        <w:rPr>
          <w:rStyle w:val="CharSectno"/>
        </w:rPr>
        <w:t>29</w:t>
      </w:r>
      <w:r>
        <w:t>.</w:t>
      </w:r>
      <w:r>
        <w:tab/>
        <w:t>Exemptions from lodging monthly returns</w:t>
      </w:r>
      <w:bookmarkEnd w:id="8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WA taxable wages and interstate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by No. 40 of 2003 s. 25; No. 82 of 2004 s. 5 and 15(1)-(6); No. 15 of 2010 s. 19.]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81" w:name="_Toc381880646"/>
      <w:r>
        <w:rPr>
          <w:rStyle w:val="CharPartNo"/>
        </w:rPr>
        <w:t>Part 4</w:t>
      </w:r>
      <w:r>
        <w:t xml:space="preserve"> — </w:t>
      </w:r>
      <w:r>
        <w:rPr>
          <w:rStyle w:val="CharPartText"/>
        </w:rPr>
        <w:t>Constitution of business groups</w:t>
      </w:r>
      <w:bookmarkEnd w:id="81"/>
    </w:p>
    <w:p>
      <w:pPr>
        <w:pStyle w:val="Heading5"/>
      </w:pPr>
      <w:bookmarkStart w:id="82" w:name="_Toc381880647"/>
      <w:r>
        <w:rPr>
          <w:rStyle w:val="CharSectno"/>
        </w:rPr>
        <w:t>30</w:t>
      </w:r>
      <w:r>
        <w:t>.</w:t>
      </w:r>
      <w:r>
        <w:tab/>
        <w:t>Grouping corporations</w:t>
      </w:r>
      <w:bookmarkEnd w:id="82"/>
    </w:p>
    <w:p>
      <w:pPr>
        <w:pStyle w:val="Subsection"/>
      </w:pPr>
      <w:r>
        <w:tab/>
      </w:r>
      <w:r>
        <w:tab/>
        <w:t>For the purposes of a pay</w:t>
      </w:r>
      <w:r>
        <w:noBreakHyphen/>
        <w:t>roll tax Act, corporations constitute a group if they are related bodies corporate.</w:t>
      </w:r>
    </w:p>
    <w:p>
      <w:pPr>
        <w:pStyle w:val="Footnotesection"/>
      </w:pPr>
      <w:r>
        <w:tab/>
        <w:t>[Section 30 amended by No. 32 of 2012 s. 36.]</w:t>
      </w:r>
    </w:p>
    <w:p>
      <w:pPr>
        <w:pStyle w:val="Heading5"/>
      </w:pPr>
      <w:bookmarkStart w:id="83" w:name="_Toc381880648"/>
      <w:r>
        <w:rPr>
          <w:rStyle w:val="CharSectno"/>
        </w:rPr>
        <w:t>31</w:t>
      </w:r>
      <w:r>
        <w:t>.</w:t>
      </w:r>
      <w:r>
        <w:tab/>
        <w:t>Grouping where employees used in another business</w:t>
      </w:r>
      <w:bookmarkEnd w:id="83"/>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by No. 11 of 2005 s. 4; No. 15 of 2010 s. 11 and 20.]</w:t>
      </w:r>
    </w:p>
    <w:p>
      <w:pPr>
        <w:pStyle w:val="Heading5"/>
      </w:pPr>
      <w:bookmarkStart w:id="84" w:name="_Toc381880649"/>
      <w:r>
        <w:rPr>
          <w:rStyle w:val="CharSectno"/>
        </w:rPr>
        <w:t>32</w:t>
      </w:r>
      <w:r>
        <w:t>.</w:t>
      </w:r>
      <w:r>
        <w:tab/>
        <w:t>Grouping commonly controlled businesses</w:t>
      </w:r>
      <w:bookmarkEnd w:id="84"/>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by No. 15 of 2010 s. 21; No. 32 of 2012 s. 37.]</w:t>
      </w:r>
    </w:p>
    <w:p>
      <w:pPr>
        <w:pStyle w:val="Heading5"/>
      </w:pPr>
      <w:bookmarkStart w:id="85" w:name="_Toc381880650"/>
      <w:r>
        <w:rPr>
          <w:rStyle w:val="CharSectno"/>
        </w:rPr>
        <w:t>33</w:t>
      </w:r>
      <w:r>
        <w:t>.</w:t>
      </w:r>
      <w:r>
        <w:tab/>
        <w:t>Controlling interest in business</w:t>
      </w:r>
      <w:bookmarkEnd w:id="85"/>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by No. 15 of 2010 s. 22; No. 29 of 2012 s. 28; No. 32 of 2012 s. 38.]</w:t>
      </w:r>
    </w:p>
    <w:p>
      <w:pPr>
        <w:pStyle w:val="Heading5"/>
      </w:pPr>
      <w:bookmarkStart w:id="86" w:name="_Toc381880651"/>
      <w:r>
        <w:rPr>
          <w:rStyle w:val="CharSectno"/>
        </w:rPr>
        <w:t>34</w:t>
      </w:r>
      <w:r>
        <w:t>.</w:t>
      </w:r>
      <w:r>
        <w:tab/>
        <w:t>Value of beneficial interest in discretionary trusts</w:t>
      </w:r>
      <w:bookmarkEnd w:id="8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by No. 32 of 2012 s. 39.]</w:t>
      </w:r>
    </w:p>
    <w:p>
      <w:pPr>
        <w:pStyle w:val="Heading5"/>
      </w:pPr>
      <w:bookmarkStart w:id="87" w:name="_Toc381880652"/>
      <w:r>
        <w:rPr>
          <w:rStyle w:val="CharSectno"/>
        </w:rPr>
        <w:t>35A</w:t>
      </w:r>
      <w:r>
        <w:t>.</w:t>
      </w:r>
      <w:r>
        <w:tab/>
        <w:t>Groups arising from tracing of interests in corporations</w:t>
      </w:r>
      <w:bookmarkEnd w:id="87"/>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by No. 15 of 2010 s. 23.]</w:t>
      </w:r>
    </w:p>
    <w:p>
      <w:pPr>
        <w:pStyle w:val="Heading5"/>
        <w:spacing w:before="200"/>
      </w:pPr>
      <w:bookmarkStart w:id="88" w:name="_Toc381880653"/>
      <w:r>
        <w:rPr>
          <w:rStyle w:val="CharSectno"/>
        </w:rPr>
        <w:t>35B</w:t>
      </w:r>
      <w:r>
        <w:t>.</w:t>
      </w:r>
      <w:r>
        <w:tab/>
        <w:t>Direct interests</w:t>
      </w:r>
      <w:bookmarkEnd w:id="88"/>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by No. 15 of 2010 s. 23.]</w:t>
      </w:r>
    </w:p>
    <w:p>
      <w:pPr>
        <w:pStyle w:val="Heading5"/>
      </w:pPr>
      <w:bookmarkStart w:id="89" w:name="_Toc381880654"/>
      <w:r>
        <w:rPr>
          <w:rStyle w:val="CharSectno"/>
        </w:rPr>
        <w:t>35C</w:t>
      </w:r>
      <w:r>
        <w:t>.</w:t>
      </w:r>
      <w:r>
        <w:tab/>
        <w:t>Indirect interests</w:t>
      </w:r>
      <w:bookmarkEnd w:id="89"/>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by No. 15 of 2010 s. 23.]</w:t>
      </w:r>
    </w:p>
    <w:p>
      <w:pPr>
        <w:pStyle w:val="Heading5"/>
      </w:pPr>
      <w:bookmarkStart w:id="90" w:name="_Toc381880655"/>
      <w:r>
        <w:rPr>
          <w:rStyle w:val="CharSectno"/>
        </w:rPr>
        <w:t>35D</w:t>
      </w:r>
      <w:r>
        <w:t>.</w:t>
      </w:r>
      <w:r>
        <w:tab/>
        <w:t>Aggregate interests</w:t>
      </w:r>
      <w:bookmarkEnd w:id="90"/>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by No. 15 of 2010 s. 23.]</w:t>
      </w:r>
    </w:p>
    <w:p>
      <w:pPr>
        <w:pStyle w:val="Ednotesection"/>
      </w:pPr>
      <w:r>
        <w:t>[</w:t>
      </w:r>
      <w:r>
        <w:rPr>
          <w:b/>
        </w:rPr>
        <w:t>35.</w:t>
      </w:r>
      <w:r>
        <w:rPr>
          <w:b/>
        </w:rPr>
        <w:tab/>
      </w:r>
      <w:r>
        <w:t>Deleted by No. 15 of 2010 s. 23.]</w:t>
      </w:r>
    </w:p>
    <w:p>
      <w:pPr>
        <w:pStyle w:val="Heading5"/>
        <w:spacing w:before="180"/>
      </w:pPr>
      <w:bookmarkStart w:id="91" w:name="_Toc381880656"/>
      <w:r>
        <w:rPr>
          <w:rStyle w:val="CharSectno"/>
        </w:rPr>
        <w:t>36</w:t>
      </w:r>
      <w:r>
        <w:t>.</w:t>
      </w:r>
      <w:r>
        <w:tab/>
        <w:t>Smaller groups subsumed into larger groups</w:t>
      </w:r>
      <w:bookmarkEnd w:id="91"/>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by No. 15 of 2010 s. 24; No. 29 of 2012 s. 29.]</w:t>
      </w:r>
    </w:p>
    <w:p>
      <w:pPr>
        <w:pStyle w:val="Heading5"/>
      </w:pPr>
      <w:bookmarkStart w:id="92" w:name="_Toc381880657"/>
      <w:r>
        <w:rPr>
          <w:rStyle w:val="CharSectno"/>
        </w:rPr>
        <w:t>37</w:t>
      </w:r>
      <w:r>
        <w:t>.</w:t>
      </w:r>
      <w:r>
        <w:tab/>
        <w:t>Grouping provisions operate independently</w:t>
      </w:r>
      <w:bookmarkEnd w:id="92"/>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93" w:name="_Toc381880658"/>
      <w:r>
        <w:rPr>
          <w:rStyle w:val="CharSectno"/>
        </w:rPr>
        <w:t>38</w:t>
      </w:r>
      <w:r>
        <w:t>.</w:t>
      </w:r>
      <w:r>
        <w:tab/>
        <w:t>Exclusion from groups</w:t>
      </w:r>
      <w:bookmarkEnd w:id="93"/>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by No. 15 of 2010 s. 25; No. 32 of 2012 s. 40.]</w:t>
      </w:r>
    </w:p>
    <w:p>
      <w:pPr>
        <w:pStyle w:val="Heading5"/>
      </w:pPr>
      <w:bookmarkStart w:id="94" w:name="_Toc381880659"/>
      <w:r>
        <w:rPr>
          <w:rStyle w:val="CharSectno"/>
        </w:rPr>
        <w:t>39</w:t>
      </w:r>
      <w:r>
        <w:t>.</w:t>
      </w:r>
      <w:r>
        <w:tab/>
        <w:t>Designated group employer</w:t>
      </w:r>
      <w:bookmarkEnd w:id="94"/>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95" w:name="_Toc381880660"/>
      <w:r>
        <w:rPr>
          <w:rStyle w:val="CharPartNo"/>
        </w:rPr>
        <w:t>Part 5</w:t>
      </w:r>
      <w:r>
        <w:rPr>
          <w:rStyle w:val="CharDivNo"/>
        </w:rPr>
        <w:t> </w:t>
      </w:r>
      <w:r>
        <w:t>—</w:t>
      </w:r>
      <w:r>
        <w:rPr>
          <w:rStyle w:val="CharDivText"/>
        </w:rPr>
        <w:t> </w:t>
      </w:r>
      <w:r>
        <w:rPr>
          <w:rStyle w:val="CharPartText"/>
        </w:rPr>
        <w:t>Exempt wages</w:t>
      </w:r>
      <w:bookmarkEnd w:id="95"/>
    </w:p>
    <w:p>
      <w:pPr>
        <w:pStyle w:val="Footnoteheading"/>
      </w:pPr>
      <w:r>
        <w:tab/>
        <w:t>[Heading inserted by No. 15 of 2010 s. 12.]</w:t>
      </w:r>
    </w:p>
    <w:p>
      <w:pPr>
        <w:pStyle w:val="Heading5"/>
      </w:pPr>
      <w:bookmarkStart w:id="96" w:name="_Toc381880661"/>
      <w:r>
        <w:rPr>
          <w:rStyle w:val="CharSectno"/>
        </w:rPr>
        <w:t>40</w:t>
      </w:r>
      <w:r>
        <w:t>.</w:t>
      </w:r>
      <w:r>
        <w:tab/>
        <w:t>Exempt wages</w:t>
      </w:r>
      <w:bookmarkEnd w:id="96"/>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by a public hospital for doing work of a kind ordinarily performed in connection with the conduct of public hospitals;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Indenta"/>
      </w:pPr>
      <w:r>
        <w:tab/>
        <w:t>(m)</w:t>
      </w:r>
      <w:r>
        <w:tab/>
        <w:t xml:space="preserve">by an employer to or in relation to a person who is an apprentice under a training contract registered under the </w:t>
      </w:r>
      <w:r>
        <w:rPr>
          <w:i/>
        </w:rPr>
        <w:t>Vocational Education and Training Act 1996</w:t>
      </w:r>
      <w:r>
        <w:t xml:space="preserve"> Part 7 Division 2; or</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Indenta"/>
      </w:pPr>
      <w:r>
        <w:tab/>
        <w:t>(o)</w:t>
      </w:r>
      <w:r>
        <w:tab/>
        <w:t>by an employer to or in relation to a trainee employed under a training agreement as part of the Australian Traineeship System established by the Governments of the Commonwealth and the State; or</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by No. 77 of 2006 s. 4; No. 44 of 2008 s. 59; No. 15 of 2010 s. 13; No. 22 of 2012 s. 131.]</w:t>
      </w:r>
    </w:p>
    <w:p>
      <w:pPr>
        <w:pStyle w:val="Heading5"/>
      </w:pPr>
      <w:bookmarkStart w:id="97" w:name="_Toc381880662"/>
      <w:r>
        <w:rPr>
          <w:rStyle w:val="CharSectno"/>
        </w:rPr>
        <w:t>41A</w:t>
      </w:r>
      <w:r>
        <w:t>.</w:t>
      </w:r>
      <w:r>
        <w:tab/>
        <w:t>Exempt wages: parental and adoption leave</w:t>
      </w:r>
      <w:bookmarkEnd w:id="97"/>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NotesPerm"/>
        <w:tabs>
          <w:tab w:val="clear" w:pos="879"/>
          <w:tab w:val="left" w:pos="851"/>
        </w:tabs>
        <w:ind w:left="1418" w:hanging="1418"/>
      </w:pPr>
      <w:r>
        <w:tab/>
        <w:t>Note:</w:t>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by No. 15 of 2010 s. 14; amended by No. 29 of 2012 s. 30.]</w:t>
      </w:r>
    </w:p>
    <w:p>
      <w:pPr>
        <w:pStyle w:val="Heading5"/>
      </w:pPr>
      <w:bookmarkStart w:id="98" w:name="_Toc381880663"/>
      <w:r>
        <w:rPr>
          <w:rStyle w:val="CharSectno"/>
        </w:rPr>
        <w:t>41B</w:t>
      </w:r>
      <w:r>
        <w:t>.</w:t>
      </w:r>
      <w:r>
        <w:tab/>
        <w:t>Exempt wages: wages paid or payable for or in relation to services performed in other countries</w:t>
      </w:r>
      <w:bookmarkEnd w:id="98"/>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by No. 15 of 2010 s. 14.]</w:t>
      </w:r>
    </w:p>
    <w:p>
      <w:pPr>
        <w:pStyle w:val="Heading5"/>
      </w:pPr>
      <w:bookmarkStart w:id="99" w:name="_Toc381880664"/>
      <w:r>
        <w:rPr>
          <w:rStyle w:val="CharSectno"/>
        </w:rPr>
        <w:t>41C</w:t>
      </w:r>
      <w:r>
        <w:t>.</w:t>
      </w:r>
      <w:r>
        <w:tab/>
        <w:t>Exempt wages: DSC disability support and disability wages subsidy</w:t>
      </w:r>
      <w:bookmarkEnd w:id="99"/>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by No. 32 of 2012 s. 41.]</w:t>
      </w:r>
    </w:p>
    <w:p>
      <w:pPr>
        <w:pStyle w:val="Heading2"/>
      </w:pPr>
      <w:bookmarkStart w:id="100" w:name="_Toc381880665"/>
      <w:r>
        <w:rPr>
          <w:rStyle w:val="CharPartNo"/>
        </w:rPr>
        <w:t>Part 6</w:t>
      </w:r>
      <w:r>
        <w:rPr>
          <w:rStyle w:val="CharDivNo"/>
        </w:rPr>
        <w:t> </w:t>
      </w:r>
      <w:r>
        <w:t>—</w:t>
      </w:r>
      <w:r>
        <w:rPr>
          <w:rStyle w:val="CharDivText"/>
        </w:rPr>
        <w:t> </w:t>
      </w:r>
      <w:r>
        <w:rPr>
          <w:rStyle w:val="CharPartText"/>
        </w:rPr>
        <w:t>Miscellaneous</w:t>
      </w:r>
      <w:bookmarkEnd w:id="100"/>
    </w:p>
    <w:p>
      <w:pPr>
        <w:pStyle w:val="Footnoteheading"/>
      </w:pPr>
      <w:r>
        <w:tab/>
        <w:t>[Heading inserted by No. 15 of 2010 s. 15.]</w:t>
      </w:r>
    </w:p>
    <w:p>
      <w:pPr>
        <w:pStyle w:val="Heading5"/>
      </w:pPr>
      <w:bookmarkStart w:id="101" w:name="_Toc381880666"/>
      <w:r>
        <w:rPr>
          <w:rStyle w:val="CharSectno"/>
        </w:rPr>
        <w:t>41</w:t>
      </w:r>
      <w:r>
        <w:t>.</w:t>
      </w:r>
      <w:r>
        <w:tab/>
        <w:t>Exempting charitable bodies or organisations</w:t>
      </w:r>
      <w:bookmarkEnd w:id="101"/>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spacing w:before="150"/>
        <w:rPr>
          <w:spacing w:val="-4"/>
        </w:rPr>
      </w:pPr>
      <w:r>
        <w:rPr>
          <w:spacing w:val="-4"/>
        </w:rPr>
        <w:tab/>
        <w:t>(3)</w:t>
      </w:r>
      <w:r>
        <w:rPr>
          <w:spacing w:val="-4"/>
        </w:rPr>
        <w:tab/>
        <w:t>The exemption is subject to any conditions specified in the notice.</w:t>
      </w:r>
    </w:p>
    <w:p>
      <w:pPr>
        <w:pStyle w:val="Subsection"/>
        <w:spacing w:before="150"/>
      </w:pPr>
      <w:r>
        <w:tab/>
        <w:t>(4)</w:t>
      </w:r>
      <w:r>
        <w:tab/>
        <w:t>The exemption comes into operation on the day specified in the notice, which may be the day on which the notice is given, or an earlier or later day.</w:t>
      </w:r>
    </w:p>
    <w:p>
      <w:pPr>
        <w:pStyle w:val="Ednotesubsection"/>
        <w:spacing w:before="150"/>
      </w:pPr>
      <w:r>
        <w:tab/>
        <w:t>[(5)</w:t>
      </w:r>
      <w:r>
        <w:tab/>
        <w:t>deleted]</w:t>
      </w:r>
    </w:p>
    <w:p>
      <w:pPr>
        <w:pStyle w:val="Subsection"/>
        <w:spacing w:before="150"/>
      </w:pPr>
      <w:r>
        <w:tab/>
        <w:t>(6)</w:t>
      </w:r>
      <w:r>
        <w:tab/>
        <w:t>The exemption continues in force until it is revoked.</w:t>
      </w:r>
    </w:p>
    <w:p>
      <w:pPr>
        <w:pStyle w:val="Subsection"/>
        <w:spacing w:before="150"/>
      </w:pPr>
      <w:r>
        <w:tab/>
        <w:t>(7)</w:t>
      </w:r>
      <w:r>
        <w:tab/>
        <w:t>The Commissioner may amend or revoke the exemption and any condition to which it is subject, by giving further notice to the charitable body or organisation.</w:t>
      </w:r>
    </w:p>
    <w:p>
      <w:pPr>
        <w:pStyle w:val="Footnotesection"/>
      </w:pPr>
      <w:r>
        <w:tab/>
        <w:t>[Section 41 amended by No. 12 of 2004 s. 7.]</w:t>
      </w:r>
    </w:p>
    <w:p>
      <w:pPr>
        <w:pStyle w:val="Heading5"/>
      </w:pPr>
      <w:bookmarkStart w:id="102" w:name="_Toc381880667"/>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102"/>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3" w:name="_Toc381880668"/>
      <w:r>
        <w:rPr>
          <w:rStyle w:val="CharSectno"/>
        </w:rPr>
        <w:t>43</w:t>
      </w:r>
      <w:r>
        <w:t>.</w:t>
      </w:r>
      <w:r>
        <w:tab/>
        <w:t>Agents and trustees</w:t>
      </w:r>
      <w:bookmarkEnd w:id="10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104" w:name="_Toc381880669"/>
      <w:r>
        <w:rPr>
          <w:rStyle w:val="CharSectno"/>
        </w:rPr>
        <w:t>44</w:t>
      </w:r>
      <w:r>
        <w:t>.</w:t>
      </w:r>
      <w:r>
        <w:tab/>
        <w:t>Keeping books and accounts</w:t>
      </w:r>
      <w:bookmarkEnd w:id="104"/>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by No. 15 of 2010 s. 19.]</w:t>
      </w:r>
    </w:p>
    <w:p>
      <w:pPr>
        <w:pStyle w:val="Heading5"/>
      </w:pPr>
      <w:bookmarkStart w:id="105" w:name="_Toc381880670"/>
      <w:r>
        <w:rPr>
          <w:rStyle w:val="CharSectno"/>
        </w:rPr>
        <w:t>45</w:t>
      </w:r>
      <w:r>
        <w:t>.</w:t>
      </w:r>
      <w:r>
        <w:tab/>
        <w:t>Regulations</w:t>
      </w:r>
      <w:bookmarkEnd w:id="10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by No. 82 of 2004 s. 16; No. 15 of 2010 s. 16; No. 32 of 2012 s. 42.]</w:t>
      </w:r>
    </w:p>
    <w:p>
      <w:pPr>
        <w:pStyle w:val="Heading5"/>
      </w:pPr>
      <w:bookmarkStart w:id="106" w:name="_Toc381880671"/>
      <w:r>
        <w:rPr>
          <w:rStyle w:val="CharSectno"/>
        </w:rPr>
        <w:t>46</w:t>
      </w:r>
      <w:r>
        <w:t>.</w:t>
      </w:r>
      <w:r>
        <w:tab/>
        <w:t>Transitional provisions</w:t>
      </w:r>
      <w:bookmarkEnd w:id="106"/>
    </w:p>
    <w:p>
      <w:pPr>
        <w:pStyle w:val="Subsection"/>
      </w:pPr>
      <w:r>
        <w:tab/>
      </w:r>
      <w:r>
        <w:tab/>
        <w:t>Schedule 1 contains transitional provisions relating to amendments made to this Act.</w:t>
      </w:r>
    </w:p>
    <w:p>
      <w:pPr>
        <w:pStyle w:val="Footnotesection"/>
      </w:pPr>
      <w:r>
        <w:tab/>
        <w:t>[Section 46 inserted by No. 15 of 2010 s. 17.]</w:t>
      </w:r>
    </w:p>
    <w:p>
      <w:pPr>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pgNumType w:start="1"/>
          <w:cols w:space="720"/>
          <w:noEndnote/>
          <w:titlePg/>
          <w:docGrid w:linePitch="326"/>
        </w:sectPr>
      </w:pPr>
    </w:p>
    <w:p>
      <w:pPr>
        <w:pStyle w:val="yScheduleHeading"/>
      </w:pPr>
      <w:bookmarkStart w:id="107" w:name="_Toc381880672"/>
      <w:r>
        <w:rPr>
          <w:rStyle w:val="CharSchNo"/>
        </w:rPr>
        <w:t>Schedule 1</w:t>
      </w:r>
      <w:r>
        <w:t> — </w:t>
      </w:r>
      <w:r>
        <w:rPr>
          <w:rStyle w:val="CharSchText"/>
        </w:rPr>
        <w:t>Transitional provisions</w:t>
      </w:r>
      <w:bookmarkEnd w:id="107"/>
    </w:p>
    <w:p>
      <w:pPr>
        <w:pStyle w:val="yShoulderClause"/>
      </w:pPr>
      <w:r>
        <w:t>[s. 46]</w:t>
      </w:r>
    </w:p>
    <w:p>
      <w:pPr>
        <w:pStyle w:val="yFootnoteheading"/>
        <w:spacing w:before="80"/>
      </w:pPr>
      <w:r>
        <w:tab/>
        <w:t>[Heading inserted by No. 15 of 2010 s. 17.]</w:t>
      </w:r>
    </w:p>
    <w:p>
      <w:pPr>
        <w:pStyle w:val="yHeading3"/>
      </w:pPr>
      <w:bookmarkStart w:id="108" w:name="_Toc381880673"/>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108"/>
    </w:p>
    <w:p>
      <w:pPr>
        <w:pStyle w:val="yFootnoteheading"/>
      </w:pPr>
      <w:r>
        <w:tab/>
        <w:t>[Heading inserted by No. 15 of 2010 s. 17.]</w:t>
      </w:r>
    </w:p>
    <w:p>
      <w:pPr>
        <w:pStyle w:val="yHeading5"/>
      </w:pPr>
      <w:bookmarkStart w:id="109" w:name="_Toc381880674"/>
      <w:r>
        <w:rPr>
          <w:rStyle w:val="CharSClsNo"/>
        </w:rPr>
        <w:t>1</w:t>
      </w:r>
      <w:r>
        <w:t>.</w:t>
      </w:r>
      <w:r>
        <w:rPr>
          <w:b w:val="0"/>
        </w:rPr>
        <w:tab/>
      </w:r>
      <w:r>
        <w:t>Liability to tax for assessment years commencing on 1 July 2009 and 1 July 2010</w:t>
      </w:r>
      <w:bookmarkEnd w:id="109"/>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by No. 15 of 2010 s. 17.]</w:t>
      </w:r>
    </w:p>
    <w:p>
      <w:pPr>
        <w:pStyle w:val="yHeading5"/>
      </w:pPr>
      <w:bookmarkStart w:id="110" w:name="_Toc381880675"/>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110"/>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by No. 15 of 2010 s. 17.]</w:t>
      </w:r>
    </w:p>
    <w:p>
      <w:pPr>
        <w:pStyle w:val="yHeading5"/>
      </w:pPr>
      <w:bookmarkStart w:id="111" w:name="_Toc381880676"/>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111"/>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by No. 15 of 2010 s. 17.]</w:t>
      </w:r>
    </w:p>
    <w:p>
      <w:pPr>
        <w:pStyle w:val="yHeading3"/>
      </w:pPr>
      <w:bookmarkStart w:id="112" w:name="_Toc381880677"/>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112"/>
    </w:p>
    <w:p>
      <w:pPr>
        <w:pStyle w:val="yFootnoteheading"/>
        <w:spacing w:after="60"/>
      </w:pPr>
      <w:r>
        <w:tab/>
        <w:t>[Heading inserted by No. 15 of 2010 s. 26.]</w:t>
      </w:r>
    </w:p>
    <w:p>
      <w:pPr>
        <w:pStyle w:val="yHeading5"/>
      </w:pPr>
      <w:bookmarkStart w:id="113" w:name="_Toc381880678"/>
      <w:r>
        <w:rPr>
          <w:rStyle w:val="CharSClsNo"/>
        </w:rPr>
        <w:t>4</w:t>
      </w:r>
      <w:r>
        <w:t>.</w:t>
      </w:r>
      <w:r>
        <w:rPr>
          <w:b w:val="0"/>
        </w:rPr>
        <w:tab/>
      </w:r>
      <w:r>
        <w:t>Exclusion from group in force before 1 July 2012</w:t>
      </w:r>
      <w:bookmarkEnd w:id="113"/>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by No. 15 of 2010 s. 26.]</w:t>
      </w:r>
    </w:p>
    <w:p>
      <w:pPr>
        <w:pStyle w:val="yHeading5"/>
      </w:pPr>
      <w:bookmarkStart w:id="114" w:name="_Toc381880679"/>
      <w:r>
        <w:rPr>
          <w:rStyle w:val="CharSClsNo"/>
        </w:rPr>
        <w:t>5</w:t>
      </w:r>
      <w:r>
        <w:t>.</w:t>
      </w:r>
      <w:r>
        <w:rPr>
          <w:b w:val="0"/>
        </w:rPr>
        <w:tab/>
      </w:r>
      <w:r>
        <w:t>Exclusion from group granted on or after 1 July 2012</w:t>
      </w:r>
      <w:bookmarkEnd w:id="114"/>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by No. 15 of 2010 s. 26.]</w:t>
      </w:r>
    </w:p>
    <w:p>
      <w:pPr>
        <w:pStyle w:val="yHeading5"/>
      </w:pPr>
      <w:bookmarkStart w:id="115" w:name="_Toc381880680"/>
      <w:r>
        <w:rPr>
          <w:rStyle w:val="CharSClsNo"/>
        </w:rPr>
        <w:t>6</w:t>
      </w:r>
      <w:r>
        <w:t>.</w:t>
      </w:r>
      <w:r>
        <w:rPr>
          <w:b w:val="0"/>
        </w:rPr>
        <w:tab/>
      </w:r>
      <w:r>
        <w:t>Exclusion from group having effect before 1 July 2012</w:t>
      </w:r>
      <w:bookmarkEnd w:id="115"/>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by No. 15 of 2010 s. 26.]</w:t>
      </w:r>
    </w:p>
    <w:p>
      <w:pPr>
        <w:pStyle w:val="yHeading3"/>
      </w:pPr>
      <w:bookmarkStart w:id="116" w:name="_Toc381880681"/>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116"/>
    </w:p>
    <w:p>
      <w:pPr>
        <w:pStyle w:val="yFootnoteheading"/>
        <w:spacing w:after="60"/>
      </w:pPr>
      <w:r>
        <w:tab/>
        <w:t>[Heading</w:t>
      </w:r>
      <w:r>
        <w:rPr>
          <w:vertAlign w:val="superscript"/>
        </w:rPr>
        <w:t> 3</w:t>
      </w:r>
      <w:r>
        <w:t xml:space="preserve"> inserted by No. 29 of 2012 s. 25.]</w:t>
      </w:r>
    </w:p>
    <w:p>
      <w:pPr>
        <w:pStyle w:val="yHeading5"/>
      </w:pPr>
      <w:bookmarkStart w:id="117" w:name="_Toc381880682"/>
      <w:r>
        <w:rPr>
          <w:rStyle w:val="CharSClsNo"/>
        </w:rPr>
        <w:t>7</w:t>
      </w:r>
      <w:r>
        <w:t>.</w:t>
      </w:r>
      <w:r>
        <w:rPr>
          <w:b w:val="0"/>
        </w:rPr>
        <w:tab/>
      </w:r>
      <w:r>
        <w:t>Assessment and payment of pay</w:t>
      </w:r>
      <w:r>
        <w:noBreakHyphen/>
        <w:t>roll tax in relation to employee shares and options</w:t>
      </w:r>
      <w:bookmarkEnd w:id="11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NotesPerm"/>
        <w:tabs>
          <w:tab w:val="clear" w:pos="879"/>
          <w:tab w:val="left" w:pos="851"/>
        </w:tabs>
        <w:ind w:left="1418" w:hanging="1418"/>
      </w:pPr>
      <w:r>
        <w:tab/>
        <w:t>Note:</w:t>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by No. 29 of 2012 s. 25.]</w:t>
      </w:r>
    </w:p>
    <w:p>
      <w:pPr>
        <w:pStyle w:val="yHeading5"/>
      </w:pPr>
      <w:bookmarkStart w:id="118" w:name="_Toc381880683"/>
      <w:r>
        <w:rPr>
          <w:rStyle w:val="CharSClsNo"/>
        </w:rPr>
        <w:t>8</w:t>
      </w:r>
      <w:r>
        <w:t>.</w:t>
      </w:r>
      <w:r>
        <w:rPr>
          <w:b w:val="0"/>
        </w:rPr>
        <w:tab/>
      </w:r>
      <w:r>
        <w:t>Determination of vesting day and value of employee shares and options</w:t>
      </w:r>
      <w:bookmarkEnd w:id="118"/>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NotesPerm"/>
        <w:tabs>
          <w:tab w:val="clear" w:pos="879"/>
          <w:tab w:val="left" w:pos="851"/>
        </w:tabs>
        <w:ind w:left="1418" w:hanging="1418"/>
      </w:pPr>
      <w:r>
        <w:tab/>
        <w:t>Note:</w:t>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by No. 29 of 2012 s. 25.]</w:t>
      </w:r>
    </w:p>
    <w:p>
      <w:pPr>
        <w:pStyle w:val="yHeading5"/>
      </w:pPr>
      <w:bookmarkStart w:id="119" w:name="_Toc381880684"/>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119"/>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by No. 29 of 2012 s. 25.]</w:t>
      </w:r>
    </w:p>
    <w:p>
      <w:pPr>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yScheduleHeading"/>
        <w:keepLines/>
      </w:pPr>
      <w:bookmarkStart w:id="120" w:name="_Toc381880685"/>
      <w:r>
        <w:rPr>
          <w:rStyle w:val="CharSchNo"/>
        </w:rPr>
        <w:t>Glossary</w:t>
      </w:r>
      <w:bookmarkEnd w:id="120"/>
    </w:p>
    <w:p>
      <w:pPr>
        <w:pStyle w:val="yShoulderClause"/>
        <w:spacing w:before="60"/>
      </w:pPr>
      <w:r>
        <w:t>[s. 4]</w:t>
      </w:r>
    </w:p>
    <w:p>
      <w:pPr>
        <w:pStyle w:val="yHeading5"/>
        <w:spacing w:before="140"/>
        <w:outlineLvl w:val="9"/>
      </w:pPr>
      <w:bookmarkStart w:id="121" w:name="_Toc381880686"/>
      <w:r>
        <w:rPr>
          <w:rStyle w:val="CharSClsNo"/>
        </w:rPr>
        <w:t>1</w:t>
      </w:r>
      <w:r>
        <w:t>.</w:t>
      </w:r>
      <w:r>
        <w:tab/>
        <w:t>Terms used</w:t>
      </w:r>
      <w:bookmarkEnd w:id="121"/>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rPr>
          <w:color w:val="000000"/>
        </w:rPr>
      </w:pPr>
      <w:r>
        <w:rPr>
          <w:color w:val="000000"/>
        </w:rPr>
        <w:tab/>
      </w:r>
      <w:r>
        <w:rPr>
          <w:rStyle w:val="CharDefText"/>
          <w:color w:val="000000"/>
        </w:rPr>
        <w:t>apportioned threshold amount</w:t>
      </w:r>
      <w:r>
        <w:rPr>
          <w:color w:val="000000"/>
        </w:rPr>
        <w:t xml:space="preserve"> means —</w:t>
      </w:r>
    </w:p>
    <w:p>
      <w:pPr>
        <w:pStyle w:val="yDefpara"/>
        <w:spacing w:before="100"/>
      </w:pPr>
      <w:r>
        <w:rPr>
          <w:color w:val="000000"/>
        </w:rPr>
        <w:tab/>
        <w:t>(a)</w:t>
      </w:r>
      <w:r>
        <w:rPr>
          <w:color w:val="000000"/>
        </w:rPr>
        <w:tab/>
        <w:t>in relation to a group — the amount calculated in accordance with section 18;</w:t>
      </w:r>
    </w:p>
    <w:p>
      <w:pPr>
        <w:pStyle w:val="yDefpara"/>
        <w:spacing w:before="100"/>
      </w:pPr>
      <w:r>
        <w:tab/>
        <w:t>(b)</w:t>
      </w:r>
      <w:r>
        <w:tab/>
        <w:t>in relation to an interstate non</w:t>
      </w:r>
      <w:r>
        <w:noBreakHyphen/>
        <w:t>group employer — the amount calculated in accordance with section 14;</w:t>
      </w:r>
    </w:p>
    <w:p>
      <w:pPr>
        <w:pStyle w:val="yDefpara"/>
        <w:spacing w:before="100"/>
      </w:pPr>
      <w:r>
        <w:tab/>
        <w:t>(c)</w:t>
      </w:r>
      <w:r>
        <w:tab/>
        <w:t>in relation to a local non</w:t>
      </w:r>
      <w:r>
        <w:noBreakHyphen/>
        <w:t>group employer — the amount calculated in accordance with section 12;</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spacing w:before="60"/>
      </w:pPr>
      <w:r>
        <w:rPr>
          <w:b/>
          <w:color w:val="000000"/>
        </w:rPr>
        <w:tab/>
      </w:r>
      <w:r>
        <w:rPr>
          <w:rStyle w:val="CharDefText"/>
          <w:color w:val="000000"/>
        </w:rPr>
        <w:t>pay</w:t>
      </w:r>
      <w:r>
        <w:rPr>
          <w:rStyle w:val="CharDefText"/>
          <w:color w:val="000000"/>
        </w:rPr>
        <w:noBreakHyphen/>
        <w:t>roll tax rate</w:t>
      </w:r>
      <w:r>
        <w:rPr>
          <w:color w:val="000000"/>
        </w:rPr>
        <w:t xml:space="preserve">, in relation to an assessment year or </w:t>
      </w:r>
      <w:r>
        <w:t>progressive</w:t>
      </w:r>
      <w:r>
        <w:rPr>
          <w:color w:val="000000"/>
        </w:rPr>
        <w:t xml:space="preserve"> return period, means the rate of pay</w:t>
      </w:r>
      <w:r>
        <w:rPr>
          <w:color w:val="000000"/>
        </w:rPr>
        <w:noBreakHyphen/>
        <w:t xml:space="preserve">roll tax fixed for the year or the period by the </w:t>
      </w:r>
      <w:r>
        <w:rPr>
          <w:i/>
          <w:color w:val="000000"/>
        </w:rPr>
        <w:t>Pay</w:t>
      </w:r>
      <w:r>
        <w:rPr>
          <w:i/>
          <w:color w:val="000000"/>
        </w:rPr>
        <w:noBreakHyphen/>
        <w:t>roll Tax Act 2002</w:t>
      </w:r>
      <w:r>
        <w:rPr>
          <w:color w:val="000000"/>
        </w:rPr>
        <w:t>;</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by No. 40 of 2003 s. 26 and 28(1); No. 82 of 2004 s. 6 and 17; No. 15 of 2010 s. 18(1)-(9) and 27; No. 29 of 2012 s. 26; No. 32 of 2012 s. 43.]</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by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122" w:name="_Toc381880687"/>
      <w:r>
        <w:t>Notes</w:t>
      </w:r>
      <w:bookmarkEnd w:id="122"/>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Pay-roll Tax Assessment Act 2002</w:t>
      </w:r>
      <w:r>
        <w:rPr>
          <w:snapToGrid w:val="0"/>
        </w:rPr>
        <w:t xml:space="preserve"> and includes the amendments made by the other written laws referred to in the following table </w:t>
      </w:r>
      <w:r>
        <w:rPr>
          <w:snapToGrid w:val="0"/>
          <w:vertAlign w:val="superscript"/>
        </w:rPr>
        <w:t>1M, 1MC</w:t>
      </w:r>
      <w:r>
        <w:rPr>
          <w:snapToGrid w:val="0"/>
        </w:rPr>
        <w:t>.  The table also contains information about any reprint.</w:t>
      </w:r>
    </w:p>
    <w:p>
      <w:pPr>
        <w:pStyle w:val="nHeading3"/>
        <w:rPr>
          <w:snapToGrid w:val="0"/>
        </w:rPr>
      </w:pPr>
      <w:bookmarkStart w:id="123" w:name="_Toc381880688"/>
      <w:r>
        <w:rPr>
          <w:snapToGrid w:val="0"/>
        </w:rPr>
        <w:t>Compilation table</w:t>
      </w:r>
      <w:bookmarkEnd w:id="1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Pay</w:t>
            </w:r>
            <w:r>
              <w:rPr>
                <w:i/>
                <w:sz w:val="19"/>
              </w:rPr>
              <w:noBreakHyphen/>
              <w:t>roll Tax Assessment Act 2002</w:t>
            </w:r>
          </w:p>
        </w:tc>
        <w:tc>
          <w:tcPr>
            <w:tcW w:w="1134" w:type="dxa"/>
            <w:tcBorders>
              <w:top w:val="single" w:sz="8" w:space="0" w:color="auto"/>
            </w:tcBorders>
          </w:tcPr>
          <w:p>
            <w:pPr>
              <w:pStyle w:val="nTable"/>
              <w:spacing w:after="40"/>
              <w:rPr>
                <w:sz w:val="19"/>
              </w:rPr>
            </w:pPr>
            <w:r>
              <w:rPr>
                <w:sz w:val="19"/>
              </w:rPr>
              <w:t>48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 xml:space="preserve">Business Tax Review (Assessment) Act 2003 </w:t>
            </w:r>
            <w:r>
              <w:rPr>
                <w:noProof/>
                <w:snapToGrid w:val="0"/>
                <w:sz w:val="19"/>
              </w:rPr>
              <w:t>Pt. 4 and 5</w:t>
            </w:r>
          </w:p>
        </w:tc>
        <w:tc>
          <w:tcPr>
            <w:tcW w:w="1134"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1 Jul 2003 (see s. 2(1))</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3</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noProof/>
                <w:snapToGrid w:val="0"/>
                <w:sz w:val="19"/>
              </w:rPr>
            </w:pPr>
            <w:r>
              <w:rPr>
                <w:i/>
                <w:sz w:val="19"/>
              </w:rPr>
              <w:t>Revenue Laws Amendment (Tax Relief) Act 2004</w:t>
            </w:r>
            <w:r>
              <w:rPr>
                <w:iCs/>
                <w:sz w:val="19"/>
              </w:rPr>
              <w:t xml:space="preserve"> Pt. 2</w:t>
            </w:r>
            <w:r>
              <w:rPr>
                <w:sz w:val="19"/>
              </w:rPr>
              <w:t> </w:t>
            </w:r>
            <w:r>
              <w:rPr>
                <w:sz w:val="19"/>
                <w:vertAlign w:val="superscript"/>
              </w:rPr>
              <w:t>5</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color w:val="000000"/>
                <w:sz w:val="19"/>
              </w:rPr>
              <w:t>Pt. 2 Div. 1 and 2: 1 Jan 2005 (see s. 2(2));</w:t>
            </w:r>
            <w:r>
              <w:rPr>
                <w:color w:val="000000"/>
                <w:sz w:val="19"/>
              </w:rPr>
              <w:br/>
              <w:t>Pt. 2 Div. 3: 1 Jul 2006 (see s. 2(3))</w:t>
            </w:r>
          </w:p>
        </w:tc>
      </w:tr>
      <w:tr>
        <w:tc>
          <w:tcPr>
            <w:tcW w:w="2268" w:type="dxa"/>
          </w:tcPr>
          <w:p>
            <w:pPr>
              <w:pStyle w:val="nTable"/>
              <w:spacing w:after="40"/>
              <w:rPr>
                <w:sz w:val="19"/>
              </w:rPr>
            </w:pPr>
            <w:r>
              <w:rPr>
                <w:i/>
                <w:sz w:val="19"/>
              </w:rPr>
              <w:t>Revenue Laws Amendment Act 2005</w:t>
            </w:r>
            <w:r>
              <w:rPr>
                <w:sz w:val="19"/>
              </w:rPr>
              <w:t xml:space="preserve"> Pt. 2</w:t>
            </w:r>
          </w:p>
        </w:tc>
        <w:tc>
          <w:tcPr>
            <w:tcW w:w="1134" w:type="dxa"/>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2" w:type="dxa"/>
          </w:tcPr>
          <w:p>
            <w:pPr>
              <w:pStyle w:val="nTable"/>
              <w:spacing w:after="40"/>
              <w:rPr>
                <w:spacing w:val="-2"/>
                <w:sz w:val="19"/>
              </w:rPr>
            </w:pPr>
            <w:r>
              <w:rPr>
                <w:spacing w:val="-2"/>
                <w:sz w:val="19"/>
              </w:rPr>
              <w:t>18 May 2005 (see s. 2(2))</w:t>
            </w:r>
          </w:p>
        </w:tc>
      </w:tr>
      <w:tr>
        <w:trPr>
          <w:cantSplit/>
        </w:trPr>
        <w:tc>
          <w:tcPr>
            <w:tcW w:w="7088" w:type="dxa"/>
            <w:gridSpan w:val="4"/>
          </w:tcPr>
          <w:p>
            <w:pPr>
              <w:pStyle w:val="nTable"/>
              <w:spacing w:after="40"/>
              <w:rPr>
                <w:spacing w:val="-2"/>
                <w:sz w:val="19"/>
              </w:rPr>
            </w:pPr>
            <w:r>
              <w:rPr>
                <w:b/>
                <w:spacing w:val="-2"/>
                <w:sz w:val="19"/>
              </w:rPr>
              <w:t xml:space="preserve">Reprint 1: The </w:t>
            </w:r>
            <w:r>
              <w:rPr>
                <w:b/>
                <w:i/>
                <w:sz w:val="19"/>
              </w:rPr>
              <w:t>Pay</w:t>
            </w:r>
            <w:r>
              <w:rPr>
                <w:b/>
                <w:i/>
                <w:sz w:val="19"/>
              </w:rPr>
              <w:noBreakHyphen/>
              <w:t>roll Tax Assessment Act 2002</w:t>
            </w:r>
            <w:r>
              <w:rPr>
                <w:b/>
                <w:spacing w:val="-2"/>
                <w:sz w:val="19"/>
              </w:rPr>
              <w:t xml:space="preserve"> as at 6 Jan 2006</w:t>
            </w:r>
            <w:r>
              <w:rPr>
                <w:spacing w:val="-2"/>
                <w:sz w:val="19"/>
              </w:rPr>
              <w:t xml:space="preserve"> (includes amendments listed above except those in the </w:t>
            </w:r>
            <w:r>
              <w:rPr>
                <w:i/>
                <w:sz w:val="19"/>
              </w:rPr>
              <w:t>Revenue Laws Amendment (Tax Relief) Act 2004</w:t>
            </w:r>
            <w:r>
              <w:rPr>
                <w:iCs/>
                <w:sz w:val="19"/>
              </w:rPr>
              <w:t xml:space="preserve"> Pt. 2 Div. 3</w:t>
            </w:r>
            <w:r>
              <w:rPr>
                <w:spacing w:val="-2"/>
                <w:sz w:val="19"/>
              </w:rPr>
              <w:t>)</w:t>
            </w:r>
          </w:p>
        </w:tc>
      </w:tr>
      <w:tr>
        <w:tc>
          <w:tcPr>
            <w:tcW w:w="2268" w:type="dxa"/>
          </w:tcPr>
          <w:p>
            <w:pPr>
              <w:pStyle w:val="nTable"/>
              <w:spacing w:after="40"/>
              <w:rPr>
                <w:sz w:val="19"/>
              </w:rPr>
            </w:pPr>
            <w:r>
              <w:rPr>
                <w:i/>
                <w:snapToGrid w:val="0"/>
                <w:sz w:val="19"/>
              </w:rPr>
              <w:t xml:space="preserve">Financial Legislation Amendment and Repeal Act 2006 </w:t>
            </w:r>
            <w:r>
              <w:rPr>
                <w:snapToGrid w:val="0"/>
                <w:sz w:val="19"/>
              </w:rPr>
              <w:t>s. 4</w:t>
            </w:r>
          </w:p>
        </w:tc>
        <w:tc>
          <w:tcPr>
            <w:tcW w:w="1134" w:type="dxa"/>
          </w:tcPr>
          <w:p>
            <w:pPr>
              <w:pStyle w:val="nTable"/>
              <w:spacing w:after="40"/>
              <w:rPr>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2" w:type="dxa"/>
          </w:tcPr>
          <w:p>
            <w:pPr>
              <w:pStyle w:val="nTable"/>
              <w:spacing w:after="40"/>
              <w:rPr>
                <w:spacing w:val="-2"/>
                <w:sz w:val="19"/>
              </w:rPr>
            </w:pPr>
            <w:r>
              <w:rPr>
                <w:snapToGrid w:val="0"/>
                <w:sz w:val="19"/>
              </w:rPr>
              <w:t xml:space="preserve">1 Feb 2007 (see s. 2(1) and </w:t>
            </w:r>
            <w:r>
              <w:rPr>
                <w:i/>
                <w:snapToGrid w:val="0"/>
                <w:sz w:val="19"/>
              </w:rPr>
              <w:t>Gazette</w:t>
            </w:r>
            <w:r>
              <w:rPr>
                <w:snapToGrid w:val="0"/>
                <w:sz w:val="19"/>
              </w:rPr>
              <w:t xml:space="preserve"> 19 Jan 2007 p. 137)</w:t>
            </w:r>
          </w:p>
        </w:tc>
      </w:tr>
      <w:tr>
        <w:tc>
          <w:tcPr>
            <w:tcW w:w="2268" w:type="dxa"/>
          </w:tcPr>
          <w:p>
            <w:pPr>
              <w:pStyle w:val="nTable"/>
              <w:spacing w:after="40"/>
              <w:rPr>
                <w:iCs/>
                <w:snapToGrid w:val="0"/>
                <w:sz w:val="19"/>
              </w:rPr>
            </w:pPr>
            <w:r>
              <w:rPr>
                <w:i/>
                <w:snapToGrid w:val="0"/>
                <w:sz w:val="19"/>
              </w:rPr>
              <w:t>Training Legislation Amendment and Repeal Act 2008</w:t>
            </w:r>
            <w:r>
              <w:rPr>
                <w:iCs/>
                <w:snapToGrid w:val="0"/>
                <w:sz w:val="19"/>
              </w:rPr>
              <w:t xml:space="preserve"> s. 59</w:t>
            </w:r>
          </w:p>
        </w:tc>
        <w:tc>
          <w:tcPr>
            <w:tcW w:w="1134" w:type="dxa"/>
          </w:tcPr>
          <w:p>
            <w:pPr>
              <w:pStyle w:val="nTable"/>
              <w:spacing w:after="40"/>
              <w:rPr>
                <w:snapToGrid w:val="0"/>
                <w:sz w:val="19"/>
              </w:rPr>
            </w:pPr>
            <w:r>
              <w:rPr>
                <w:snapToGrid w:val="0"/>
                <w:sz w:val="19"/>
              </w:rPr>
              <w:t>44 of 2008</w:t>
            </w:r>
          </w:p>
        </w:tc>
        <w:tc>
          <w:tcPr>
            <w:tcW w:w="1134" w:type="dxa"/>
          </w:tcPr>
          <w:p>
            <w:pPr>
              <w:pStyle w:val="nTable"/>
              <w:spacing w:after="40"/>
              <w:rPr>
                <w:snapToGrid w:val="0"/>
                <w:sz w:val="19"/>
              </w:rPr>
            </w:pPr>
            <w:r>
              <w:rPr>
                <w:snapToGrid w:val="0"/>
                <w:sz w:val="19"/>
              </w:rPr>
              <w:t>10 Dec 2008</w:t>
            </w:r>
          </w:p>
        </w:tc>
        <w:tc>
          <w:tcPr>
            <w:tcW w:w="2552" w:type="dxa"/>
          </w:tcPr>
          <w:p>
            <w:pPr>
              <w:pStyle w:val="nTable"/>
              <w:spacing w:after="40"/>
              <w:rPr>
                <w:snapToGrid w:val="0"/>
                <w:sz w:val="19"/>
              </w:rPr>
            </w:pPr>
            <w:r>
              <w:rPr>
                <w:snapToGrid w:val="0"/>
                <w:sz w:val="19"/>
              </w:rPr>
              <w:t>10 Jun 2009 (see s. 2(2))</w:t>
            </w:r>
          </w:p>
        </w:tc>
      </w:tr>
      <w:tr>
        <w:tc>
          <w:tcPr>
            <w:tcW w:w="2268" w:type="dxa"/>
          </w:tcPr>
          <w:p>
            <w:pPr>
              <w:pStyle w:val="nTable"/>
              <w:spacing w:after="40"/>
              <w:rPr>
                <w:iCs/>
                <w:snapToGrid w:val="0"/>
                <w:sz w:val="19"/>
              </w:rPr>
            </w:pPr>
            <w:r>
              <w:rPr>
                <w:i/>
                <w:snapToGrid w:val="0"/>
                <w:sz w:val="19"/>
              </w:rPr>
              <w:t>Pay-roll Tax Assessment Amendment Act 2010</w:t>
            </w:r>
            <w:r>
              <w:rPr>
                <w:iCs/>
                <w:snapToGrid w:val="0"/>
                <w:sz w:val="19"/>
              </w:rPr>
              <w:t xml:space="preserve"> Pt. 2</w:t>
            </w:r>
          </w:p>
        </w:tc>
        <w:tc>
          <w:tcPr>
            <w:tcW w:w="1134" w:type="dxa"/>
          </w:tcPr>
          <w:p>
            <w:pPr>
              <w:pStyle w:val="nTable"/>
              <w:spacing w:after="40"/>
              <w:rPr>
                <w:snapToGrid w:val="0"/>
                <w:sz w:val="19"/>
              </w:rPr>
            </w:pPr>
            <w:r>
              <w:rPr>
                <w:snapToGrid w:val="0"/>
                <w:sz w:val="19"/>
              </w:rPr>
              <w:t>15 of 2010</w:t>
            </w:r>
          </w:p>
        </w:tc>
        <w:tc>
          <w:tcPr>
            <w:tcW w:w="1134" w:type="dxa"/>
          </w:tcPr>
          <w:p>
            <w:pPr>
              <w:pStyle w:val="nTable"/>
              <w:spacing w:after="40"/>
              <w:rPr>
                <w:snapToGrid w:val="0"/>
                <w:sz w:val="19"/>
              </w:rPr>
            </w:pPr>
            <w:r>
              <w:rPr>
                <w:snapToGrid w:val="0"/>
                <w:sz w:val="19"/>
              </w:rPr>
              <w:t>25 Jun 2010</w:t>
            </w:r>
          </w:p>
        </w:tc>
        <w:tc>
          <w:tcPr>
            <w:tcW w:w="2552" w:type="dxa"/>
          </w:tcPr>
          <w:p>
            <w:pPr>
              <w:pStyle w:val="nTable"/>
              <w:spacing w:after="40"/>
              <w:rPr>
                <w:snapToGrid w:val="0"/>
                <w:sz w:val="19"/>
              </w:rPr>
            </w:pPr>
            <w:r>
              <w:rPr>
                <w:snapToGrid w:val="0"/>
                <w:sz w:val="19"/>
              </w:rPr>
              <w:t>Pt. 2 Div. 1 and 2: 25 Jun 2010 (see s. 2(a));</w:t>
            </w:r>
            <w:r>
              <w:rPr>
                <w:snapToGrid w:val="0"/>
                <w:sz w:val="19"/>
              </w:rPr>
              <w:br/>
              <w:t>Pt. 2 Div. 3: 1 Jul 2012 (see s. 2(b))</w:t>
            </w:r>
          </w:p>
        </w:tc>
      </w:tr>
      <w:tr>
        <w:tc>
          <w:tcPr>
            <w:tcW w:w="7088" w:type="dxa"/>
            <w:gridSpan w:val="4"/>
          </w:tcPr>
          <w:p>
            <w:pPr>
              <w:pStyle w:val="nTable"/>
              <w:spacing w:after="40"/>
              <w:rPr>
                <w:snapToGrid w:val="0"/>
                <w:sz w:val="19"/>
              </w:rPr>
            </w:pPr>
            <w:r>
              <w:rPr>
                <w:b/>
                <w:spacing w:val="-2"/>
                <w:sz w:val="19"/>
              </w:rPr>
              <w:t xml:space="preserve">Reprint 2: The </w:t>
            </w:r>
            <w:r>
              <w:rPr>
                <w:b/>
                <w:i/>
                <w:sz w:val="19"/>
              </w:rPr>
              <w:t>Pay</w:t>
            </w:r>
            <w:r>
              <w:rPr>
                <w:b/>
                <w:i/>
                <w:sz w:val="19"/>
              </w:rPr>
              <w:noBreakHyphen/>
              <w:t>roll Tax Assessment Act 2002</w:t>
            </w:r>
            <w:r>
              <w:rPr>
                <w:b/>
                <w:spacing w:val="-2"/>
                <w:sz w:val="19"/>
              </w:rPr>
              <w:t xml:space="preserve"> as at 15 Oct 2010</w:t>
            </w:r>
            <w:r>
              <w:rPr>
                <w:spacing w:val="-2"/>
                <w:sz w:val="19"/>
              </w:rPr>
              <w:t xml:space="preserve"> (includes amendments listed above except those in the </w:t>
            </w:r>
            <w:r>
              <w:rPr>
                <w:i/>
                <w:snapToGrid w:val="0"/>
                <w:sz w:val="19"/>
              </w:rPr>
              <w:t>Pay-roll Tax Assessment Amendment Act 2010</w:t>
            </w:r>
            <w:r>
              <w:rPr>
                <w:iCs/>
                <w:snapToGrid w:val="0"/>
                <w:sz w:val="19"/>
              </w:rPr>
              <w:t xml:space="preserve"> Pt. 2 Div. 3</w:t>
            </w:r>
            <w:r>
              <w:rPr>
                <w:spacing w:val="-2"/>
                <w:sz w:val="19"/>
              </w:rPr>
              <w:t>)</w:t>
            </w:r>
          </w:p>
        </w:tc>
      </w:tr>
      <w:tr>
        <w:trPr>
          <w:cantSplit/>
        </w:trPr>
        <w:tc>
          <w:tcPr>
            <w:tcW w:w="2268" w:type="dxa"/>
          </w:tcPr>
          <w:p>
            <w:pPr>
              <w:pStyle w:val="nTable"/>
              <w:spacing w:before="30" w:after="30"/>
              <w:rPr>
                <w:iCs/>
                <w:snapToGrid w:val="0"/>
                <w:sz w:val="19"/>
              </w:rPr>
            </w:pPr>
            <w:r>
              <w:rPr>
                <w:i/>
                <w:snapToGrid w:val="0"/>
                <w:sz w:val="19"/>
                <w:szCs w:val="19"/>
              </w:rPr>
              <w:t xml:space="preserve">Fire and Emergency Services Legislation Amendment Act 2012 </w:t>
            </w:r>
            <w:r>
              <w:rPr>
                <w:snapToGrid w:val="0"/>
                <w:sz w:val="19"/>
                <w:szCs w:val="19"/>
              </w:rPr>
              <w:t>Pt. 7 Div. 10</w:t>
            </w:r>
          </w:p>
        </w:tc>
        <w:tc>
          <w:tcPr>
            <w:tcW w:w="1134" w:type="dxa"/>
          </w:tcPr>
          <w:p>
            <w:pPr>
              <w:pStyle w:val="nTable"/>
              <w:spacing w:before="30" w:after="30"/>
              <w:rPr>
                <w:snapToGrid w:val="0"/>
                <w:sz w:val="19"/>
              </w:rPr>
            </w:pPr>
            <w:r>
              <w:rPr>
                <w:snapToGrid w:val="0"/>
                <w:sz w:val="19"/>
              </w:rPr>
              <w:t>22 of 2012</w:t>
            </w:r>
          </w:p>
        </w:tc>
        <w:tc>
          <w:tcPr>
            <w:tcW w:w="1134" w:type="dxa"/>
          </w:tcPr>
          <w:p>
            <w:pPr>
              <w:pStyle w:val="nTable"/>
              <w:spacing w:before="30" w:after="30"/>
              <w:rPr>
                <w:snapToGrid w:val="0"/>
                <w:sz w:val="19"/>
              </w:rPr>
            </w:pPr>
            <w:r>
              <w:rPr>
                <w:snapToGrid w:val="0"/>
                <w:sz w:val="19"/>
              </w:rPr>
              <w:t>29 Aug 2012</w:t>
            </w:r>
          </w:p>
        </w:tc>
        <w:tc>
          <w:tcPr>
            <w:tcW w:w="2552" w:type="dxa"/>
          </w:tcPr>
          <w:p>
            <w:pPr>
              <w:pStyle w:val="nTable"/>
              <w:spacing w:before="30" w:after="3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tcPr>
          <w:p>
            <w:pPr>
              <w:pStyle w:val="nTable"/>
              <w:spacing w:before="30" w:after="30"/>
              <w:rPr>
                <w:iCs/>
                <w:snapToGrid w:val="0"/>
                <w:sz w:val="19"/>
              </w:rPr>
            </w:pPr>
            <w:r>
              <w:rPr>
                <w:i/>
                <w:snapToGrid w:val="0"/>
                <w:sz w:val="19"/>
              </w:rPr>
              <w:t>Revenue Laws Amendment Act 2012</w:t>
            </w:r>
            <w:r>
              <w:rPr>
                <w:iCs/>
                <w:snapToGrid w:val="0"/>
                <w:sz w:val="19"/>
              </w:rPr>
              <w:t xml:space="preserve"> Pt. 5</w:t>
            </w:r>
          </w:p>
        </w:tc>
        <w:tc>
          <w:tcPr>
            <w:tcW w:w="1134" w:type="dxa"/>
          </w:tcPr>
          <w:p>
            <w:pPr>
              <w:pStyle w:val="nTable"/>
              <w:spacing w:before="30" w:after="30"/>
              <w:rPr>
                <w:snapToGrid w:val="0"/>
                <w:sz w:val="19"/>
              </w:rPr>
            </w:pPr>
            <w:r>
              <w:rPr>
                <w:snapToGrid w:val="0"/>
                <w:sz w:val="19"/>
              </w:rPr>
              <w:t>29 of 2012</w:t>
            </w:r>
          </w:p>
        </w:tc>
        <w:tc>
          <w:tcPr>
            <w:tcW w:w="1134" w:type="dxa"/>
          </w:tcPr>
          <w:p>
            <w:pPr>
              <w:pStyle w:val="nTable"/>
              <w:spacing w:before="30" w:after="30"/>
              <w:rPr>
                <w:snapToGrid w:val="0"/>
                <w:sz w:val="19"/>
              </w:rPr>
            </w:pPr>
            <w:r>
              <w:rPr>
                <w:snapToGrid w:val="0"/>
                <w:sz w:val="19"/>
              </w:rPr>
              <w:t>3 Sep 2012</w:t>
            </w:r>
          </w:p>
        </w:tc>
        <w:tc>
          <w:tcPr>
            <w:tcW w:w="2552" w:type="dxa"/>
          </w:tcPr>
          <w:p>
            <w:pPr>
              <w:pStyle w:val="nTable"/>
              <w:spacing w:before="30" w:after="30"/>
              <w:rPr>
                <w:snapToGrid w:val="0"/>
                <w:sz w:val="19"/>
              </w:rPr>
            </w:pPr>
            <w:r>
              <w:rPr>
                <w:snapToGrid w:val="0"/>
                <w:sz w:val="19"/>
              </w:rPr>
              <w:t>Heading to Pt. 5, Pt. 5 Div. 1 and 2: 1 Jul 2011 (see s. 2(c));</w:t>
            </w:r>
            <w:r>
              <w:rPr>
                <w:snapToGrid w:val="0"/>
                <w:sz w:val="19"/>
              </w:rPr>
              <w:br/>
              <w:t>Pt. 5 Div. 3: 4 Sep 2012 (see s. 2(e))</w:t>
            </w:r>
          </w:p>
        </w:tc>
      </w:tr>
      <w:tr>
        <w:trPr>
          <w:cantSplit/>
        </w:trPr>
        <w:tc>
          <w:tcPr>
            <w:tcW w:w="2268" w:type="dxa"/>
            <w:shd w:val="clear" w:color="auto" w:fill="auto"/>
          </w:tcPr>
          <w:p>
            <w:pPr>
              <w:pStyle w:val="nTable"/>
              <w:spacing w:before="30" w:after="30"/>
              <w:rPr>
                <w:snapToGrid w:val="0"/>
                <w:sz w:val="19"/>
              </w:rPr>
            </w:pPr>
            <w:r>
              <w:rPr>
                <w:i/>
                <w:snapToGrid w:val="0"/>
                <w:sz w:val="19"/>
              </w:rPr>
              <w:t xml:space="preserve">Revenue Laws Amendment Act (No. 2) 2012 </w:t>
            </w:r>
            <w:r>
              <w:rPr>
                <w:snapToGrid w:val="0"/>
                <w:sz w:val="19"/>
              </w:rPr>
              <w:t>Pt. 5</w:t>
            </w:r>
          </w:p>
        </w:tc>
        <w:tc>
          <w:tcPr>
            <w:tcW w:w="1134" w:type="dxa"/>
            <w:shd w:val="clear" w:color="auto" w:fill="auto"/>
          </w:tcPr>
          <w:p>
            <w:pPr>
              <w:pStyle w:val="nTable"/>
              <w:spacing w:before="30" w:after="30"/>
              <w:rPr>
                <w:snapToGrid w:val="0"/>
                <w:sz w:val="19"/>
              </w:rPr>
            </w:pPr>
            <w:r>
              <w:rPr>
                <w:snapToGrid w:val="0"/>
                <w:sz w:val="19"/>
              </w:rPr>
              <w:t>32 of 2012</w:t>
            </w:r>
          </w:p>
        </w:tc>
        <w:tc>
          <w:tcPr>
            <w:tcW w:w="1134" w:type="dxa"/>
            <w:shd w:val="clear" w:color="auto" w:fill="auto"/>
          </w:tcPr>
          <w:p>
            <w:pPr>
              <w:pStyle w:val="nTable"/>
              <w:spacing w:before="30" w:after="30"/>
              <w:rPr>
                <w:snapToGrid w:val="0"/>
                <w:sz w:val="19"/>
              </w:rPr>
            </w:pPr>
            <w:r>
              <w:rPr>
                <w:snapToGrid w:val="0"/>
                <w:sz w:val="19"/>
              </w:rPr>
              <w:t>8 Oct 2012</w:t>
            </w:r>
          </w:p>
        </w:tc>
        <w:tc>
          <w:tcPr>
            <w:tcW w:w="2552" w:type="dxa"/>
            <w:shd w:val="clear" w:color="auto" w:fill="auto"/>
          </w:tcPr>
          <w:p>
            <w:pPr>
              <w:pStyle w:val="nTable"/>
              <w:spacing w:before="30" w:after="30"/>
              <w:rPr>
                <w:snapToGrid w:val="0"/>
                <w:sz w:val="19"/>
              </w:rPr>
            </w:pPr>
            <w:r>
              <w:rPr>
                <w:snapToGrid w:val="0"/>
                <w:sz w:val="19"/>
              </w:rPr>
              <w:t>1 Jul 2012 (see s. 2(d)(ii))</w:t>
            </w:r>
          </w:p>
        </w:tc>
      </w:tr>
      <w:tr>
        <w:trPr>
          <w:cantSplit/>
        </w:trPr>
        <w:tc>
          <w:tcPr>
            <w:tcW w:w="7088" w:type="dxa"/>
            <w:gridSpan w:val="4"/>
            <w:tcBorders>
              <w:bottom w:val="single" w:sz="8" w:space="0" w:color="auto"/>
            </w:tcBorders>
            <w:shd w:val="clear" w:color="auto" w:fill="auto"/>
          </w:tcPr>
          <w:p>
            <w:pPr>
              <w:pStyle w:val="nTable"/>
              <w:spacing w:before="30" w:after="30"/>
              <w:rPr>
                <w:snapToGrid w:val="0"/>
                <w:sz w:val="19"/>
              </w:rPr>
            </w:pPr>
            <w:r>
              <w:rPr>
                <w:b/>
                <w:spacing w:val="-2"/>
                <w:sz w:val="19"/>
              </w:rPr>
              <w:t xml:space="preserve">Reprint 3: The </w:t>
            </w:r>
            <w:r>
              <w:rPr>
                <w:b/>
                <w:i/>
                <w:sz w:val="19"/>
              </w:rPr>
              <w:t>Pay</w:t>
            </w:r>
            <w:r>
              <w:rPr>
                <w:b/>
                <w:i/>
                <w:sz w:val="19"/>
              </w:rPr>
              <w:noBreakHyphen/>
              <w:t>roll Tax Assessment Act 2002</w:t>
            </w:r>
            <w:r>
              <w:rPr>
                <w:b/>
                <w:spacing w:val="-2"/>
                <w:sz w:val="19"/>
              </w:rPr>
              <w:t xml:space="preserve"> as at 17 Jan 2014</w:t>
            </w:r>
            <w:r>
              <w:rPr>
                <w:spacing w:val="-2"/>
                <w:sz w:val="19"/>
              </w:rPr>
              <w:t xml:space="preserve"> (includes amendments listed above)</w:t>
            </w:r>
          </w:p>
        </w:tc>
      </w:tr>
    </w:tbl>
    <w:p>
      <w:pPr>
        <w:pStyle w:val="nSubsection"/>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rPr>
          <w:sz w:val="18"/>
          <w:szCs w:val="18"/>
        </w:rPr>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
      <w:pPr>
        <w:pStyle w:val="nHeading2"/>
        <w:rPr>
          <w:sz w:val="28"/>
        </w:rPr>
      </w:pPr>
      <w:bookmarkStart w:id="124" w:name="_Toc381880689"/>
      <w:r>
        <w:rPr>
          <w:sz w:val="28"/>
        </w:rPr>
        <w:t>Defined terms</w:t>
      </w:r>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5" w:name="DefinedTerms"/>
      <w:bookmarkEnd w:id="125"/>
      <w:r>
        <w:t>2004/5 year</w:t>
      </w:r>
      <w:r>
        <w:tab/>
        <w:t>22A(1)</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apportioned threshold amount</w:t>
      </w:r>
      <w:r>
        <w:tab/>
        <w:t>Gl.</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business</w:t>
      </w:r>
      <w:r>
        <w:tab/>
        <w:t>Gl.</w:t>
      </w:r>
    </w:p>
    <w:p>
      <w:pPr>
        <w:pStyle w:val="DefinedTerms"/>
      </w:pPr>
      <w:r>
        <w:t>calculation provision</w:t>
      </w:r>
      <w:r>
        <w:tab/>
        <w:t>22A(5)(d)</w:t>
      </w:r>
    </w:p>
    <w:p>
      <w:pPr>
        <w:pStyle w:val="DefinedTerms"/>
      </w:pPr>
      <w:r>
        <w:t>charitable body or organisation</w:t>
      </w:r>
      <w:r>
        <w:tab/>
        <w:t>Gl.</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first part of the tax period</w:t>
      </w:r>
      <w:r>
        <w:tab/>
        <w:t>22A(4)(a)</w:t>
      </w:r>
    </w:p>
    <w:p>
      <w:pPr>
        <w:pStyle w:val="DefinedTerms"/>
      </w:pPr>
      <w:r>
        <w:t>first period</w:t>
      </w:r>
      <w:r>
        <w:tab/>
        <w:t>22A(2)</w:t>
      </w:r>
    </w:p>
    <w:p>
      <w:pPr>
        <w:pStyle w:val="DefinedTerms"/>
      </w:pPr>
      <w:r>
        <w:t>fringe benefit</w:t>
      </w:r>
      <w:r>
        <w:tab/>
        <w:t>Gl.</w:t>
      </w:r>
    </w:p>
    <w:p>
      <w:pPr>
        <w:pStyle w:val="DefinedTerms"/>
      </w:pPr>
      <w:r>
        <w:t>group</w:t>
      </w:r>
      <w:r>
        <w:tab/>
        <w:t>Gl.</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w:t>
      </w:r>
    </w:p>
    <w:p>
      <w:pPr>
        <w:pStyle w:val="DefinedTerms"/>
      </w:pPr>
      <w:r>
        <w:t>new rate</w:t>
      </w:r>
      <w:r>
        <w:tab/>
        <w:t>22A(2)</w:t>
      </w:r>
    </w:p>
    <w:p>
      <w:pPr>
        <w:pStyle w:val="DefinedTerms"/>
      </w:pPr>
      <w:r>
        <w:t>new section 9DA</w:t>
      </w:r>
      <w:r>
        <w:tab/>
        <w:t>Sch. 1 cl. 8(1)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rate</w:t>
      </w:r>
      <w:r>
        <w:tab/>
        <w:t>22A(2)</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 period factor</w:t>
      </w:r>
      <w:r>
        <w:tab/>
        <w:t>22A(6)</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private company</w:t>
      </w:r>
      <w:r>
        <w:tab/>
        <w:t>35A(1)</w:t>
      </w:r>
    </w:p>
    <w:p>
      <w:pPr>
        <w:pStyle w:val="DefinedTerms"/>
      </w:pPr>
      <w:r>
        <w:t>progressive return period</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DefinedTerms"/>
      </w:pPr>
      <w:r>
        <w:t>related body corporate</w:t>
      </w:r>
      <w:r>
        <w:tab/>
        <w:t>Gl.</w:t>
      </w:r>
    </w:p>
    <w:p>
      <w:pPr>
        <w:pStyle w:val="DefinedTerms"/>
      </w:pPr>
      <w:r>
        <w:t>related person</w:t>
      </w:r>
      <w:r>
        <w:tab/>
        <w:t>35A(1)</w:t>
      </w:r>
    </w:p>
    <w:p>
      <w:pPr>
        <w:pStyle w:val="DefinedTerms"/>
      </w:pPr>
      <w:r>
        <w:t>relevant day</w:t>
      </w:r>
      <w:r>
        <w:tab/>
        <w:t>9DA(4), Sch. 1 cl. 8(1)</w:t>
      </w:r>
    </w:p>
    <w:p>
      <w:pPr>
        <w:pStyle w:val="DefinedTerms"/>
      </w:pPr>
      <w:r>
        <w:t>relevant part period</w:t>
      </w:r>
      <w:r>
        <w:tab/>
        <w:t>22A(5)</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second part of the tax period</w:t>
      </w:r>
      <w:r>
        <w:tab/>
        <w:t>22A(4)(a)</w:t>
      </w:r>
    </w:p>
    <w:p>
      <w:pPr>
        <w:pStyle w:val="DefinedTerms"/>
      </w:pPr>
      <w:r>
        <w:t>second period</w:t>
      </w:r>
      <w:r>
        <w:tab/>
        <w:t>22A(2)</w:t>
      </w:r>
    </w:p>
    <w:p>
      <w:pPr>
        <w:pStyle w:val="DefinedTerms"/>
      </w:pPr>
      <w:r>
        <w:t>share</w:t>
      </w:r>
      <w:r>
        <w:tab/>
        <w:t>Gl.</w:t>
      </w:r>
    </w:p>
    <w:p>
      <w:pPr>
        <w:pStyle w:val="DefinedTerms"/>
      </w:pPr>
      <w:r>
        <w:t>smaller group</w:t>
      </w:r>
      <w:r>
        <w:tab/>
        <w:t>Gl.</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tax period</w:t>
      </w:r>
      <w:r>
        <w:tab/>
        <w:t>22A(4)</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value</w:t>
      </w:r>
      <w:r>
        <w:tab/>
        <w:t>Gl.</w:t>
      </w:r>
    </w:p>
    <w:p>
      <w:pPr>
        <w:pStyle w:val="DefinedTerms"/>
      </w:pPr>
      <w:r>
        <w:t>vesting day</w:t>
      </w:r>
      <w:r>
        <w:tab/>
        <w:t>9DB(2) and (3)</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pStyle w:val="DefinedTerms"/>
      </w:pPr>
    </w:p>
    <w:p/>
    <w:p/>
    <w:p/>
    <w:p/>
    <w:p/>
    <w:p>
      <w:pPr>
        <w:rPr>
          <w:sz w:val="20"/>
        </w:rPr>
      </w:pPr>
    </w:p>
    <w:p/>
    <w:p/>
    <w:p/>
    <w:p>
      <w:pPr>
        <w:sectPr>
          <w:headerReference w:type="default" r:id="rId55"/>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56"/>
      <w:headerReference w:type="default" r:id="rId5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Liability and assessment</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Liability to pay-roll tax</w:t>
            </w:r>
          </w:fldSimple>
        </w:p>
      </w:tc>
    </w:tr>
    <w:tr>
      <w:trPr>
        <w:cantSplit/>
      </w:trPr>
      <w:tc>
        <w:tcPr>
          <w:tcW w:w="7263" w:type="dxa"/>
          <w:gridSpan w:val="2"/>
        </w:tcPr>
        <w:p>
          <w:pPr>
            <w:pStyle w:val="HeaderSectionLeft"/>
          </w:pPr>
          <w:r>
            <w:t xml:space="preserve">s. </w:t>
          </w:r>
          <w:fldSimple w:instr=" styleref CharSectno ">
            <w:r>
              <w:rPr>
                <w:noProof/>
              </w:rPr>
              <w:t>6A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fldSimple w:instr=" styleref CharPartText ">
            <w:r>
              <w:rPr>
                <w:noProof/>
              </w:rPr>
              <w:t>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pay-roll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tabs>
              <w:tab w:val="left" w:pos="645"/>
            </w:tabs>
            <w:ind w:right="315"/>
          </w:pPr>
          <w:fldSimple w:instr=" styleref CharSDivText ">
            <w:r>
              <w:rPr>
                <w:noProof/>
              </w:rPr>
              <w:t>Provisions for the Pay-roll Tax Assessment Amendment Act 2010 in relation to taxable wages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vAlign w:val="bottom"/>
        </w:tcPr>
        <w:p>
          <w:pPr>
            <w:pStyle w:val="HeaderTextRight"/>
            <w:ind w:left="426"/>
          </w:pPr>
          <w:fldSimple w:instr=" styleref CharSDivText ">
            <w:r>
              <w:rPr>
                <w:noProof/>
              </w:rPr>
              <w:t>Provisions for the Pay-roll Tax Assessment Amendment Act 2010 in relation to taxable wages</w:t>
            </w:r>
          </w:fldSimple>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57" w:type="dxa"/>
        </w:tcPr>
        <w:p>
          <w:pPr>
            <w:pStyle w:val="HeaderNumberRight"/>
            <w:ind w:right="3"/>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Pay-roll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tabs>
              <w:tab w:val="left" w:pos="645"/>
            </w:tabs>
            <w:ind w:right="315"/>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w:r>
              <w:rPr>
                <w:noProof/>
              </w:rPr>
              <w:t>Pay-roll Tax Assessment Act 2002</w:t>
            </w:r>
          </w:fldSimple>
        </w:p>
      </w:tc>
    </w:tr>
    <w:tr>
      <w:tc>
        <w:tcPr>
          <w:tcW w:w="5715" w:type="dxa"/>
          <w:vAlign w:val="bottom"/>
        </w:tcPr>
        <w:p>
          <w:pPr>
            <w:pStyle w:val="HeaderTextRight"/>
          </w:pPr>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vAlign w:val="bottom"/>
        </w:tcPr>
        <w:p>
          <w:pPr>
            <w:pStyle w:val="HeaderTextRight"/>
            <w:ind w:left="426"/>
          </w:pPr>
        </w:p>
      </w:tc>
      <w:tc>
        <w:tcPr>
          <w:tcW w:w="1557" w:type="dxa"/>
        </w:tcPr>
        <w:p>
          <w:pPr>
            <w:pStyle w:val="HeaderNumberRight"/>
            <w:ind w:right="17"/>
          </w:pPr>
        </w:p>
      </w:tc>
    </w:tr>
    <w:tr>
      <w:tc>
        <w:tcPr>
          <w:tcW w:w="5715" w:type="dxa"/>
        </w:tcPr>
        <w:p>
          <w:pPr>
            <w:pStyle w:val="HeaderTextRight"/>
          </w:pPr>
        </w:p>
      </w:tc>
      <w:tc>
        <w:tcPr>
          <w:tcW w:w="1557" w:type="dxa"/>
        </w:tcPr>
        <w:p>
          <w:pPr>
            <w:pStyle w:val="HeaderNumberRight"/>
            <w:ind w:right="3"/>
            <w:rPr>
              <w:bCs/>
            </w:rPr>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Pay-roll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Borders>
            <w:bottom w:val="single" w:sz="4" w:space="0" w:color="auto"/>
          </w:tcBorders>
        </w:tcPr>
        <w:p>
          <w:pPr>
            <w:pStyle w:val="HeaderSectionLeft"/>
          </w:pPr>
        </w:p>
      </w:tc>
    </w:tr>
  </w:tbl>
  <w:p>
    <w:pPr>
      <w:pStyle w:val="HeaderTextLef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Pay-roll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Borders>
            <w:bottom w:val="single" w:sz="4" w:space="0" w:color="auto"/>
          </w:tcBorders>
        </w:tcPr>
        <w:p>
          <w:pPr>
            <w:pStyle w:val="HeaderSectionRight"/>
          </w:pP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5A256B"/>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2"/>
  </w:num>
  <w:num w:numId="13">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40822"/>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7.xml"/><Relationship Id="rId21" Type="http://schemas.openxmlformats.org/officeDocument/2006/relationships/image" Target="media/image3.wmf"/><Relationship Id="rId34" Type="http://schemas.openxmlformats.org/officeDocument/2006/relationships/image" Target="media/image11.wmf"/><Relationship Id="rId42" Type="http://schemas.openxmlformats.org/officeDocument/2006/relationships/header" Target="header8.xml"/><Relationship Id="rId47" Type="http://schemas.openxmlformats.org/officeDocument/2006/relationships/header" Target="header11.xml"/><Relationship Id="rId50" Type="http://schemas.openxmlformats.org/officeDocument/2006/relationships/header" Target="header14.xml"/><Relationship Id="rId55"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oleObject" Target="embeddings/oleObject5.bin"/><Relationship Id="rId38" Type="http://schemas.openxmlformats.org/officeDocument/2006/relationships/header" Target="header6.xml"/><Relationship Id="rId46" Type="http://schemas.openxmlformats.org/officeDocument/2006/relationships/image" Target="media/image13.pn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oleObject" Target="embeddings/oleObject3.bin"/><Relationship Id="rId41" Type="http://schemas.openxmlformats.org/officeDocument/2006/relationships/footer" Target="footer8.xml"/><Relationship Id="rId54"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wmf"/><Relationship Id="rId32" Type="http://schemas.openxmlformats.org/officeDocument/2006/relationships/image" Target="media/image10.wmf"/><Relationship Id="rId37" Type="http://schemas.openxmlformats.org/officeDocument/2006/relationships/oleObject" Target="embeddings/oleObject7.bin"/><Relationship Id="rId40" Type="http://schemas.openxmlformats.org/officeDocument/2006/relationships/footer" Target="footer7.xml"/><Relationship Id="rId45" Type="http://schemas.openxmlformats.org/officeDocument/2006/relationships/header" Target="header10.xml"/><Relationship Id="rId53" Type="http://schemas.openxmlformats.org/officeDocument/2006/relationships/header" Target="header17.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header" Target="header13.xml"/><Relationship Id="rId57"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4.bin"/><Relationship Id="rId44" Type="http://schemas.openxmlformats.org/officeDocument/2006/relationships/header" Target="header9.xml"/><Relationship Id="rId52"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oleObject" Target="embeddings/oleObject2.bin"/><Relationship Id="rId30" Type="http://schemas.openxmlformats.org/officeDocument/2006/relationships/image" Target="media/image9.wmf"/><Relationship Id="rId35" Type="http://schemas.openxmlformats.org/officeDocument/2006/relationships/oleObject" Target="embeddings/oleObject6.bin"/><Relationship Id="rId43" Type="http://schemas.openxmlformats.org/officeDocument/2006/relationships/footer" Target="footer9.xml"/><Relationship Id="rId48" Type="http://schemas.openxmlformats.org/officeDocument/2006/relationships/header" Target="header12.xml"/><Relationship Id="rId56" Type="http://schemas.openxmlformats.org/officeDocument/2006/relationships/header" Target="header20.xml"/><Relationship Id="rId8" Type="http://schemas.openxmlformats.org/officeDocument/2006/relationships/image" Target="media/image1.png"/><Relationship Id="rId51" Type="http://schemas.openxmlformats.org/officeDocument/2006/relationships/header" Target="header15.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101</Pages>
  <Words>24405</Words>
  <Characters>119214</Characters>
  <Application>Microsoft Office Word</Application>
  <DocSecurity>0</DocSecurity>
  <Lines>3222</Lines>
  <Paragraphs>1751</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141868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2002 - 03-a0-02</dc:title>
  <dc:subject/>
  <dc:creator/>
  <cp:keywords/>
  <dc:description/>
  <cp:lastModifiedBy>svcMRProcess</cp:lastModifiedBy>
  <cp:revision>4</cp:revision>
  <cp:lastPrinted>2014-02-05T23:55:00Z</cp:lastPrinted>
  <dcterms:created xsi:type="dcterms:W3CDTF">2020-02-18T17:49:00Z</dcterms:created>
  <dcterms:modified xsi:type="dcterms:W3CDTF">2020-02-18T17:50:00Z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CommencementDate">
    <vt:lpwstr>20140117</vt:lpwstr>
  </property>
  <property fmtid="{D5CDD505-2E9C-101B-9397-08002B2CF9AE}" pid="4" name="DocumentType">
    <vt:lpwstr>Act</vt:lpwstr>
  </property>
  <property fmtid="{D5CDD505-2E9C-101B-9397-08002B2CF9AE}" pid="5" name="OwlsUID">
    <vt:i4>6335</vt:i4>
  </property>
  <property fmtid="{D5CDD505-2E9C-101B-9397-08002B2CF9AE}" pid="6" name="AsAtDate">
    <vt:lpwstr>17 Jan 2014</vt:lpwstr>
  </property>
  <property fmtid="{D5CDD505-2E9C-101B-9397-08002B2CF9AE}" pid="7" name="Suffix">
    <vt:lpwstr>03-a0-02</vt:lpwstr>
  </property>
  <property fmtid="{D5CDD505-2E9C-101B-9397-08002B2CF9AE}" pid="8" name="ReprintNo">
    <vt:lpwstr>3</vt:lpwstr>
  </property>
  <property fmtid="{D5CDD505-2E9C-101B-9397-08002B2CF9AE}" pid="9" name="ReprintedAsAt">
    <vt:filetime>2014-01-16T16:00:00Z</vt:filetime>
  </property>
</Properties>
</file>