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0.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 name="Picture 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t>Evidence Act 1906</w:t>
      </w:r>
    </w:p>
    <w:p>
      <w:pPr>
        <w:pStyle w:val="NameofActRegPage1"/>
        <w:spacing w:before="1200" w:after="4200"/>
        <w:ind w:left="284" w:right="284"/>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Evidence (Video and Audio Links Fees and Expenses) Regulations 1999</w:t>
      </w:r>
      <w:r>
        <w:rPr>
          <w:sz w:val="48"/>
        </w:rPr>
        <w:fldChar w:fldCharType="end"/>
      </w:r>
    </w:p>
    <w:p>
      <w:pPr>
        <w:pStyle w:val="ReprintNo"/>
        <w:outlineLvl w:val="9"/>
      </w:pPr>
      <w:r>
        <w:t>Reprint 3:  The regulations as at 14 February 2014</w:t>
      </w:r>
    </w:p>
    <w:p>
      <w:pPr>
        <w:rPr>
          <w:b/>
          <w:vanish/>
        </w:rPr>
      </w:pPr>
    </w:p>
    <w:p>
      <w:pPr>
        <w:tabs>
          <w:tab w:val="left" w:pos="567"/>
          <w:tab w:val="left" w:pos="851"/>
        </w:tabs>
        <w:ind w:left="851" w:hanging="851"/>
        <w:rPr>
          <w:b/>
          <w:sz w:val="20"/>
        </w:rPr>
      </w:pPr>
      <w:r>
        <w:rPr>
          <w:b/>
          <w:sz w:val="22"/>
        </w:rPr>
        <w:br w:type="page"/>
      </w:r>
      <w:r>
        <w:rPr>
          <w:b/>
          <w:sz w:val="20"/>
        </w:rPr>
        <w:lastRenderedPageBreak/>
        <w:tab/>
      </w:r>
      <w:r>
        <w:rPr>
          <w:b/>
          <w:sz w:val="20"/>
        </w:rPr>
        <w:tab/>
        <w:t>Guide for using this reprint</w:t>
      </w:r>
    </w:p>
    <w:p>
      <w:pPr>
        <w:tabs>
          <w:tab w:val="left" w:pos="567"/>
          <w:tab w:val="left" w:pos="851"/>
        </w:tabs>
        <w:spacing w:before="120" w:after="60"/>
        <w:ind w:left="851" w:hanging="851"/>
        <w:rPr>
          <w:b/>
          <w:i/>
          <w:sz w:val="20"/>
        </w:rPr>
      </w:pPr>
      <w:r>
        <w:rPr>
          <w:b/>
          <w:sz w:val="20"/>
        </w:rPr>
        <w:tab/>
      </w:r>
      <w:r>
        <w:rPr>
          <w:b/>
          <w:sz w:val="20"/>
        </w:rPr>
        <w:tab/>
      </w:r>
      <w:r>
        <w:rPr>
          <w:b/>
          <w:i/>
          <w:sz w:val="20"/>
        </w:rPr>
        <w:t>What the reprint includes</w:t>
      </w:r>
    </w:p>
    <w:p>
      <w:pPr>
        <w:tabs>
          <w:tab w:val="left" w:pos="567"/>
          <w:tab w:val="left" w:pos="851"/>
        </w:tabs>
        <w:ind w:left="1418" w:hanging="851"/>
        <w:rPr>
          <w:b/>
          <w:sz w:val="20"/>
        </w:rPr>
      </w:pPr>
      <w:r>
        <w:rPr>
          <w:sz w:val="20"/>
        </w:rPr>
        <w:object w:dxaOrig="6315" w:dyaOrig="5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75pt;height:27pt" o:ole="" fillcolor="window">
            <v:imagedata r:id="rId9" o:title=""/>
          </v:shape>
          <o:OLEObject Type="Embed" ProgID="Word.Picture.8" ShapeID="_x0000_i1025" DrawAspect="Content" ObjectID="_1645163205" r:id="rId10"/>
        </w:object>
      </w:r>
    </w:p>
    <w:p>
      <w:pPr>
        <w:tabs>
          <w:tab w:val="left" w:pos="567"/>
          <w:tab w:val="left" w:pos="851"/>
        </w:tabs>
        <w:spacing w:before="120"/>
        <w:ind w:left="851" w:hanging="851"/>
        <w:rPr>
          <w:b/>
          <w:i/>
          <w:sz w:val="20"/>
        </w:rPr>
      </w:pPr>
      <w:r>
        <w:rPr>
          <w:b/>
          <w:sz w:val="20"/>
        </w:rPr>
        <w:tab/>
      </w:r>
      <w:r>
        <w:rPr>
          <w:b/>
          <w:sz w:val="20"/>
        </w:rPr>
        <w:tab/>
      </w:r>
      <w:r>
        <w:rPr>
          <w:b/>
          <w:i/>
          <w:sz w:val="20"/>
        </w:rPr>
        <w:t>Endnotes, Compilation table, and Table of provisions that have not come into operation</w:t>
      </w:r>
    </w:p>
    <w:p>
      <w:pPr>
        <w:tabs>
          <w:tab w:val="left" w:pos="567"/>
          <w:tab w:val="left" w:pos="851"/>
        </w:tabs>
        <w:ind w:left="851" w:hanging="851"/>
        <w:rPr>
          <w:sz w:val="20"/>
        </w:rPr>
      </w:pPr>
      <w:r>
        <w:rPr>
          <w:sz w:val="20"/>
        </w:rPr>
        <w:tab/>
        <w:t>1.</w:t>
      </w:r>
      <w:r>
        <w:rPr>
          <w:sz w:val="20"/>
        </w:rPr>
        <w:tab/>
        <w:t>Details about the original regulations and legislation that has amended its text are shown in the Compilation table in endnote 1, at the back of the reprint.  The table also shows any previous reprint.</w:t>
      </w:r>
    </w:p>
    <w:p>
      <w:pPr>
        <w:tabs>
          <w:tab w:val="left" w:pos="567"/>
          <w:tab w:val="left" w:pos="851"/>
        </w:tabs>
        <w:spacing w:before="60"/>
        <w:ind w:left="851" w:hanging="851"/>
        <w:rPr>
          <w:sz w:val="20"/>
        </w:rPr>
      </w:pPr>
      <w:r>
        <w:rPr>
          <w:sz w:val="20"/>
        </w:rPr>
        <w:tab/>
        <w:t>2.</w:t>
      </w:r>
      <w:r>
        <w:rPr>
          <w:sz w:val="20"/>
        </w:rPr>
        <w:tab/>
        <w:t>Transitional, savings, modifying or other provisions identified in the Compilation table may be important.  The table may refer to another endnote setting out the text of these provisions in full.</w:t>
      </w:r>
    </w:p>
    <w:p>
      <w:pPr>
        <w:tabs>
          <w:tab w:val="left" w:pos="567"/>
          <w:tab w:val="left" w:pos="851"/>
        </w:tabs>
        <w:spacing w:before="60"/>
        <w:ind w:left="851" w:hanging="851"/>
        <w:rPr>
          <w:sz w:val="20"/>
        </w:rPr>
      </w:pPr>
      <w:r>
        <w:rPr>
          <w:sz w:val="20"/>
        </w:rPr>
        <w:tab/>
        <w:t>3.</w:t>
      </w:r>
      <w:r>
        <w:rPr>
          <w:sz w:val="20"/>
        </w:rPr>
        <w:tab/>
        <w:t>A table of provisions that have not come into operation, to be found in endnote 1a if it is needed, lists any provisions of the regulations being reprinted that have not come into operation and any amendments that have not come into operation.  The full text is set out in another endnote that is referred to in the table.</w:t>
      </w:r>
    </w:p>
    <w:p>
      <w:pPr>
        <w:tabs>
          <w:tab w:val="left" w:pos="567"/>
          <w:tab w:val="left" w:pos="851"/>
        </w:tabs>
        <w:spacing w:before="120"/>
        <w:ind w:left="851" w:hanging="851"/>
        <w:rPr>
          <w:b/>
          <w:i/>
          <w:sz w:val="20"/>
        </w:rPr>
      </w:pPr>
      <w:r>
        <w:rPr>
          <w:b/>
          <w:sz w:val="20"/>
        </w:rPr>
        <w:tab/>
      </w:r>
      <w:r>
        <w:rPr>
          <w:b/>
          <w:sz w:val="20"/>
        </w:rPr>
        <w:tab/>
      </w:r>
      <w:r>
        <w:rPr>
          <w:b/>
          <w:i/>
          <w:sz w:val="20"/>
        </w:rPr>
        <w:t>Notes amongst text (italicised and within square brackets)</w:t>
      </w:r>
    </w:p>
    <w:p>
      <w:pPr>
        <w:tabs>
          <w:tab w:val="left" w:pos="567"/>
          <w:tab w:val="left" w:pos="851"/>
        </w:tabs>
        <w:ind w:left="851" w:hanging="851"/>
        <w:rPr>
          <w:sz w:val="20"/>
        </w:rPr>
      </w:pPr>
      <w:r>
        <w:rPr>
          <w:sz w:val="20"/>
        </w:rPr>
        <w:tab/>
        <w:t>1.</w:t>
      </w:r>
      <w:r>
        <w:rPr>
          <w:sz w:val="20"/>
        </w:rPr>
        <w:tab/>
        <w:t>If the reprint includes a regulation that was inserted, or has been amended, since the regulations being reprinted were made, editorial notes at the foot of the regulation give some history of how the regulation came to be as it is.  If the regulation replaced an earlier regulation, no history of the earlier regulation is given (the full history of the regulations is in the Compilation table).</w:t>
      </w:r>
    </w:p>
    <w:p>
      <w:pPr>
        <w:tabs>
          <w:tab w:val="left" w:pos="567"/>
          <w:tab w:val="left" w:pos="851"/>
        </w:tabs>
        <w:spacing w:before="60"/>
        <w:ind w:left="851" w:hanging="851"/>
        <w:rPr>
          <w:sz w:val="20"/>
        </w:rPr>
      </w:pPr>
      <w:r>
        <w:rPr>
          <w:sz w:val="20"/>
        </w:rPr>
        <w:tab/>
      </w:r>
      <w:r>
        <w:rPr>
          <w:sz w:val="20"/>
        </w:rPr>
        <w:tab/>
        <w:t>Notes of this kind may also be at the foot of Schedules or headings.</w:t>
      </w:r>
    </w:p>
    <w:p>
      <w:pPr>
        <w:tabs>
          <w:tab w:val="left" w:pos="567"/>
          <w:tab w:val="left" w:pos="851"/>
        </w:tabs>
        <w:spacing w:before="60"/>
        <w:ind w:left="851" w:hanging="851"/>
        <w:rPr>
          <w:sz w:val="20"/>
        </w:rPr>
      </w:pPr>
      <w:r>
        <w:rPr>
          <w:sz w:val="20"/>
        </w:rPr>
        <w:tab/>
        <w:t>2.</w:t>
      </w:r>
      <w:r>
        <w:rPr>
          <w:sz w:val="20"/>
        </w:rPr>
        <w:tab/>
        <w:t xml:space="preserve">The other kind of editorial note shows something has been — </w:t>
      </w:r>
    </w:p>
    <w:p>
      <w:pPr>
        <w:numPr>
          <w:ilvl w:val="0"/>
          <w:numId w:val="13"/>
        </w:numPr>
        <w:tabs>
          <w:tab w:val="clear" w:pos="360"/>
          <w:tab w:val="num" w:pos="1197"/>
        </w:tabs>
        <w:ind w:left="1208" w:hanging="357"/>
        <w:rPr>
          <w:sz w:val="20"/>
        </w:rPr>
      </w:pPr>
      <w:r>
        <w:rPr>
          <w:rFonts w:ascii="Times" w:hAnsi="Times"/>
          <w:sz w:val="20"/>
        </w:rPr>
        <w:t>removed (because it was repealed or deleted from the law); or</w:t>
      </w:r>
    </w:p>
    <w:p>
      <w:pPr>
        <w:numPr>
          <w:ilvl w:val="0"/>
          <w:numId w:val="13"/>
        </w:numPr>
        <w:tabs>
          <w:tab w:val="clear" w:pos="360"/>
          <w:tab w:val="num" w:pos="1197"/>
        </w:tabs>
        <w:ind w:left="1208" w:hanging="357"/>
        <w:rPr>
          <w:sz w:val="20"/>
        </w:rPr>
      </w:pPr>
      <w:r>
        <w:rPr>
          <w:sz w:val="20"/>
        </w:rPr>
        <w:t xml:space="preserve">omitted under the </w:t>
      </w:r>
      <w:r>
        <w:rPr>
          <w:i/>
          <w:sz w:val="20"/>
        </w:rPr>
        <w:t>Reprints Act 1984</w:t>
      </w:r>
      <w:r>
        <w:rPr>
          <w:sz w:val="20"/>
        </w:rPr>
        <w:t xml:space="preserve"> s. 7(4) (because, although still technically part of the text, it no longer has any effect).</w:t>
      </w:r>
    </w:p>
    <w:p>
      <w:pPr>
        <w:spacing w:before="60"/>
        <w:ind w:left="851"/>
        <w:rPr>
          <w:sz w:val="20"/>
        </w:rPr>
      </w:pPr>
      <w:r>
        <w:rPr>
          <w:sz w:val="20"/>
        </w:rPr>
        <w:t>The text of anything removed or omitted can be found in an earlier reprint (if there is one) or one of the written laws identified in the Compilation table.</w:t>
      </w:r>
    </w:p>
    <w:p>
      <w:pPr>
        <w:tabs>
          <w:tab w:val="left" w:pos="567"/>
          <w:tab w:val="left" w:pos="851"/>
        </w:tabs>
        <w:spacing w:before="120"/>
        <w:ind w:left="851" w:hanging="851"/>
        <w:outlineLvl w:val="0"/>
        <w:rPr>
          <w:b/>
          <w:i/>
          <w:sz w:val="20"/>
        </w:rPr>
      </w:pPr>
      <w:r>
        <w:rPr>
          <w:b/>
          <w:i/>
          <w:sz w:val="20"/>
        </w:rPr>
        <w:tab/>
      </w:r>
      <w:r>
        <w:rPr>
          <w:b/>
          <w:i/>
          <w:sz w:val="20"/>
        </w:rPr>
        <w:tab/>
        <w:t>Reprint numbering and date</w:t>
      </w:r>
    </w:p>
    <w:p>
      <w:pPr>
        <w:tabs>
          <w:tab w:val="left" w:pos="567"/>
          <w:tab w:val="left" w:pos="851"/>
        </w:tabs>
        <w:ind w:left="851" w:hanging="851"/>
        <w:rPr>
          <w:spacing w:val="-3"/>
          <w:sz w:val="20"/>
        </w:rPr>
      </w:pPr>
      <w:r>
        <w:rPr>
          <w:spacing w:val="-3"/>
          <w:sz w:val="20"/>
        </w:rPr>
        <w:tab/>
        <w:t>1.</w:t>
      </w:r>
      <w:r>
        <w:rPr>
          <w:spacing w:val="-3"/>
          <w:sz w:val="20"/>
        </w:rPr>
        <w:tab/>
        <w:t>The reprint number (in the footer of each page of the document) shows how many times the regulations have been reprinted.  For example, numbering a reprint as “Reprint 3” would mean that the reprint was the 3</w:t>
      </w:r>
      <w:r>
        <w:rPr>
          <w:sz w:val="20"/>
          <w:vertAlign w:val="superscript"/>
        </w:rPr>
        <w:t>rd</w:t>
      </w:r>
      <w:r>
        <w:rPr>
          <w:spacing w:val="-3"/>
          <w:sz w:val="20"/>
        </w:rPr>
        <w:t xml:space="preserve"> reprint since the regulations were published.  Reprint numbering was implemented as from 1 January 2003.</w:t>
      </w:r>
    </w:p>
    <w:p>
      <w:pPr>
        <w:tabs>
          <w:tab w:val="left" w:pos="567"/>
        </w:tabs>
        <w:spacing w:before="60"/>
        <w:ind w:left="851" w:hanging="851"/>
        <w:rPr>
          <w:spacing w:val="-3"/>
          <w:sz w:val="20"/>
        </w:rPr>
      </w:pPr>
      <w:r>
        <w:rPr>
          <w:spacing w:val="-3"/>
          <w:sz w:val="20"/>
        </w:rPr>
        <w:tab/>
        <w:t>2.</w:t>
      </w:r>
      <w:r>
        <w:rPr>
          <w:spacing w:val="-3"/>
          <w:sz w:val="20"/>
        </w:rPr>
        <w:tab/>
        <w:t>The information in the reprint is current on the date shown as the date as at which the regulations are reprinted.  That date is not the date when the reprint was published by the State Law Publisher and it is probably not the date when the most recent amendment had effect.</w:t>
      </w:r>
    </w:p>
    <w:p>
      <w:pPr>
        <w:tabs>
          <w:tab w:val="left" w:pos="567"/>
        </w:tabs>
        <w:spacing w:before="60"/>
        <w:ind w:left="851" w:hanging="851"/>
        <w:rPr>
          <w:spacing w:val="-3"/>
          <w:sz w:val="20"/>
        </w:rPr>
      </w:pPr>
    </w:p>
    <w:p>
      <w:pPr>
        <w:jc w:val="center"/>
        <w:rPr>
          <w:b/>
        </w:rPr>
        <w:sectPr>
          <w:headerReference w:type="even" r:id="rId11"/>
          <w:headerReference w:type="default" r:id="rId12"/>
          <w:footerReference w:type="even" r:id="rId13"/>
          <w:footerReference w:type="default" r:id="rId14"/>
          <w:headerReference w:type="first" r:id="rId15"/>
          <w:footerReference w:type="first" r:id="rId16"/>
          <w:pgSz w:w="11906" w:h="16838" w:code="9"/>
          <w:pgMar w:top="2381" w:right="2409" w:bottom="3515" w:left="2409"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14 February 2014</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Evidence (Video and Audio Links Fees and Expenses) Regulations 1999</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1.</w:t>
      </w:r>
      <w:r>
        <w:tab/>
        <w:t>Citation</w:t>
      </w:r>
      <w:r>
        <w:tab/>
      </w:r>
      <w:r>
        <w:fldChar w:fldCharType="begin"/>
      </w:r>
      <w:r>
        <w:instrText xml:space="preserve"> PAGEREF _Toc381365647 \h </w:instrText>
      </w:r>
      <w:r>
        <w:fldChar w:fldCharType="separate"/>
      </w:r>
      <w:r>
        <w:t>1</w:t>
      </w:r>
      <w:r>
        <w:fldChar w:fldCharType="end"/>
      </w:r>
    </w:p>
    <w:p>
      <w:pPr>
        <w:pStyle w:val="TOC8"/>
        <w:rPr>
          <w:rFonts w:asciiTheme="minorHAnsi" w:eastAsiaTheme="minorEastAsia" w:hAnsiTheme="minorHAnsi" w:cstheme="minorBidi"/>
          <w:szCs w:val="22"/>
        </w:rPr>
      </w:pPr>
      <w:r>
        <w:t>2.</w:t>
      </w:r>
      <w:r>
        <w:tab/>
        <w:t>Booking fee</w:t>
      </w:r>
      <w:r>
        <w:tab/>
      </w:r>
      <w:r>
        <w:fldChar w:fldCharType="begin"/>
      </w:r>
      <w:r>
        <w:instrText xml:space="preserve"> PAGEREF _Toc381365648 \h </w:instrText>
      </w:r>
      <w:r>
        <w:fldChar w:fldCharType="separate"/>
      </w:r>
      <w:r>
        <w:t>1</w:t>
      </w:r>
      <w:r>
        <w:fldChar w:fldCharType="end"/>
      </w:r>
    </w:p>
    <w:p>
      <w:pPr>
        <w:pStyle w:val="TOC8"/>
        <w:rPr>
          <w:rFonts w:asciiTheme="minorHAnsi" w:eastAsiaTheme="minorEastAsia" w:hAnsiTheme="minorHAnsi" w:cstheme="minorBidi"/>
          <w:szCs w:val="22"/>
        </w:rPr>
      </w:pPr>
      <w:r>
        <w:t>3.</w:t>
      </w:r>
      <w:r>
        <w:tab/>
        <w:t>Hourly fee</w:t>
      </w:r>
      <w:r>
        <w:tab/>
      </w:r>
      <w:r>
        <w:fldChar w:fldCharType="begin"/>
      </w:r>
      <w:r>
        <w:instrText xml:space="preserve"> PAGEREF _Toc381365649 \h </w:instrText>
      </w:r>
      <w:r>
        <w:fldChar w:fldCharType="separate"/>
      </w:r>
      <w:r>
        <w:t>2</w:t>
      </w:r>
      <w:r>
        <w:fldChar w:fldCharType="end"/>
      </w:r>
    </w:p>
    <w:p>
      <w:pPr>
        <w:pStyle w:val="TOC8"/>
        <w:rPr>
          <w:rFonts w:asciiTheme="minorHAnsi" w:eastAsiaTheme="minorEastAsia" w:hAnsiTheme="minorHAnsi" w:cstheme="minorBidi"/>
          <w:szCs w:val="22"/>
        </w:rPr>
      </w:pPr>
      <w:r>
        <w:t>4.</w:t>
      </w:r>
      <w:r>
        <w:tab/>
        <w:t>Telecommunications charges</w:t>
      </w:r>
      <w:r>
        <w:tab/>
      </w:r>
      <w:r>
        <w:fldChar w:fldCharType="begin"/>
      </w:r>
      <w:r>
        <w:instrText xml:space="preserve"> PAGEREF _Toc381365650 \h </w:instrText>
      </w:r>
      <w:r>
        <w:fldChar w:fldCharType="separate"/>
      </w:r>
      <w:r>
        <w:t>2</w:t>
      </w:r>
      <w:r>
        <w:fldChar w:fldCharType="end"/>
      </w:r>
    </w:p>
    <w:p>
      <w:pPr>
        <w:pStyle w:val="TOC8"/>
        <w:rPr>
          <w:rFonts w:asciiTheme="minorHAnsi" w:eastAsiaTheme="minorEastAsia" w:hAnsiTheme="minorHAnsi" w:cstheme="minorBidi"/>
          <w:szCs w:val="22"/>
        </w:rPr>
      </w:pPr>
      <w:r>
        <w:t>5.</w:t>
      </w:r>
      <w:r>
        <w:tab/>
        <w:t>Fees and expenses to be recoverable as debts due to the Crown</w:t>
      </w:r>
      <w:r>
        <w:tab/>
      </w:r>
      <w:r>
        <w:fldChar w:fldCharType="begin"/>
      </w:r>
      <w:r>
        <w:instrText xml:space="preserve"> PAGEREF _Toc381365651 \h </w:instrText>
      </w:r>
      <w:r>
        <w:fldChar w:fldCharType="separate"/>
      </w:r>
      <w:r>
        <w:t>2</w:t>
      </w:r>
      <w:r>
        <w:fldChar w:fldCharType="end"/>
      </w:r>
    </w:p>
    <w:p>
      <w:pPr>
        <w:pStyle w:val="TOC8"/>
        <w:rPr>
          <w:rFonts w:asciiTheme="minorHAnsi" w:eastAsiaTheme="minorEastAsia" w:hAnsiTheme="minorHAnsi" w:cstheme="minorBidi"/>
          <w:szCs w:val="22"/>
        </w:rPr>
      </w:pPr>
      <w:r>
        <w:t>6.</w:t>
      </w:r>
      <w:r>
        <w:tab/>
        <w:t>Court may waive fees and expenses in a particular case</w:t>
      </w:r>
      <w:r>
        <w:tab/>
      </w:r>
      <w:r>
        <w:fldChar w:fldCharType="begin"/>
      </w:r>
      <w:r>
        <w:instrText xml:space="preserve"> PAGEREF _Toc381365652 \h </w:instrText>
      </w:r>
      <w:r>
        <w:fldChar w:fldCharType="separate"/>
      </w:r>
      <w:r>
        <w:t>2</w:t>
      </w:r>
      <w:r>
        <w:fldChar w:fldCharType="end"/>
      </w:r>
    </w:p>
    <w:p>
      <w:pPr>
        <w:pStyle w:val="TOC2"/>
        <w:tabs>
          <w:tab w:val="right" w:leader="dot" w:pos="7086"/>
        </w:tabs>
        <w:rPr>
          <w:rFonts w:asciiTheme="minorHAnsi" w:eastAsiaTheme="minorEastAsia" w:hAnsiTheme="minorHAnsi" w:cstheme="minorBidi"/>
          <w:b w:val="0"/>
          <w:sz w:val="22"/>
          <w:szCs w:val="22"/>
        </w:rPr>
      </w:pPr>
      <w:r>
        <w:t>Schedule 1 — Fees</w:t>
      </w:r>
    </w:p>
    <w:p>
      <w:pPr>
        <w:pStyle w:val="TOC8"/>
        <w:rPr>
          <w:rFonts w:asciiTheme="minorHAnsi" w:eastAsiaTheme="minorEastAsia" w:hAnsiTheme="minorHAnsi" w:cstheme="minorBidi"/>
          <w:szCs w:val="22"/>
        </w:rPr>
      </w:pPr>
      <w:r>
        <w:t>1.</w:t>
      </w:r>
      <w:r>
        <w:tab/>
        <w:t>Booking fee</w:t>
      </w:r>
      <w:r>
        <w:tab/>
      </w:r>
      <w:r>
        <w:fldChar w:fldCharType="begin"/>
      </w:r>
      <w:r>
        <w:instrText xml:space="preserve"> PAGEREF _Toc381365654 \h </w:instrText>
      </w:r>
      <w:r>
        <w:fldChar w:fldCharType="separate"/>
      </w:r>
      <w:r>
        <w:t>3</w:t>
      </w:r>
      <w:r>
        <w:fldChar w:fldCharType="end"/>
      </w:r>
    </w:p>
    <w:p>
      <w:pPr>
        <w:pStyle w:val="TOC8"/>
        <w:rPr>
          <w:rFonts w:asciiTheme="minorHAnsi" w:eastAsiaTheme="minorEastAsia" w:hAnsiTheme="minorHAnsi" w:cstheme="minorBidi"/>
          <w:szCs w:val="22"/>
        </w:rPr>
      </w:pPr>
      <w:r>
        <w:t>2.</w:t>
      </w:r>
      <w:r>
        <w:tab/>
        <w:t>Hourly fee</w:t>
      </w:r>
      <w:r>
        <w:tab/>
      </w:r>
      <w:r>
        <w:fldChar w:fldCharType="begin"/>
      </w:r>
      <w:r>
        <w:instrText xml:space="preserve"> PAGEREF _Toc381365655 \h </w:instrText>
      </w:r>
      <w:r>
        <w:fldChar w:fldCharType="separate"/>
      </w:r>
      <w:r>
        <w:t>3</w:t>
      </w:r>
      <w:r>
        <w:fldChar w:fldCharType="end"/>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_Toc381365657 \h </w:instrText>
      </w:r>
      <w:r>
        <w:fldChar w:fldCharType="separate"/>
      </w:r>
      <w:r>
        <w:t>4</w:t>
      </w:r>
      <w:r>
        <w:fldChar w:fldCharType="end"/>
      </w:r>
    </w:p>
    <w:p>
      <w:pPr>
        <w:pStyle w:val="TOC2"/>
        <w:tabs>
          <w:tab w:val="righ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7"/>
          <w:headerReference w:type="default" r:id="rId18"/>
          <w:footerReference w:type="even" r:id="rId19"/>
          <w:footerReference w:type="default" r:id="rId20"/>
          <w:footerReference w:type="first" r:id="rId21"/>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6" name="Picture 6"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14</w:t>
            </w:r>
            <w:r>
              <w:rPr>
                <w:b/>
                <w:snapToGrid w:val="0"/>
                <w:sz w:val="22"/>
              </w:rPr>
              <w:t xml:space="preserve"> February 2014</w:t>
            </w:r>
          </w:p>
        </w:tc>
      </w:tr>
    </w:tbl>
    <w:p>
      <w:pPr>
        <w:pStyle w:val="WA"/>
        <w:spacing w:before="120"/>
      </w:pPr>
      <w:r>
        <w:t>Western Australia</w:t>
      </w:r>
    </w:p>
    <w:p>
      <w:pPr>
        <w:pStyle w:val="PrincipalActReg"/>
      </w:pPr>
      <w:r>
        <w:t>Evidence Act 1906</w:t>
      </w:r>
    </w:p>
    <w:p>
      <w:pPr>
        <w:pStyle w:val="NameofActReg"/>
      </w:pPr>
      <w:r>
        <w:t>Evidence (Video and Audio Links Fees and Expenses) Regulations 1999</w:t>
      </w:r>
    </w:p>
    <w:p>
      <w:pPr>
        <w:pStyle w:val="Heading5"/>
      </w:pPr>
      <w:bookmarkStart w:id="1" w:name="_Toc381365647"/>
      <w:r>
        <w:rPr>
          <w:rStyle w:val="CharSectno"/>
        </w:rPr>
        <w:t>1</w:t>
      </w:r>
      <w:r>
        <w:t>.</w:t>
      </w:r>
      <w:r>
        <w:tab/>
        <w:t>Citation</w:t>
      </w:r>
      <w:bookmarkEnd w:id="1"/>
    </w:p>
    <w:p>
      <w:pPr>
        <w:pStyle w:val="Subsection"/>
        <w:rPr>
          <w:i/>
        </w:rPr>
      </w:pPr>
      <w:r>
        <w:tab/>
      </w:r>
      <w:r>
        <w:tab/>
        <w:t xml:space="preserve">These regulations may be cited as the </w:t>
      </w:r>
      <w:r>
        <w:rPr>
          <w:i/>
        </w:rPr>
        <w:t>Evidence (Video and Audio Links Fees and Expenses) Regulations 1999</w:t>
      </w:r>
      <w:r>
        <w:rPr>
          <w:iCs/>
          <w:vertAlign w:val="superscript"/>
        </w:rPr>
        <w:t> 1</w:t>
      </w:r>
      <w:r>
        <w:rPr>
          <w:i/>
        </w:rPr>
        <w:t>.</w:t>
      </w:r>
    </w:p>
    <w:p>
      <w:pPr>
        <w:pStyle w:val="Heading5"/>
      </w:pPr>
      <w:bookmarkStart w:id="2" w:name="_Toc381365648"/>
      <w:r>
        <w:rPr>
          <w:rStyle w:val="CharSectno"/>
        </w:rPr>
        <w:t>2</w:t>
      </w:r>
      <w:r>
        <w:t>.</w:t>
      </w:r>
      <w:r>
        <w:tab/>
        <w:t>Booking fee</w:t>
      </w:r>
      <w:bookmarkEnd w:id="2"/>
    </w:p>
    <w:p>
      <w:pPr>
        <w:pStyle w:val="Subsection"/>
      </w:pPr>
      <w:r>
        <w:tab/>
        <w:t>(1)</w:t>
      </w:r>
      <w:r>
        <w:tab/>
        <w:t>Except as provided in subregulation (2), if, on an application by a party to a civil proceeding in or before a court, the court directs —</w:t>
      </w:r>
    </w:p>
    <w:p>
      <w:pPr>
        <w:pStyle w:val="Indenta"/>
      </w:pPr>
      <w:r>
        <w:tab/>
        <w:t>(a)</w:t>
      </w:r>
      <w:r>
        <w:tab/>
        <w:t>that the evidence of a witness called by the party be taken by a video link; or</w:t>
      </w:r>
    </w:p>
    <w:p>
      <w:pPr>
        <w:pStyle w:val="Indenta"/>
      </w:pPr>
      <w:r>
        <w:tab/>
        <w:t>(b)</w:t>
      </w:r>
      <w:r>
        <w:tab/>
        <w:t>that a submission on behalf of the party be received by a video link,</w:t>
      </w:r>
    </w:p>
    <w:p>
      <w:pPr>
        <w:pStyle w:val="Subsection"/>
      </w:pPr>
      <w:r>
        <w:tab/>
      </w:r>
      <w:r>
        <w:tab/>
        <w:t>the party must pay to the court the relevant fee specified in item 1 of Schedule 1 to book that link.</w:t>
      </w:r>
    </w:p>
    <w:p>
      <w:pPr>
        <w:pStyle w:val="Subsection"/>
      </w:pPr>
      <w:r>
        <w:tab/>
        <w:t>(2)</w:t>
      </w:r>
      <w:r>
        <w:tab/>
        <w:t>If the same video link can be used by more than one party making an application, each of those parties must pay to the court an equal portion of the fee concerned.</w:t>
      </w:r>
    </w:p>
    <w:p>
      <w:pPr>
        <w:pStyle w:val="Footnotesection"/>
      </w:pPr>
      <w:r>
        <w:tab/>
        <w:t>[Regulation 2 amended in Gazette 9 Mar 2012 p. 931</w:t>
      </w:r>
      <w:r>
        <w:noBreakHyphen/>
        <w:t>2.]</w:t>
      </w:r>
    </w:p>
    <w:p>
      <w:pPr>
        <w:pStyle w:val="Heading5"/>
      </w:pPr>
      <w:bookmarkStart w:id="3" w:name="_Toc381365649"/>
      <w:r>
        <w:rPr>
          <w:rStyle w:val="CharSectno"/>
        </w:rPr>
        <w:t>3</w:t>
      </w:r>
      <w:r>
        <w:t>.</w:t>
      </w:r>
      <w:r>
        <w:tab/>
        <w:t>Hourly fee</w:t>
      </w:r>
      <w:bookmarkEnd w:id="3"/>
    </w:p>
    <w:p>
      <w:pPr>
        <w:pStyle w:val="Subsection"/>
      </w:pPr>
      <w:r>
        <w:tab/>
      </w:r>
      <w:r>
        <w:tab/>
        <w:t>A party must, within 30 days after the use of a video link, pay to the court the fee specified in item 2 of Schedule 1 for each hour, or part of an hour, that the link was used —</w:t>
      </w:r>
    </w:p>
    <w:p>
      <w:pPr>
        <w:pStyle w:val="Indenta"/>
      </w:pPr>
      <w:r>
        <w:tab/>
        <w:t>(a)</w:t>
      </w:r>
      <w:r>
        <w:tab/>
        <w:t>to take the evidence of a witness called by the party; or</w:t>
      </w:r>
    </w:p>
    <w:p>
      <w:pPr>
        <w:pStyle w:val="Indenta"/>
      </w:pPr>
      <w:r>
        <w:tab/>
        <w:t>(b)</w:t>
      </w:r>
      <w:r>
        <w:tab/>
        <w:t>to receive a submission on behalf of the party.</w:t>
      </w:r>
    </w:p>
    <w:p>
      <w:pPr>
        <w:pStyle w:val="Footnotesection"/>
      </w:pPr>
      <w:r>
        <w:tab/>
        <w:t>[Regulation 3 amended in Gazette 9 Mar 2012 p. 932.]</w:t>
      </w:r>
    </w:p>
    <w:p>
      <w:pPr>
        <w:pStyle w:val="Heading5"/>
      </w:pPr>
      <w:bookmarkStart w:id="4" w:name="_Toc381365650"/>
      <w:r>
        <w:rPr>
          <w:rStyle w:val="CharSectno"/>
        </w:rPr>
        <w:t>4</w:t>
      </w:r>
      <w:r>
        <w:t>.</w:t>
      </w:r>
      <w:r>
        <w:tab/>
        <w:t>Telecommunications charges</w:t>
      </w:r>
      <w:bookmarkEnd w:id="4"/>
    </w:p>
    <w:p>
      <w:pPr>
        <w:pStyle w:val="Subsection"/>
        <w:keepNext/>
        <w:keepLines/>
      </w:pPr>
      <w:r>
        <w:tab/>
      </w:r>
      <w:r>
        <w:tab/>
        <w:t>A party must, within 30 days after the use of a video link or audio link, pay to the court the expense of the telecommunications charges incurred by the court —</w:t>
      </w:r>
    </w:p>
    <w:p>
      <w:pPr>
        <w:pStyle w:val="Indenta"/>
        <w:keepNext/>
        <w:keepLines/>
      </w:pPr>
      <w:r>
        <w:tab/>
        <w:t>(a)</w:t>
      </w:r>
      <w:r>
        <w:tab/>
        <w:t>in taking the evidence of a witness called by the party; or</w:t>
      </w:r>
    </w:p>
    <w:p>
      <w:pPr>
        <w:pStyle w:val="Indenta"/>
      </w:pPr>
      <w:r>
        <w:tab/>
        <w:t>(b)</w:t>
      </w:r>
      <w:r>
        <w:tab/>
        <w:t>in receiving a submission on behalf of the party.</w:t>
      </w:r>
    </w:p>
    <w:p>
      <w:pPr>
        <w:pStyle w:val="Heading5"/>
      </w:pPr>
      <w:bookmarkStart w:id="5" w:name="_Toc381365651"/>
      <w:r>
        <w:rPr>
          <w:rStyle w:val="CharSectno"/>
        </w:rPr>
        <w:t>5</w:t>
      </w:r>
      <w:r>
        <w:t>.</w:t>
      </w:r>
      <w:r>
        <w:tab/>
        <w:t>Fees and expenses to be recoverable as debts due to the Crown</w:t>
      </w:r>
      <w:bookmarkEnd w:id="5"/>
    </w:p>
    <w:p>
      <w:pPr>
        <w:pStyle w:val="Subsection"/>
      </w:pPr>
      <w:r>
        <w:tab/>
      </w:r>
      <w:r>
        <w:tab/>
        <w:t>A fee or expense payable under these regulations is a debt due to the Crown and is recoverable in a court of competent jurisdiction.</w:t>
      </w:r>
    </w:p>
    <w:p>
      <w:pPr>
        <w:pStyle w:val="Heading5"/>
      </w:pPr>
      <w:bookmarkStart w:id="6" w:name="_Toc381365652"/>
      <w:r>
        <w:rPr>
          <w:rStyle w:val="CharSectno"/>
        </w:rPr>
        <w:t>6</w:t>
      </w:r>
      <w:r>
        <w:t>.</w:t>
      </w:r>
      <w:r>
        <w:tab/>
        <w:t>Court may waive fees and expenses in a particular case</w:t>
      </w:r>
      <w:bookmarkEnd w:id="6"/>
    </w:p>
    <w:p>
      <w:pPr>
        <w:pStyle w:val="Subsection"/>
      </w:pPr>
      <w:r>
        <w:tab/>
      </w:r>
      <w:r>
        <w:tab/>
        <w:t>A court may, in a particular case, waive a fee or expense payable under these regulations.</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76" w:right="2405" w:bottom="3542" w:left="2405" w:header="706" w:footer="3380" w:gutter="0"/>
          <w:pgNumType w:start="1"/>
          <w:cols w:space="720"/>
          <w:noEndnote/>
          <w:titlePg/>
          <w:docGrid w:linePitch="326"/>
        </w:sectPr>
      </w:pPr>
    </w:p>
    <w:p>
      <w:pPr>
        <w:pStyle w:val="yScheduleHeading"/>
      </w:pPr>
      <w:bookmarkStart w:id="7" w:name="_Toc381365583"/>
      <w:bookmarkStart w:id="8" w:name="_Toc381365653"/>
      <w:r>
        <w:rPr>
          <w:rStyle w:val="CharSchNo"/>
        </w:rPr>
        <w:t>Schedule 1</w:t>
      </w:r>
      <w:r>
        <w:t> — </w:t>
      </w:r>
      <w:r>
        <w:rPr>
          <w:rStyle w:val="CharSchText"/>
        </w:rPr>
        <w:t>Fees</w:t>
      </w:r>
      <w:bookmarkEnd w:id="7"/>
      <w:bookmarkEnd w:id="8"/>
    </w:p>
    <w:p>
      <w:pPr>
        <w:pStyle w:val="yShoulderClause"/>
      </w:pPr>
      <w:r>
        <w:t>[r. 2 and 3]</w:t>
      </w:r>
    </w:p>
    <w:p>
      <w:pPr>
        <w:pStyle w:val="yFootnoteheading"/>
      </w:pPr>
      <w:r>
        <w:tab/>
        <w:t>[Heading inserted in Gazette 15 Nov 2013 p. 5256.]</w:t>
      </w:r>
    </w:p>
    <w:p>
      <w:pPr>
        <w:pStyle w:val="yHeading5"/>
      </w:pPr>
      <w:bookmarkStart w:id="9" w:name="_Toc381365654"/>
      <w:r>
        <w:rPr>
          <w:rStyle w:val="CharSClsNo"/>
        </w:rPr>
        <w:t>1</w:t>
      </w:r>
      <w:r>
        <w:t>.</w:t>
      </w:r>
      <w:r>
        <w:tab/>
        <w:t>Booking fee</w:t>
      </w:r>
      <w:bookmarkEnd w:id="9"/>
    </w:p>
    <w:tbl>
      <w:tblPr>
        <w:tblW w:w="0" w:type="auto"/>
        <w:tblInd w:w="959" w:type="dxa"/>
        <w:tblLayout w:type="fixed"/>
        <w:tblLook w:val="0000" w:firstRow="0" w:lastRow="0" w:firstColumn="0" w:lastColumn="0" w:noHBand="0" w:noVBand="0"/>
      </w:tblPr>
      <w:tblGrid>
        <w:gridCol w:w="4819"/>
        <w:gridCol w:w="993"/>
      </w:tblGrid>
      <w:tr>
        <w:tc>
          <w:tcPr>
            <w:tcW w:w="4819" w:type="dxa"/>
          </w:tcPr>
          <w:p>
            <w:pPr>
              <w:pStyle w:val="yTableNAm"/>
              <w:tabs>
                <w:tab w:val="clear" w:pos="567"/>
                <w:tab w:val="left" w:pos="601"/>
                <w:tab w:val="right" w:leader="dot" w:pos="4570"/>
              </w:tabs>
            </w:pPr>
            <w:r>
              <w:t>(1)</w:t>
            </w:r>
            <w:r>
              <w:tab/>
              <w:t xml:space="preserve">Intrastate link </w:t>
            </w:r>
            <w:r>
              <w:tab/>
            </w:r>
          </w:p>
        </w:tc>
        <w:tc>
          <w:tcPr>
            <w:tcW w:w="993" w:type="dxa"/>
          </w:tcPr>
          <w:p>
            <w:pPr>
              <w:pStyle w:val="yTableNAm"/>
              <w:tabs>
                <w:tab w:val="left" w:pos="924"/>
              </w:tabs>
            </w:pPr>
            <w:r>
              <w:rPr>
                <w:szCs w:val="22"/>
              </w:rPr>
              <w:t>$84.50</w:t>
            </w:r>
          </w:p>
        </w:tc>
      </w:tr>
      <w:tr>
        <w:tc>
          <w:tcPr>
            <w:tcW w:w="4819" w:type="dxa"/>
          </w:tcPr>
          <w:p>
            <w:pPr>
              <w:pStyle w:val="yTableNAm"/>
              <w:tabs>
                <w:tab w:val="clear" w:pos="567"/>
                <w:tab w:val="left" w:pos="601"/>
                <w:tab w:val="right" w:leader="dot" w:pos="4570"/>
              </w:tabs>
            </w:pPr>
            <w:r>
              <w:t>(2)</w:t>
            </w:r>
            <w:r>
              <w:tab/>
              <w:t>Interstate or overseas link</w:t>
            </w:r>
            <w:r>
              <w:tab/>
            </w:r>
          </w:p>
        </w:tc>
        <w:tc>
          <w:tcPr>
            <w:tcW w:w="993" w:type="dxa"/>
          </w:tcPr>
          <w:p>
            <w:pPr>
              <w:pStyle w:val="yTableNAm"/>
              <w:tabs>
                <w:tab w:val="left" w:pos="924"/>
              </w:tabs>
            </w:pPr>
            <w:r>
              <w:rPr>
                <w:szCs w:val="22"/>
              </w:rPr>
              <w:t>$125.50</w:t>
            </w:r>
          </w:p>
        </w:tc>
      </w:tr>
    </w:tbl>
    <w:p>
      <w:pPr>
        <w:pStyle w:val="yFootnotesection"/>
      </w:pPr>
      <w:r>
        <w:tab/>
        <w:t xml:space="preserve">[Item 1 inserted in Gazette </w:t>
      </w:r>
      <w:r>
        <w:rPr>
          <w:szCs w:val="22"/>
        </w:rPr>
        <w:t>15 Nov 2013 p</w:t>
      </w:r>
      <w:r>
        <w:t>. 5256.]</w:t>
      </w:r>
    </w:p>
    <w:p>
      <w:pPr>
        <w:pStyle w:val="yHeading5"/>
        <w:tabs>
          <w:tab w:val="left" w:pos="924"/>
        </w:tabs>
      </w:pPr>
      <w:bookmarkStart w:id="10" w:name="_Toc381365655"/>
      <w:r>
        <w:rPr>
          <w:rStyle w:val="CharSClsNo"/>
        </w:rPr>
        <w:t>2</w:t>
      </w:r>
      <w:r>
        <w:t>.</w:t>
      </w:r>
      <w:r>
        <w:rPr>
          <w:b w:val="0"/>
        </w:rPr>
        <w:tab/>
      </w:r>
      <w:r>
        <w:t>Hourly fee</w:t>
      </w:r>
      <w:bookmarkEnd w:id="10"/>
    </w:p>
    <w:tbl>
      <w:tblPr>
        <w:tblW w:w="0" w:type="auto"/>
        <w:tblInd w:w="959" w:type="dxa"/>
        <w:tblLayout w:type="fixed"/>
        <w:tblLook w:val="0000" w:firstRow="0" w:lastRow="0" w:firstColumn="0" w:lastColumn="0" w:noHBand="0" w:noVBand="0"/>
      </w:tblPr>
      <w:tblGrid>
        <w:gridCol w:w="4819"/>
        <w:gridCol w:w="993"/>
      </w:tblGrid>
      <w:tr>
        <w:tc>
          <w:tcPr>
            <w:tcW w:w="4819" w:type="dxa"/>
          </w:tcPr>
          <w:p>
            <w:pPr>
              <w:pStyle w:val="yTableNAm"/>
              <w:tabs>
                <w:tab w:val="clear" w:pos="567"/>
                <w:tab w:val="left" w:pos="581"/>
                <w:tab w:val="right" w:leader="dot" w:pos="4570"/>
              </w:tabs>
            </w:pPr>
            <w:r>
              <w:t xml:space="preserve">Per hour or part of an hour </w:t>
            </w:r>
            <w:r>
              <w:tab/>
            </w:r>
          </w:p>
        </w:tc>
        <w:tc>
          <w:tcPr>
            <w:tcW w:w="993" w:type="dxa"/>
          </w:tcPr>
          <w:p>
            <w:pPr>
              <w:pStyle w:val="yTableNAm"/>
              <w:tabs>
                <w:tab w:val="left" w:pos="924"/>
              </w:tabs>
            </w:pPr>
            <w:r>
              <w:t>$66.50</w:t>
            </w:r>
          </w:p>
        </w:tc>
      </w:tr>
    </w:tbl>
    <w:p>
      <w:pPr>
        <w:pStyle w:val="yFootnotesection"/>
      </w:pPr>
      <w:r>
        <w:tab/>
        <w:t xml:space="preserve">[Item 2 inserted in Gazette </w:t>
      </w:r>
      <w:r>
        <w:rPr>
          <w:szCs w:val="22"/>
        </w:rPr>
        <w:t>15 Nov 2013 p</w:t>
      </w:r>
      <w:r>
        <w:t>. 5256.]</w:t>
      </w:r>
    </w:p>
    <w:p>
      <w:pPr>
        <w:pStyle w:val="CentredBaseLine"/>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Pr>
        <w:pStyle w:val="nHeading2"/>
      </w:pPr>
      <w:bookmarkStart w:id="11" w:name="_Toc381365586"/>
      <w:bookmarkStart w:id="12" w:name="_Toc381365656"/>
      <w:r>
        <w:t>Notes</w:t>
      </w:r>
      <w:bookmarkEnd w:id="11"/>
      <w:bookmarkEnd w:id="12"/>
    </w:p>
    <w:p>
      <w:pPr>
        <w:pStyle w:val="nSubsection"/>
        <w:rPr>
          <w:snapToGrid w:val="0"/>
        </w:rPr>
      </w:pPr>
      <w:r>
        <w:rPr>
          <w:snapToGrid w:val="0"/>
          <w:vertAlign w:val="superscript"/>
        </w:rPr>
        <w:t>1</w:t>
      </w:r>
      <w:r>
        <w:rPr>
          <w:snapToGrid w:val="0"/>
        </w:rPr>
        <w:tab/>
        <w:t xml:space="preserve">This reprint is a compilation as at 14 February 2014 of the </w:t>
      </w:r>
      <w:r>
        <w:rPr>
          <w:i/>
          <w:noProof/>
          <w:snapToGrid w:val="0"/>
        </w:rPr>
        <w:t>Evidence (Video and Audio Links Fees and Expenses) Regulations 1999</w:t>
      </w:r>
      <w:r>
        <w:rPr>
          <w:snapToGrid w:val="0"/>
        </w:rPr>
        <w:t xml:space="preserve"> and includes the amendments made by the other written laws referred to in the following table.  The table also contains information about any reprint.</w:t>
      </w:r>
    </w:p>
    <w:p>
      <w:pPr>
        <w:pStyle w:val="nHeading3"/>
      </w:pPr>
      <w:bookmarkStart w:id="13" w:name="_Toc381365657"/>
      <w:r>
        <w:t>Compilation table</w:t>
      </w:r>
      <w:bookmarkEnd w:id="13"/>
    </w:p>
    <w:tbl>
      <w:tblPr>
        <w:tblW w:w="0" w:type="auto"/>
        <w:tblInd w:w="56" w:type="dxa"/>
        <w:tblLayout w:type="fixed"/>
        <w:tblCellMar>
          <w:left w:w="56" w:type="dxa"/>
          <w:right w:w="56" w:type="dxa"/>
        </w:tblCellMar>
        <w:tblLook w:val="0000" w:firstRow="0" w:lastRow="0" w:firstColumn="0" w:lastColumn="0" w:noHBand="0" w:noVBand="0"/>
      </w:tblPr>
      <w:tblGrid>
        <w:gridCol w:w="3118"/>
        <w:gridCol w:w="1276"/>
        <w:gridCol w:w="2694"/>
      </w:tblGrid>
      <w:tr>
        <w:trPr>
          <w:tblHeader/>
        </w:trPr>
        <w:tc>
          <w:tcPr>
            <w:tcW w:w="3118" w:type="dxa"/>
            <w:tcBorders>
              <w:top w:val="single" w:sz="8" w:space="0" w:color="auto"/>
              <w:bottom w:val="single" w:sz="8" w:space="0" w:color="auto"/>
            </w:tcBorders>
            <w:shd w:val="clear" w:color="auto" w:fill="auto"/>
          </w:tcPr>
          <w:p>
            <w:pPr>
              <w:pStyle w:val="nTable"/>
              <w:spacing w:after="40"/>
              <w:rPr>
                <w:b/>
                <w:sz w:val="19"/>
                <w:szCs w:val="19"/>
              </w:rPr>
            </w:pPr>
            <w:r>
              <w:rPr>
                <w:b/>
                <w:sz w:val="19"/>
                <w:szCs w:val="19"/>
              </w:rPr>
              <w:t>Citation</w:t>
            </w:r>
          </w:p>
        </w:tc>
        <w:tc>
          <w:tcPr>
            <w:tcW w:w="1276" w:type="dxa"/>
            <w:tcBorders>
              <w:top w:val="single" w:sz="8" w:space="0" w:color="auto"/>
              <w:bottom w:val="single" w:sz="8" w:space="0" w:color="auto"/>
            </w:tcBorders>
            <w:shd w:val="clear" w:color="auto" w:fill="auto"/>
          </w:tcPr>
          <w:p>
            <w:pPr>
              <w:pStyle w:val="nTable"/>
              <w:spacing w:after="40"/>
              <w:rPr>
                <w:b/>
                <w:sz w:val="19"/>
                <w:szCs w:val="19"/>
              </w:rPr>
            </w:pPr>
            <w:r>
              <w:rPr>
                <w:b/>
                <w:sz w:val="19"/>
                <w:szCs w:val="19"/>
              </w:rPr>
              <w:t>Gazettal</w:t>
            </w:r>
          </w:p>
        </w:tc>
        <w:tc>
          <w:tcPr>
            <w:tcW w:w="2694" w:type="dxa"/>
            <w:tcBorders>
              <w:top w:val="single" w:sz="8" w:space="0" w:color="auto"/>
              <w:bottom w:val="single" w:sz="8" w:space="0" w:color="auto"/>
            </w:tcBorders>
            <w:shd w:val="clear" w:color="auto" w:fill="auto"/>
          </w:tcPr>
          <w:p>
            <w:pPr>
              <w:pStyle w:val="nTable"/>
              <w:spacing w:after="40"/>
              <w:rPr>
                <w:b/>
                <w:sz w:val="19"/>
                <w:szCs w:val="19"/>
              </w:rPr>
            </w:pPr>
            <w:r>
              <w:rPr>
                <w:b/>
                <w:sz w:val="19"/>
                <w:szCs w:val="19"/>
              </w:rPr>
              <w:t>Commencement</w:t>
            </w:r>
          </w:p>
        </w:tc>
      </w:tr>
      <w:tr>
        <w:tc>
          <w:tcPr>
            <w:tcW w:w="3118" w:type="dxa"/>
            <w:tcBorders>
              <w:top w:val="single" w:sz="8" w:space="0" w:color="auto"/>
            </w:tcBorders>
          </w:tcPr>
          <w:p>
            <w:pPr>
              <w:pStyle w:val="nTable"/>
              <w:spacing w:after="40"/>
              <w:rPr>
                <w:sz w:val="19"/>
                <w:szCs w:val="19"/>
              </w:rPr>
            </w:pPr>
            <w:r>
              <w:rPr>
                <w:i/>
                <w:sz w:val="19"/>
                <w:szCs w:val="19"/>
              </w:rPr>
              <w:t>Evidence (Video and Audio Links Fees and Expenses) Regulations 1999</w:t>
            </w:r>
          </w:p>
        </w:tc>
        <w:tc>
          <w:tcPr>
            <w:tcW w:w="1276" w:type="dxa"/>
            <w:tcBorders>
              <w:top w:val="single" w:sz="8" w:space="0" w:color="auto"/>
            </w:tcBorders>
          </w:tcPr>
          <w:p>
            <w:pPr>
              <w:pStyle w:val="nTable"/>
              <w:rPr>
                <w:sz w:val="19"/>
                <w:szCs w:val="19"/>
              </w:rPr>
            </w:pPr>
            <w:r>
              <w:rPr>
                <w:sz w:val="19"/>
                <w:szCs w:val="19"/>
              </w:rPr>
              <w:t>7 Dec 1999 p. 5995</w:t>
            </w:r>
            <w:r>
              <w:rPr>
                <w:sz w:val="19"/>
                <w:szCs w:val="19"/>
              </w:rPr>
              <w:noBreakHyphen/>
              <w:t>6</w:t>
            </w:r>
          </w:p>
        </w:tc>
        <w:tc>
          <w:tcPr>
            <w:tcW w:w="2694" w:type="dxa"/>
            <w:tcBorders>
              <w:top w:val="single" w:sz="8" w:space="0" w:color="auto"/>
            </w:tcBorders>
          </w:tcPr>
          <w:p>
            <w:pPr>
              <w:pStyle w:val="nTable"/>
              <w:rPr>
                <w:sz w:val="19"/>
                <w:szCs w:val="19"/>
              </w:rPr>
            </w:pPr>
            <w:r>
              <w:rPr>
                <w:sz w:val="19"/>
                <w:szCs w:val="19"/>
              </w:rPr>
              <w:t>7 Dec 1999</w:t>
            </w:r>
          </w:p>
        </w:tc>
      </w:tr>
      <w:tr>
        <w:tc>
          <w:tcPr>
            <w:tcW w:w="3118" w:type="dxa"/>
          </w:tcPr>
          <w:p>
            <w:pPr>
              <w:pStyle w:val="nTable"/>
              <w:spacing w:after="40"/>
              <w:rPr>
                <w:i/>
                <w:sz w:val="19"/>
                <w:szCs w:val="19"/>
              </w:rPr>
            </w:pPr>
            <w:r>
              <w:rPr>
                <w:i/>
                <w:sz w:val="19"/>
                <w:szCs w:val="19"/>
              </w:rPr>
              <w:t>Evidence (Video and Audio Links Fees and Expenses) Amendment Regulations 2003</w:t>
            </w:r>
          </w:p>
        </w:tc>
        <w:tc>
          <w:tcPr>
            <w:tcW w:w="1276" w:type="dxa"/>
          </w:tcPr>
          <w:p>
            <w:pPr>
              <w:pStyle w:val="nTable"/>
              <w:rPr>
                <w:sz w:val="19"/>
                <w:szCs w:val="19"/>
              </w:rPr>
            </w:pPr>
            <w:r>
              <w:rPr>
                <w:sz w:val="19"/>
                <w:szCs w:val="19"/>
              </w:rPr>
              <w:t>30 Dec 2003 p. 5718</w:t>
            </w:r>
          </w:p>
        </w:tc>
        <w:tc>
          <w:tcPr>
            <w:tcW w:w="2694" w:type="dxa"/>
          </w:tcPr>
          <w:p>
            <w:pPr>
              <w:pStyle w:val="nTable"/>
              <w:rPr>
                <w:sz w:val="19"/>
                <w:szCs w:val="19"/>
              </w:rPr>
            </w:pPr>
            <w:r>
              <w:rPr>
                <w:sz w:val="19"/>
                <w:szCs w:val="19"/>
              </w:rPr>
              <w:t>1 Jan 2004 (see r. 2)</w:t>
            </w:r>
          </w:p>
        </w:tc>
      </w:tr>
      <w:tr>
        <w:trPr>
          <w:cantSplit/>
        </w:trPr>
        <w:tc>
          <w:tcPr>
            <w:tcW w:w="7088" w:type="dxa"/>
            <w:gridSpan w:val="3"/>
          </w:tcPr>
          <w:p>
            <w:pPr>
              <w:pStyle w:val="nTable"/>
              <w:spacing w:after="40"/>
              <w:rPr>
                <w:sz w:val="19"/>
                <w:szCs w:val="19"/>
              </w:rPr>
            </w:pPr>
            <w:r>
              <w:rPr>
                <w:b/>
                <w:bCs/>
                <w:sz w:val="19"/>
                <w:szCs w:val="19"/>
              </w:rPr>
              <w:t xml:space="preserve">Reprint 1: The </w:t>
            </w:r>
            <w:r>
              <w:rPr>
                <w:b/>
                <w:bCs/>
                <w:i/>
                <w:sz w:val="19"/>
                <w:szCs w:val="19"/>
              </w:rPr>
              <w:t>Evidence (Video and Audio Links Fees and Expenses) Regulations 1999</w:t>
            </w:r>
            <w:r>
              <w:rPr>
                <w:b/>
                <w:bCs/>
                <w:sz w:val="19"/>
                <w:szCs w:val="19"/>
              </w:rPr>
              <w:t xml:space="preserve"> as at 6 Aug 2004</w:t>
            </w:r>
            <w:r>
              <w:rPr>
                <w:sz w:val="19"/>
                <w:szCs w:val="19"/>
              </w:rPr>
              <w:t xml:space="preserve"> (includes amendments listed above)</w:t>
            </w:r>
          </w:p>
        </w:tc>
      </w:tr>
      <w:tr>
        <w:trPr>
          <w:cantSplit/>
        </w:trPr>
        <w:tc>
          <w:tcPr>
            <w:tcW w:w="3118" w:type="dxa"/>
          </w:tcPr>
          <w:p>
            <w:pPr>
              <w:pStyle w:val="nTable"/>
              <w:spacing w:after="40"/>
              <w:rPr>
                <w:i/>
                <w:iCs/>
                <w:sz w:val="19"/>
                <w:szCs w:val="19"/>
              </w:rPr>
            </w:pPr>
            <w:r>
              <w:rPr>
                <w:i/>
                <w:iCs/>
                <w:sz w:val="19"/>
                <w:szCs w:val="19"/>
              </w:rPr>
              <w:t>Evidence (Video and Audio Links Fees and Expenses) Amendment Regulations 2005</w:t>
            </w:r>
          </w:p>
        </w:tc>
        <w:tc>
          <w:tcPr>
            <w:tcW w:w="1276" w:type="dxa"/>
          </w:tcPr>
          <w:p>
            <w:pPr>
              <w:pStyle w:val="nTable"/>
              <w:rPr>
                <w:sz w:val="19"/>
                <w:szCs w:val="19"/>
              </w:rPr>
            </w:pPr>
            <w:r>
              <w:rPr>
                <w:sz w:val="19"/>
                <w:szCs w:val="19"/>
              </w:rPr>
              <w:t>23 Jun 2005 p. 2689</w:t>
            </w:r>
          </w:p>
        </w:tc>
        <w:tc>
          <w:tcPr>
            <w:tcW w:w="2694" w:type="dxa"/>
          </w:tcPr>
          <w:p>
            <w:pPr>
              <w:pStyle w:val="nTable"/>
              <w:rPr>
                <w:sz w:val="19"/>
                <w:szCs w:val="19"/>
              </w:rPr>
            </w:pPr>
            <w:r>
              <w:rPr>
                <w:sz w:val="19"/>
                <w:szCs w:val="19"/>
              </w:rPr>
              <w:t>1 Jul 2005 (see r. 2)</w:t>
            </w:r>
          </w:p>
        </w:tc>
      </w:tr>
      <w:tr>
        <w:trPr>
          <w:cantSplit/>
        </w:trPr>
        <w:tc>
          <w:tcPr>
            <w:tcW w:w="3118" w:type="dxa"/>
          </w:tcPr>
          <w:p>
            <w:pPr>
              <w:pStyle w:val="nTable"/>
              <w:spacing w:after="40"/>
              <w:rPr>
                <w:i/>
                <w:iCs/>
                <w:sz w:val="19"/>
                <w:szCs w:val="19"/>
              </w:rPr>
            </w:pPr>
            <w:r>
              <w:rPr>
                <w:i/>
                <w:iCs/>
                <w:sz w:val="19"/>
                <w:szCs w:val="19"/>
              </w:rPr>
              <w:t>Evidence (Video and Audio Links Fees and Expenses) Amendment Regulations 2006</w:t>
            </w:r>
          </w:p>
        </w:tc>
        <w:tc>
          <w:tcPr>
            <w:tcW w:w="1276" w:type="dxa"/>
          </w:tcPr>
          <w:p>
            <w:pPr>
              <w:pStyle w:val="nTable"/>
              <w:rPr>
                <w:sz w:val="19"/>
                <w:szCs w:val="19"/>
              </w:rPr>
            </w:pPr>
            <w:r>
              <w:rPr>
                <w:sz w:val="19"/>
                <w:szCs w:val="19"/>
              </w:rPr>
              <w:t>23 Jun 2006 p. 2190</w:t>
            </w:r>
          </w:p>
        </w:tc>
        <w:tc>
          <w:tcPr>
            <w:tcW w:w="2694" w:type="dxa"/>
          </w:tcPr>
          <w:p>
            <w:pPr>
              <w:pStyle w:val="nTable"/>
              <w:rPr>
                <w:sz w:val="19"/>
                <w:szCs w:val="19"/>
              </w:rPr>
            </w:pPr>
            <w:r>
              <w:rPr>
                <w:sz w:val="19"/>
                <w:szCs w:val="19"/>
              </w:rPr>
              <w:t>1 Jul 2006 (see r. 2)</w:t>
            </w:r>
          </w:p>
        </w:tc>
      </w:tr>
      <w:tr>
        <w:trPr>
          <w:cantSplit/>
        </w:trPr>
        <w:tc>
          <w:tcPr>
            <w:tcW w:w="3118" w:type="dxa"/>
          </w:tcPr>
          <w:p>
            <w:pPr>
              <w:pStyle w:val="nTable"/>
              <w:spacing w:after="40"/>
              <w:rPr>
                <w:i/>
                <w:iCs/>
                <w:sz w:val="19"/>
                <w:szCs w:val="19"/>
              </w:rPr>
            </w:pPr>
            <w:r>
              <w:rPr>
                <w:i/>
                <w:iCs/>
                <w:sz w:val="19"/>
                <w:szCs w:val="19"/>
              </w:rPr>
              <w:t>Evidence (Video and Audio Links Fees and Expenses) Amendment Regulations 2007</w:t>
            </w:r>
          </w:p>
        </w:tc>
        <w:tc>
          <w:tcPr>
            <w:tcW w:w="1276" w:type="dxa"/>
          </w:tcPr>
          <w:p>
            <w:pPr>
              <w:pStyle w:val="nTable"/>
              <w:rPr>
                <w:sz w:val="19"/>
                <w:szCs w:val="19"/>
              </w:rPr>
            </w:pPr>
            <w:r>
              <w:rPr>
                <w:sz w:val="19"/>
                <w:szCs w:val="19"/>
              </w:rPr>
              <w:t>26 Jun 2007 p. 3030-1</w:t>
            </w:r>
          </w:p>
        </w:tc>
        <w:tc>
          <w:tcPr>
            <w:tcW w:w="2694" w:type="dxa"/>
          </w:tcPr>
          <w:p>
            <w:pPr>
              <w:pStyle w:val="nTable"/>
              <w:rPr>
                <w:sz w:val="19"/>
                <w:szCs w:val="19"/>
              </w:rPr>
            </w:pPr>
            <w:r>
              <w:rPr>
                <w:sz w:val="19"/>
                <w:szCs w:val="19"/>
              </w:rPr>
              <w:t>r. 1 and 2: 26 Jun 2007 (see r. 2(a));</w:t>
            </w:r>
            <w:r>
              <w:rPr>
                <w:sz w:val="19"/>
                <w:szCs w:val="19"/>
              </w:rPr>
              <w:br/>
              <w:t>Regulations other than r. 1 and 2: 1 Jul 2007 (see r. 2(b))</w:t>
            </w:r>
          </w:p>
        </w:tc>
      </w:tr>
      <w:tr>
        <w:trPr>
          <w:cantSplit/>
        </w:trPr>
        <w:tc>
          <w:tcPr>
            <w:tcW w:w="3118" w:type="dxa"/>
          </w:tcPr>
          <w:p>
            <w:pPr>
              <w:pStyle w:val="nTable"/>
              <w:spacing w:after="40"/>
              <w:rPr>
                <w:i/>
                <w:iCs/>
                <w:sz w:val="19"/>
                <w:szCs w:val="19"/>
              </w:rPr>
            </w:pPr>
            <w:r>
              <w:rPr>
                <w:i/>
                <w:iCs/>
                <w:sz w:val="19"/>
                <w:szCs w:val="19"/>
              </w:rPr>
              <w:t>Evidence (Video and Audio Links Fees and Expenses) Amendment Regulations 2008</w:t>
            </w:r>
          </w:p>
        </w:tc>
        <w:tc>
          <w:tcPr>
            <w:tcW w:w="1276" w:type="dxa"/>
          </w:tcPr>
          <w:p>
            <w:pPr>
              <w:pStyle w:val="nTable"/>
              <w:rPr>
                <w:sz w:val="19"/>
                <w:szCs w:val="19"/>
              </w:rPr>
            </w:pPr>
            <w:r>
              <w:rPr>
                <w:sz w:val="19"/>
                <w:szCs w:val="19"/>
              </w:rPr>
              <w:t>27 Jun 2008 p. 3072-3</w:t>
            </w:r>
          </w:p>
        </w:tc>
        <w:tc>
          <w:tcPr>
            <w:tcW w:w="2694" w:type="dxa"/>
          </w:tcPr>
          <w:p>
            <w:pPr>
              <w:pStyle w:val="nTable"/>
              <w:rPr>
                <w:sz w:val="19"/>
                <w:szCs w:val="19"/>
              </w:rPr>
            </w:pPr>
            <w:r>
              <w:rPr>
                <w:sz w:val="19"/>
                <w:szCs w:val="19"/>
              </w:rPr>
              <w:t>r. 1 and 2: 27 Jun 2008 (see r. 2(a));</w:t>
            </w:r>
            <w:r>
              <w:rPr>
                <w:sz w:val="19"/>
                <w:szCs w:val="19"/>
              </w:rPr>
              <w:br/>
              <w:t>Regulations other than r. 1 and 2: 1 Jul 2008 (see r. 2(b))</w:t>
            </w:r>
          </w:p>
        </w:tc>
      </w:tr>
      <w:tr>
        <w:trPr>
          <w:cantSplit/>
        </w:trPr>
        <w:tc>
          <w:tcPr>
            <w:tcW w:w="7088" w:type="dxa"/>
            <w:gridSpan w:val="3"/>
          </w:tcPr>
          <w:p>
            <w:pPr>
              <w:pStyle w:val="nTable"/>
              <w:spacing w:after="40"/>
              <w:rPr>
                <w:snapToGrid w:val="0"/>
                <w:sz w:val="19"/>
                <w:szCs w:val="19"/>
              </w:rPr>
            </w:pPr>
            <w:r>
              <w:rPr>
                <w:b/>
                <w:bCs/>
                <w:sz w:val="19"/>
                <w:szCs w:val="19"/>
              </w:rPr>
              <w:t xml:space="preserve">Reprint 2: The </w:t>
            </w:r>
            <w:r>
              <w:rPr>
                <w:b/>
                <w:bCs/>
                <w:i/>
                <w:sz w:val="19"/>
                <w:szCs w:val="19"/>
              </w:rPr>
              <w:t>Evidence (Video and Audio Links Fees and Expenses) Regulations 1999</w:t>
            </w:r>
            <w:r>
              <w:rPr>
                <w:b/>
                <w:bCs/>
                <w:sz w:val="19"/>
                <w:szCs w:val="19"/>
              </w:rPr>
              <w:t xml:space="preserve"> as at 7 Nov 2008</w:t>
            </w:r>
            <w:r>
              <w:rPr>
                <w:sz w:val="19"/>
                <w:szCs w:val="19"/>
              </w:rPr>
              <w:t xml:space="preserve"> (includes amendments listed above)</w:t>
            </w:r>
          </w:p>
        </w:tc>
      </w:tr>
      <w:tr>
        <w:trPr>
          <w:cantSplit/>
        </w:trPr>
        <w:tc>
          <w:tcPr>
            <w:tcW w:w="3118" w:type="dxa"/>
          </w:tcPr>
          <w:p>
            <w:pPr>
              <w:pStyle w:val="nTable"/>
              <w:spacing w:after="40"/>
              <w:rPr>
                <w:i/>
                <w:iCs/>
                <w:sz w:val="19"/>
                <w:szCs w:val="19"/>
              </w:rPr>
            </w:pPr>
            <w:r>
              <w:rPr>
                <w:i/>
                <w:iCs/>
                <w:sz w:val="19"/>
                <w:szCs w:val="19"/>
              </w:rPr>
              <w:t>Evidence (Video and Audio Links Fees and Expenses) Amendment Regulations 2009</w:t>
            </w:r>
          </w:p>
        </w:tc>
        <w:tc>
          <w:tcPr>
            <w:tcW w:w="1276" w:type="dxa"/>
          </w:tcPr>
          <w:p>
            <w:pPr>
              <w:pStyle w:val="nTable"/>
              <w:spacing w:after="40"/>
              <w:rPr>
                <w:sz w:val="19"/>
                <w:szCs w:val="19"/>
              </w:rPr>
            </w:pPr>
            <w:r>
              <w:rPr>
                <w:sz w:val="19"/>
                <w:szCs w:val="19"/>
              </w:rPr>
              <w:t>4 Sep 2009 p. 3494</w:t>
            </w:r>
          </w:p>
        </w:tc>
        <w:tc>
          <w:tcPr>
            <w:tcW w:w="2694" w:type="dxa"/>
          </w:tcPr>
          <w:p>
            <w:pPr>
              <w:pStyle w:val="nTable"/>
              <w:spacing w:after="40"/>
              <w:rPr>
                <w:sz w:val="19"/>
                <w:szCs w:val="19"/>
              </w:rPr>
            </w:pPr>
            <w:r>
              <w:rPr>
                <w:snapToGrid w:val="0"/>
                <w:sz w:val="19"/>
                <w:szCs w:val="19"/>
              </w:rPr>
              <w:t>r. 1 and 2: 4 Sep 2009 (see r. 2(a));</w:t>
            </w:r>
            <w:r>
              <w:rPr>
                <w:snapToGrid w:val="0"/>
                <w:sz w:val="19"/>
                <w:szCs w:val="19"/>
              </w:rPr>
              <w:br/>
              <w:t>Regulations other than r. 1 and 2: 5 Sep 2009 (see r. 2(b))</w:t>
            </w:r>
          </w:p>
        </w:tc>
      </w:tr>
      <w:tr>
        <w:trPr>
          <w:cantSplit/>
        </w:trPr>
        <w:tc>
          <w:tcPr>
            <w:tcW w:w="3118" w:type="dxa"/>
          </w:tcPr>
          <w:p>
            <w:pPr>
              <w:pStyle w:val="nTable"/>
              <w:spacing w:after="40"/>
              <w:rPr>
                <w:i/>
                <w:iCs/>
                <w:sz w:val="19"/>
                <w:szCs w:val="19"/>
              </w:rPr>
            </w:pPr>
            <w:r>
              <w:rPr>
                <w:i/>
                <w:iCs/>
                <w:sz w:val="19"/>
                <w:szCs w:val="19"/>
              </w:rPr>
              <w:t>Evidence (Video and Audio Links Fees and Expenses) Amendment Regulations 2011</w:t>
            </w:r>
          </w:p>
        </w:tc>
        <w:tc>
          <w:tcPr>
            <w:tcW w:w="1276" w:type="dxa"/>
          </w:tcPr>
          <w:p>
            <w:pPr>
              <w:pStyle w:val="nTable"/>
              <w:spacing w:after="40"/>
              <w:rPr>
                <w:sz w:val="19"/>
                <w:szCs w:val="19"/>
              </w:rPr>
            </w:pPr>
            <w:r>
              <w:rPr>
                <w:sz w:val="19"/>
                <w:szCs w:val="19"/>
              </w:rPr>
              <w:t>8 Mar 2011 p. 798</w:t>
            </w:r>
            <w:r>
              <w:rPr>
                <w:sz w:val="19"/>
                <w:szCs w:val="19"/>
              </w:rPr>
              <w:noBreakHyphen/>
              <w:t>9</w:t>
            </w:r>
          </w:p>
        </w:tc>
        <w:tc>
          <w:tcPr>
            <w:tcW w:w="2694" w:type="dxa"/>
          </w:tcPr>
          <w:p>
            <w:pPr>
              <w:pStyle w:val="nTable"/>
              <w:spacing w:after="40"/>
              <w:rPr>
                <w:snapToGrid w:val="0"/>
                <w:sz w:val="19"/>
                <w:szCs w:val="19"/>
              </w:rPr>
            </w:pPr>
            <w:r>
              <w:rPr>
                <w:snapToGrid w:val="0"/>
                <w:sz w:val="19"/>
                <w:szCs w:val="19"/>
              </w:rPr>
              <w:t>r. 1 and 2: 8 Mar 2011 (see r. 2(a));</w:t>
            </w:r>
            <w:r>
              <w:rPr>
                <w:snapToGrid w:val="0"/>
                <w:sz w:val="19"/>
                <w:szCs w:val="19"/>
              </w:rPr>
              <w:br/>
              <w:t>Regulations other than r. 1 and 2: 9 Mar 2011 (see r. 2(b))</w:t>
            </w:r>
          </w:p>
        </w:tc>
      </w:tr>
      <w:tr>
        <w:trPr>
          <w:cantSplit/>
        </w:trPr>
        <w:tc>
          <w:tcPr>
            <w:tcW w:w="3118" w:type="dxa"/>
          </w:tcPr>
          <w:p>
            <w:pPr>
              <w:pStyle w:val="nTable"/>
              <w:spacing w:after="40"/>
              <w:rPr>
                <w:i/>
                <w:iCs/>
                <w:sz w:val="19"/>
                <w:szCs w:val="19"/>
              </w:rPr>
            </w:pPr>
            <w:r>
              <w:rPr>
                <w:i/>
                <w:iCs/>
                <w:sz w:val="19"/>
                <w:szCs w:val="19"/>
              </w:rPr>
              <w:t>Evidence (Video and Audio Links Fees and Expenses) Amendment Regulations (No. 2) 2011</w:t>
            </w:r>
          </w:p>
        </w:tc>
        <w:tc>
          <w:tcPr>
            <w:tcW w:w="1276" w:type="dxa"/>
          </w:tcPr>
          <w:p>
            <w:pPr>
              <w:pStyle w:val="nTable"/>
              <w:spacing w:after="40"/>
              <w:rPr>
                <w:sz w:val="19"/>
                <w:szCs w:val="19"/>
              </w:rPr>
            </w:pPr>
            <w:r>
              <w:rPr>
                <w:sz w:val="19"/>
                <w:szCs w:val="19"/>
              </w:rPr>
              <w:t>20 Dec 2011 p. 5395</w:t>
            </w:r>
            <w:r>
              <w:rPr>
                <w:sz w:val="19"/>
                <w:szCs w:val="19"/>
              </w:rPr>
              <w:noBreakHyphen/>
              <w:t>6</w:t>
            </w:r>
          </w:p>
        </w:tc>
        <w:tc>
          <w:tcPr>
            <w:tcW w:w="2694" w:type="dxa"/>
          </w:tcPr>
          <w:p>
            <w:pPr>
              <w:pStyle w:val="nTable"/>
              <w:spacing w:after="40"/>
              <w:rPr>
                <w:snapToGrid w:val="0"/>
                <w:sz w:val="19"/>
                <w:szCs w:val="19"/>
              </w:rPr>
            </w:pPr>
            <w:r>
              <w:rPr>
                <w:snapToGrid w:val="0"/>
                <w:sz w:val="19"/>
                <w:szCs w:val="19"/>
              </w:rPr>
              <w:t>r. 1 and 2: 20 Dec 2011 (see r. 2(a));</w:t>
            </w:r>
            <w:r>
              <w:rPr>
                <w:snapToGrid w:val="0"/>
                <w:sz w:val="19"/>
                <w:szCs w:val="19"/>
              </w:rPr>
              <w:br/>
              <w:t>Regulations other than r. 1 and 2: 21 Dec 2011 (see r. 2(b))</w:t>
            </w:r>
          </w:p>
        </w:tc>
      </w:tr>
      <w:tr>
        <w:trPr>
          <w:cantSplit/>
        </w:trPr>
        <w:tc>
          <w:tcPr>
            <w:tcW w:w="3118" w:type="dxa"/>
          </w:tcPr>
          <w:p>
            <w:pPr>
              <w:pStyle w:val="nTable"/>
              <w:spacing w:after="40"/>
              <w:rPr>
                <w:i/>
                <w:iCs/>
                <w:sz w:val="19"/>
                <w:szCs w:val="19"/>
              </w:rPr>
            </w:pPr>
            <w:r>
              <w:rPr>
                <w:i/>
                <w:iCs/>
                <w:sz w:val="19"/>
                <w:szCs w:val="19"/>
              </w:rPr>
              <w:t>Evidence (Video and Audio Links Fees and Expenses) Amendment Regulations 2012</w:t>
            </w:r>
          </w:p>
        </w:tc>
        <w:tc>
          <w:tcPr>
            <w:tcW w:w="1276" w:type="dxa"/>
          </w:tcPr>
          <w:p>
            <w:pPr>
              <w:pStyle w:val="nTable"/>
              <w:spacing w:after="40"/>
              <w:rPr>
                <w:sz w:val="19"/>
                <w:szCs w:val="19"/>
              </w:rPr>
            </w:pPr>
            <w:r>
              <w:rPr>
                <w:sz w:val="19"/>
                <w:szCs w:val="19"/>
              </w:rPr>
              <w:t>9 Mar 2012 p. 931</w:t>
            </w:r>
            <w:r>
              <w:rPr>
                <w:sz w:val="19"/>
                <w:szCs w:val="19"/>
              </w:rPr>
              <w:noBreakHyphen/>
              <w:t>2</w:t>
            </w:r>
          </w:p>
        </w:tc>
        <w:tc>
          <w:tcPr>
            <w:tcW w:w="2694" w:type="dxa"/>
          </w:tcPr>
          <w:p>
            <w:pPr>
              <w:pStyle w:val="nTable"/>
              <w:spacing w:after="40"/>
              <w:rPr>
                <w:snapToGrid w:val="0"/>
                <w:sz w:val="19"/>
                <w:szCs w:val="19"/>
              </w:rPr>
            </w:pPr>
            <w:r>
              <w:rPr>
                <w:snapToGrid w:val="0"/>
                <w:sz w:val="19"/>
                <w:szCs w:val="19"/>
              </w:rPr>
              <w:t>r. 1 and 2: 9 Mar 2012 (see r. 2(a));</w:t>
            </w:r>
            <w:r>
              <w:rPr>
                <w:snapToGrid w:val="0"/>
                <w:sz w:val="19"/>
                <w:szCs w:val="19"/>
              </w:rPr>
              <w:br/>
              <w:t>Regulations other than r. 1 and 2: 10 Mar 2012 (see r. 2(b))</w:t>
            </w:r>
          </w:p>
        </w:tc>
      </w:tr>
      <w:tr>
        <w:trPr>
          <w:cantSplit/>
        </w:trPr>
        <w:tc>
          <w:tcPr>
            <w:tcW w:w="3118" w:type="dxa"/>
          </w:tcPr>
          <w:p>
            <w:pPr>
              <w:pStyle w:val="nTable"/>
              <w:spacing w:after="40"/>
              <w:rPr>
                <w:i/>
                <w:iCs/>
                <w:sz w:val="19"/>
                <w:szCs w:val="19"/>
              </w:rPr>
            </w:pPr>
            <w:r>
              <w:rPr>
                <w:i/>
                <w:iCs/>
                <w:sz w:val="19"/>
                <w:szCs w:val="19"/>
              </w:rPr>
              <w:t>Evidence (Video and Audio Links Fees and Expenses) Amendment Regulations (No. 2) 2012</w:t>
            </w:r>
          </w:p>
        </w:tc>
        <w:tc>
          <w:tcPr>
            <w:tcW w:w="1276" w:type="dxa"/>
          </w:tcPr>
          <w:p>
            <w:pPr>
              <w:pStyle w:val="nTable"/>
              <w:spacing w:after="40"/>
              <w:rPr>
                <w:sz w:val="19"/>
                <w:szCs w:val="19"/>
              </w:rPr>
            </w:pPr>
            <w:r>
              <w:rPr>
                <w:sz w:val="19"/>
                <w:szCs w:val="19"/>
              </w:rPr>
              <w:t>30 Nov 2012 p. 5800</w:t>
            </w:r>
          </w:p>
        </w:tc>
        <w:tc>
          <w:tcPr>
            <w:tcW w:w="2694" w:type="dxa"/>
          </w:tcPr>
          <w:p>
            <w:pPr>
              <w:pStyle w:val="nTable"/>
              <w:spacing w:after="40"/>
              <w:rPr>
                <w:snapToGrid w:val="0"/>
                <w:sz w:val="19"/>
                <w:szCs w:val="19"/>
              </w:rPr>
            </w:pPr>
            <w:r>
              <w:rPr>
                <w:snapToGrid w:val="0"/>
                <w:sz w:val="19"/>
                <w:szCs w:val="19"/>
              </w:rPr>
              <w:t>r. 1 and 2: 30 Nov 2012 (see r. 2(a));</w:t>
            </w:r>
            <w:r>
              <w:rPr>
                <w:snapToGrid w:val="0"/>
                <w:sz w:val="19"/>
                <w:szCs w:val="19"/>
              </w:rPr>
              <w:br/>
              <w:t>Regulations other than r. 1 and 2: 1 Dec 2012 (see r. 2(b))</w:t>
            </w:r>
          </w:p>
        </w:tc>
      </w:tr>
      <w:tr>
        <w:trPr>
          <w:cantSplit/>
        </w:trPr>
        <w:tc>
          <w:tcPr>
            <w:tcW w:w="3118" w:type="dxa"/>
            <w:shd w:val="clear" w:color="auto" w:fill="auto"/>
          </w:tcPr>
          <w:p>
            <w:pPr>
              <w:pStyle w:val="nTable"/>
              <w:spacing w:after="40"/>
              <w:rPr>
                <w:i/>
                <w:iCs/>
                <w:sz w:val="19"/>
                <w:szCs w:val="19"/>
              </w:rPr>
            </w:pPr>
            <w:r>
              <w:rPr>
                <w:i/>
                <w:iCs/>
                <w:sz w:val="19"/>
                <w:szCs w:val="19"/>
              </w:rPr>
              <w:t>Evidence (Video and Audio Links Fees and Expenses) Amendment Regulations 2013</w:t>
            </w:r>
          </w:p>
        </w:tc>
        <w:tc>
          <w:tcPr>
            <w:tcW w:w="1276" w:type="dxa"/>
            <w:shd w:val="clear" w:color="auto" w:fill="auto"/>
          </w:tcPr>
          <w:p>
            <w:pPr>
              <w:pStyle w:val="nTable"/>
              <w:spacing w:after="40"/>
              <w:rPr>
                <w:sz w:val="19"/>
                <w:szCs w:val="19"/>
              </w:rPr>
            </w:pPr>
            <w:r>
              <w:rPr>
                <w:sz w:val="19"/>
                <w:szCs w:val="19"/>
              </w:rPr>
              <w:t>15 Nov 2013 p. 5256</w:t>
            </w:r>
          </w:p>
        </w:tc>
        <w:tc>
          <w:tcPr>
            <w:tcW w:w="2694" w:type="dxa"/>
            <w:shd w:val="clear" w:color="auto" w:fill="auto"/>
          </w:tcPr>
          <w:p>
            <w:pPr>
              <w:pStyle w:val="nTable"/>
              <w:spacing w:after="40"/>
              <w:rPr>
                <w:snapToGrid w:val="0"/>
                <w:sz w:val="19"/>
                <w:szCs w:val="19"/>
              </w:rPr>
            </w:pPr>
            <w:r>
              <w:rPr>
                <w:bCs/>
                <w:snapToGrid w:val="0"/>
                <w:sz w:val="19"/>
                <w:szCs w:val="19"/>
              </w:rPr>
              <w:t>r. 1 and 2: 15 Nov 2013 (see r. 2(a));</w:t>
            </w:r>
            <w:r>
              <w:rPr>
                <w:bCs/>
                <w:snapToGrid w:val="0"/>
                <w:sz w:val="19"/>
                <w:szCs w:val="19"/>
              </w:rPr>
              <w:br/>
              <w:t>Regulations other than r. 1 and 2: 16 Nov 2013 (see r. 2(b))</w:t>
            </w:r>
          </w:p>
        </w:tc>
      </w:tr>
      <w:tr>
        <w:trPr>
          <w:cantSplit/>
        </w:trPr>
        <w:tc>
          <w:tcPr>
            <w:tcW w:w="7088" w:type="dxa"/>
            <w:gridSpan w:val="3"/>
            <w:tcBorders>
              <w:bottom w:val="single" w:sz="8" w:space="0" w:color="auto"/>
            </w:tcBorders>
            <w:shd w:val="clear" w:color="auto" w:fill="auto"/>
          </w:tcPr>
          <w:p>
            <w:pPr>
              <w:pStyle w:val="nTable"/>
              <w:spacing w:after="40"/>
              <w:rPr>
                <w:bCs/>
                <w:snapToGrid w:val="0"/>
                <w:sz w:val="19"/>
                <w:szCs w:val="19"/>
              </w:rPr>
            </w:pPr>
            <w:r>
              <w:rPr>
                <w:b/>
                <w:bCs/>
                <w:sz w:val="19"/>
                <w:szCs w:val="19"/>
              </w:rPr>
              <w:t xml:space="preserve">Reprint 3: The </w:t>
            </w:r>
            <w:r>
              <w:rPr>
                <w:b/>
                <w:bCs/>
                <w:i/>
                <w:sz w:val="19"/>
                <w:szCs w:val="19"/>
              </w:rPr>
              <w:t>Evidence (Video and Audio Links Fees and Expenses) Regulations 1999</w:t>
            </w:r>
            <w:r>
              <w:rPr>
                <w:b/>
                <w:bCs/>
                <w:sz w:val="19"/>
                <w:szCs w:val="19"/>
              </w:rPr>
              <w:t xml:space="preserve"> as at 14 Feb 2014</w:t>
            </w:r>
            <w:r>
              <w:rPr>
                <w:sz w:val="19"/>
                <w:szCs w:val="19"/>
              </w:rPr>
              <w:t xml:space="preserve"> (includes amendments listed above)</w:t>
            </w:r>
          </w:p>
        </w:tc>
      </w:tr>
    </w:tbl>
    <w:p/>
    <w:p/>
    <w:p/>
    <w:p/>
    <w:p/>
    <w:p/>
    <w:p/>
    <w:p/>
    <w:p/>
    <w:p/>
    <w:p/>
    <w:p>
      <w:pPr>
        <w:spacing w:before="120"/>
      </w:pPr>
    </w:p>
    <w:p/>
    <w:p/>
    <w:p/>
    <w:p/>
    <w:p/>
    <w:p/>
    <w:p/>
    <w:p/>
    <w:p>
      <w:pPr>
        <w:sectPr>
          <w:headerReference w:type="even" r:id="rId33"/>
          <w:headerReference w:type="default" r:id="rId34"/>
          <w:footerReference w:type="default" r:id="rId35"/>
          <w:headerReference w:type="first" r:id="rId36"/>
          <w:pgSz w:w="11906" w:h="16838" w:code="9"/>
          <w:pgMar w:top="2376" w:right="2404" w:bottom="3544" w:left="2404" w:header="720" w:footer="3380" w:gutter="0"/>
          <w:cols w:space="720"/>
          <w:noEndnote/>
          <w:docGrid w:linePitch="326"/>
        </w:sectPr>
      </w:pPr>
    </w:p>
    <w:p/>
    <w:p>
      <w:pPr>
        <w:pBdr>
          <w:top w:val="double" w:sz="4" w:space="0" w:color="auto"/>
        </w:pBdr>
        <w:jc w:val="center"/>
        <w:rPr>
          <w:rFonts w:ascii="Arial" w:hAnsi="Arial" w:cs="Arial"/>
          <w:sz w:val="12"/>
        </w:rPr>
      </w:pPr>
      <w:r>
        <w:rPr>
          <w:rFonts w:ascii="Arial" w:hAnsi="Arial" w:cs="Arial"/>
          <w:sz w:val="12"/>
        </w:rPr>
        <w:t>By Authority: JOHN A. STRIJK, Government Printer</w:t>
      </w:r>
    </w:p>
    <w:sectPr>
      <w:headerReference w:type="even" r:id="rId37"/>
      <w:type w:val="continuous"/>
      <w:pgSz w:w="11906" w:h="16838" w:code="9"/>
      <w:pgMar w:top="851" w:right="2404" w:bottom="851" w:left="2404" w:header="851"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PageLeft"/>
      <w:tabs>
        <w:tab w:val="right" w:pos="7088"/>
      </w:tabs>
    </w:pPr>
    <w: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i</w:t>
    </w:r>
    <w:r>
      <w:rPr>
        <w:rStyle w:val="CharPageNo"/>
      </w:rPr>
      <w:fldChar w:fldCharType="end"/>
    </w:r>
    <w:r>
      <w:rPr>
        <w:rStyle w:val="CharPageNo"/>
      </w:rPr>
      <w:tab/>
    </w:r>
    <w:r>
      <w:t xml:space="preserve">Reprint </w:t>
    </w:r>
    <w:fldSimple w:instr=" DOCPROPERTY &quot;ReprintNo&quot; ">
      <w:r>
        <w:t>3</w:t>
      </w:r>
    </w:fldSimple>
  </w:p>
  <w:p>
    <w:pPr>
      <w:pStyle w:val="FooterPageLeft"/>
      <w:tabs>
        <w:tab w:val="right" w:pos="7088"/>
      </w:tabs>
      <w:rPr>
        <w:rFonts w:ascii="Times New Roman" w:hAnsi="Times New Roman"/>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3</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w:instrText>
    </w:r>
    <w:r>
      <w:rPr>
        <w:sz w:val="20"/>
      </w:rPr>
      <w:fldChar w:fldCharType="separate"/>
    </w:r>
    <w:r>
      <w:rPr>
        <w:sz w:val="20"/>
      </w:rPr>
      <w:t>3</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PageLeft"/>
      <w:tabs>
        <w:tab w:val="right" w:pos="7088"/>
      </w:tabs>
    </w:pPr>
    <w: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4</w:t>
    </w:r>
    <w:r>
      <w:rPr>
        <w:rStyle w:val="CharPageNo"/>
      </w:rPr>
      <w:fldChar w:fldCharType="end"/>
    </w:r>
    <w:r>
      <w:rPr>
        <w:rStyle w:val="CharPageNo"/>
      </w:rPr>
      <w:tab/>
    </w:r>
    <w:r>
      <w:t xml:space="preserve">Reprint </w:t>
    </w:r>
    <w:fldSimple w:instr=" DOCPROPERTY &quot;ReprintNo&quot; ">
      <w:r>
        <w:t>3</w:t>
      </w:r>
    </w:fldSimple>
  </w:p>
  <w:p>
    <w:pPr>
      <w:pStyle w:val="FooterPageLeft"/>
      <w:tabs>
        <w:tab w:val="right" w:pos="7088"/>
      </w:tabs>
      <w:rPr>
        <w:rFonts w:ascii="Times New Roman" w:hAnsi="Times New Roman"/>
        <w:sz w:val="16"/>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3</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w:instrText>
    </w:r>
    <w:r>
      <w:rPr>
        <w:sz w:val="20"/>
      </w:rPr>
      <w:fldChar w:fldCharType="separate"/>
    </w:r>
    <w:r>
      <w:rPr>
        <w:sz w:val="20"/>
      </w:rPr>
      <w:t>3</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Evidence (Video and Audio Links Fees and Expenses) Regulations 1999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Evidence (Video and Audio Links Fees and Expenses) Regulations 1999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Evidence (Video and Audio Links Fees and Expenses) Regulations 1999</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Evidence (Video and Audio Links Fees and Expenses) Regulations 1999</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Evidence (Video and Audio Links Fees and Expenses) Regulations 1999</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rPr>
              <w:noProof/>
            </w:rPr>
            <w:fldChar w:fldCharType="end"/>
          </w:r>
        </w:p>
      </w:tc>
      <w:tc>
        <w:tcPr>
          <w:tcW w:w="5768" w:type="dxa"/>
        </w:tcPr>
        <w:p>
          <w:pPr>
            <w:pStyle w:val="HeaderSectionRight"/>
            <w:ind w:right="17"/>
            <w:jc w:val="left"/>
            <w:rPr>
              <w:b w:val="0"/>
            </w:rPr>
          </w:pPr>
          <w:r>
            <w:rPr>
              <w:b w:val="0"/>
            </w:rPr>
            <w:fldChar w:fldCharType="begin"/>
          </w:r>
          <w:r>
            <w:rPr>
              <w:b w:val="0"/>
            </w:rPr>
            <w:instrText xml:space="preserve"> STYLEREF CharSchText </w:instrText>
          </w:r>
          <w:r>
            <w:rPr>
              <w:b w:val="0"/>
            </w:rPr>
            <w:fldChar w:fldCharType="end"/>
          </w: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Evidence (Video and Audio Links Fees and Expenses) Regulations 1999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it.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Evidence (Video and Audio Links Fees and Expenses) Regulations 1999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Evidence (Video and Audio Links Fees and Expenses) Regulations 1999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00CEE0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3C6536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79801C0"/>
    <w:lvl w:ilvl="0">
      <w:start w:val="1"/>
      <w:numFmt w:val="decimal"/>
      <w:pStyle w:val="ListNumber3"/>
      <w:lvlText w:val="%1."/>
      <w:lvlJc w:val="left"/>
      <w:pPr>
        <w:tabs>
          <w:tab w:val="num" w:pos="926"/>
        </w:tabs>
        <w:ind w:left="926" w:hanging="360"/>
      </w:pPr>
    </w:lvl>
  </w:abstractNum>
  <w:abstractNum w:abstractNumId="3">
    <w:nsid w:val="FFFFFF7F"/>
    <w:multiLevelType w:val="singleLevel"/>
    <w:tmpl w:val="A23C5B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3BE6F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DEE8A6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C207A9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6980B9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A26CCFE"/>
    <w:lvl w:ilvl="0">
      <w:start w:val="1"/>
      <w:numFmt w:val="decimal"/>
      <w:pStyle w:val="ListNumber"/>
      <w:lvlText w:val="%1."/>
      <w:lvlJc w:val="left"/>
      <w:pPr>
        <w:tabs>
          <w:tab w:val="num" w:pos="360"/>
        </w:tabs>
        <w:ind w:left="360" w:hanging="360"/>
      </w:pPr>
    </w:lvl>
  </w:abstractNum>
  <w:abstractNum w:abstractNumId="9">
    <w:nsid w:val="FFFFFF89"/>
    <w:multiLevelType w:val="singleLevel"/>
    <w:tmpl w:val="8580130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7BF0080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nsid w:val="3C2808C0"/>
    <w:multiLevelType w:val="singleLevel"/>
    <w:tmpl w:val="F0188AA0"/>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1"/>
  </w:num>
  <w:num w:numId="13">
    <w:abstractNumId w:val="1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228153002"/>
    <w:docVar w:name="WAFER_20131219103953" w:val="RemoveTocBookmarks,RemoveUnusedBookmarks,RemoveLanguageTags,UsedStyles,ResetPageSize"/>
    <w:docVar w:name="WAFER_20131219103953_GUID" w:val="2a3da9c5-d5e5-4b36-b36e-b480ab71ca84"/>
    <w:docVar w:name="WAFER_20131224085324" w:val="UpdateArrangement"/>
    <w:docVar w:name="WAFER_20131224085324_GUID" w:val="d9594626-3b5c-4c7b-b29e-3e12b57138c3"/>
    <w:docVar w:name="WAFER_20140207142458" w:val="RemoveTocBookmarks,RemoveUnusedBookmarks,RemoveLanguageTags,UsedStyles,RemoveTrackChanges"/>
    <w:docVar w:name="WAFER_20140207142458_GUID" w:val="b356371b-4b19-43ef-b6fd-eee491ddaed6"/>
    <w:docVar w:name="WAFER_20140207142519" w:val="RemoveTocBookmarks,RemoveLanguageTags,RemoveTrackChanges,RunningHeaders"/>
    <w:docVar w:name="WAFER_20140207142519_GUID" w:val="f274cb4e-2590-493f-ac88-f0e2ed451d2b"/>
    <w:docVar w:name="WAFER_20140228153002" w:val="RemoveTocBookmarks,RemoveLanguageTags,RemoveTrackChanges,RunningHeaders"/>
    <w:docVar w:name="WAFER_20140228153002_GUID" w:val="50c5745e-2ee6-4076-9c55-f5cb97d7c68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SClsNo">
    <w:name w:val="CharSClsNo"/>
    <w:basedOn w:val="DefaultParagraphFont"/>
    <w:rPr>
      <w:sz w:val="22"/>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CharSDivNo">
    <w:name w:val="CharSDivNo"/>
    <w:basedOn w:val="DefaultParagraphFont"/>
    <w:rPr>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r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yTableNAm">
    <w:name w:val="yTableNAm"/>
    <w:basedOn w:val="TableAm"/>
    <w:pPr>
      <w:tabs>
        <w:tab w:val="left" w:pos="567"/>
      </w:tabs>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SClsNo">
    <w:name w:val="CharSClsNo"/>
    <w:basedOn w:val="DefaultParagraphFont"/>
    <w:rPr>
      <w:sz w:val="22"/>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CharSDivNo">
    <w:name w:val="CharSDivNo"/>
    <w:basedOn w:val="DefaultParagraphFont"/>
    <w:rPr>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r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yTableNAm">
    <w:name w:val="yTableNAm"/>
    <w:basedOn w:val="TableAm"/>
    <w:pPr>
      <w:tabs>
        <w:tab w:val="left" w:pos="567"/>
      </w:tabs>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8.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header" Target="header1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9.xml"/><Relationship Id="rId36" Type="http://schemas.openxmlformats.org/officeDocument/2006/relationships/header" Target="header14.xml"/><Relationship Id="rId10" Type="http://schemas.openxmlformats.org/officeDocument/2006/relationships/oleObject" Target="embeddings/oleObject1.bin"/><Relationship Id="rId19" Type="http://schemas.openxmlformats.org/officeDocument/2006/relationships/footer" Target="footer4.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2.xml"/><Relationship Id="rId22" Type="http://schemas.openxmlformats.org/officeDocument/2006/relationships/image" Target="media/image3.png"/><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1631</Words>
  <Characters>7327</Characters>
  <Application>Microsoft Office Word</Application>
  <DocSecurity>0</DocSecurity>
  <Lines>305</Lines>
  <Paragraphs>162</Paragraphs>
  <ScaleCrop>false</ScaleCrop>
  <HeadingPairs>
    <vt:vector size="2" baseType="variant">
      <vt:variant>
        <vt:lpstr>Title</vt:lpstr>
      </vt:variant>
      <vt:variant>
        <vt:i4>1</vt:i4>
      </vt:variant>
    </vt:vector>
  </HeadingPairs>
  <TitlesOfParts>
    <vt:vector size="1" baseType="lpstr">
      <vt:lpstr>Drafting Template</vt:lpstr>
    </vt:vector>
  </TitlesOfParts>
  <Manager/>
  <Company/>
  <LinksUpToDate>false</LinksUpToDate>
  <CharactersWithSpaces>8796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(Video and Audio Links Fees and Expenses) Regulations 1999 - 03-00-00</dc:title>
  <dc:subject/>
  <dc:creator/>
  <cp:keywords/>
  <dc:description/>
  <cp:lastModifiedBy>svcMRProcess</cp:lastModifiedBy>
  <cp:revision>4</cp:revision>
  <cp:lastPrinted>2014-02-25T07:53:00Z</cp:lastPrinted>
  <dcterms:created xsi:type="dcterms:W3CDTF">2020-03-08T01:00:00Z</dcterms:created>
  <dcterms:modified xsi:type="dcterms:W3CDTF">2020-03-08T01:00:00Z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7 December 1999 pp.5995-6</vt:lpwstr>
  </property>
  <property fmtid="{D5CDD505-2E9C-101B-9397-08002B2CF9AE}" pid="3" name="CommencementDate">
    <vt:lpwstr>20140214</vt:lpwstr>
  </property>
  <property fmtid="{D5CDD505-2E9C-101B-9397-08002B2CF9AE}" pid="4" name="DocumentType">
    <vt:lpwstr>Reg</vt:lpwstr>
  </property>
  <property fmtid="{D5CDD505-2E9C-101B-9397-08002B2CF9AE}" pid="5" name="OwlsUID">
    <vt:i4>1191</vt:i4>
  </property>
  <property fmtid="{D5CDD505-2E9C-101B-9397-08002B2CF9AE}" pid="6" name="AsAtDate">
    <vt:lpwstr>14 Feb 2014</vt:lpwstr>
  </property>
  <property fmtid="{D5CDD505-2E9C-101B-9397-08002B2CF9AE}" pid="7" name="Suffix">
    <vt:lpwstr>03-00-00</vt:lpwstr>
  </property>
  <property fmtid="{D5CDD505-2E9C-101B-9397-08002B2CF9AE}" pid="8" name="ReprintNo">
    <vt:lpwstr>3</vt:lpwstr>
  </property>
  <property fmtid="{D5CDD505-2E9C-101B-9397-08002B2CF9AE}" pid="9" name="ReprintedAsAt">
    <vt:filetime>2014-02-13T16:00:00Z</vt:filetime>
  </property>
</Properties>
</file>