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1600" w:after="0"/>
      </w:pPr>
      <w:r>
        <w:rPr>
          <w:snapToGrid w:val="0"/>
        </w:rPr>
        <w:t>Environmental Protection Act 1986</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(Noise) Regulations 1997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ind w:left="567" w:right="575"/>
      </w:pPr>
      <w:r>
        <w:fldChar w:fldCharType="begin"/>
      </w:r>
      <w:r>
        <w:instrText xml:space="preserve"> STYLEREF "Name Of Act/Reg"</w:instrText>
      </w:r>
      <w:r>
        <w:fldChar w:fldCharType="separate"/>
      </w:r>
      <w:r>
        <w:rPr>
          <w:noProof/>
        </w:rPr>
        <w:t>Environmental Protection (Noise) Regulations 1997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_Toc381705930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Interpretation</w:t>
      </w:r>
      <w:r>
        <w:tab/>
      </w:r>
      <w:r>
        <w:fldChar w:fldCharType="begin"/>
      </w:r>
      <w:r>
        <w:instrText xml:space="preserve"> PAGEREF _Toc381705931 \h </w:instrText>
      </w:r>
      <w:r>
        <w:fldChar w:fldCharType="separate"/>
      </w:r>
      <w:r>
        <w:t>1</w:t>
      </w:r>
      <w:r>
        <w:fldChar w:fldCharType="end"/>
      </w:r>
    </w:p>
    <w:p>
      <w:pPr>
        <w:pStyle w:val="TOC8"/>
        <w:rPr>
          <w:rFonts w:asciiTheme="minorHAnsi" w:eastAsiaTheme="minorEastAsia" w:hAnsiTheme="minorHAnsi" w:cstheme="minorBidi"/>
          <w:szCs w:val="22"/>
        </w:rPr>
      </w:pPr>
      <w:r>
        <w:t>3.</w:t>
      </w:r>
      <w:r>
        <w:tab/>
        <w:t>Regulations do not apply to certain noise emissions</w:t>
      </w:r>
      <w:r>
        <w:tab/>
      </w:r>
      <w:r>
        <w:fldChar w:fldCharType="begin"/>
      </w:r>
      <w:r>
        <w:instrText xml:space="preserve"> PAGEREF _Toc381705932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Allowable noise emissions</w:t>
      </w:r>
    </w:p>
    <w:p>
      <w:pPr>
        <w:pStyle w:val="TOC4"/>
        <w:tabs>
          <w:tab w:val="right" w:leader="dot" w:pos="7086"/>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w:t>
      </w:r>
      <w:r>
        <w:rPr>
          <w:snapToGrid w:val="0"/>
        </w:rPr>
        <w:t xml:space="preserve">. </w:t>
      </w:r>
      <w:r>
        <w:rPr>
          <w:snapToGrid w:val="0"/>
        </w:rPr>
        <w:tab/>
        <w:t>General effect of this Part</w:t>
      </w:r>
      <w:r>
        <w:tab/>
      </w:r>
      <w:r>
        <w:fldChar w:fldCharType="begin"/>
      </w:r>
      <w:r>
        <w:instrText xml:space="preserve"> PAGEREF _Toc381705935 \h </w:instrText>
      </w:r>
      <w:r>
        <w:fldChar w:fldCharType="separate"/>
      </w:r>
      <w:r>
        <w:t>6</w:t>
      </w:r>
      <w:r>
        <w:fldChar w:fldCharType="end"/>
      </w:r>
    </w:p>
    <w:p>
      <w:pPr>
        <w:pStyle w:val="TOC8"/>
        <w:rPr>
          <w:rFonts w:asciiTheme="minorHAnsi" w:eastAsiaTheme="minorEastAsia" w:hAnsiTheme="minorHAnsi" w:cstheme="minorBidi"/>
          <w:szCs w:val="22"/>
        </w:rPr>
      </w:pPr>
      <w:r>
        <w:t>5.</w:t>
      </w:r>
      <w:r>
        <w:tab/>
        <w:t>Unreasonable noise</w:t>
      </w:r>
      <w:r>
        <w:tab/>
      </w:r>
      <w:r>
        <w:fldChar w:fldCharType="begin"/>
      </w:r>
      <w:r>
        <w:instrText xml:space="preserve"> PAGEREF _Toc381705936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Regulation of noise from public places</w:t>
      </w:r>
      <w:r>
        <w:tab/>
      </w:r>
      <w:r>
        <w:fldChar w:fldCharType="begin"/>
      </w:r>
      <w:r>
        <w:instrText xml:space="preserve"> PAGEREF _Toc381705937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Prescribed standard for noise emissions</w:t>
      </w:r>
      <w:r>
        <w:tab/>
      </w:r>
      <w:r>
        <w:fldChar w:fldCharType="begin"/>
      </w:r>
      <w:r>
        <w:instrText xml:space="preserve"> PAGEREF _Toc381705938 \h </w:instrText>
      </w:r>
      <w:r>
        <w:fldChar w:fldCharType="separate"/>
      </w:r>
      <w:r>
        <w:t>7</w:t>
      </w:r>
      <w:r>
        <w:fldChar w:fldCharType="end"/>
      </w:r>
    </w:p>
    <w:p>
      <w:pPr>
        <w:pStyle w:val="TOC8"/>
        <w:rPr>
          <w:rFonts w:asciiTheme="minorHAnsi" w:eastAsiaTheme="minorEastAsia" w:hAnsiTheme="minorHAnsi" w:cstheme="minorBidi"/>
          <w:szCs w:val="22"/>
        </w:rPr>
      </w:pPr>
      <w:r>
        <w:t>8.</w:t>
      </w:r>
      <w:r>
        <w:tab/>
        <w:t>Assigned levels</w:t>
      </w:r>
      <w:r>
        <w:tab/>
      </w:r>
      <w:r>
        <w:fldChar w:fldCharType="begin"/>
      </w:r>
      <w:r>
        <w:instrText xml:space="preserve"> PAGEREF _Toc381705939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Intrusive or dominant noise characteristics</w:t>
      </w:r>
      <w:r>
        <w:tab/>
      </w:r>
      <w:r>
        <w:fldChar w:fldCharType="begin"/>
      </w:r>
      <w:r>
        <w:instrText xml:space="preserve"> PAGEREF _Toc381705940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Non</w:t>
      </w:r>
      <w:r>
        <w:rPr>
          <w:snapToGrid w:val="0"/>
        </w:rPr>
        <w:noBreakHyphen/>
        <w:t>conforming uses and changes of zoning</w:t>
      </w:r>
      <w:r>
        <w:tab/>
      </w:r>
      <w:r>
        <w:fldChar w:fldCharType="begin"/>
      </w:r>
      <w:r>
        <w:instrText xml:space="preserve"> PAGEREF _Toc381705941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 — Various premises and activities</w:t>
      </w:r>
    </w:p>
    <w:p>
      <w:pPr>
        <w:pStyle w:val="TOC8"/>
        <w:rPr>
          <w:rFonts w:asciiTheme="minorHAnsi" w:eastAsiaTheme="minorEastAsia" w:hAnsiTheme="minorHAnsi" w:cstheme="minorBidi"/>
          <w:szCs w:val="22"/>
        </w:rPr>
      </w:pPr>
      <w:r>
        <w:t>11.</w:t>
      </w:r>
      <w:r>
        <w:tab/>
        <w:t>Airblast levels due to blasting</w:t>
      </w:r>
      <w:r>
        <w:tab/>
      </w:r>
      <w:r>
        <w:fldChar w:fldCharType="begin"/>
      </w:r>
      <w:r>
        <w:instrText xml:space="preserve"> PAGEREF _Toc381705943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Rural premises</w:t>
      </w:r>
      <w:r>
        <w:tab/>
      </w:r>
      <w:r>
        <w:fldChar w:fldCharType="begin"/>
      </w:r>
      <w:r>
        <w:instrText xml:space="preserve"> PAGEREF _Toc381705944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Construction sites</w:t>
      </w:r>
      <w:r>
        <w:tab/>
      </w:r>
      <w:r>
        <w:fldChar w:fldCharType="begin"/>
      </w:r>
      <w:r>
        <w:instrText xml:space="preserve"> PAGEREF _Toc381705945 \h </w:instrText>
      </w:r>
      <w:r>
        <w:fldChar w:fldCharType="separate"/>
      </w:r>
      <w:r>
        <w:t>20</w:t>
      </w:r>
      <w:r>
        <w:fldChar w:fldCharType="end"/>
      </w:r>
    </w:p>
    <w:p>
      <w:pPr>
        <w:pStyle w:val="TOC8"/>
        <w:rPr>
          <w:rFonts w:asciiTheme="minorHAnsi" w:eastAsiaTheme="minorEastAsia" w:hAnsiTheme="minorHAnsi" w:cstheme="minorBidi"/>
          <w:szCs w:val="22"/>
        </w:rPr>
      </w:pPr>
      <w:r>
        <w:t>14A.</w:t>
      </w:r>
      <w:r>
        <w:tab/>
        <w:t>Waste collection and other works</w:t>
      </w:r>
      <w:r>
        <w:tab/>
      </w:r>
      <w:r>
        <w:fldChar w:fldCharType="begin"/>
      </w:r>
      <w:r>
        <w:instrText xml:space="preserve"> PAGEREF _Toc381705946 \h </w:instrText>
      </w:r>
      <w:r>
        <w:fldChar w:fldCharType="separate"/>
      </w:r>
      <w:r>
        <w:t>24</w:t>
      </w:r>
      <w:r>
        <w:fldChar w:fldCharType="end"/>
      </w:r>
    </w:p>
    <w:p>
      <w:pPr>
        <w:pStyle w:val="TOC8"/>
        <w:rPr>
          <w:rFonts w:asciiTheme="minorHAnsi" w:eastAsiaTheme="minorEastAsia" w:hAnsiTheme="minorHAnsi" w:cstheme="minorBidi"/>
          <w:szCs w:val="22"/>
        </w:rPr>
      </w:pPr>
      <w:r>
        <w:t>14B.</w:t>
      </w:r>
      <w:r>
        <w:tab/>
        <w:t>Ancillary measures: waste collection and other works</w:t>
      </w:r>
      <w:r>
        <w:tab/>
      </w:r>
      <w:r>
        <w:fldChar w:fldCharType="begin"/>
      </w:r>
      <w:r>
        <w:instrText xml:space="preserve"> PAGEREF _Toc381705947 \h </w:instrText>
      </w:r>
      <w:r>
        <w:fldChar w:fldCharType="separate"/>
      </w:r>
      <w:r>
        <w:t>28</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Equipment used on residential premises</w:t>
      </w:r>
      <w:r>
        <w:tab/>
      </w:r>
      <w:r>
        <w:fldChar w:fldCharType="begin"/>
      </w:r>
      <w:r>
        <w:instrText xml:space="preserve"> PAGEREF _Toc381705948 \h </w:instrText>
      </w:r>
      <w:r>
        <w:fldChar w:fldCharType="separate"/>
      </w:r>
      <w:r>
        <w:t>28</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Bellringing and calls to worship</w:t>
      </w:r>
      <w:r>
        <w:tab/>
      </w:r>
      <w:r>
        <w:fldChar w:fldCharType="begin"/>
      </w:r>
      <w:r>
        <w:instrText xml:space="preserve"> PAGEREF _Toc381705949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3 — Motor sport venues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_Toc381705951 \h </w:instrText>
      </w:r>
      <w:r>
        <w:fldChar w:fldCharType="separate"/>
      </w:r>
      <w:r>
        <w:t>32</w:t>
      </w:r>
      <w:r>
        <w:fldChar w:fldCharType="end"/>
      </w:r>
    </w:p>
    <w:p>
      <w:pPr>
        <w:pStyle w:val="TOC8"/>
        <w:rPr>
          <w:rFonts w:asciiTheme="minorHAnsi" w:eastAsiaTheme="minorEastAsia" w:hAnsiTheme="minorHAnsi" w:cstheme="minorBidi"/>
          <w:szCs w:val="22"/>
        </w:rPr>
      </w:pPr>
      <w:r>
        <w:t>16AA.</w:t>
      </w:r>
      <w:r>
        <w:tab/>
        <w:t>Approval of noise management plan: motor sport venue</w:t>
      </w:r>
      <w:r>
        <w:tab/>
      </w:r>
      <w:r>
        <w:fldChar w:fldCharType="begin"/>
      </w:r>
      <w:r>
        <w:instrText xml:space="preserve"> PAGEREF _Toc381705952 \h </w:instrText>
      </w:r>
      <w:r>
        <w:fldChar w:fldCharType="separate"/>
      </w:r>
      <w:r>
        <w:t>33</w:t>
      </w:r>
      <w:r>
        <w:fldChar w:fldCharType="end"/>
      </w:r>
    </w:p>
    <w:p>
      <w:pPr>
        <w:pStyle w:val="TOC8"/>
        <w:rPr>
          <w:rFonts w:asciiTheme="minorHAnsi" w:eastAsiaTheme="minorEastAsia" w:hAnsiTheme="minorHAnsi" w:cstheme="minorBidi"/>
          <w:szCs w:val="22"/>
        </w:rPr>
      </w:pPr>
      <w:r>
        <w:t>16AB.</w:t>
      </w:r>
      <w:r>
        <w:tab/>
        <w:t>Ancillary measures: motor sport venue</w:t>
      </w:r>
      <w:r>
        <w:tab/>
      </w:r>
      <w:r>
        <w:fldChar w:fldCharType="begin"/>
      </w:r>
      <w:r>
        <w:instrText xml:space="preserve"> PAGEREF _Toc381705953 \h </w:instrText>
      </w:r>
      <w:r>
        <w:fldChar w:fldCharType="separate"/>
      </w:r>
      <w:r>
        <w:t>36</w:t>
      </w:r>
      <w:r>
        <w:fldChar w:fldCharType="end"/>
      </w:r>
    </w:p>
    <w:p>
      <w:pPr>
        <w:pStyle w:val="TOC8"/>
        <w:rPr>
          <w:rFonts w:asciiTheme="minorHAnsi" w:eastAsiaTheme="minorEastAsia" w:hAnsiTheme="minorHAnsi" w:cstheme="minorBidi"/>
          <w:szCs w:val="22"/>
        </w:rPr>
      </w:pPr>
      <w:r>
        <w:t>16AC.</w:t>
      </w:r>
      <w:r>
        <w:tab/>
        <w:t>Revocation of noise management plan for motor sport venue</w:t>
      </w:r>
      <w:r>
        <w:tab/>
      </w:r>
      <w:r>
        <w:fldChar w:fldCharType="begin"/>
      </w:r>
      <w:r>
        <w:instrText xml:space="preserve"> PAGEREF _Toc381705954 \h </w:instrText>
      </w:r>
      <w:r>
        <w:fldChar w:fldCharType="separate"/>
      </w:r>
      <w:r>
        <w:t>36</w:t>
      </w:r>
      <w:r>
        <w:fldChar w:fldCharType="end"/>
      </w:r>
    </w:p>
    <w:p>
      <w:pPr>
        <w:pStyle w:val="TOC8"/>
        <w:rPr>
          <w:rFonts w:asciiTheme="minorHAnsi" w:eastAsiaTheme="minorEastAsia" w:hAnsiTheme="minorHAnsi" w:cstheme="minorBidi"/>
          <w:szCs w:val="22"/>
        </w:rPr>
      </w:pPr>
      <w:r>
        <w:t>16AD.</w:t>
      </w:r>
      <w:r>
        <w:tab/>
        <w:t>Notice of appellable decision</w:t>
      </w:r>
      <w:r>
        <w:tab/>
      </w:r>
      <w:r>
        <w:fldChar w:fldCharType="begin"/>
      </w:r>
      <w:r>
        <w:instrText xml:space="preserve"> PAGEREF _Toc381705955 \h </w:instrText>
      </w:r>
      <w:r>
        <w:fldChar w:fldCharType="separate"/>
      </w:r>
      <w:r>
        <w:t>37</w:t>
      </w:r>
      <w:r>
        <w:fldChar w:fldCharType="end"/>
      </w:r>
    </w:p>
    <w:p>
      <w:pPr>
        <w:pStyle w:val="TOC8"/>
        <w:rPr>
          <w:rFonts w:asciiTheme="minorHAnsi" w:eastAsiaTheme="minorEastAsia" w:hAnsiTheme="minorHAnsi" w:cstheme="minorBidi"/>
          <w:szCs w:val="22"/>
        </w:rPr>
      </w:pPr>
      <w:r>
        <w:t>16AE.</w:t>
      </w:r>
      <w:r>
        <w:tab/>
        <w:t>Appeals against decisions in respect of noise management plan for motor sport venue</w:t>
      </w:r>
      <w:r>
        <w:tab/>
      </w:r>
      <w:r>
        <w:fldChar w:fldCharType="begin"/>
      </w:r>
      <w:r>
        <w:instrText xml:space="preserve"> PAGEREF _Toc381705956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4 — Shooting venues</w:t>
      </w:r>
    </w:p>
    <w:p>
      <w:pPr>
        <w:pStyle w:val="TOC8"/>
        <w:rPr>
          <w:rFonts w:asciiTheme="minorHAnsi" w:eastAsiaTheme="minorEastAsia" w:hAnsiTheme="minorHAnsi" w:cstheme="minorBidi"/>
          <w:szCs w:val="22"/>
        </w:rPr>
      </w:pPr>
      <w:r>
        <w:t>16B.</w:t>
      </w:r>
      <w:r>
        <w:tab/>
        <w:t>Terms used</w:t>
      </w:r>
      <w:r>
        <w:tab/>
      </w:r>
      <w:r>
        <w:fldChar w:fldCharType="begin"/>
      </w:r>
      <w:r>
        <w:instrText xml:space="preserve"> PAGEREF _Toc381705958 \h </w:instrText>
      </w:r>
      <w:r>
        <w:fldChar w:fldCharType="separate"/>
      </w:r>
      <w:r>
        <w:t>39</w:t>
      </w:r>
      <w:r>
        <w:fldChar w:fldCharType="end"/>
      </w:r>
    </w:p>
    <w:p>
      <w:pPr>
        <w:pStyle w:val="TOC8"/>
        <w:rPr>
          <w:rFonts w:asciiTheme="minorHAnsi" w:eastAsiaTheme="minorEastAsia" w:hAnsiTheme="minorHAnsi" w:cstheme="minorBidi"/>
          <w:szCs w:val="22"/>
        </w:rPr>
      </w:pPr>
      <w:r>
        <w:t>16BA.</w:t>
      </w:r>
      <w:r>
        <w:tab/>
        <w:t>Approval of noise management plan: shooting venue</w:t>
      </w:r>
      <w:r>
        <w:tab/>
      </w:r>
      <w:r>
        <w:fldChar w:fldCharType="begin"/>
      </w:r>
      <w:r>
        <w:instrText xml:space="preserve"> PAGEREF _Toc381705959 \h </w:instrText>
      </w:r>
      <w:r>
        <w:fldChar w:fldCharType="separate"/>
      </w:r>
      <w:r>
        <w:t>39</w:t>
      </w:r>
      <w:r>
        <w:fldChar w:fldCharType="end"/>
      </w:r>
    </w:p>
    <w:p>
      <w:pPr>
        <w:pStyle w:val="TOC8"/>
        <w:rPr>
          <w:rFonts w:asciiTheme="minorHAnsi" w:eastAsiaTheme="minorEastAsia" w:hAnsiTheme="minorHAnsi" w:cstheme="minorBidi"/>
          <w:szCs w:val="22"/>
        </w:rPr>
      </w:pPr>
      <w:r>
        <w:t>16BB.</w:t>
      </w:r>
      <w:r>
        <w:tab/>
        <w:t>Ancillary measures: shooting venue</w:t>
      </w:r>
      <w:r>
        <w:tab/>
      </w:r>
      <w:r>
        <w:fldChar w:fldCharType="begin"/>
      </w:r>
      <w:r>
        <w:instrText xml:space="preserve"> PAGEREF _Toc381705960 \h </w:instrText>
      </w:r>
      <w:r>
        <w:fldChar w:fldCharType="separate"/>
      </w:r>
      <w:r>
        <w:t>42</w:t>
      </w:r>
      <w:r>
        <w:fldChar w:fldCharType="end"/>
      </w:r>
    </w:p>
    <w:p>
      <w:pPr>
        <w:pStyle w:val="TOC8"/>
        <w:rPr>
          <w:rFonts w:asciiTheme="minorHAnsi" w:eastAsiaTheme="minorEastAsia" w:hAnsiTheme="minorHAnsi" w:cstheme="minorBidi"/>
          <w:szCs w:val="22"/>
        </w:rPr>
      </w:pPr>
      <w:r>
        <w:t>16BC.</w:t>
      </w:r>
      <w:r>
        <w:tab/>
        <w:t>Revocation of noise management plan for shooting venue</w:t>
      </w:r>
      <w:r>
        <w:tab/>
      </w:r>
      <w:r>
        <w:fldChar w:fldCharType="begin"/>
      </w:r>
      <w:r>
        <w:instrText xml:space="preserve"> PAGEREF _Toc381705961 \h </w:instrText>
      </w:r>
      <w:r>
        <w:fldChar w:fldCharType="separate"/>
      </w:r>
      <w:r>
        <w:t>42</w:t>
      </w:r>
      <w:r>
        <w:fldChar w:fldCharType="end"/>
      </w:r>
    </w:p>
    <w:p>
      <w:pPr>
        <w:pStyle w:val="TOC8"/>
        <w:rPr>
          <w:rFonts w:asciiTheme="minorHAnsi" w:eastAsiaTheme="minorEastAsia" w:hAnsiTheme="minorHAnsi" w:cstheme="minorBidi"/>
          <w:szCs w:val="22"/>
        </w:rPr>
      </w:pPr>
      <w:r>
        <w:t>16BD.</w:t>
      </w:r>
      <w:r>
        <w:tab/>
        <w:t>Notice of appellable decision</w:t>
      </w:r>
      <w:r>
        <w:tab/>
      </w:r>
      <w:r>
        <w:fldChar w:fldCharType="begin"/>
      </w:r>
      <w:r>
        <w:instrText xml:space="preserve"> PAGEREF _Toc381705962 \h </w:instrText>
      </w:r>
      <w:r>
        <w:fldChar w:fldCharType="separate"/>
      </w:r>
      <w:r>
        <w:t>44</w:t>
      </w:r>
      <w:r>
        <w:fldChar w:fldCharType="end"/>
      </w:r>
    </w:p>
    <w:p>
      <w:pPr>
        <w:pStyle w:val="TOC8"/>
        <w:rPr>
          <w:rFonts w:asciiTheme="minorHAnsi" w:eastAsiaTheme="minorEastAsia" w:hAnsiTheme="minorHAnsi" w:cstheme="minorBidi"/>
          <w:szCs w:val="22"/>
        </w:rPr>
      </w:pPr>
      <w:r>
        <w:t>16BE.</w:t>
      </w:r>
      <w:r>
        <w:tab/>
        <w:t>Appeals against decisions in respect of noise management plan for shooting venue</w:t>
      </w:r>
      <w:r>
        <w:tab/>
      </w:r>
      <w:r>
        <w:fldChar w:fldCharType="begin"/>
      </w:r>
      <w:r>
        <w:instrText xml:space="preserve"> PAGEREF _Toc381705963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5 — Community activities</w:t>
      </w:r>
    </w:p>
    <w:p>
      <w:pPr>
        <w:pStyle w:val="TOC8"/>
        <w:rPr>
          <w:rFonts w:asciiTheme="minorHAnsi" w:eastAsiaTheme="minorEastAsia" w:hAnsiTheme="minorHAnsi" w:cstheme="minorBidi"/>
          <w:szCs w:val="22"/>
        </w:rPr>
      </w:pPr>
      <w:r>
        <w:t>16</w:t>
      </w:r>
      <w:r>
        <w:rPr>
          <w:snapToGrid w:val="0"/>
        </w:rPr>
        <w:t xml:space="preserve">. </w:t>
      </w:r>
      <w:r>
        <w:rPr>
          <w:snapToGrid w:val="0"/>
        </w:rPr>
        <w:tab/>
        <w:t>Community noise</w:t>
      </w:r>
      <w:r>
        <w:tab/>
      </w:r>
      <w:r>
        <w:fldChar w:fldCharType="begin"/>
      </w:r>
      <w:r>
        <w:instrText xml:space="preserve"> PAGEREF _Toc381705965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6 — Where standard cannot reasonably be met</w:t>
      </w:r>
    </w:p>
    <w:p>
      <w:pPr>
        <w:pStyle w:val="TOC8"/>
        <w:rPr>
          <w:rFonts w:asciiTheme="minorHAnsi" w:eastAsiaTheme="minorEastAsia" w:hAnsiTheme="minorHAnsi" w:cstheme="minorBidi"/>
          <w:szCs w:val="22"/>
        </w:rPr>
      </w:pPr>
      <w:r>
        <w:t>17.</w:t>
      </w:r>
      <w:r>
        <w:tab/>
        <w:t>Approval to allow emission of noise to exceed or vary from standard: application and referral</w:t>
      </w:r>
      <w:r>
        <w:tab/>
      </w:r>
      <w:r>
        <w:fldChar w:fldCharType="begin"/>
      </w:r>
      <w:r>
        <w:instrText xml:space="preserve"> PAGEREF _Toc381705967 \h </w:instrText>
      </w:r>
      <w:r>
        <w:fldChar w:fldCharType="separate"/>
      </w:r>
      <w:r>
        <w:t>48</w:t>
      </w:r>
      <w:r>
        <w:fldChar w:fldCharType="end"/>
      </w:r>
    </w:p>
    <w:p>
      <w:pPr>
        <w:pStyle w:val="TOC8"/>
        <w:rPr>
          <w:rFonts w:asciiTheme="minorHAnsi" w:eastAsiaTheme="minorEastAsia" w:hAnsiTheme="minorHAnsi" w:cstheme="minorBidi"/>
          <w:szCs w:val="22"/>
        </w:rPr>
      </w:pPr>
      <w:r>
        <w:t>18A.</w:t>
      </w:r>
      <w:r>
        <w:tab/>
        <w:t>Assessment by CEO</w:t>
      </w:r>
      <w:r>
        <w:tab/>
      </w:r>
      <w:r>
        <w:fldChar w:fldCharType="begin"/>
      </w:r>
      <w:r>
        <w:instrText xml:space="preserve"> PAGEREF _Toc381705968 \h </w:instrText>
      </w:r>
      <w:r>
        <w:fldChar w:fldCharType="separate"/>
      </w:r>
      <w:r>
        <w:t>50</w:t>
      </w:r>
      <w:r>
        <w:fldChar w:fldCharType="end"/>
      </w:r>
    </w:p>
    <w:p>
      <w:pPr>
        <w:pStyle w:val="TOC8"/>
        <w:rPr>
          <w:rFonts w:asciiTheme="minorHAnsi" w:eastAsiaTheme="minorEastAsia" w:hAnsiTheme="minorHAnsi" w:cstheme="minorBidi"/>
          <w:szCs w:val="22"/>
        </w:rPr>
      </w:pPr>
      <w:r>
        <w:t>18B.</w:t>
      </w:r>
      <w:r>
        <w:tab/>
        <w:t>Decision by Minister</w:t>
      </w:r>
      <w:r>
        <w:tab/>
      </w:r>
      <w:r>
        <w:fldChar w:fldCharType="begin"/>
      </w:r>
      <w:r>
        <w:instrText xml:space="preserve"> PAGEREF _Toc381705969 \h </w:instrText>
      </w:r>
      <w:r>
        <w:fldChar w:fldCharType="separate"/>
      </w:r>
      <w:r>
        <w:t>52</w:t>
      </w:r>
      <w:r>
        <w:fldChar w:fldCharType="end"/>
      </w:r>
    </w:p>
    <w:p>
      <w:pPr>
        <w:pStyle w:val="TOC8"/>
        <w:rPr>
          <w:rFonts w:asciiTheme="minorHAnsi" w:eastAsiaTheme="minorEastAsia" w:hAnsiTheme="minorHAnsi" w:cstheme="minorBidi"/>
          <w:szCs w:val="22"/>
        </w:rPr>
      </w:pPr>
      <w:r>
        <w:t>18C.</w:t>
      </w:r>
      <w:r>
        <w:tab/>
        <w:t>Notification of approval, amendment or revocation</w:t>
      </w:r>
      <w:r>
        <w:tab/>
      </w:r>
      <w:r>
        <w:fldChar w:fldCharType="begin"/>
      </w:r>
      <w:r>
        <w:instrText xml:space="preserve"> PAGEREF _Toc381705970 \h </w:instrText>
      </w:r>
      <w:r>
        <w:fldChar w:fldCharType="separate"/>
      </w:r>
      <w:r>
        <w:t>52</w:t>
      </w:r>
      <w:r>
        <w:fldChar w:fldCharType="end"/>
      </w:r>
    </w:p>
    <w:p>
      <w:pPr>
        <w:pStyle w:val="TOC8"/>
        <w:rPr>
          <w:rFonts w:asciiTheme="minorHAnsi" w:eastAsiaTheme="minorEastAsia" w:hAnsiTheme="minorHAnsi" w:cstheme="minorBidi"/>
          <w:szCs w:val="22"/>
        </w:rPr>
      </w:pPr>
      <w:r>
        <w:t>18D.</w:t>
      </w:r>
      <w:r>
        <w:tab/>
        <w:t>Ancillary conditions</w:t>
      </w:r>
      <w:r>
        <w:tab/>
      </w:r>
      <w:r>
        <w:fldChar w:fldCharType="begin"/>
      </w:r>
      <w:r>
        <w:instrText xml:space="preserve"> PAGEREF _Toc381705971 \h </w:instrText>
      </w:r>
      <w:r>
        <w:fldChar w:fldCharType="separate"/>
      </w:r>
      <w:r>
        <w:t>52</w:t>
      </w:r>
      <w:r>
        <w:fldChar w:fldCharType="end"/>
      </w:r>
    </w:p>
    <w:p>
      <w:pPr>
        <w:pStyle w:val="TOC8"/>
        <w:rPr>
          <w:rFonts w:asciiTheme="minorHAnsi" w:eastAsiaTheme="minorEastAsia" w:hAnsiTheme="minorHAnsi" w:cstheme="minorBidi"/>
          <w:szCs w:val="22"/>
        </w:rPr>
      </w:pPr>
      <w:r>
        <w:t>18E.</w:t>
      </w:r>
      <w:r>
        <w:tab/>
        <w:t>Amendment or revocation of approval</w:t>
      </w:r>
      <w:r>
        <w:tab/>
      </w:r>
      <w:r>
        <w:fldChar w:fldCharType="begin"/>
      </w:r>
      <w:r>
        <w:instrText xml:space="preserve"> PAGEREF _Toc381705972 \h </w:instrText>
      </w:r>
      <w:r>
        <w:fldChar w:fldCharType="separate"/>
      </w:r>
      <w:r>
        <w:t>53</w:t>
      </w:r>
      <w:r>
        <w:fldChar w:fldCharType="end"/>
      </w:r>
    </w:p>
    <w:p>
      <w:pPr>
        <w:pStyle w:val="TOC8"/>
        <w:rPr>
          <w:rFonts w:asciiTheme="minorHAnsi" w:eastAsiaTheme="minorEastAsia" w:hAnsiTheme="minorHAnsi" w:cstheme="minorBidi"/>
          <w:szCs w:val="22"/>
        </w:rPr>
      </w:pPr>
      <w:r>
        <w:t>18F.</w:t>
      </w:r>
      <w:r>
        <w:tab/>
        <w:t>Effect of breach of condition or revocation of approval</w:t>
      </w:r>
      <w:r>
        <w:tab/>
      </w:r>
      <w:r>
        <w:fldChar w:fldCharType="begin"/>
      </w:r>
      <w:r>
        <w:instrText xml:space="preserve"> PAGEREF _Toc381705973 \h </w:instrText>
      </w:r>
      <w:r>
        <w:fldChar w:fldCharType="separate"/>
      </w:r>
      <w:r>
        <w:t>53</w:t>
      </w:r>
      <w:r>
        <w:fldChar w:fldCharType="end"/>
      </w:r>
    </w:p>
    <w:p>
      <w:pPr>
        <w:pStyle w:val="TOC8"/>
        <w:rPr>
          <w:rFonts w:asciiTheme="minorHAnsi" w:eastAsiaTheme="minorEastAsia" w:hAnsiTheme="minorHAnsi" w:cstheme="minorBidi"/>
          <w:szCs w:val="22"/>
        </w:rPr>
      </w:pPr>
      <w:r>
        <w:t>18G.</w:t>
      </w:r>
      <w:r>
        <w:tab/>
        <w:t>Noise monitoring fees</w:t>
      </w:r>
      <w:r>
        <w:tab/>
      </w:r>
      <w:r>
        <w:fldChar w:fldCharType="begin"/>
      </w:r>
      <w:r>
        <w:instrText xml:space="preserve"> PAGEREF _Toc381705974 \h </w:instrText>
      </w:r>
      <w:r>
        <w:fldChar w:fldCharType="separate"/>
      </w:r>
      <w:r>
        <w:t>54</w:t>
      </w:r>
      <w:r>
        <w:fldChar w:fldCharType="end"/>
      </w:r>
    </w:p>
    <w:p>
      <w:pPr>
        <w:pStyle w:val="TOC8"/>
        <w:rPr>
          <w:rFonts w:asciiTheme="minorHAnsi" w:eastAsiaTheme="minorEastAsia" w:hAnsiTheme="minorHAnsi" w:cstheme="minorBidi"/>
          <w:szCs w:val="22"/>
        </w:rPr>
      </w:pPr>
      <w:r>
        <w:t>18H.</w:t>
      </w:r>
      <w:r>
        <w:tab/>
        <w:t>Appeals against decisions under this Division</w:t>
      </w:r>
      <w:r>
        <w:tab/>
      </w:r>
      <w:r>
        <w:fldChar w:fldCharType="begin"/>
      </w:r>
      <w:r>
        <w:instrText xml:space="preserve"> PAGEREF _Toc381705975 \h </w:instrText>
      </w:r>
      <w:r>
        <w:fldChar w:fldCharType="separate"/>
      </w:r>
      <w:r>
        <w:t>54</w:t>
      </w:r>
      <w:r>
        <w:fldChar w:fldCharType="end"/>
      </w:r>
    </w:p>
    <w:p>
      <w:pPr>
        <w:pStyle w:val="TOC8"/>
        <w:rPr>
          <w:rFonts w:asciiTheme="minorHAnsi" w:eastAsiaTheme="minorEastAsia" w:hAnsiTheme="minorHAnsi" w:cstheme="minorBidi"/>
          <w:szCs w:val="22"/>
        </w:rPr>
      </w:pPr>
      <w:r>
        <w:t>18I.</w:t>
      </w:r>
      <w:r>
        <w:tab/>
        <w:t>Transitional provisions</w:t>
      </w:r>
      <w:r>
        <w:tab/>
      </w:r>
      <w:r>
        <w:fldChar w:fldCharType="begin"/>
      </w:r>
      <w:r>
        <w:instrText xml:space="preserve"> PAGEREF _Toc381705976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7 — Sporting, cultural and entertainment events</w:t>
      </w:r>
    </w:p>
    <w:p>
      <w:pPr>
        <w:pStyle w:val="TOC8"/>
        <w:rPr>
          <w:rFonts w:asciiTheme="minorHAnsi" w:eastAsiaTheme="minorEastAsia" w:hAnsiTheme="minorHAnsi" w:cstheme="minorBidi"/>
          <w:szCs w:val="22"/>
        </w:rPr>
      </w:pPr>
      <w:r>
        <w:t>18J.</w:t>
      </w:r>
      <w:r>
        <w:tab/>
        <w:t>Terms used</w:t>
      </w:r>
      <w:r>
        <w:tab/>
      </w:r>
      <w:r>
        <w:fldChar w:fldCharType="begin"/>
      </w:r>
      <w:r>
        <w:instrText xml:space="preserve"> PAGEREF _Toc381705978 \h </w:instrText>
      </w:r>
      <w:r>
        <w:fldChar w:fldCharType="separate"/>
      </w:r>
      <w:r>
        <w:t>56</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Approved sporting, cultural and entertainment events</w:t>
      </w:r>
      <w:r>
        <w:tab/>
      </w:r>
      <w:r>
        <w:fldChar w:fldCharType="begin"/>
      </w:r>
      <w:r>
        <w:instrText xml:space="preserve"> PAGEREF _Toc381705979 \h </w:instrText>
      </w:r>
      <w:r>
        <w:fldChar w:fldCharType="separate"/>
      </w:r>
      <w:r>
        <w:t>57</w:t>
      </w:r>
      <w:r>
        <w:fldChar w:fldCharType="end"/>
      </w:r>
    </w:p>
    <w:p>
      <w:pPr>
        <w:pStyle w:val="TOC8"/>
        <w:rPr>
          <w:rFonts w:asciiTheme="minorHAnsi" w:eastAsiaTheme="minorEastAsia" w:hAnsiTheme="minorHAnsi" w:cstheme="minorBidi"/>
          <w:szCs w:val="22"/>
        </w:rPr>
      </w:pPr>
      <w:r>
        <w:t>19A.</w:t>
      </w:r>
      <w:r>
        <w:tab/>
        <w:t>Ancillary conditions: approved events</w:t>
      </w:r>
      <w:r>
        <w:tab/>
      </w:r>
      <w:r>
        <w:fldChar w:fldCharType="begin"/>
      </w:r>
      <w:r>
        <w:instrText xml:space="preserve"> PAGEREF _Toc381705980 \h </w:instrText>
      </w:r>
      <w:r>
        <w:fldChar w:fldCharType="separate"/>
      </w:r>
      <w:r>
        <w:t>60</w:t>
      </w:r>
      <w:r>
        <w:fldChar w:fldCharType="end"/>
      </w:r>
    </w:p>
    <w:p>
      <w:pPr>
        <w:pStyle w:val="TOC8"/>
        <w:rPr>
          <w:rFonts w:asciiTheme="minorHAnsi" w:eastAsiaTheme="minorEastAsia" w:hAnsiTheme="minorHAnsi" w:cstheme="minorBidi"/>
          <w:szCs w:val="22"/>
        </w:rPr>
      </w:pPr>
      <w:r>
        <w:t>19B.</w:t>
      </w:r>
      <w:r>
        <w:tab/>
        <w:t>Approved venues for sporting, cultural or entertainment events</w:t>
      </w:r>
      <w:r>
        <w:tab/>
      </w:r>
      <w:r>
        <w:fldChar w:fldCharType="begin"/>
      </w:r>
      <w:r>
        <w:instrText xml:space="preserve"> PAGEREF _Toc381705981 \h </w:instrText>
      </w:r>
      <w:r>
        <w:fldChar w:fldCharType="separate"/>
      </w:r>
      <w:r>
        <w:t>61</w:t>
      </w:r>
      <w:r>
        <w:fldChar w:fldCharType="end"/>
      </w:r>
    </w:p>
    <w:p>
      <w:pPr>
        <w:pStyle w:val="TOC8"/>
        <w:rPr>
          <w:rFonts w:asciiTheme="minorHAnsi" w:eastAsiaTheme="minorEastAsia" w:hAnsiTheme="minorHAnsi" w:cstheme="minorBidi"/>
          <w:szCs w:val="22"/>
        </w:rPr>
      </w:pPr>
      <w:r>
        <w:t>19C.</w:t>
      </w:r>
      <w:r>
        <w:tab/>
        <w:t>Ancillary conditions: venue approval</w:t>
      </w:r>
      <w:r>
        <w:tab/>
      </w:r>
      <w:r>
        <w:fldChar w:fldCharType="begin"/>
      </w:r>
      <w:r>
        <w:instrText xml:space="preserve"> PAGEREF _Toc381705982 \h </w:instrText>
      </w:r>
      <w:r>
        <w:fldChar w:fldCharType="separate"/>
      </w:r>
      <w:r>
        <w:t>64</w:t>
      </w:r>
      <w:r>
        <w:fldChar w:fldCharType="end"/>
      </w:r>
    </w:p>
    <w:p>
      <w:pPr>
        <w:pStyle w:val="TOC8"/>
        <w:rPr>
          <w:rFonts w:asciiTheme="minorHAnsi" w:eastAsiaTheme="minorEastAsia" w:hAnsiTheme="minorHAnsi" w:cstheme="minorBidi"/>
          <w:szCs w:val="22"/>
        </w:rPr>
      </w:pPr>
      <w:r>
        <w:t>19D.</w:t>
      </w:r>
      <w:r>
        <w:tab/>
        <w:t>Notifiable event at approved venue</w:t>
      </w:r>
      <w:r>
        <w:tab/>
      </w:r>
      <w:r>
        <w:fldChar w:fldCharType="begin"/>
      </w:r>
      <w:r>
        <w:instrText xml:space="preserve"> PAGEREF _Toc381705983 \h </w:instrText>
      </w:r>
      <w:r>
        <w:fldChar w:fldCharType="separate"/>
      </w:r>
      <w:r>
        <w:t>65</w:t>
      </w:r>
      <w:r>
        <w:fldChar w:fldCharType="end"/>
      </w:r>
    </w:p>
    <w:p>
      <w:pPr>
        <w:pStyle w:val="TOC8"/>
        <w:rPr>
          <w:rFonts w:asciiTheme="minorHAnsi" w:eastAsiaTheme="minorEastAsia" w:hAnsiTheme="minorHAnsi" w:cstheme="minorBidi"/>
          <w:szCs w:val="22"/>
        </w:rPr>
      </w:pPr>
      <w:r>
        <w:t>19E.</w:t>
      </w:r>
      <w:r>
        <w:tab/>
        <w:t>Amendment or revocation of venue approval</w:t>
      </w:r>
      <w:r>
        <w:tab/>
      </w:r>
      <w:r>
        <w:fldChar w:fldCharType="begin"/>
      </w:r>
      <w:r>
        <w:instrText xml:space="preserve"> PAGEREF _Toc381705984 \h </w:instrText>
      </w:r>
      <w:r>
        <w:fldChar w:fldCharType="separate"/>
      </w:r>
      <w:r>
        <w:t>67</w:t>
      </w:r>
      <w:r>
        <w:fldChar w:fldCharType="end"/>
      </w:r>
    </w:p>
    <w:p>
      <w:pPr>
        <w:pStyle w:val="TOC8"/>
        <w:rPr>
          <w:rFonts w:asciiTheme="minorHAnsi" w:eastAsiaTheme="minorEastAsia" w:hAnsiTheme="minorHAnsi" w:cstheme="minorBidi"/>
          <w:szCs w:val="22"/>
        </w:rPr>
      </w:pPr>
      <w:r>
        <w:t>19F.</w:t>
      </w:r>
      <w:r>
        <w:tab/>
        <w:t>Notice of appellable decision</w:t>
      </w:r>
      <w:r>
        <w:tab/>
      </w:r>
      <w:r>
        <w:fldChar w:fldCharType="begin"/>
      </w:r>
      <w:r>
        <w:instrText xml:space="preserve"> PAGEREF _Toc381705985 \h </w:instrText>
      </w:r>
      <w:r>
        <w:fldChar w:fldCharType="separate"/>
      </w:r>
      <w:r>
        <w:t>68</w:t>
      </w:r>
      <w:r>
        <w:fldChar w:fldCharType="end"/>
      </w:r>
    </w:p>
    <w:p>
      <w:pPr>
        <w:pStyle w:val="TOC8"/>
        <w:rPr>
          <w:rFonts w:asciiTheme="minorHAnsi" w:eastAsiaTheme="minorEastAsia" w:hAnsiTheme="minorHAnsi" w:cstheme="minorBidi"/>
          <w:szCs w:val="22"/>
        </w:rPr>
      </w:pPr>
      <w:r>
        <w:t>19G.</w:t>
      </w:r>
      <w:r>
        <w:tab/>
        <w:t>Appeals against decisions under this Division</w:t>
      </w:r>
      <w:r>
        <w:tab/>
      </w:r>
      <w:r>
        <w:fldChar w:fldCharType="begin"/>
      </w:r>
      <w:r>
        <w:instrText xml:space="preserve"> PAGEREF _Toc381705986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3 — Noise measurement</w:t>
      </w:r>
    </w:p>
    <w:p>
      <w:pPr>
        <w:pStyle w:val="TOC8"/>
        <w:rPr>
          <w:rFonts w:asciiTheme="minorHAnsi" w:eastAsiaTheme="minorEastAsia" w:hAnsiTheme="minorHAnsi" w:cstheme="minorBidi"/>
          <w:szCs w:val="22"/>
        </w:rPr>
      </w:pPr>
      <w:r>
        <w:t>19</w:t>
      </w:r>
      <w:r>
        <w:rPr>
          <w:snapToGrid w:val="0"/>
        </w:rPr>
        <w:t xml:space="preserve">. </w:t>
      </w:r>
      <w:r>
        <w:rPr>
          <w:snapToGrid w:val="0"/>
        </w:rPr>
        <w:tab/>
        <w:t>Place of measurement of noise</w:t>
      </w:r>
      <w:r>
        <w:tab/>
      </w:r>
      <w:r>
        <w:fldChar w:fldCharType="begin"/>
      </w:r>
      <w:r>
        <w:instrText xml:space="preserve"> PAGEREF _Toc381705988 \h </w:instrText>
      </w:r>
      <w:r>
        <w:fldChar w:fldCharType="separate"/>
      </w:r>
      <w:r>
        <w:t>70</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Measurement of noise at premises</w:t>
      </w:r>
      <w:r>
        <w:tab/>
      </w:r>
      <w:r>
        <w:fldChar w:fldCharType="begin"/>
      </w:r>
      <w:r>
        <w:instrText xml:space="preserve"> PAGEREF _Toc381705989 \h </w:instrText>
      </w:r>
      <w:r>
        <w:fldChar w:fldCharType="separate"/>
      </w:r>
      <w:r>
        <w:t>71</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Measurement of airblast levels</w:t>
      </w:r>
      <w:r>
        <w:tab/>
      </w:r>
      <w:r>
        <w:fldChar w:fldCharType="begin"/>
      </w:r>
      <w:r>
        <w:instrText xml:space="preserve"> PAGEREF _Toc381705990 \h </w:instrText>
      </w:r>
      <w:r>
        <w:fldChar w:fldCharType="separate"/>
      </w:r>
      <w:r>
        <w:t>71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Sound measuring equipment must comply with Schedule 4</w:t>
      </w:r>
      <w:r>
        <w:tab/>
      </w:r>
      <w:r>
        <w:fldChar w:fldCharType="begin"/>
      </w:r>
      <w:r>
        <w:instrText xml:space="preserve"> PAGEREF _Toc381705991 \h </w:instrText>
      </w:r>
      <w:r>
        <w:fldChar w:fldCharType="separate"/>
      </w:r>
      <w:r>
        <w:t>72</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Calibration results to be available</w:t>
      </w:r>
      <w:r>
        <w:tab/>
      </w:r>
      <w:r>
        <w:fldChar w:fldCharType="begin"/>
      </w:r>
      <w:r>
        <w:instrText xml:space="preserve"> PAGEREF _Toc381705992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Schedule 1 — Classification of premises</w:t>
      </w:r>
    </w:p>
    <w:p>
      <w:pPr>
        <w:pStyle w:val="TOC2"/>
        <w:tabs>
          <w:tab w:val="right" w:leader="dot" w:pos="7086"/>
        </w:tabs>
        <w:rPr>
          <w:rFonts w:asciiTheme="minorHAnsi" w:eastAsiaTheme="minorEastAsia" w:hAnsiTheme="minorHAnsi" w:cstheme="minorBidi"/>
          <w:b w:val="0"/>
          <w:sz w:val="22"/>
          <w:szCs w:val="22"/>
        </w:rPr>
      </w:pPr>
      <w:r>
        <w:t>Schedule 2 — Community noise</w:t>
      </w:r>
    </w:p>
    <w:p>
      <w:pPr>
        <w:pStyle w:val="TOC2"/>
        <w:tabs>
          <w:tab w:val="right" w:leader="dot" w:pos="7086"/>
        </w:tabs>
        <w:rPr>
          <w:rFonts w:asciiTheme="minorHAnsi" w:eastAsiaTheme="minorEastAsia" w:hAnsiTheme="minorHAnsi" w:cstheme="minorBidi"/>
          <w:b w:val="0"/>
          <w:sz w:val="22"/>
          <w:szCs w:val="22"/>
        </w:rPr>
      </w:pPr>
      <w:r>
        <w:t>Schedule 3 — Determination of influencing factor on noise sensitive premises</w:t>
      </w:r>
    </w:p>
    <w:p>
      <w:pPr>
        <w:pStyle w:val="TOC8"/>
        <w:rPr>
          <w:rFonts w:asciiTheme="minorHAnsi" w:eastAsiaTheme="minorEastAsia" w:hAnsiTheme="minorHAnsi" w:cstheme="minorBidi"/>
          <w:szCs w:val="22"/>
        </w:rPr>
      </w:pPr>
      <w:r>
        <w:t>1</w:t>
      </w:r>
      <w:r>
        <w:rPr>
          <w:snapToGrid w:val="0"/>
        </w:rPr>
        <w:t xml:space="preserve">. </w:t>
      </w:r>
      <w:r>
        <w:rPr>
          <w:snapToGrid w:val="0"/>
        </w:rPr>
        <w:tab/>
        <w:t>Interpretation</w:t>
      </w:r>
      <w:r>
        <w:tab/>
      </w:r>
      <w:r>
        <w:fldChar w:fldCharType="begin"/>
      </w:r>
      <w:r>
        <w:instrText xml:space="preserve"> PAGEREF _Toc381705996 \h </w:instrText>
      </w:r>
      <w:r>
        <w:fldChar w:fldCharType="separate"/>
      </w:r>
      <w:r>
        <w:t>78</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Influencing factor</w:t>
      </w:r>
      <w:r>
        <w:tab/>
      </w:r>
      <w:r>
        <w:fldChar w:fldCharType="begin"/>
      </w:r>
      <w:r>
        <w:instrText xml:space="preserve"> PAGEREF _Toc381705997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Schedule 4 — Rules for sound measuring equipment</w:t>
      </w:r>
    </w:p>
    <w:p>
      <w:pPr>
        <w:pStyle w:val="TOC8"/>
        <w:rPr>
          <w:rFonts w:asciiTheme="minorHAnsi" w:eastAsiaTheme="minorEastAsia" w:hAnsiTheme="minorHAnsi" w:cstheme="minorBidi"/>
          <w:szCs w:val="22"/>
        </w:rPr>
      </w:pPr>
      <w:r>
        <w:t>1.</w:t>
      </w:r>
      <w:r>
        <w:tab/>
        <w:t>Sound measuring equipment</w:t>
      </w:r>
      <w:r>
        <w:tab/>
      </w:r>
      <w:r>
        <w:fldChar w:fldCharType="begin"/>
      </w:r>
      <w:r>
        <w:instrText xml:space="preserve"> PAGEREF _Toc381705999 \h </w:instrText>
      </w:r>
      <w:r>
        <w:fldChar w:fldCharType="separate"/>
      </w:r>
      <w:r>
        <w:t>83</w:t>
      </w:r>
      <w:r>
        <w:fldChar w:fldCharType="end"/>
      </w:r>
    </w:p>
    <w:p>
      <w:pPr>
        <w:pStyle w:val="TOC8"/>
        <w:rPr>
          <w:rFonts w:asciiTheme="minorHAnsi" w:eastAsiaTheme="minorEastAsia" w:hAnsiTheme="minorHAnsi" w:cstheme="minorBidi"/>
          <w:szCs w:val="22"/>
        </w:rPr>
      </w:pPr>
      <w:r>
        <w:t>2.</w:t>
      </w:r>
      <w:r>
        <w:tab/>
        <w:t>Calibration of sound measuring equipment</w:t>
      </w:r>
      <w:r>
        <w:tab/>
      </w:r>
      <w:r>
        <w:fldChar w:fldCharType="begin"/>
      </w:r>
      <w:r>
        <w:instrText xml:space="preserve"> PAGEREF _Toc381706000 \h </w:instrText>
      </w:r>
      <w:r>
        <w:fldChar w:fldCharType="separate"/>
      </w:r>
      <w:r>
        <w:t>83</w:t>
      </w:r>
      <w:r>
        <w:fldChar w:fldCharType="end"/>
      </w:r>
    </w:p>
    <w:p>
      <w:pPr>
        <w:pStyle w:val="TOC8"/>
        <w:rPr>
          <w:rFonts w:asciiTheme="minorHAnsi" w:eastAsiaTheme="minorEastAsia" w:hAnsiTheme="minorHAnsi" w:cstheme="minorBidi"/>
          <w:szCs w:val="22"/>
        </w:rPr>
      </w:pPr>
      <w:r>
        <w:t>3.</w:t>
      </w:r>
      <w:r>
        <w:tab/>
        <w:t>Field performance checks</w:t>
      </w:r>
      <w:r>
        <w:tab/>
      </w:r>
      <w:r>
        <w:fldChar w:fldCharType="begin"/>
      </w:r>
      <w:r>
        <w:instrText xml:space="preserve"> PAGEREF _Toc381706001 \h </w:instrText>
      </w:r>
      <w:r>
        <w:fldChar w:fldCharType="separate"/>
      </w:r>
      <w:r>
        <w:t>85</w:t>
      </w:r>
      <w:r>
        <w:fldChar w:fldCharType="end"/>
      </w:r>
    </w:p>
    <w:p>
      <w:pPr>
        <w:pStyle w:val="TOC8"/>
        <w:rPr>
          <w:rFonts w:asciiTheme="minorHAnsi" w:eastAsiaTheme="minorEastAsia" w:hAnsiTheme="minorHAnsi" w:cstheme="minorBidi"/>
          <w:szCs w:val="22"/>
        </w:rPr>
      </w:pPr>
      <w:r>
        <w:t>4.</w:t>
      </w:r>
      <w:r>
        <w:tab/>
        <w:t>Equipment</w:t>
      </w:r>
      <w:r>
        <w:rPr>
          <w:snapToGrid w:val="0"/>
        </w:rPr>
        <w:t xml:space="preserve"> used for measurement of airblast levels</w:t>
      </w:r>
      <w:r>
        <w:tab/>
      </w:r>
      <w:r>
        <w:fldChar w:fldCharType="begin"/>
      </w:r>
      <w:r>
        <w:instrText xml:space="preserve"> PAGEREF _Toc381706002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_Toc381706004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Environmental Protection Act 1986</w:t>
      </w:r>
    </w:p>
    <w:p>
      <w:pPr>
        <w:pStyle w:val="NameofActReg"/>
      </w:pPr>
      <w:r>
        <w:t>Environmental Protection (Noise) Regulations 1997</w:t>
      </w:r>
    </w:p>
    <w:p>
      <w:pPr>
        <w:pStyle w:val="Heading2"/>
        <w:pageBreakBefore w:val="0"/>
      </w:pPr>
      <w:bookmarkStart w:id="1" w:name="_Toc381705929"/>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1705930"/>
      <w:r>
        <w:rPr>
          <w:rStyle w:val="CharSectno"/>
        </w:rPr>
        <w:t>1</w:t>
      </w:r>
      <w:r>
        <w:rPr>
          <w:snapToGrid w:val="0"/>
        </w:rPr>
        <w:t xml:space="preserve">. </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vertAlign w:val="superscript"/>
        </w:rPr>
        <w:t> 1</w:t>
      </w:r>
      <w:r>
        <w:rPr>
          <w:snapToGrid w:val="0"/>
        </w:rPr>
        <w:t>.</w:t>
      </w:r>
    </w:p>
    <w:p>
      <w:pPr>
        <w:pStyle w:val="Heading5"/>
        <w:rPr>
          <w:snapToGrid w:val="0"/>
        </w:rPr>
      </w:pPr>
      <w:bookmarkStart w:id="3" w:name="_Toc381705931"/>
      <w:r>
        <w:rPr>
          <w:rStyle w:val="CharSectno"/>
        </w:rPr>
        <w:t>2</w:t>
      </w:r>
      <w:r>
        <w:rPr>
          <w:snapToGrid w:val="0"/>
        </w:rPr>
        <w:t xml:space="preserve">. </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bookmarkStart w:id="4" w:name="RuleErr_84"/>
      <w:bookmarkStart w:id="5" w:name="RuleErr_127"/>
      <w:r>
        <w:rPr>
          <w:rStyle w:val="CharDefText"/>
        </w:rPr>
        <w:t>assigned level</w:t>
      </w:r>
      <w:bookmarkEnd w:id="4"/>
      <w:bookmarkEnd w:id="5"/>
      <w:r>
        <w:t xml:space="preserve"> means a noise level determined under regulation 8;</w:t>
      </w:r>
    </w:p>
    <w:p>
      <w:pPr>
        <w:pStyle w:val="Defstart"/>
      </w:pPr>
      <w:r>
        <w:rPr>
          <w:b/>
        </w:rPr>
        <w:tab/>
      </w:r>
      <w:bookmarkStart w:id="6" w:name="RuleErr_85"/>
      <w:bookmarkStart w:id="7" w:name="RuleErr_128"/>
      <w:r>
        <w:rPr>
          <w:rStyle w:val="CharDefText"/>
        </w:rPr>
        <w:t>blasting</w:t>
      </w:r>
      <w:bookmarkEnd w:id="6"/>
      <w:bookmarkEnd w:id="7"/>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pPr>
      <w:r>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tab/>
        <w:t>(c)</w:t>
      </w:r>
      <w:r>
        <w:tab/>
        <w:t xml:space="preserve">a camping area as defined in the </w:t>
      </w:r>
      <w:r>
        <w:rPr>
          <w:i/>
        </w:rPr>
        <w:t>Conservation and Land Management Regulations 2002</w:t>
      </w:r>
      <w:r>
        <w:t xml:space="preserve"> regulation 2;</w:t>
      </w:r>
    </w:p>
    <w:p>
      <w:pPr>
        <w:pStyle w:val="Defstart"/>
        <w:keepNext/>
      </w:pPr>
      <w:r>
        <w:rPr>
          <w:b/>
        </w:rPr>
        <w:tab/>
      </w:r>
      <w:bookmarkStart w:id="8" w:name="RuleErr_87"/>
      <w:bookmarkStart w:id="9" w:name="RuleErr_130"/>
      <w:r>
        <w:rPr>
          <w:rStyle w:val="CharDefText"/>
        </w:rPr>
        <w:t>commercial premises</w:t>
      </w:r>
      <w:bookmarkEnd w:id="8"/>
      <w:bookmarkEnd w:id="9"/>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bookmarkStart w:id="10" w:name="RuleErr_88"/>
      <w:bookmarkStart w:id="11" w:name="RuleErr_131"/>
      <w:r>
        <w:rPr>
          <w:rStyle w:val="CharDefText"/>
        </w:rPr>
        <w:t>industrial and utility premises</w:t>
      </w:r>
      <w:bookmarkEnd w:id="10"/>
      <w:bookmarkEnd w:id="11"/>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bookmarkStart w:id="12" w:name="RuleErr_90"/>
      <w:bookmarkStart w:id="13" w:name="RuleErr_133"/>
      <w:r>
        <w:rPr>
          <w:rStyle w:val="CharDefText"/>
        </w:rPr>
        <w:t>local government</w:t>
      </w:r>
      <w:bookmarkEnd w:id="12"/>
      <w:bookmarkEnd w:id="13"/>
      <w:r>
        <w:t xml:space="preserve"> means a local government within the meaning of the </w:t>
      </w:r>
      <w:r>
        <w:rPr>
          <w:i/>
        </w:rPr>
        <w:t>Local Government Act 1995</w:t>
      </w:r>
      <w:r>
        <w:t>;</w:t>
      </w:r>
    </w:p>
    <w:p>
      <w:pPr>
        <w:pStyle w:val="Defstart"/>
      </w:pPr>
      <w:r>
        <w:rPr>
          <w:b/>
        </w:rPr>
        <w:tab/>
      </w:r>
      <w:bookmarkStart w:id="14" w:name="RuleErr_91"/>
      <w:bookmarkStart w:id="15" w:name="RuleErr_134"/>
      <w:r>
        <w:rPr>
          <w:rStyle w:val="CharDefText"/>
        </w:rPr>
        <w:t>measured</w:t>
      </w:r>
      <w:bookmarkEnd w:id="14"/>
      <w:bookmarkEnd w:id="15"/>
      <w:r>
        <w:t>, in relation to the measurement of a noise emission, means measured and adjusted in accordance with these regulations;</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tab/>
      </w:r>
      <w:r>
        <w:rPr>
          <w:rStyle w:val="CharDefText"/>
        </w:rPr>
        <w:t>noise sensitive purpose</w:t>
      </w:r>
      <w:r>
        <w:rPr>
          <w:rStyle w:val="CharDefText"/>
          <w:b w:val="0"/>
          <w:i w:val="0"/>
        </w:rPr>
        <w:t>, in relation to</w:t>
      </w:r>
      <w:r>
        <w:t xml:space="preserve">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bookmarkStart w:id="16" w:name="RuleErr_93"/>
      <w:bookmarkStart w:id="17" w:name="RuleErr_136"/>
      <w:r>
        <w:rPr>
          <w:rStyle w:val="CharDefText"/>
        </w:rPr>
        <w:t>public holiday</w:t>
      </w:r>
      <w:bookmarkEnd w:id="16"/>
      <w:bookmarkEnd w:id="17"/>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bookmarkStart w:id="18" w:name="RuleErr_94"/>
      <w:bookmarkStart w:id="19" w:name="RuleErr_137"/>
      <w:r>
        <w:rPr>
          <w:rStyle w:val="CharDefText"/>
        </w:rPr>
        <w:t>representative assessment period</w:t>
      </w:r>
      <w:bookmarkEnd w:id="18"/>
      <w:bookmarkEnd w:id="19"/>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bookmarkStart w:id="20" w:name="RuleErr_95"/>
      <w:bookmarkStart w:id="21" w:name="RuleErr_138"/>
      <w:r>
        <w:rPr>
          <w:rStyle w:val="CharDefText"/>
        </w:rPr>
        <w:t>rural premises</w:t>
      </w:r>
      <w:bookmarkEnd w:id="20"/>
      <w:bookmarkEnd w:id="21"/>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section 4(1).</w:t>
      </w:r>
    </w:p>
    <w:p>
      <w:pPr>
        <w:pStyle w:val="Subsection"/>
        <w:keepNext/>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Publication made in substitution for the publication specified in the regulation.</w:t>
      </w:r>
    </w:p>
    <w:p>
      <w:pPr>
        <w:pStyle w:val="Footnotesection"/>
      </w:pPr>
      <w:r>
        <w:tab/>
        <w:t>[Regulation 2 amended in Gazette 5 Dec 2013 p. 5647</w:t>
      </w:r>
      <w:r>
        <w:noBreakHyphen/>
        <w:t>9.]</w:t>
      </w:r>
    </w:p>
    <w:p>
      <w:pPr>
        <w:pStyle w:val="Heading5"/>
      </w:pPr>
      <w:bookmarkStart w:id="22" w:name="_Toc381705932"/>
      <w:r>
        <w:rPr>
          <w:rStyle w:val="CharSectno"/>
        </w:rPr>
        <w:t>3</w:t>
      </w:r>
      <w:r>
        <w:t>.</w:t>
      </w:r>
      <w:r>
        <w:tab/>
        <w:t>Regulations do not apply to certain noise emissions</w:t>
      </w:r>
      <w:bookmarkEnd w:id="22"/>
    </w:p>
    <w:p>
      <w:pPr>
        <w:pStyle w:val="Subsection"/>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centimetres);</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noise emissions —</w:t>
      </w:r>
    </w:p>
    <w:p>
      <w:pPr>
        <w:pStyle w:val="Indenti"/>
        <w:rPr>
          <w:snapToGrid w:val="0"/>
        </w:rPr>
      </w:pPr>
      <w:r>
        <w:rPr>
          <w:snapToGrid w:val="0"/>
        </w:rPr>
        <w:tab/>
        <w:t>(i)</w:t>
      </w:r>
      <w:r>
        <w:rPr>
          <w:snapToGrid w:val="0"/>
        </w:rPr>
        <w:tab/>
        <w:t>from a device for warning pedestrians installed at a pedestrian crossing on a road; or</w:t>
      </w:r>
    </w:p>
    <w:p>
      <w:pPr>
        <w:pStyle w:val="Indenti"/>
        <w:rPr>
          <w:snapToGrid w:val="0"/>
        </w:rPr>
      </w:pPr>
      <w:r>
        <w:rPr>
          <w:snapToGrid w:val="0"/>
        </w:rPr>
        <w:tab/>
        <w:t>(ii)</w:t>
      </w:r>
      <w:r>
        <w:rPr>
          <w:snapToGrid w:val="0"/>
        </w:rPr>
        <w:tab/>
        <w:t>from a device for warning of the passage of a train installed at a level crossing; or</w:t>
      </w:r>
    </w:p>
    <w:p>
      <w:pPr>
        <w:pStyle w:val="Indenti"/>
        <w:rPr>
          <w:snapToGrid w:val="0"/>
        </w:rPr>
      </w:pPr>
      <w:r>
        <w:rPr>
          <w:snapToGrid w:val="0"/>
        </w:rPr>
        <w:tab/>
        <w:t>(iii)</w:t>
      </w:r>
      <w:r>
        <w:rPr>
          <w:snapToGrid w:val="0"/>
        </w:rPr>
        <w:tab/>
        <w:t xml:space="preserve">from a safety warning device fitted to a building as a requirement of the Building Code as defined in the </w:t>
      </w:r>
      <w:r>
        <w:rPr>
          <w:i/>
          <w:snapToGrid w:val="0"/>
        </w:rPr>
        <w:t>Building Regulations 2012</w:t>
      </w:r>
      <w:r>
        <w:rPr>
          <w:snapToGrid w:val="0"/>
        </w:rPr>
        <w:t xml:space="preserve"> regulation 3; or</w:t>
      </w:r>
    </w:p>
    <w:p>
      <w:pPr>
        <w:pStyle w:val="Indenti"/>
        <w:rPr>
          <w:snapToGrid w:val="0"/>
        </w:rPr>
      </w:pPr>
      <w:r>
        <w:rPr>
          <w:snapToGrid w:val="0"/>
        </w:rPr>
        <w:tab/>
        <w:t>(iv)</w:t>
      </w:r>
      <w:r>
        <w:rPr>
          <w:snapToGrid w:val="0"/>
        </w:rPr>
        <w:tab/>
        <w:t xml:space="preserve">for the purpose of giving a warning required under the </w:t>
      </w:r>
      <w:r>
        <w:rPr>
          <w:i/>
          <w:snapToGrid w:val="0"/>
        </w:rPr>
        <w:t>Mines Safety and Inspection Regulations 1995</w:t>
      </w:r>
      <w:r>
        <w:rPr>
          <w:snapToGrid w:val="0"/>
        </w:rPr>
        <w:t xml:space="preserve"> regulation 8.26,</w:t>
      </w:r>
    </w:p>
    <w:p>
      <w:pPr>
        <w:pStyle w:val="Indenta"/>
      </w:pPr>
      <w:r>
        <w:tab/>
      </w:r>
      <w:r>
        <w:tab/>
        <w:t xml:space="preserve">if every reasonable and practicable measure has been taken to reduce the effect of the noise emission consistent with providing an audible warning to people; </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pPr>
      <w:r>
        <w:tab/>
        <w:t>(2)</w:t>
      </w:r>
      <w:r>
        <w:tab/>
        <w:t xml:space="preserve">In subregulation (1)(i) — </w:t>
      </w:r>
    </w:p>
    <w:p>
      <w:pPr>
        <w:pStyle w:val="Defstar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Footnotesection"/>
      </w:pPr>
      <w:r>
        <w:tab/>
        <w:t>[Regulation 3 inserted in Gazette 5 Dec 2013 p. 5649</w:t>
      </w:r>
      <w:r>
        <w:noBreakHyphen/>
        <w:t>51.]</w:t>
      </w:r>
    </w:p>
    <w:p>
      <w:pPr>
        <w:pStyle w:val="Heading2"/>
      </w:pPr>
      <w:bookmarkStart w:id="23" w:name="_Toc381705933"/>
      <w:r>
        <w:rPr>
          <w:rStyle w:val="CharPartNo"/>
        </w:rPr>
        <w:t>Part 2</w:t>
      </w:r>
      <w:r>
        <w:t> — </w:t>
      </w:r>
      <w:r>
        <w:rPr>
          <w:rStyle w:val="CharPartText"/>
        </w:rPr>
        <w:t>Allowable noise emissions</w:t>
      </w:r>
      <w:bookmarkEnd w:id="23"/>
      <w:r>
        <w:rPr>
          <w:rStyle w:val="CharPartText"/>
        </w:rPr>
        <w:t xml:space="preserve"> </w:t>
      </w:r>
    </w:p>
    <w:p>
      <w:pPr>
        <w:pStyle w:val="Heading3"/>
      </w:pPr>
      <w:bookmarkStart w:id="24" w:name="_Toc381705934"/>
      <w:r>
        <w:rPr>
          <w:rStyle w:val="CharDivNo"/>
        </w:rPr>
        <w:t>Division 1</w:t>
      </w:r>
      <w:r>
        <w:t> — </w:t>
      </w:r>
      <w:r>
        <w:rPr>
          <w:rStyle w:val="CharDivText"/>
        </w:rPr>
        <w:t>General provisions</w:t>
      </w:r>
      <w:bookmarkEnd w:id="24"/>
    </w:p>
    <w:p>
      <w:pPr>
        <w:pStyle w:val="Footnoteheading"/>
      </w:pPr>
      <w:r>
        <w:tab/>
        <w:t>[Heading inserted in Gazette 5 Dec 2013 p. 5651.]</w:t>
      </w:r>
    </w:p>
    <w:p>
      <w:pPr>
        <w:pStyle w:val="Heading5"/>
        <w:rPr>
          <w:snapToGrid w:val="0"/>
        </w:rPr>
      </w:pPr>
      <w:bookmarkStart w:id="25" w:name="_Toc381705935"/>
      <w:r>
        <w:rPr>
          <w:rStyle w:val="CharSectno"/>
        </w:rPr>
        <w:t>4</w:t>
      </w:r>
      <w:r>
        <w:rPr>
          <w:snapToGrid w:val="0"/>
        </w:rPr>
        <w:t xml:space="preserve">. </w:t>
      </w:r>
      <w:r>
        <w:rPr>
          <w:snapToGrid w:val="0"/>
        </w:rPr>
        <w:tab/>
        <w:t>General effect</w:t>
      </w:r>
      <w:bookmarkStart w:id="26" w:name="RuleErr_69"/>
      <w:r>
        <w:rPr>
          <w:snapToGrid w:val="0"/>
        </w:rPr>
        <w:t xml:space="preserve"> of this Part</w:t>
      </w:r>
      <w:bookmarkEnd w:id="26"/>
      <w:bookmarkEnd w:id="25"/>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“pollution”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in Gazette 7 Nov 2000 p. 6143; 5 Dec 2013 p. 5652.]</w:t>
      </w:r>
    </w:p>
    <w:p>
      <w:pPr>
        <w:pStyle w:val="Heading5"/>
      </w:pPr>
      <w:bookmarkStart w:id="27" w:name="_Toc381705936"/>
      <w:r>
        <w:rPr>
          <w:rStyle w:val="CharSectno"/>
        </w:rPr>
        <w:t>5</w:t>
      </w:r>
      <w:r>
        <w:t>.</w:t>
      </w:r>
      <w:r>
        <w:tab/>
        <w:t>Unreasonable noise</w:t>
      </w:r>
      <w:bookmarkEnd w:id="27"/>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tab/>
        <w:t>(b)</w:t>
      </w:r>
      <w:r>
        <w:rPr>
          <w:snapToGrid w:val="0"/>
        </w:rPr>
        <w:tab/>
        <w:t>the noise is emitted in accordance with an approval granted under regulation 18B, 18 or 19B.</w:t>
      </w:r>
    </w:p>
    <w:p>
      <w:pPr>
        <w:pStyle w:val="Footnotesection"/>
      </w:pPr>
      <w:r>
        <w:tab/>
        <w:t>[Regulation 5 inserted in Gazette 5 Dec 2013 p. 5652.]</w:t>
      </w:r>
    </w:p>
    <w:p>
      <w:pPr>
        <w:pStyle w:val="Heading5"/>
        <w:rPr>
          <w:snapToGrid w:val="0"/>
        </w:rPr>
      </w:pPr>
      <w:bookmarkStart w:id="28" w:name="_Toc381705937"/>
      <w:r>
        <w:rPr>
          <w:rStyle w:val="CharSectno"/>
        </w:rPr>
        <w:t>6</w:t>
      </w:r>
      <w:r>
        <w:rPr>
          <w:snapToGrid w:val="0"/>
        </w:rPr>
        <w:t xml:space="preserve">. </w:t>
      </w:r>
      <w:r>
        <w:rPr>
          <w:snapToGrid w:val="0"/>
        </w:rPr>
        <w:tab/>
        <w:t>Regulation of noise from public places</w:t>
      </w:r>
      <w:bookmarkEnd w:id="28"/>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in Gazette 11 Dec 1998 p. 6613; 7 Nov 2000 p. 6144; 5 Dec 2013 p. 5653.]</w:t>
      </w:r>
    </w:p>
    <w:p>
      <w:pPr>
        <w:pStyle w:val="Heading5"/>
        <w:rPr>
          <w:snapToGrid w:val="0"/>
        </w:rPr>
      </w:pPr>
      <w:bookmarkStart w:id="29" w:name="_Toc381705938"/>
      <w:r>
        <w:rPr>
          <w:rStyle w:val="CharSectno"/>
        </w:rPr>
        <w:t>7</w:t>
      </w:r>
      <w:r>
        <w:rPr>
          <w:snapToGrid w:val="0"/>
        </w:rPr>
        <w:t xml:space="preserve">. </w:t>
      </w:r>
      <w:r>
        <w:rPr>
          <w:snapToGrid w:val="0"/>
        </w:rPr>
        <w:tab/>
        <w:t>Prescribed standard for noise emissions</w:t>
      </w:r>
      <w:bookmarkEnd w:id="29"/>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tab/>
        <w:t>(b)</w:t>
      </w:r>
      <w:r>
        <w:rPr>
          <w:snapToGrid w:val="0"/>
        </w:rPr>
        <w:tab/>
        <w:t>must be free of — </w:t>
      </w:r>
    </w:p>
    <w:p>
      <w:pPr>
        <w:pStyle w:val="Indenti"/>
        <w:rPr>
          <w:snapToGrid w:val="0"/>
        </w:rPr>
      </w:pPr>
      <w:r>
        <w:rPr>
          <w:snapToGrid w:val="0"/>
        </w:rPr>
        <w:tab/>
        <w:t>(i)</w:t>
      </w:r>
      <w:r>
        <w:rPr>
          <w:snapToGrid w:val="0"/>
        </w:rPr>
        <w:tab/>
        <w:t>tonality;</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For the purposes of subregulation (1</w:t>
      </w:r>
      <w:bookmarkStart w:id="30" w:name="RuleErr_47"/>
      <w:r>
        <w:rPr>
          <w:snapToGrid w:val="0"/>
        </w:rPr>
        <w:t>)(</w:t>
      </w:r>
      <w:bookmarkEnd w:id="30"/>
      <w:r>
        <w:rPr>
          <w:snapToGrid w:val="0"/>
        </w:rPr>
        <w:t xml:space="preserve">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31" w:name="_Toc381705939"/>
      <w:r>
        <w:rPr>
          <w:rStyle w:val="CharSectno"/>
        </w:rPr>
        <w:t>8</w:t>
      </w:r>
      <w:r>
        <w:t>.</w:t>
      </w:r>
      <w:r>
        <w:tab/>
        <w:t>Assigned levels</w:t>
      </w:r>
      <w:bookmarkEnd w:id="31"/>
    </w:p>
    <w:p>
      <w:pPr>
        <w:pStyle w:val="Subsection"/>
      </w:pPr>
      <w:r>
        <w:tab/>
        <w:t>(1)</w:t>
      </w:r>
      <w:r>
        <w:tab/>
        <w:t xml:space="preserve">In this regulation — </w:t>
      </w:r>
    </w:p>
    <w:p>
      <w:pPr>
        <w:pStyle w:val="Defstart"/>
      </w:pPr>
      <w:r>
        <w:tab/>
      </w:r>
      <w:r>
        <w:rPr>
          <w:rStyle w:val="CharDefText"/>
        </w:rPr>
        <w:t xml:space="preserve">building </w:t>
      </w:r>
      <w:r>
        <w:t xml:space="preserve">includes a camp, caravan, or park home, as those terms are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smartTag w:uri="urn:schemas-microsoft-com:office:smarttags" w:element="place">
        <w:smartTag w:uri="urn:schemas-microsoft-com:office:smarttags" w:element="PlaceName">
          <w:r>
            <w:rPr>
              <w:i/>
              <w:snapToGrid/>
            </w:rPr>
            <w:t>Caravan</w:t>
          </w:r>
        </w:smartTag>
        <w:r>
          <w:rPr>
            <w:i/>
            <w:snapToGrid/>
          </w:rPr>
          <w:t xml:space="preserve"> </w:t>
        </w:r>
        <w:smartTag w:uri="urn:schemas-microsoft-com:office:smarttags" w:element="PlaceType">
          <w:r>
            <w:rPr>
              <w:i/>
              <w:snapToGrid/>
            </w:rPr>
            <w:t>Parks</w:t>
          </w:r>
        </w:smartTag>
      </w:smartTag>
      <w:r>
        <w:rPr>
          <w:i/>
          <w:snapToGrid/>
        </w:rPr>
        <w:t xml:space="preserve"> and Camping Grounds Regulations 1997</w:t>
      </w:r>
      <w:r>
        <w:rPr>
          <w:snapToGrid/>
        </w:rPr>
        <w:t xml:space="preserve"> </w:t>
      </w:r>
      <w:r>
        <w:t>regulation 11(2) or 12(2),</w:t>
      </w:r>
    </w:p>
    <w:p>
      <w:pPr>
        <w:pStyle w:val="Defstart"/>
      </w:pPr>
      <w:r>
        <w:tab/>
        <w:t>but does not include a veranda, patio, pergola, balcony or other similar outdoor area;</w:t>
      </w:r>
    </w:p>
    <w:p>
      <w:pPr>
        <w:pStyle w:val="Defstart"/>
        <w:keepNext/>
      </w:pPr>
      <w:r>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metres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in Gazette 5 Dec 2013 p. 5653</w:t>
      </w:r>
      <w:r>
        <w:noBreakHyphen/>
        <w:t>6.]</w:t>
      </w:r>
    </w:p>
    <w:p>
      <w:pPr>
        <w:pStyle w:val="Heading5"/>
        <w:rPr>
          <w:snapToGrid w:val="0"/>
        </w:rPr>
      </w:pPr>
      <w:bookmarkStart w:id="32" w:name="_Toc381705940"/>
      <w:r>
        <w:rPr>
          <w:rStyle w:val="CharSectno"/>
        </w:rPr>
        <w:t>9</w:t>
      </w:r>
      <w:r>
        <w:rPr>
          <w:snapToGrid w:val="0"/>
        </w:rPr>
        <w:t xml:space="preserve">. </w:t>
      </w:r>
      <w:r>
        <w:rPr>
          <w:snapToGrid w:val="0"/>
        </w:rPr>
        <w:tab/>
        <w:t>Intrusive or dominant noise characteristics</w:t>
      </w:r>
      <w:bookmarkEnd w:id="32"/>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bookmarkStart w:id="33" w:name="RuleErr_101"/>
      <w:bookmarkStart w:id="34" w:name="RuleErr_144"/>
      <w:r>
        <w:rPr>
          <w:rStyle w:val="CharDefText"/>
        </w:rPr>
        <w:t>impulsiveness</w:t>
      </w:r>
      <w:bookmarkEnd w:id="33"/>
      <w:bookmarkEnd w:id="34"/>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bookmarkStart w:id="35" w:name="RuleErr_102"/>
      <w:bookmarkStart w:id="36" w:name="RuleErr_145"/>
      <w:r>
        <w:rPr>
          <w:rStyle w:val="CharDefText"/>
        </w:rPr>
        <w:t>modulation</w:t>
      </w:r>
      <w:bookmarkEnd w:id="35"/>
      <w:bookmarkEnd w:id="36"/>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bookmarkStart w:id="37" w:name="RuleErr_103"/>
      <w:bookmarkStart w:id="38" w:name="RuleErr_146"/>
      <w:r>
        <w:rPr>
          <w:rStyle w:val="CharDefText"/>
        </w:rPr>
        <w:t>tonality</w:t>
      </w:r>
      <w:bookmarkEnd w:id="37"/>
      <w:bookmarkEnd w:id="38"/>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pPr>
      <w:r>
        <w:tab/>
        <w:t>(2)</w:t>
      </w:r>
      <w:r>
        <w:tab/>
        <w:t>In subregulation (1) —</w:t>
      </w:r>
    </w:p>
    <w:p>
      <w:pPr>
        <w:pStyle w:val="Defstart"/>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tab/>
        <w:t>(b)</w:t>
      </w:r>
      <w:r>
        <w:rPr>
          <w:snapToGrid w:val="0"/>
        </w:rPr>
        <w:tab/>
        <w:t>the noise emission complies with the standard prescribed under regulation </w:t>
      </w:r>
      <w:bookmarkStart w:id="39" w:name="RuleErr_24"/>
      <w:r>
        <w:rPr>
          <w:snapToGrid w:val="0"/>
        </w:rPr>
        <w:t>7(</w:t>
      </w:r>
      <w:bookmarkEnd w:id="39"/>
      <w:r>
        <w:rPr>
          <w:snapToGrid w:val="0"/>
        </w:rPr>
        <w:t>1</w:t>
      </w:r>
      <w:bookmarkStart w:id="40" w:name="RuleErr_48"/>
      <w:r>
        <w:rPr>
          <w:snapToGrid w:val="0"/>
        </w:rPr>
        <w:t>)(</w:t>
      </w:r>
      <w:bookmarkEnd w:id="40"/>
      <w:r>
        <w:rPr>
          <w:snapToGrid w:val="0"/>
        </w:rPr>
        <w:t xml:space="preserve">a) after the adjustments in the </w:t>
      </w:r>
      <w:bookmarkStart w:id="41" w:name="RuleErr_13"/>
      <w:r>
        <w:rPr>
          <w:snapToGrid w:val="0"/>
        </w:rPr>
        <w:t>table</w:t>
      </w:r>
      <w:bookmarkEnd w:id="41"/>
      <w:r>
        <w:rPr>
          <w:snapToGrid w:val="0"/>
        </w:rPr>
        <w:t xml:space="preserv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in Gazette 5 Dec 2013 p. 5656</w:t>
      </w:r>
      <w:r>
        <w:noBreakHyphen/>
        <w:t>7.]</w:t>
      </w:r>
    </w:p>
    <w:p>
      <w:pPr>
        <w:pStyle w:val="Heading5"/>
        <w:rPr>
          <w:snapToGrid w:val="0"/>
        </w:rPr>
      </w:pPr>
      <w:bookmarkStart w:id="42" w:name="_Toc381705941"/>
      <w:r>
        <w:rPr>
          <w:rStyle w:val="CharSectno"/>
        </w:rPr>
        <w:t>10</w:t>
      </w:r>
      <w:r>
        <w:rPr>
          <w:snapToGrid w:val="0"/>
        </w:rPr>
        <w:t xml:space="preserve">. </w:t>
      </w:r>
      <w:r>
        <w:rPr>
          <w:snapToGrid w:val="0"/>
        </w:rPr>
        <w:tab/>
        <w:t>Non</w:t>
      </w:r>
      <w:r>
        <w:rPr>
          <w:snapToGrid w:val="0"/>
        </w:rPr>
        <w:noBreakHyphen/>
        <w:t>conforming uses and changes of zoning</w:t>
      </w:r>
      <w:bookmarkEnd w:id="42"/>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metres of the </w:t>
      </w:r>
      <w:bookmarkStart w:id="43" w:name="RuleErr_72"/>
      <w:bookmarkStart w:id="44" w:name="RuleErr_77"/>
      <w:r>
        <w:rPr>
          <w:snapToGrid w:val="0"/>
        </w:rPr>
        <w:t>first</w:t>
      </w:r>
      <w:r>
        <w:rPr>
          <w:snapToGrid w:val="0"/>
        </w:rPr>
        <w:noBreakHyphen/>
        <w:t>mentioned</w:t>
      </w:r>
      <w:bookmarkEnd w:id="43"/>
      <w:bookmarkEnd w:id="44"/>
      <w:r>
        <w:rPr>
          <w:snapToGrid w:val="0"/>
        </w:rPr>
        <w:t xml:space="preserve">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tab/>
        <w:t>(3)</w:t>
      </w:r>
      <w:r>
        <w:rPr>
          <w:snapToGrid w:val="0"/>
        </w:rPr>
        <w:tab/>
        <w:t>Subject to subregulation (4), if a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metres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rPr>
          <w:snapToGrid w:val="0"/>
        </w:rPr>
      </w:pPr>
      <w:r>
        <w:rPr>
          <w:snapToGrid w:val="0"/>
        </w:rPr>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 xml:space="preserve">as the case requires; </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w:t>
      </w:r>
      <w:bookmarkStart w:id="45" w:name="RuleErr_49"/>
      <w:r>
        <w:rPr>
          <w:snapToGrid w:val="0"/>
        </w:rPr>
        <w:t>)(</w:t>
      </w:r>
      <w:bookmarkEnd w:id="45"/>
      <w:r>
        <w:rPr>
          <w:snapToGrid w:val="0"/>
        </w:rPr>
        <w:t>ii), as the case requires; and</w:t>
      </w:r>
    </w:p>
    <w:p>
      <w:pPr>
        <w:pStyle w:val="Indenti"/>
        <w:rPr>
          <w:snapToGrid w:val="0"/>
        </w:rPr>
      </w:pPr>
      <w:r>
        <w:rPr>
          <w:snapToGrid w:val="0"/>
        </w:rPr>
        <w:tab/>
        <w:t>(ii)</w:t>
      </w:r>
      <w:r>
        <w:rPr>
          <w:snapToGrid w:val="0"/>
        </w:rPr>
        <w:tab/>
        <w:t xml:space="preserve">if the claim is for </w:t>
      </w:r>
      <w:bookmarkStart w:id="46" w:name="RuleErr_78"/>
      <w:bookmarkStart w:id="47" w:name="RuleErr_71"/>
      <w:r>
        <w:rPr>
          <w:snapToGrid w:val="0"/>
        </w:rPr>
        <w:t>acknowledgm</w:t>
      </w:r>
      <w:bookmarkEnd w:id="46"/>
      <w:r>
        <w:rPr>
          <w:snapToGrid w:val="0"/>
        </w:rPr>
        <w:t>ent</w:t>
      </w:r>
      <w:bookmarkEnd w:id="47"/>
      <w:r>
        <w:rPr>
          <w:snapToGrid w:val="0"/>
        </w:rPr>
        <w:t xml:space="preserve"> that the premises are premises of a kind referred to in subregulation (5</w:t>
      </w:r>
      <w:bookmarkStart w:id="48" w:name="RuleErr_50"/>
      <w:r>
        <w:rPr>
          <w:snapToGrid w:val="0"/>
        </w:rPr>
        <w:t>)(</w:t>
      </w:r>
      <w:bookmarkEnd w:id="48"/>
      <w:r>
        <w:rPr>
          <w:snapToGrid w:val="0"/>
        </w:rPr>
        <w:t>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tab/>
        <w:t>(7)</w:t>
      </w:r>
      <w:r>
        <w:rPr>
          <w:snapToGrid w:val="0"/>
        </w:rPr>
        <w:tab/>
        <w:t>The statutory declarations referred to in subregulation (6</w:t>
      </w:r>
      <w:bookmarkStart w:id="49" w:name="RuleErr_51"/>
      <w:r>
        <w:rPr>
          <w:snapToGrid w:val="0"/>
        </w:rPr>
        <w:t>)(</w:t>
      </w:r>
      <w:bookmarkEnd w:id="49"/>
      <w:r>
        <w:rPr>
          <w:snapToGrid w:val="0"/>
        </w:rPr>
        <w:t>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 has effect as if it were an acknowledgment from the CEO.</w:t>
      </w:r>
    </w:p>
    <w:p>
      <w:pPr>
        <w:pStyle w:val="Footnotesection"/>
      </w:pPr>
      <w:r>
        <w:tab/>
        <w:t>[Regulation 10 amended in Gazette 5 Dec 2013 p. 5657</w:t>
      </w:r>
      <w:r>
        <w:noBreakHyphen/>
        <w:t>9.]</w:t>
      </w:r>
    </w:p>
    <w:p>
      <w:pPr>
        <w:pStyle w:val="Heading3"/>
      </w:pPr>
      <w:bookmarkStart w:id="50" w:name="_Toc381705942"/>
      <w:r>
        <w:rPr>
          <w:rStyle w:val="CharDivNo"/>
        </w:rPr>
        <w:t>Division 2</w:t>
      </w:r>
      <w:r>
        <w:t> — </w:t>
      </w:r>
      <w:r>
        <w:rPr>
          <w:rStyle w:val="CharDivText"/>
        </w:rPr>
        <w:t>Various premises and activities</w:t>
      </w:r>
      <w:bookmarkEnd w:id="50"/>
    </w:p>
    <w:p>
      <w:pPr>
        <w:pStyle w:val="Footnoteheading"/>
        <w:rPr>
          <w:snapToGrid w:val="0"/>
        </w:rPr>
      </w:pPr>
      <w:r>
        <w:tab/>
        <w:t>[Heading inserted in Gazette 5 Dec 2013 p. 5659.]</w:t>
      </w:r>
    </w:p>
    <w:p>
      <w:pPr>
        <w:pStyle w:val="Heading5"/>
      </w:pPr>
      <w:bookmarkStart w:id="51" w:name="_Toc371928034"/>
      <w:bookmarkStart w:id="52" w:name="_Toc381705943"/>
      <w:r>
        <w:rPr>
          <w:rStyle w:val="CharSectno"/>
        </w:rPr>
        <w:t>11</w:t>
      </w:r>
      <w:r>
        <w:t>.</w:t>
      </w:r>
      <w:r>
        <w:tab/>
        <w:t>Airblast levels due to blasting</w:t>
      </w:r>
      <w:bookmarkEnd w:id="51"/>
      <w:bookmarkEnd w:id="52"/>
    </w:p>
    <w:p>
      <w:pPr>
        <w:pStyle w:val="Subsection"/>
        <w:rPr>
          <w:snapToGrid w:val="0"/>
        </w:rPr>
      </w:pPr>
      <w:r>
        <w:rPr>
          <w:snapToGrid w:val="0"/>
        </w:rPr>
        <w:tab/>
        <w:t>(1)</w:t>
      </w:r>
      <w:r>
        <w:rPr>
          <w:snapToGrid w:val="0"/>
        </w:rPr>
        <w:tab/>
        <w:t>In this regulation — </w:t>
      </w:r>
    </w:p>
    <w:p>
      <w:pPr>
        <w:pStyle w:val="Defstart"/>
      </w:pPr>
      <w:r>
        <w:tab/>
      </w:r>
      <w:r>
        <w:rPr>
          <w:rStyle w:val="CharDefText"/>
        </w:rPr>
        <w:t>airblast level</w:t>
      </w:r>
      <w:r>
        <w:t xml:space="preserve"> means a noise level resulting from blasting;</w:t>
      </w:r>
    </w:p>
    <w:p>
      <w:pPr>
        <w:pStyle w:val="Defstart"/>
      </w:pPr>
      <w:r>
        <w:tab/>
      </w:r>
      <w:r>
        <w:rPr>
          <w:rStyle w:val="CharDefText"/>
        </w:rPr>
        <w:t>blaster</w:t>
      </w:r>
      <w:r>
        <w:t xml:space="preserve">, in relation to blasting on any premises or public place, means — </w:t>
      </w:r>
    </w:p>
    <w:p>
      <w:pPr>
        <w:pStyle w:val="Defpara"/>
      </w:pPr>
      <w:r>
        <w:tab/>
        <w:t>(a)</w:t>
      </w:r>
      <w:r>
        <w:tab/>
        <w:t>in the case of premises — the occupier of the premises; or</w:t>
      </w:r>
    </w:p>
    <w:p>
      <w:pPr>
        <w:pStyle w:val="Defpara"/>
      </w:pPr>
      <w:r>
        <w:tab/>
        <w:t>(b)</w:t>
      </w:r>
      <w:r>
        <w:tab/>
        <w:t>in the case of a public place — the person who under regulation 6(1)(b) is to be treated as the occupier of the public place;</w:t>
      </w:r>
    </w:p>
    <w:p>
      <w:pPr>
        <w:pStyle w:val="Defstart"/>
      </w:pPr>
      <w:r>
        <w:tab/>
      </w:r>
      <w:r>
        <w:rPr>
          <w:rStyle w:val="CharDefText"/>
        </w:rPr>
        <w:t>building</w:t>
      </w:r>
      <w:r>
        <w:t xml:space="preserve"> has the meaning given in regulation 8(1);</w:t>
      </w:r>
    </w:p>
    <w:p>
      <w:pPr>
        <w:pStyle w:val="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keepNext/>
      </w:pPr>
      <w:r>
        <w:tab/>
      </w:r>
      <w:r>
        <w:rPr>
          <w:rStyle w:val="CharDefText"/>
        </w:rPr>
        <w:t>sensitive site</w:t>
      </w:r>
      <w:r>
        <w:t xml:space="preserve">, in relation to noise sensitive premises, means — </w:t>
      </w:r>
    </w:p>
    <w:p>
      <w:pPr>
        <w:pStyle w:val="Defpara"/>
      </w:pPr>
      <w:r>
        <w:tab/>
        <w:t>(a)</w:t>
      </w:r>
      <w:r>
        <w:tab/>
        <w:t>a building, or a part of a building, on the premises that is used for a noise sensitive purpose; or</w:t>
      </w:r>
    </w:p>
    <w:p>
      <w:pPr>
        <w:pStyle w:val="Defpara"/>
      </w:pPr>
      <w:r>
        <w:tab/>
        <w:t>(b)</w:t>
      </w:r>
      <w:r>
        <w:tab/>
        <w:t>any other location on the premises within 30 metres of that building or that part of the building.</w:t>
      </w:r>
    </w:p>
    <w:p>
      <w:pPr>
        <w:pStyle w:val="Subsection"/>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Health Act 1911</w:t>
      </w:r>
      <w:r>
        <w:t xml:space="preserve"> 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provisions of this regulation have effect in relation to airblast levels in place of regulation 7.</w:t>
      </w:r>
    </w:p>
    <w:p>
      <w:pPr>
        <w:pStyle w:val="Subsection"/>
      </w:pPr>
      <w:r>
        <w:tab/>
        <w:t>(4)</w:t>
      </w:r>
      <w:r>
        <w:tab/>
        <w:t xml:space="preserve">Subject to subregulation (5), no airblast level resulting from blasting on any premises or public place, when received at any other premises between </w:t>
      </w:r>
      <w:r>
        <w:rPr>
          <w:snapToGrid w:val="0"/>
        </w:rPr>
        <w:t>0700 hours and 1800 hours on any day</w:t>
      </w:r>
      <w:r>
        <w:t xml:space="preserve">, may exceed — </w:t>
      </w:r>
    </w:p>
    <w:p>
      <w:pPr>
        <w:pStyle w:val="Indenta"/>
      </w:pPr>
      <w:r>
        <w:tab/>
        <w:t>(a)</w:t>
      </w:r>
      <w:r>
        <w:tab/>
        <w:t xml:space="preserve">for an airblast level received at noise sensitive premises — </w:t>
      </w:r>
    </w:p>
    <w:p>
      <w:pPr>
        <w:pStyle w:val="Indenti"/>
        <w:rPr>
          <w:snapToGrid w:val="0"/>
        </w:rPr>
      </w:pPr>
      <w:r>
        <w:tab/>
        <w:t>(i)</w:t>
      </w:r>
      <w:r>
        <w:tab/>
        <w:t xml:space="preserve">when received at a sensitive site — </w:t>
      </w:r>
      <w:r>
        <w:rPr>
          <w:snapToGrid w:val="0"/>
        </w:rPr>
        <w:t>120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Subsection"/>
        <w:rPr>
          <w:snapToGrid w:val="0"/>
        </w:rPr>
      </w:pPr>
      <w:r>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p>
    <w:p>
      <w:pPr>
        <w:pStyle w:val="Indenta"/>
      </w:pPr>
      <w:r>
        <w:tab/>
        <w:t>(a)</w:t>
      </w:r>
      <w:r>
        <w:tab/>
        <w:t xml:space="preserve">for airblast levels received at noise sensitive premises — </w:t>
      </w:r>
    </w:p>
    <w:p>
      <w:pPr>
        <w:pStyle w:val="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Subsection"/>
      </w:pPr>
      <w:r>
        <w:tab/>
        <w:t>(7)</w:t>
      </w:r>
      <w:r>
        <w:tab/>
        <w: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t>
      </w:r>
    </w:p>
    <w:p>
      <w:pPr>
        <w:pStyle w:val="Subsection"/>
        <w:rPr>
          <w:snapToGrid w:val="0"/>
        </w:rPr>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out in accordance with the </w:t>
      </w:r>
      <w:r>
        <w:rPr>
          <w:i/>
          <w:snapToGrid w:val="0"/>
        </w:rPr>
        <w:t>Mines Safety and Inspection Regulations 1995</w:t>
      </w:r>
      <w:r>
        <w:rPr>
          <w:snapToGrid w:val="0"/>
        </w:rPr>
        <w:t xml:space="preserve"> regulation 8.28(4).</w:t>
      </w:r>
    </w:p>
    <w:p>
      <w:pPr>
        <w:pStyle w:val="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Subsection"/>
        <w:rPr>
          <w:snapToGrid w:val="0"/>
        </w:rPr>
      </w:pPr>
      <w:r>
        <w:tab/>
        <w:t>(10)</w:t>
      </w:r>
      <w:r>
        <w:tab/>
        <w:t xml:space="preserve">Where blasting is carried out in accordance with the </w:t>
      </w:r>
      <w:r>
        <w:rPr>
          <w:i/>
          <w:snapToGrid w:val="0"/>
        </w:rPr>
        <w:t>Mines Safety and Inspection Regulations 1995</w:t>
      </w:r>
      <w:r>
        <w:rPr>
          <w:snapToGrid w:val="0"/>
        </w:rPr>
        <w:t xml:space="preserve"> regulation 8.28(4) outside the periods between 0700 hours and 1800 hours on any day — </w:t>
      </w:r>
    </w:p>
    <w:p>
      <w:pPr>
        <w:pStyle w:val="Indenta"/>
        <w:rPr>
          <w:snapToGrid w:val="0"/>
        </w:rPr>
      </w:pPr>
      <w:r>
        <w:rPr>
          <w:snapToGrid w:val="0"/>
        </w:rPr>
        <w:tab/>
        <w:t>(a)</w:t>
      </w:r>
      <w:r>
        <w:rPr>
          <w:snapToGrid w:val="0"/>
        </w:rPr>
        <w:tab/>
        <w:t>the blasting is taken to be carried out between 0700 hours and 1800 hours; and</w:t>
      </w:r>
    </w:p>
    <w:p>
      <w:pPr>
        <w:pStyle w:val="Indenta"/>
      </w:pPr>
      <w:r>
        <w:rPr>
          <w:snapToGrid w:val="0"/>
        </w:rPr>
        <w:tab/>
        <w:t>(b)</w:t>
      </w:r>
      <w:r>
        <w:rPr>
          <w:snapToGrid w:val="0"/>
        </w:rPr>
        <w:tab/>
        <w:t>subregulations (4), (5), (6) and (7) apply accordingly.</w:t>
      </w:r>
    </w:p>
    <w:p>
      <w:pPr>
        <w:pStyle w:val="Subsection"/>
      </w:pPr>
      <w:r>
        <w:tab/>
        <w:t>(11)</w:t>
      </w:r>
      <w:r>
        <w:tab/>
        <w:t xml:space="preserve">For the purposes of this regulation, an airblast level may be determined by — </w:t>
      </w:r>
    </w:p>
    <w:p>
      <w:pPr>
        <w:pStyle w:val="Indenta"/>
      </w:pPr>
      <w:r>
        <w:tab/>
        <w:t>(a)</w:t>
      </w:r>
      <w:r>
        <w:tab/>
        <w:t>measurement at its point of reception when, to the extent practicable, other noises that would contribute to the measured airblast level are not present; or</w:t>
      </w:r>
    </w:p>
    <w:p>
      <w:pPr>
        <w:pStyle w:val="Indenta"/>
      </w:pPr>
      <w:r>
        <w:tab/>
        <w:t>(b)</w:t>
      </w:r>
      <w:r>
        <w:tab/>
        <w: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t>
      </w:r>
    </w:p>
    <w:p>
      <w:pPr>
        <w:pStyle w:val="Footnotesection"/>
      </w:pPr>
      <w:r>
        <w:tab/>
        <w:t>[Regulation 11 inserted in Gazette 5 Dec 2013 p. 5659</w:t>
      </w:r>
      <w:r>
        <w:noBreakHyphen/>
        <w:t>63.]</w:t>
      </w:r>
    </w:p>
    <w:p>
      <w:pPr>
        <w:pStyle w:val="Heading5"/>
        <w:rPr>
          <w:snapToGrid w:val="0"/>
        </w:rPr>
      </w:pPr>
      <w:bookmarkStart w:id="53" w:name="_Toc381705944"/>
      <w:r>
        <w:rPr>
          <w:rStyle w:val="CharSectno"/>
        </w:rPr>
        <w:t>12</w:t>
      </w:r>
      <w:r>
        <w:rPr>
          <w:snapToGrid w:val="0"/>
        </w:rPr>
        <w:t xml:space="preserve">. </w:t>
      </w:r>
      <w:r>
        <w:rPr>
          <w:snapToGrid w:val="0"/>
        </w:rPr>
        <w:tab/>
        <w:t>Rural premises</w:t>
      </w:r>
      <w:bookmarkEnd w:id="5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54" w:name="RuleErr_113"/>
      <w:bookmarkStart w:id="55" w:name="RuleErr_156"/>
      <w:r>
        <w:rPr>
          <w:rStyle w:val="CharDefText"/>
        </w:rPr>
        <w:t>farming vehicle</w:t>
      </w:r>
      <w:bookmarkEnd w:id="54"/>
      <w:bookmarkEnd w:id="55"/>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spacing w:before="120"/>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spacing w:before="120"/>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spacing w:before="120"/>
        <w:rPr>
          <w:snapToGrid w:val="0"/>
        </w:rPr>
      </w:pPr>
      <w:r>
        <w:rPr>
          <w:snapToGrid w:val="0"/>
        </w:rPr>
        <w:tab/>
        <w:t>(5)</w:t>
      </w:r>
      <w:r>
        <w:rPr>
          <w:snapToGrid w:val="0"/>
        </w:rPr>
        <w:tab/>
        <w:t>A farming vehicle complies with this subregulation if the occupier of the premises shows that the vehicle, including its noise reduction system, has been maintained to a reasonable standard.</w:t>
      </w:r>
    </w:p>
    <w:p>
      <w:pPr>
        <w:pStyle w:val="Footnotesection"/>
      </w:pPr>
      <w:r>
        <w:tab/>
        <w:t>[Regulation 12 amended in Gazette 5 Dec 2013 p. 5663.]</w:t>
      </w:r>
    </w:p>
    <w:p>
      <w:pPr>
        <w:pStyle w:val="Heading5"/>
        <w:rPr>
          <w:snapToGrid w:val="0"/>
        </w:rPr>
      </w:pPr>
      <w:bookmarkStart w:id="56" w:name="_Toc381705945"/>
      <w:r>
        <w:rPr>
          <w:rStyle w:val="CharSectno"/>
        </w:rPr>
        <w:t>13</w:t>
      </w:r>
      <w:r>
        <w:rPr>
          <w:snapToGrid w:val="0"/>
        </w:rPr>
        <w:t xml:space="preserve">. </w:t>
      </w:r>
      <w:r>
        <w:rPr>
          <w:snapToGrid w:val="0"/>
        </w:rPr>
        <w:tab/>
        <w:t>Construction sites</w:t>
      </w:r>
      <w:bookmarkEnd w:id="56"/>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bookmarkStart w:id="57" w:name="RuleErr_114"/>
      <w:bookmarkStart w:id="58" w:name="RuleErr_157"/>
      <w:r>
        <w:rPr>
          <w:rStyle w:val="CharDefText"/>
        </w:rPr>
        <w:t>construction site</w:t>
      </w:r>
      <w:bookmarkEnd w:id="57"/>
      <w:bookmarkEnd w:id="58"/>
      <w:r>
        <w:t xml:space="preserve"> means premises or a public place on which the sole or principal activity is the carrying out of construction work;</w:t>
      </w:r>
    </w:p>
    <w:p>
      <w:pPr>
        <w:pStyle w:val="Defstart"/>
      </w:pPr>
      <w:r>
        <w:rPr>
          <w:b/>
        </w:rPr>
        <w:tab/>
      </w:r>
      <w:bookmarkStart w:id="59" w:name="RuleErr_115"/>
      <w:bookmarkStart w:id="60" w:name="RuleErr_158"/>
      <w:r>
        <w:rPr>
          <w:rStyle w:val="CharDefText"/>
        </w:rPr>
        <w:t>construction work</w:t>
      </w:r>
      <w:bookmarkEnd w:id="59"/>
      <w:bookmarkEnd w:id="60"/>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spacing w:before="120"/>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in Gazette 5 Dec 2013 p. 5663</w:t>
      </w:r>
      <w:r>
        <w:noBreakHyphen/>
        <w:t>7.]</w:t>
      </w:r>
    </w:p>
    <w:p>
      <w:pPr>
        <w:pStyle w:val="Heading5"/>
      </w:pPr>
      <w:bookmarkStart w:id="61" w:name="_Toc381705946"/>
      <w:r>
        <w:rPr>
          <w:rStyle w:val="CharSectno"/>
        </w:rPr>
        <w:t>14A</w:t>
      </w:r>
      <w:r>
        <w:t>.</w:t>
      </w:r>
      <w:r>
        <w:tab/>
        <w:t>Waste collection and other works</w:t>
      </w:r>
      <w:bookmarkEnd w:id="61"/>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pPr>
      <w:r>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pPr>
      <w:r>
        <w:tab/>
        <w:t>(b)</w:t>
      </w:r>
      <w:r>
        <w:tab/>
        <w:t>on such other day, not more than 3 years after the day on which it is approved by the CEO, as the CEO specifies in the approval of the plan.</w:t>
      </w:r>
    </w:p>
    <w:p>
      <w:pPr>
        <w:pStyle w:val="Footnotesection"/>
      </w:pPr>
      <w:r>
        <w:tab/>
        <w:t>[Regulation 14A inserted in Gazette 5 Dec 2013 p. 5667</w:t>
      </w:r>
      <w:r>
        <w:noBreakHyphen/>
        <w:t>72.]</w:t>
      </w:r>
    </w:p>
    <w:p>
      <w:pPr>
        <w:pStyle w:val="Heading5"/>
      </w:pPr>
      <w:bookmarkStart w:id="62" w:name="_Toc381705947"/>
      <w:r>
        <w:rPr>
          <w:rStyle w:val="CharSectno"/>
        </w:rPr>
        <w:t>14B</w:t>
      </w:r>
      <w:r>
        <w:t>.</w:t>
      </w:r>
      <w:r>
        <w:tab/>
        <w:t>Ancillary measures: waste collection and other works</w:t>
      </w:r>
      <w:bookmarkEnd w:id="62"/>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 in Gazette 5 Dec 2013 p. 5672.]</w:t>
      </w:r>
    </w:p>
    <w:p>
      <w:pPr>
        <w:pStyle w:val="Heading5"/>
        <w:rPr>
          <w:snapToGrid w:val="0"/>
        </w:rPr>
      </w:pPr>
      <w:bookmarkStart w:id="63" w:name="_Toc381705948"/>
      <w:r>
        <w:rPr>
          <w:rStyle w:val="CharSectno"/>
        </w:rPr>
        <w:t>14</w:t>
      </w:r>
      <w:r>
        <w:rPr>
          <w:snapToGrid w:val="0"/>
        </w:rPr>
        <w:t xml:space="preserve">. </w:t>
      </w:r>
      <w:r>
        <w:rPr>
          <w:snapToGrid w:val="0"/>
        </w:rPr>
        <w:tab/>
        <w:t>Equipment used on residential premises</w:t>
      </w:r>
      <w:bookmarkEnd w:id="6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64" w:name="RuleErr_116"/>
      <w:bookmarkStart w:id="65" w:name="RuleErr_159"/>
      <w:r>
        <w:rPr>
          <w:rStyle w:val="CharDefText"/>
        </w:rPr>
        <w:t>specified equipment</w:t>
      </w:r>
      <w:bookmarkEnd w:id="64"/>
      <w:bookmarkEnd w:id="65"/>
      <w:r>
        <w:t xml:space="preserve"> means any item of equipment which requires the constant presence of an operator for normal use.</w:t>
      </w:r>
    </w:p>
    <w:p>
      <w:pPr>
        <w:pStyle w:val="Subsection"/>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 xml:space="preserve">the specified equipment is used in a reasonable manner; </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rPr>
          <w:snapToGrid w:val="0"/>
        </w:rPr>
      </w:pPr>
      <w:r>
        <w:rPr>
          <w:snapToGrid w:val="0"/>
        </w:rPr>
        <w:tab/>
        <w:t>(ii)</w:t>
      </w:r>
      <w:r>
        <w:rPr>
          <w:snapToGrid w:val="0"/>
        </w:rPr>
        <w:tab/>
        <w:t>in the case of a musical instrument, for more than one hour since the beginning of the relevant day;</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66" w:name="_Toc381705949"/>
      <w:r>
        <w:rPr>
          <w:rStyle w:val="CharSectno"/>
        </w:rPr>
        <w:t>15</w:t>
      </w:r>
      <w:r>
        <w:rPr>
          <w:snapToGrid w:val="0"/>
        </w:rPr>
        <w:t xml:space="preserve">. </w:t>
      </w:r>
      <w:r>
        <w:rPr>
          <w:snapToGrid w:val="0"/>
        </w:rPr>
        <w:tab/>
        <w:t>Bellringing and calls to worship</w:t>
      </w:r>
      <w:bookmarkEnd w:id="6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67" w:name="RuleErr_117"/>
      <w:bookmarkStart w:id="68" w:name="RuleErr_160"/>
      <w:r>
        <w:rPr>
          <w:rStyle w:val="CharDefText"/>
        </w:rPr>
        <w:t>amplified call to worship</w:t>
      </w:r>
      <w:bookmarkEnd w:id="67"/>
      <w:bookmarkEnd w:id="68"/>
      <w:r>
        <w:t xml:space="preserve"> means a call or invitation to worship (including the ringing of a single bell or a set of bells) which is amplified or reproduced by the use of electronic amplification equipment;</w:t>
      </w:r>
    </w:p>
    <w:p>
      <w:pPr>
        <w:pStyle w:val="Defstart"/>
      </w:pPr>
      <w:r>
        <w:rPr>
          <w:b/>
        </w:rPr>
        <w:tab/>
      </w:r>
      <w:bookmarkStart w:id="69" w:name="RuleErr_118"/>
      <w:bookmarkStart w:id="70" w:name="RuleErr_161"/>
      <w:r>
        <w:rPr>
          <w:rStyle w:val="CharDefText"/>
        </w:rPr>
        <w:t>bellringing</w:t>
      </w:r>
      <w:bookmarkEnd w:id="69"/>
      <w:bookmarkEnd w:id="70"/>
      <w:r>
        <w:t xml:space="preserve"> means the ringing of a set of bells, where not amplified by electronic amplification equipment;</w:t>
      </w:r>
    </w:p>
    <w:p>
      <w:pPr>
        <w:pStyle w:val="Defstart"/>
      </w:pPr>
      <w:r>
        <w:rPr>
          <w:b/>
        </w:rPr>
        <w:tab/>
      </w:r>
      <w:bookmarkStart w:id="71" w:name="RuleErr_119"/>
      <w:bookmarkStart w:id="72" w:name="RuleErr_162"/>
      <w:r>
        <w:rPr>
          <w:rStyle w:val="CharDefText"/>
        </w:rPr>
        <w:t>other call to worship</w:t>
      </w:r>
      <w:bookmarkEnd w:id="71"/>
      <w:bookmarkEnd w:id="72"/>
      <w:r>
        <w:t xml:space="preserve"> means any call or invitation to worship (including the ringing of a single bell) other than bellringing or an amplified call to worship.</w:t>
      </w:r>
    </w:p>
    <w:p>
      <w:pPr>
        <w:pStyle w:val="Subsection"/>
        <w:keepNext/>
        <w:rPr>
          <w:snapToGrid w:val="0"/>
        </w:rPr>
      </w:pPr>
      <w:r>
        <w:rPr>
          <w:snapToGrid w:val="0"/>
        </w:rPr>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w:t>
      </w:r>
    </w:p>
    <w:p>
      <w:pPr>
        <w:pStyle w:val="Indenta"/>
        <w:rPr>
          <w:snapToGrid w:val="0"/>
        </w:rPr>
      </w:pPr>
      <w:r>
        <w:rPr>
          <w:snapToGrid w:val="0"/>
        </w:rPr>
        <w:tab/>
        <w:t>(b)</w:t>
      </w:r>
      <w:r>
        <w:rPr>
          <w:snapToGrid w:val="0"/>
        </w:rPr>
        <w:tab/>
        <w:t>bellringing, other than that referred to in paragraph (a), if the conditions prescribed in subregulation (3) are complied with;</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w:t>
      </w:r>
      <w:bookmarkStart w:id="73" w:name="RuleErr_53"/>
      <w:r>
        <w:rPr>
          <w:snapToGrid w:val="0"/>
        </w:rPr>
        <w:t>)(</w:t>
      </w:r>
      <w:bookmarkEnd w:id="73"/>
      <w:r>
        <w:rPr>
          <w:snapToGrid w:val="0"/>
        </w:rPr>
        <w:t>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the premises or public place on which the worship is to take place is to be on land which is referred to in section 6.2</w:t>
      </w:r>
      <w:bookmarkStart w:id="74" w:name="RuleErr_27"/>
      <w:r>
        <w:rPr>
          <w:snapToGrid w:val="0"/>
        </w:rPr>
        <w:t>6(</w:t>
      </w:r>
      <w:bookmarkEnd w:id="74"/>
      <w:r>
        <w:rPr>
          <w:snapToGrid w:val="0"/>
        </w:rPr>
        <w:t>2</w:t>
      </w:r>
      <w:bookmarkStart w:id="75" w:name="RuleErr_54"/>
      <w:r>
        <w:rPr>
          <w:snapToGrid w:val="0"/>
        </w:rPr>
        <w:t>)(</w:t>
      </w:r>
      <w:bookmarkEnd w:id="75"/>
      <w:r>
        <w:rPr>
          <w:snapToGrid w:val="0"/>
        </w:rPr>
        <w:t xml:space="preserve">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w:t>
      </w:r>
    </w:p>
    <w:p>
      <w:pPr>
        <w:pStyle w:val="Indenti"/>
        <w:rPr>
          <w:snapToGrid w:val="0"/>
        </w:rPr>
      </w:pPr>
      <w:r>
        <w:rPr>
          <w:snapToGrid w:val="0"/>
        </w:rPr>
        <w:tab/>
        <w:t>(ii)</w:t>
      </w:r>
      <w:r>
        <w:rPr>
          <w:snapToGrid w:val="0"/>
        </w:rPr>
        <w:tab/>
        <w:t>bellringing or the amplified call to worship is to last no more than 10 minutes on each occasion that it takes place;</w:t>
      </w:r>
    </w:p>
    <w:p>
      <w:pPr>
        <w:pStyle w:val="Indenti"/>
        <w:rPr>
          <w:snapToGrid w:val="0"/>
        </w:rPr>
      </w:pPr>
      <w:r>
        <w:rPr>
          <w:snapToGrid w:val="0"/>
        </w:rPr>
        <w:tab/>
        <w:t>(iii)</w:t>
      </w:r>
      <w:r>
        <w:rPr>
          <w:snapToGrid w:val="0"/>
        </w:rPr>
        <w:tab/>
        <w:t>bellringing or the amplified call to worship is not to take place on more than 2 occasions on the one day;</w:t>
      </w:r>
    </w:p>
    <w:p>
      <w:pPr>
        <w:pStyle w:val="Indenti"/>
        <w:rPr>
          <w:snapToGrid w:val="0"/>
        </w:rPr>
      </w:pPr>
      <w:r>
        <w:rPr>
          <w:snapToGrid w:val="0"/>
        </w:rPr>
        <w:tab/>
        <w:t>(iv)</w:t>
      </w:r>
      <w:r>
        <w:rPr>
          <w:snapToGrid w:val="0"/>
        </w:rPr>
        <w:tab/>
        <w:t>bellringing or the amplified call to worship is not to take place on more than 12 occasions in any period of 2 months;</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rPr>
          <w:snapToGrid w:val="0"/>
        </w:rPr>
      </w:pPr>
      <w:r>
        <w:rPr>
          <w:snapToGrid w:val="0"/>
        </w:rPr>
        <w:tab/>
        <w:t>(4)</w:t>
      </w:r>
      <w:r>
        <w:rPr>
          <w:snapToGrid w:val="0"/>
        </w:rPr>
        <w:tab/>
        <w:t>For the purposes of this regulation, the noise emission is to be — </w:t>
      </w:r>
    </w:p>
    <w:p>
      <w:pPr>
        <w:pStyle w:val="Indenta"/>
        <w:rPr>
          <w:snapToGrid w:val="0"/>
        </w:rPr>
      </w:pPr>
      <w:r>
        <w:rPr>
          <w:snapToGrid w:val="0"/>
        </w:rPr>
        <w:tab/>
        <w:t>(a)</w:t>
      </w:r>
      <w:r>
        <w:rPr>
          <w:snapToGrid w:val="0"/>
        </w:rPr>
        <w:tab/>
        <w:t>measured on any premises other than — </w:t>
      </w:r>
    </w:p>
    <w:p>
      <w:pPr>
        <w:pStyle w:val="Indenti"/>
        <w:rPr>
          <w:snapToGrid w:val="0"/>
        </w:rPr>
      </w:pPr>
      <w:r>
        <w:rPr>
          <w:snapToGrid w:val="0"/>
        </w:rPr>
        <w:tab/>
        <w:t>(i)</w:t>
      </w:r>
      <w:r>
        <w:rPr>
          <w:snapToGrid w:val="0"/>
        </w:rPr>
        <w:tab/>
        <w:t xml:space="preserve">the premises on which the bellringing or amplified call to worship was made; </w:t>
      </w:r>
    </w:p>
    <w:p>
      <w:pPr>
        <w:pStyle w:val="Indenti"/>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pPr>
      <w:r>
        <w:tab/>
        <w:t>(iii)</w:t>
      </w:r>
      <w:r>
        <w:tab/>
        <w:t>premises that are not noise</w:t>
      </w:r>
      <w:r>
        <w:noBreakHyphen/>
        <w:t>sensitive premises;</w:t>
      </w:r>
    </w:p>
    <w:p>
      <w:pPr>
        <w:pStyle w:val="Indenta"/>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pPr>
      <w:r>
        <w:tab/>
        <w:t>[Regulation 15 amended in Gazette 7 Nov 2000 p. 6144; 5 Dec 2013 p. 5672.]</w:t>
      </w:r>
    </w:p>
    <w:p>
      <w:pPr>
        <w:pStyle w:val="Heading3"/>
        <w:pageBreakBefore/>
      </w:pPr>
      <w:bookmarkStart w:id="76" w:name="_Toc381705950"/>
      <w:r>
        <w:rPr>
          <w:rStyle w:val="CharDivNo"/>
        </w:rPr>
        <w:t>Division 3</w:t>
      </w:r>
      <w:r>
        <w:t> — </w:t>
      </w:r>
      <w:r>
        <w:rPr>
          <w:rStyle w:val="CharDivText"/>
        </w:rPr>
        <w:t>Motor sport venues</w:t>
      </w:r>
      <w:bookmarkEnd w:id="76"/>
    </w:p>
    <w:p>
      <w:pPr>
        <w:pStyle w:val="Footnoteheading"/>
        <w:keepNext/>
        <w:rPr>
          <w:snapToGrid w:val="0"/>
        </w:rPr>
      </w:pPr>
      <w:r>
        <w:tab/>
        <w:t>[Heading inserted in Gazette 5 Dec 2013 p. 5673.]</w:t>
      </w:r>
    </w:p>
    <w:p>
      <w:pPr>
        <w:pStyle w:val="Heading5"/>
      </w:pPr>
      <w:bookmarkStart w:id="77" w:name="_Toc381705951"/>
      <w:r>
        <w:rPr>
          <w:rStyle w:val="CharSectno"/>
        </w:rPr>
        <w:t>16A</w:t>
      </w:r>
      <w:r>
        <w:t>.</w:t>
      </w:r>
      <w:r>
        <w:tab/>
        <w:t>Terms used</w:t>
      </w:r>
      <w:bookmarkEnd w:id="77"/>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 xml:space="preserve">Motorcycling </w:t>
      </w:r>
      <w:smartTag w:uri="urn:schemas-microsoft-com:office:smarttags" w:element="place">
        <w:smartTag w:uri="urn:schemas-microsoft-com:office:smarttags" w:element="country-region">
          <w:r>
            <w:t>Australia</w:t>
          </w:r>
        </w:smartTag>
      </w:smartTag>
      <w:r>
        <w:t>;</w:t>
      </w:r>
    </w:p>
    <w:p>
      <w:pPr>
        <w:pStyle w:val="Defpara"/>
      </w:pPr>
      <w:r>
        <w:tab/>
        <w:t>(e)</w:t>
      </w:r>
      <w:r>
        <w:tab/>
        <w:t xml:space="preserve">Motorcycling </w:t>
      </w:r>
      <w:smartTag w:uri="urn:schemas-microsoft-com:office:smarttags" w:element="place">
        <w:smartTag w:uri="urn:schemas-microsoft-com:office:smarttags" w:element="State">
          <w:r>
            <w:t>Western Australia</w:t>
          </w:r>
        </w:smartTag>
      </w:smartTag>
      <w:r>
        <w:t>;</w:t>
      </w:r>
    </w:p>
    <w:p>
      <w:pPr>
        <w:pStyle w:val="Defpara"/>
      </w:pPr>
      <w:r>
        <w:tab/>
        <w:t>(f)</w:t>
      </w:r>
      <w:r>
        <w:tab/>
        <w:t>National Association of Drag Racing Inc.;</w:t>
      </w:r>
    </w:p>
    <w:p>
      <w:pPr>
        <w:pStyle w:val="Defpara"/>
      </w:pPr>
      <w:r>
        <w:tab/>
        <w:t>(g)</w:t>
      </w:r>
      <w:r>
        <w:tab/>
        <w:t xml:space="preserve">National Association of </w:t>
      </w:r>
      <w:smartTag w:uri="urn:schemas-microsoft-com:office:smarttags" w:element="place">
        <w:smartTag w:uri="urn:schemas-microsoft-com:office:smarttags" w:element="City">
          <w:r>
            <w:t>Speedway</w:t>
          </w:r>
        </w:smartTag>
      </w:smartTag>
      <w:r>
        <w:t xml:space="preserve"> Racing;</w:t>
      </w:r>
    </w:p>
    <w:p>
      <w:pPr>
        <w:pStyle w:val="Defpara"/>
      </w:pPr>
      <w:r>
        <w:tab/>
        <w:t>(h)</w:t>
      </w:r>
      <w:r>
        <w:tab/>
        <w:t xml:space="preserve">Western Australian </w:t>
      </w:r>
      <w:smartTag w:uri="urn:schemas-microsoft-com:office:smarttags" w:element="place">
        <w:smartTag w:uri="urn:schemas-microsoft-com:office:smarttags" w:element="City">
          <w:r>
            <w:t>Speedway</w:t>
          </w:r>
        </w:smartTag>
      </w:smartTag>
      <w:r>
        <w:t xml:space="preserve">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in Gazette 5 Dec 2013 p. 5673</w:t>
      </w:r>
      <w:r>
        <w:noBreakHyphen/>
        <w:t>4.]</w:t>
      </w:r>
    </w:p>
    <w:p>
      <w:pPr>
        <w:pStyle w:val="Heading5"/>
      </w:pPr>
      <w:bookmarkStart w:id="78" w:name="_Toc381705952"/>
      <w:r>
        <w:rPr>
          <w:rStyle w:val="CharSectno"/>
        </w:rPr>
        <w:t>16AA</w:t>
      </w:r>
      <w:r>
        <w:t>.</w:t>
      </w:r>
      <w:r>
        <w:tab/>
        <w:t>Approval of noise management plan: motor sport venue</w:t>
      </w:r>
      <w:bookmarkEnd w:id="78"/>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contains a map (current at the time of the application) showing the motor sport venue, including the area where motor vehicles or motor vessels are raced or prepared 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in Gazette 5 Dec 2013 p. 5674</w:t>
      </w:r>
      <w:r>
        <w:noBreakHyphen/>
        <w:t>7.]</w:t>
      </w:r>
    </w:p>
    <w:p>
      <w:pPr>
        <w:pStyle w:val="Heading5"/>
      </w:pPr>
      <w:bookmarkStart w:id="79" w:name="_Toc381705953"/>
      <w:r>
        <w:rPr>
          <w:rStyle w:val="CharSectno"/>
        </w:rPr>
        <w:t>16AB</w:t>
      </w:r>
      <w:r>
        <w:t>.</w:t>
      </w:r>
      <w:r>
        <w:tab/>
        <w:t>Ancillary measures: motor sport venue</w:t>
      </w:r>
      <w:bookmarkEnd w:id="79"/>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in Gazette 5 Dec 2013 p. 5677.]</w:t>
      </w:r>
    </w:p>
    <w:p>
      <w:pPr>
        <w:pStyle w:val="Heading5"/>
      </w:pPr>
      <w:bookmarkStart w:id="80" w:name="_Toc381705954"/>
      <w:r>
        <w:rPr>
          <w:rStyle w:val="CharSectno"/>
        </w:rPr>
        <w:t>16AC</w:t>
      </w:r>
      <w:r>
        <w:t>.</w:t>
      </w:r>
      <w:r>
        <w:tab/>
        <w:t>Revocation of noise management plan for motor sport venue</w:t>
      </w:r>
      <w:bookmarkEnd w:id="80"/>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in Gazette 5 Dec 2013 p. 5678</w:t>
      </w:r>
      <w:r>
        <w:noBreakHyphen/>
        <w:t>9.]</w:t>
      </w:r>
    </w:p>
    <w:p>
      <w:pPr>
        <w:pStyle w:val="Heading5"/>
      </w:pPr>
      <w:bookmarkStart w:id="81" w:name="_Toc381705955"/>
      <w:r>
        <w:rPr>
          <w:rStyle w:val="CharSectno"/>
        </w:rPr>
        <w:t>16AD</w:t>
      </w:r>
      <w:r>
        <w:t>.</w:t>
      </w:r>
      <w:r>
        <w:tab/>
        <w:t>Notice of appellable decision</w:t>
      </w:r>
      <w:bookmarkEnd w:id="81"/>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in Gazette 5 Dec 2013 p. 5679.]</w:t>
      </w:r>
    </w:p>
    <w:p>
      <w:pPr>
        <w:pStyle w:val="Heading5"/>
      </w:pPr>
      <w:bookmarkStart w:id="82" w:name="_Toc381705956"/>
      <w:r>
        <w:rPr>
          <w:rStyle w:val="CharSectno"/>
        </w:rPr>
        <w:t>16AE</w:t>
      </w:r>
      <w:r>
        <w:t>.</w:t>
      </w:r>
      <w:r>
        <w:tab/>
        <w:t>Appeals against decisions in respect of noise management plan for motor sport venue</w:t>
      </w:r>
      <w:bookmarkEnd w:id="82"/>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rPr>
          <w:snapToGrid w:val="0"/>
        </w:rPr>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 in Gazette 5 Dec 2013 p. 5679</w:t>
      </w:r>
      <w:r>
        <w:noBreakHyphen/>
        <w:t>80.]</w:t>
      </w:r>
    </w:p>
    <w:p>
      <w:pPr>
        <w:pStyle w:val="Heading3"/>
      </w:pPr>
      <w:bookmarkStart w:id="83" w:name="_Toc381705957"/>
      <w:r>
        <w:rPr>
          <w:rStyle w:val="CharDivNo"/>
        </w:rPr>
        <w:t>Division 4</w:t>
      </w:r>
      <w:r>
        <w:t> — </w:t>
      </w:r>
      <w:r>
        <w:rPr>
          <w:rStyle w:val="CharDivText"/>
        </w:rPr>
        <w:t>Shooting venues</w:t>
      </w:r>
      <w:bookmarkEnd w:id="83"/>
    </w:p>
    <w:p>
      <w:pPr>
        <w:pStyle w:val="Footnoteheading"/>
        <w:rPr>
          <w:snapToGrid w:val="0"/>
        </w:rPr>
      </w:pPr>
      <w:r>
        <w:tab/>
        <w:t>[Heading inserted in Gazette 5 Dec 2013 p. 5681.]</w:t>
      </w:r>
    </w:p>
    <w:p>
      <w:pPr>
        <w:pStyle w:val="Heading5"/>
      </w:pPr>
      <w:bookmarkStart w:id="84" w:name="_Toc381705958"/>
      <w:r>
        <w:rPr>
          <w:rStyle w:val="CharSectno"/>
        </w:rPr>
        <w:t>16B</w:t>
      </w:r>
      <w:r>
        <w:t>.</w:t>
      </w:r>
      <w:r>
        <w:tab/>
        <w:t>Terms used</w:t>
      </w:r>
      <w:bookmarkEnd w:id="84"/>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range approved under the </w:t>
      </w:r>
      <w:r>
        <w:rPr>
          <w:i/>
        </w:rPr>
        <w:t>Firearms Act 1973</w:t>
      </w:r>
      <w:r>
        <w:t>.</w:t>
      </w:r>
    </w:p>
    <w:p>
      <w:pPr>
        <w:pStyle w:val="Footnotesection"/>
      </w:pPr>
      <w:r>
        <w:tab/>
        <w:t>[Regulation 16B inserted in Gazette 5 Dec 2013 p. 5681.]</w:t>
      </w:r>
    </w:p>
    <w:p>
      <w:pPr>
        <w:pStyle w:val="Heading5"/>
      </w:pPr>
      <w:bookmarkStart w:id="85" w:name="_Toc381705959"/>
      <w:r>
        <w:rPr>
          <w:rStyle w:val="CharSectno"/>
        </w:rPr>
        <w:t>16BA</w:t>
      </w:r>
      <w:r>
        <w:t>.</w:t>
      </w:r>
      <w:r>
        <w:tab/>
        <w:t>Approval of noise management plan: shooting venue</w:t>
      </w:r>
      <w:bookmarkEnd w:id="85"/>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tab/>
        <w:t>(e)</w:t>
      </w:r>
      <w:r>
        <w:tab/>
        <w:t>contains details of when and the manner in which notice of shooting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in Gazette 5 Dec 2013 p. 5681</w:t>
      </w:r>
      <w:r>
        <w:noBreakHyphen/>
        <w:t>4.]</w:t>
      </w:r>
    </w:p>
    <w:p>
      <w:pPr>
        <w:pStyle w:val="Heading5"/>
      </w:pPr>
      <w:bookmarkStart w:id="86" w:name="_Toc381705960"/>
      <w:r>
        <w:rPr>
          <w:rStyle w:val="CharSectno"/>
        </w:rPr>
        <w:t>16BB</w:t>
      </w:r>
      <w:r>
        <w:t>.</w:t>
      </w:r>
      <w:r>
        <w:tab/>
        <w:t>Ancillary measures: shooting venue</w:t>
      </w:r>
      <w:bookmarkEnd w:id="86"/>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in Gazette 5 Dec 2013 p. 5684</w:t>
      </w:r>
      <w:r>
        <w:noBreakHyphen/>
        <w:t>5.]</w:t>
      </w:r>
    </w:p>
    <w:p>
      <w:pPr>
        <w:pStyle w:val="Heading5"/>
      </w:pPr>
      <w:bookmarkStart w:id="87" w:name="_Toc381705961"/>
      <w:r>
        <w:rPr>
          <w:rStyle w:val="CharSectno"/>
        </w:rPr>
        <w:t>16BC</w:t>
      </w:r>
      <w:r>
        <w:t>.</w:t>
      </w:r>
      <w:r>
        <w:tab/>
        <w:t>Revocation of noise management plan for shooting venue</w:t>
      </w:r>
      <w:bookmarkEnd w:id="87"/>
    </w:p>
    <w:p>
      <w:pPr>
        <w:pStyle w:val="Subsection"/>
      </w:pPr>
      <w:r>
        <w:tab/>
        <w:t>(1)</w:t>
      </w:r>
      <w:r>
        <w:tab/>
        <w:t>An approved noise management plan for a shooting venue ceases to have effect if approval of the plan is revoked under this regulation.</w:t>
      </w:r>
    </w:p>
    <w:p>
      <w:pPr>
        <w:pStyle w:val="Subsection"/>
      </w:pPr>
      <w:r>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16BC inserted in Gazette 5 Dec 2013 p. 5685</w:t>
      </w:r>
      <w:r>
        <w:noBreakHyphen/>
        <w:t>6.]</w:t>
      </w:r>
    </w:p>
    <w:p>
      <w:pPr>
        <w:pStyle w:val="Heading5"/>
      </w:pPr>
      <w:bookmarkStart w:id="88" w:name="_Toc381705962"/>
      <w:r>
        <w:rPr>
          <w:rStyle w:val="CharSectno"/>
        </w:rPr>
        <w:t>16BD</w:t>
      </w:r>
      <w:r>
        <w:t>.</w:t>
      </w:r>
      <w:r>
        <w:tab/>
        <w:t>Notice of appellable decision</w:t>
      </w:r>
      <w:bookmarkEnd w:id="88"/>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in Gazette 5 Dec 2013 p. 5686.]</w:t>
      </w:r>
    </w:p>
    <w:p>
      <w:pPr>
        <w:pStyle w:val="Heading5"/>
      </w:pPr>
      <w:bookmarkStart w:id="89" w:name="_Toc381705963"/>
      <w:r>
        <w:rPr>
          <w:rStyle w:val="CharSectno"/>
        </w:rPr>
        <w:t>16BE</w:t>
      </w:r>
      <w:r>
        <w:t>.</w:t>
      </w:r>
      <w:r>
        <w:tab/>
        <w:t>Appeals against decisions in respect of noise management plan for shooting venue</w:t>
      </w:r>
      <w:bookmarkEnd w:id="89"/>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tab/>
        <w:t>(g)</w:t>
      </w:r>
      <w:r>
        <w:tab/>
        <w:t>the revocation of the approval of a noise management plan for a shooting venue,</w:t>
      </w:r>
    </w:p>
    <w:p>
      <w:pPr>
        <w:pStyle w:val="Subsection"/>
      </w:pPr>
      <w:r>
        <w:tab/>
      </w:r>
      <w:r>
        <w:tab/>
        <w:t>may lodge with the Minister an appeal in writing setting out the grounds of that appeal.</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16BE inserted in Gazette 5 Dec 2013 p. 5687</w:t>
      </w:r>
      <w:r>
        <w:noBreakHyphen/>
        <w:t>8.]</w:t>
      </w:r>
    </w:p>
    <w:p>
      <w:pPr>
        <w:pStyle w:val="Heading3"/>
      </w:pPr>
      <w:bookmarkStart w:id="90" w:name="_Toc381705964"/>
      <w:r>
        <w:rPr>
          <w:rStyle w:val="CharDivNo"/>
        </w:rPr>
        <w:t>Division 5</w:t>
      </w:r>
      <w:r>
        <w:t> — </w:t>
      </w:r>
      <w:r>
        <w:rPr>
          <w:rStyle w:val="CharDivText"/>
        </w:rPr>
        <w:t>Community activities</w:t>
      </w:r>
      <w:bookmarkEnd w:id="90"/>
    </w:p>
    <w:p>
      <w:pPr>
        <w:pStyle w:val="Footnoteheading"/>
        <w:rPr>
          <w:snapToGrid w:val="0"/>
        </w:rPr>
      </w:pPr>
      <w:r>
        <w:tab/>
        <w:t>[Heading inserted in Gazette 5 Dec 2013 p. 5688.]</w:t>
      </w:r>
    </w:p>
    <w:p>
      <w:pPr>
        <w:pStyle w:val="Heading5"/>
        <w:rPr>
          <w:snapToGrid w:val="0"/>
        </w:rPr>
      </w:pPr>
      <w:bookmarkStart w:id="91" w:name="_Toc381705965"/>
      <w:r>
        <w:rPr>
          <w:rStyle w:val="CharSectno"/>
        </w:rPr>
        <w:t>16</w:t>
      </w:r>
      <w:r>
        <w:rPr>
          <w:snapToGrid w:val="0"/>
        </w:rPr>
        <w:t xml:space="preserve">. </w:t>
      </w:r>
      <w:r>
        <w:rPr>
          <w:snapToGrid w:val="0"/>
        </w:rPr>
        <w:tab/>
        <w:t>Community noise</w:t>
      </w:r>
      <w:bookmarkEnd w:id="91"/>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bookmarkStart w:id="92" w:name="RuleErr_121"/>
      <w:bookmarkStart w:id="93" w:name="RuleErr_164"/>
      <w:r>
        <w:rPr>
          <w:rStyle w:val="CharDefText"/>
        </w:rPr>
        <w:t>noise control notice</w:t>
      </w:r>
      <w:bookmarkEnd w:id="92"/>
      <w:bookmarkEnd w:id="93"/>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rPr>
          <w:snapToGrid w:val="0"/>
        </w:rPr>
      </w:pPr>
      <w:r>
        <w:rPr>
          <w:snapToGrid w:val="0"/>
        </w:rPr>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tab/>
        <w:t>(ii)</w:t>
      </w:r>
      <w:r>
        <w:tab/>
        <w:t>an application under regulation 18 for approval to conduct an event that is likely to result in the emission of noise in contravention of the standard prescribed under regulation 7.</w:t>
      </w:r>
    </w:p>
    <w:p>
      <w:pPr>
        <w:pStyle w:val="Subsection"/>
        <w:spacing w:before="120"/>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spacing w:before="120"/>
        <w:rPr>
          <w:snapToGrid w:val="0"/>
        </w:rPr>
      </w:pPr>
      <w:r>
        <w:rPr>
          <w:snapToGrid w:val="0"/>
        </w:rPr>
        <w:tab/>
        <w:t>(7)</w:t>
      </w:r>
      <w:r>
        <w:rPr>
          <w:snapToGrid w:val="0"/>
        </w:rPr>
        <w:tab/>
        <w:t>A noise control notice, while it is in force, binds each owner or occupier on whom it is served.</w:t>
      </w:r>
    </w:p>
    <w:p>
      <w:pPr>
        <w:pStyle w:val="Subsection"/>
        <w:spacing w:before="120"/>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w:t>
      </w:r>
      <w:bookmarkStart w:id="94" w:name="RuleErr_55"/>
      <w:r>
        <w:rPr>
          <w:snapToGrid w:val="0"/>
        </w:rPr>
        <w:t>)(</w:t>
      </w:r>
      <w:bookmarkEnd w:id="94"/>
      <w:r>
        <w:rPr>
          <w:snapToGrid w:val="0"/>
        </w:rPr>
        <w:t>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spacing w:before="120"/>
        <w:rPr>
          <w:snapToGrid w:val="0"/>
        </w:rPr>
      </w:pPr>
      <w:r>
        <w:rPr>
          <w:snapToGrid w:val="0"/>
        </w:rPr>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w:t>
      </w:r>
      <w:bookmarkStart w:id="95" w:name="RuleErr_56"/>
      <w:r>
        <w:rPr>
          <w:snapToGrid w:val="0"/>
        </w:rPr>
        <w:t>)(</w:t>
      </w:r>
      <w:bookmarkEnd w:id="95"/>
      <w:r>
        <w:rPr>
          <w:snapToGrid w:val="0"/>
        </w:rPr>
        <w:t>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w:t>
      </w:r>
      <w:bookmarkStart w:id="96" w:name="RuleErr_57"/>
      <w:r>
        <w:rPr>
          <w:snapToGrid w:val="0"/>
        </w:rPr>
        <w:t>)(</w:t>
      </w:r>
      <w:bookmarkEnd w:id="96"/>
      <w:r>
        <w:rPr>
          <w:snapToGrid w:val="0"/>
        </w:rPr>
        <w:t>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rPr>
          <w:snapToGrid w:val="0"/>
        </w:rPr>
      </w:pPr>
      <w:r>
        <w:rPr>
          <w:snapToGrid w:val="0"/>
        </w:rPr>
        <w:tab/>
      </w:r>
      <w:r>
        <w:rPr>
          <w:snapToGrid w:val="0"/>
        </w:rPr>
        <w:tab/>
        <w:t>may within 14 days of that service lodge with the Minister an appeal in writing setting out the grounds of that appeal.</w:t>
      </w:r>
    </w:p>
    <w:p>
      <w:pPr>
        <w:pStyle w:val="Subsection"/>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in Gazette 5 Dec 2013 p. 5688</w:t>
      </w:r>
      <w:r>
        <w:noBreakHyphen/>
        <w:t>91.]</w:t>
      </w:r>
    </w:p>
    <w:p>
      <w:pPr>
        <w:pStyle w:val="Heading3"/>
      </w:pPr>
      <w:bookmarkStart w:id="97" w:name="_Toc381705966"/>
      <w:r>
        <w:rPr>
          <w:rStyle w:val="CharDivNo"/>
        </w:rPr>
        <w:t>Division 6</w:t>
      </w:r>
      <w:r>
        <w:t> — </w:t>
      </w:r>
      <w:r>
        <w:rPr>
          <w:rStyle w:val="CharDivText"/>
        </w:rPr>
        <w:t>Where standard cannot reasonably be met</w:t>
      </w:r>
      <w:bookmarkEnd w:id="97"/>
    </w:p>
    <w:p>
      <w:pPr>
        <w:pStyle w:val="Footnoteheading"/>
        <w:rPr>
          <w:snapToGrid w:val="0"/>
        </w:rPr>
      </w:pPr>
      <w:r>
        <w:tab/>
        <w:t>[Heading inserted in Gazette 5 Dec 2013 p. 5691.]</w:t>
      </w:r>
    </w:p>
    <w:p>
      <w:pPr>
        <w:pStyle w:val="Heading5"/>
      </w:pPr>
      <w:bookmarkStart w:id="98" w:name="_Toc381705967"/>
      <w:r>
        <w:rPr>
          <w:rStyle w:val="CharSectno"/>
        </w:rPr>
        <w:t>17</w:t>
      </w:r>
      <w:r>
        <w:t>.</w:t>
      </w:r>
      <w:r>
        <w:tab/>
        <w:t>Approval to allow emission of noise to exceed or vary from standard: application and referral</w:t>
      </w:r>
      <w:bookmarkEnd w:id="98"/>
    </w:p>
    <w:p>
      <w:pPr>
        <w:pStyle w:val="Subsection"/>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rPr>
          <w:snapToGrid w:val="0"/>
        </w:rPr>
      </w:pPr>
      <w:r>
        <w:rPr>
          <w:snapToGrid w:val="0"/>
        </w:rPr>
        <w:tab/>
      </w:r>
      <w:r>
        <w:rPr>
          <w:snapToGrid w:val="0"/>
        </w:rPr>
        <w:tab/>
        <w:t xml:space="preserve">that person may apply to the Minister for approval to allow the emission of noise in that case to exceed or vary from the standard. </w:t>
      </w:r>
    </w:p>
    <w:p>
      <w:pPr>
        <w:pStyle w:val="Subsection"/>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rPr>
          <w:snapToGrid w:val="0"/>
        </w:rPr>
      </w:pPr>
      <w:r>
        <w:rPr>
          <w:snapToGrid w:val="0"/>
        </w:rPr>
        <w:tab/>
        <w:t>(3)</w:t>
      </w:r>
      <w:r>
        <w:rPr>
          <w:snapToGrid w:val="0"/>
        </w:rPr>
        <w:tab/>
        <w:t>If subregulation (2) does not apply, the Minister must refer the application to the CEO for assessment.</w:t>
      </w:r>
    </w:p>
    <w:p>
      <w:pPr>
        <w:pStyle w:val="Subsection"/>
        <w:rPr>
          <w:snapToGrid w:val="0"/>
        </w:rPr>
      </w:pPr>
      <w:r>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rPr>
          <w:snapToGrid w:val="0"/>
        </w:rPr>
      </w:pPr>
      <w:r>
        <w:rPr>
          <w:snapToGrid w:val="0"/>
        </w:rPr>
        <w:tab/>
        <w:t>(5)</w:t>
      </w:r>
      <w:r>
        <w:rPr>
          <w:snapToGrid w:val="0"/>
        </w:rPr>
        <w:tab/>
        <w:t>The report of the Authority under section 44 of the Act on a proposal mentioned in subregulation (1)(b) or (4), or under section 46 of the Act on an inquiry mentioned in subregulation (1)(b) or (4), is taken to also be the report of the Authority for the purposes of regulation 18B.</w:t>
      </w:r>
    </w:p>
    <w:p>
      <w:pPr>
        <w:pStyle w:val="Footnotesection"/>
      </w:pPr>
      <w:r>
        <w:tab/>
        <w:t>[Regulation 17 inserted in Gazette 5 Dec 2013 p. 5691</w:t>
      </w:r>
      <w:r>
        <w:noBreakHyphen/>
        <w:t>3.]</w:t>
      </w:r>
    </w:p>
    <w:p>
      <w:pPr>
        <w:pStyle w:val="Heading5"/>
        <w:spacing w:before="180"/>
      </w:pPr>
      <w:bookmarkStart w:id="99" w:name="_Toc381705968"/>
      <w:r>
        <w:rPr>
          <w:rStyle w:val="CharSectno"/>
        </w:rPr>
        <w:t>18A</w:t>
      </w:r>
      <w:r>
        <w:t>.</w:t>
      </w:r>
      <w:r>
        <w:tab/>
        <w:t>Assessment by CEO</w:t>
      </w:r>
      <w:bookmarkEnd w:id="99"/>
    </w:p>
    <w:p>
      <w:pPr>
        <w:pStyle w:val="Subsection"/>
        <w:spacing w:before="120"/>
        <w:rPr>
          <w:snapToGrid w:val="0"/>
        </w:rPr>
      </w:pPr>
      <w:r>
        <w:tab/>
        <w:t>(1)</w:t>
      </w:r>
      <w:r>
        <w:tab/>
      </w:r>
      <w:r>
        <w:rPr>
          <w:snapToGrid w:val="0"/>
        </w:rPr>
        <w:t xml:space="preserve">When an application is referred to the CEO under regulation 17(3), the CEO may — </w:t>
      </w:r>
    </w:p>
    <w:p>
      <w:pPr>
        <w:pStyle w:val="Indenta"/>
        <w:spacing w:before="60"/>
        <w:rPr>
          <w:snapToGrid w:val="0"/>
        </w:rPr>
      </w:pPr>
      <w:r>
        <w:tab/>
        <w:t>(a)</w:t>
      </w:r>
      <w:r>
        <w:tab/>
        <w:t>advise</w:t>
      </w:r>
      <w:r>
        <w:rPr>
          <w:snapToGrid w:val="0"/>
        </w:rPr>
        <w:t xml:space="preserve"> the Minister that the CEO considers that the application should not be assessed because — </w:t>
      </w:r>
    </w:p>
    <w:p>
      <w:pPr>
        <w:pStyle w:val="Indenti"/>
        <w:spacing w:before="60"/>
        <w:rPr>
          <w:snapToGrid w:val="0"/>
        </w:rPr>
      </w:pPr>
      <w:r>
        <w:rPr>
          <w:snapToGrid w:val="0"/>
        </w:rPr>
        <w:tab/>
        <w:t>(i)</w:t>
      </w:r>
      <w:r>
        <w:rPr>
          <w:snapToGrid w:val="0"/>
        </w:rPr>
        <w:tab/>
        <w:t>the emission of noise in that case will not exceed or vary from a standard prescribed under these regulations; or</w:t>
      </w:r>
    </w:p>
    <w:p>
      <w:pPr>
        <w:pStyle w:val="Indenti"/>
        <w:spacing w:before="60"/>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spacing w:before="60"/>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spacing w:before="60"/>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spacing w:before="120"/>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in Gazette 5 Dec 2013 p. 5693</w:t>
      </w:r>
      <w:r>
        <w:noBreakHyphen/>
        <w:t>5.]</w:t>
      </w:r>
    </w:p>
    <w:p>
      <w:pPr>
        <w:pStyle w:val="Heading5"/>
      </w:pPr>
      <w:bookmarkStart w:id="100" w:name="_Toc381705969"/>
      <w:r>
        <w:rPr>
          <w:rStyle w:val="CharSectno"/>
        </w:rPr>
        <w:t>18B</w:t>
      </w:r>
      <w:r>
        <w:t>.</w:t>
      </w:r>
      <w:r>
        <w:tab/>
        <w:t>Decision by Minister</w:t>
      </w:r>
      <w:bookmarkEnd w:id="100"/>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in Gazette 5 Dec 2013 p. 5695.]</w:t>
      </w:r>
    </w:p>
    <w:p>
      <w:pPr>
        <w:pStyle w:val="Heading5"/>
      </w:pPr>
      <w:bookmarkStart w:id="101" w:name="_Toc381705970"/>
      <w:r>
        <w:rPr>
          <w:rStyle w:val="CharSectno"/>
        </w:rPr>
        <w:t>18C</w:t>
      </w:r>
      <w:r>
        <w:t>.</w:t>
      </w:r>
      <w:r>
        <w:tab/>
        <w:t>Notification of approval, amendment or revocation</w:t>
      </w:r>
      <w:bookmarkEnd w:id="101"/>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in Gazette 5 Dec 2013 p. 5695.]</w:t>
      </w:r>
    </w:p>
    <w:p>
      <w:pPr>
        <w:pStyle w:val="Heading5"/>
      </w:pPr>
      <w:bookmarkStart w:id="102" w:name="_Toc381705971"/>
      <w:r>
        <w:rPr>
          <w:rStyle w:val="CharSectno"/>
        </w:rPr>
        <w:t>18D</w:t>
      </w:r>
      <w:r>
        <w:t>.</w:t>
      </w:r>
      <w:r>
        <w:tab/>
        <w:t>Ancillary conditions</w:t>
      </w:r>
      <w:bookmarkEnd w:id="102"/>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in Gazette 5 Dec 2013 p. 5695.]</w:t>
      </w:r>
    </w:p>
    <w:p>
      <w:pPr>
        <w:pStyle w:val="Heading5"/>
      </w:pPr>
      <w:bookmarkStart w:id="103" w:name="_Toc381705972"/>
      <w:r>
        <w:rPr>
          <w:rStyle w:val="CharSectno"/>
        </w:rPr>
        <w:t>18E</w:t>
      </w:r>
      <w:r>
        <w:t>.</w:t>
      </w:r>
      <w:r>
        <w:tab/>
        <w:t>Amendment or revocation of approval</w:t>
      </w:r>
      <w:bookmarkEnd w:id="103"/>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in Gazette 5 Dec 2013 p. 5696.]</w:t>
      </w:r>
    </w:p>
    <w:p>
      <w:pPr>
        <w:pStyle w:val="Heading5"/>
      </w:pPr>
      <w:bookmarkStart w:id="104" w:name="_Toc381705973"/>
      <w:r>
        <w:rPr>
          <w:rStyle w:val="CharSectno"/>
        </w:rPr>
        <w:t>18F</w:t>
      </w:r>
      <w:r>
        <w:t>.</w:t>
      </w:r>
      <w:r>
        <w:tab/>
        <w:t>Effect of breach of condition or revocation of approval</w:t>
      </w:r>
      <w:bookmarkEnd w:id="104"/>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Footnotesection"/>
      </w:pPr>
      <w:r>
        <w:tab/>
        <w:t>[Regulation 18F inserted in Gazette 5 Dec 2013 p. 5696.]</w:t>
      </w:r>
    </w:p>
    <w:p>
      <w:pPr>
        <w:pStyle w:val="Heading5"/>
      </w:pPr>
      <w:bookmarkStart w:id="105" w:name="_Toc381705974"/>
      <w:r>
        <w:rPr>
          <w:rStyle w:val="CharSectno"/>
        </w:rPr>
        <w:t>18G</w:t>
      </w:r>
      <w:r>
        <w:t>.</w:t>
      </w:r>
      <w:r>
        <w:tab/>
        <w:t>Noise monitoring fees</w:t>
      </w:r>
      <w:bookmarkEnd w:id="105"/>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in Gazette 5 Dec 2013 p. 5697.]</w:t>
      </w:r>
    </w:p>
    <w:p>
      <w:pPr>
        <w:pStyle w:val="Heading5"/>
      </w:pPr>
      <w:bookmarkStart w:id="106" w:name="_Toc381705975"/>
      <w:r>
        <w:rPr>
          <w:rStyle w:val="CharSectno"/>
        </w:rPr>
        <w:t>18H</w:t>
      </w:r>
      <w:r>
        <w:t>.</w:t>
      </w:r>
      <w:r>
        <w:tab/>
        <w:t>Appeals against decisions under this Division</w:t>
      </w:r>
      <w:bookmarkEnd w:id="106"/>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in Gazette 5 Dec 2013 p. 5697</w:t>
      </w:r>
      <w:r>
        <w:noBreakHyphen/>
        <w:t>9.]</w:t>
      </w:r>
    </w:p>
    <w:p>
      <w:pPr>
        <w:pStyle w:val="Heading5"/>
      </w:pPr>
      <w:bookmarkStart w:id="107" w:name="_Toc381705976"/>
      <w:r>
        <w:rPr>
          <w:rStyle w:val="CharSectno"/>
        </w:rPr>
        <w:t>18I</w:t>
      </w:r>
      <w:r>
        <w:t>.</w:t>
      </w:r>
      <w:r>
        <w:tab/>
        <w:t>Transitional provisions</w:t>
      </w:r>
      <w:bookmarkEnd w:id="107"/>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in Gazette 5 Dec 2013 p. 5699.]</w:t>
      </w:r>
    </w:p>
    <w:p>
      <w:pPr>
        <w:pStyle w:val="Heading3"/>
      </w:pPr>
      <w:bookmarkStart w:id="108" w:name="_Toc381705977"/>
      <w:r>
        <w:rPr>
          <w:rStyle w:val="CharDivNo"/>
        </w:rPr>
        <w:t>Division 7</w:t>
      </w:r>
      <w:r>
        <w:t> — </w:t>
      </w:r>
      <w:r>
        <w:rPr>
          <w:rStyle w:val="CharDivText"/>
        </w:rPr>
        <w:t>Sporting, cultural and entertainment events</w:t>
      </w:r>
      <w:bookmarkEnd w:id="108"/>
    </w:p>
    <w:p>
      <w:pPr>
        <w:pStyle w:val="Footnoteheading"/>
        <w:rPr>
          <w:snapToGrid w:val="0"/>
        </w:rPr>
      </w:pPr>
      <w:r>
        <w:tab/>
        <w:t>[Heading inserted in Gazette 5 Dec 2013 p. 5700.]</w:t>
      </w:r>
    </w:p>
    <w:p>
      <w:pPr>
        <w:pStyle w:val="Heading5"/>
      </w:pPr>
      <w:bookmarkStart w:id="109" w:name="_Toc381705978"/>
      <w:r>
        <w:rPr>
          <w:rStyle w:val="CharSectno"/>
        </w:rPr>
        <w:t>18J</w:t>
      </w:r>
      <w:r>
        <w:t>.</w:t>
      </w:r>
      <w:r>
        <w:tab/>
        <w:t>Terms used</w:t>
      </w:r>
      <w:bookmarkEnd w:id="109"/>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in Gazette 5 Dec 2013 p. 5700.]</w:t>
      </w:r>
    </w:p>
    <w:p>
      <w:pPr>
        <w:pStyle w:val="Heading5"/>
        <w:rPr>
          <w:snapToGrid w:val="0"/>
        </w:rPr>
      </w:pPr>
      <w:bookmarkStart w:id="110" w:name="_Toc381705979"/>
      <w:r>
        <w:rPr>
          <w:rStyle w:val="CharSectno"/>
        </w:rPr>
        <w:t>18</w:t>
      </w:r>
      <w:r>
        <w:rPr>
          <w:snapToGrid w:val="0"/>
        </w:rPr>
        <w:t xml:space="preserve">. </w:t>
      </w:r>
      <w:r>
        <w:rPr>
          <w:snapToGrid w:val="0"/>
        </w:rPr>
        <w:tab/>
        <w:t>Approved sporting, cultural and entertainment events</w:t>
      </w:r>
      <w:bookmarkEnd w:id="110"/>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rPr>
          <w:snapToGrid w:val="0"/>
        </w:rPr>
      </w:pPr>
      <w:r>
        <w:rPr>
          <w:snapToGrid w:val="0"/>
        </w:rPr>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rPr>
          <w:snapToGrid w:val="0"/>
        </w:rPr>
      </w:pPr>
      <w:r>
        <w:rPr>
          <w:snapToGrid w:val="0"/>
        </w:rPr>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w:t>
      </w:r>
    </w:p>
    <w:p>
      <w:pPr>
        <w:pStyle w:val="Indenta"/>
        <w:rPr>
          <w:snapToGrid w:val="0"/>
        </w:rPr>
      </w:pPr>
      <w:r>
        <w:rPr>
          <w:snapToGrid w:val="0"/>
        </w:rPr>
        <w:tab/>
        <w:t>(b)</w:t>
      </w:r>
      <w:r>
        <w:rPr>
          <w:snapToGrid w:val="0"/>
        </w:rPr>
        <w:tab/>
        <w:t>specify starting and completion times for practice and rehearsal sessions, sound system tests and the event;</w:t>
      </w:r>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w:t>
      </w:r>
      <w:bookmarkStart w:id="111" w:name="RuleErr_59"/>
      <w:r>
        <w:rPr>
          <w:snapToGrid w:val="0"/>
        </w:rPr>
        <w:t>)(</w:t>
      </w:r>
      <w:bookmarkEnd w:id="111"/>
      <w:r>
        <w:rPr>
          <w:snapToGrid w:val="0"/>
        </w:rPr>
        <w:t>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in Gazette 5 Dec 2013 p. 5700</w:t>
      </w:r>
      <w:r>
        <w:noBreakHyphen/>
        <w:t>4.]</w:t>
      </w:r>
    </w:p>
    <w:p>
      <w:pPr>
        <w:pStyle w:val="Heading5"/>
      </w:pPr>
      <w:bookmarkStart w:id="112" w:name="_Toc381705980"/>
      <w:r>
        <w:rPr>
          <w:rStyle w:val="CharSectno"/>
        </w:rPr>
        <w:t>19A</w:t>
      </w:r>
      <w:r>
        <w:t>.</w:t>
      </w:r>
      <w:r>
        <w:tab/>
        <w:t>Ancillary conditions: approved events</w:t>
      </w:r>
      <w:bookmarkEnd w:id="112"/>
    </w:p>
    <w:p>
      <w:pPr>
        <w:pStyle w:val="Subsection"/>
        <w:rPr>
          <w:snapToGrid w:val="0"/>
        </w:rPr>
      </w:pPr>
      <w:r>
        <w:tab/>
        <w:t>(1)</w:t>
      </w:r>
      <w:r>
        <w:tab/>
        <w:t>If an approval under regulation 18(3) is made subject to a condition, the CEO may, by written notice given to the person who applied for approval of the event, designate the condition 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in Gazette 5 Dec 2013 p. 5704.]</w:t>
      </w:r>
    </w:p>
    <w:p>
      <w:pPr>
        <w:pStyle w:val="Heading5"/>
      </w:pPr>
      <w:bookmarkStart w:id="113" w:name="_Toc381705981"/>
      <w:r>
        <w:rPr>
          <w:rStyle w:val="CharSectno"/>
        </w:rPr>
        <w:t>19B</w:t>
      </w:r>
      <w:r>
        <w:t>.</w:t>
      </w:r>
      <w:r>
        <w:tab/>
        <w:t>Approved venues for sporting, cultural or entertainment events</w:t>
      </w:r>
      <w:bookmarkEnd w:id="113"/>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pPr>
      <w:r>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Executive Director, Public Health;</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pPr>
      <w:r>
        <w:tab/>
        <w:t>(10)</w:t>
      </w:r>
      <w:r>
        <w:tab/>
        <w:t>Without limiting subregulation (7), an amendment may vary a condition of a venue approval or impose a new condition on a venue approval.</w:t>
      </w:r>
    </w:p>
    <w:p>
      <w:pPr>
        <w:pStyle w:val="Subsection"/>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grant a new approval; and</w:t>
      </w:r>
    </w:p>
    <w:p>
      <w:pPr>
        <w:pStyle w:val="Indenti"/>
      </w:pPr>
      <w:r>
        <w:tab/>
        <w:t>(ii)</w:t>
      </w:r>
      <w:r>
        <w:tab/>
        <w:t>an appeal is lodged under regulation 19G against the decision to refuse to grant a new approval,</w:t>
      </w:r>
    </w:p>
    <w:p>
      <w:pPr>
        <w:pStyle w:val="Indenta"/>
      </w:pPr>
      <w:r>
        <w:tab/>
      </w:r>
      <w:r>
        <w:tab/>
        <w:t>the day the appeal is concluded.</w:t>
      </w:r>
    </w:p>
    <w:p>
      <w:pPr>
        <w:pStyle w:val="Subsection"/>
        <w:keepNext/>
      </w:pPr>
      <w:r>
        <w:tab/>
        <w:t>(12)</w:t>
      </w:r>
      <w:r>
        <w:tab/>
        <w:t>The CEO must not approve a venue under subregulation (7) unless the conditions imposed on the approval —</w:t>
      </w:r>
    </w:p>
    <w:p>
      <w:pPr>
        <w:pStyle w:val="Indenta"/>
      </w:pPr>
      <w:r>
        <w:tab/>
        <w:t>(a)</w:t>
      </w:r>
      <w:r>
        <w:tab/>
        <w:t>specify the maximum number and type of notifiable events that may be held at the venue during a period specified in the approval; and</w:t>
      </w:r>
    </w:p>
    <w:p>
      <w:pPr>
        <w:pStyle w:val="Indenta"/>
      </w:pPr>
      <w:r>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in Gazette 5 Dec 2013 p. 5704</w:t>
      </w:r>
      <w:r>
        <w:noBreakHyphen/>
        <w:t>8.]</w:t>
      </w:r>
    </w:p>
    <w:p>
      <w:pPr>
        <w:pStyle w:val="Heading5"/>
      </w:pPr>
      <w:bookmarkStart w:id="114" w:name="_Toc381705982"/>
      <w:r>
        <w:rPr>
          <w:rStyle w:val="CharSectno"/>
        </w:rPr>
        <w:t>19C</w:t>
      </w:r>
      <w:r>
        <w:t>.</w:t>
      </w:r>
      <w:r>
        <w:tab/>
        <w:t>Ancillary conditions: venue approval</w:t>
      </w:r>
      <w:bookmarkEnd w:id="114"/>
    </w:p>
    <w:p>
      <w:pPr>
        <w:pStyle w:val="Subsection"/>
      </w:pPr>
      <w:r>
        <w:tab/>
        <w:t>(1)</w:t>
      </w:r>
      <w:r>
        <w:tab/>
        <w:t>The CEO may in a venue approval designate a condition imposed on the venue approval under regulation 19B(12)(e), (f) or (g) as an ancillary condition.</w:t>
      </w:r>
    </w:p>
    <w:p>
      <w:pPr>
        <w:pStyle w:val="Subsection"/>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pPr>
      <w:r>
        <w:tab/>
        <w:t>(3)</w:t>
      </w:r>
      <w:r>
        <w:tab/>
        <w:t>In the case of a condition imposed on a venue approval under regulation 19B(12)(g) and designated as an ancillary condition under subregulation (1), the occupier of the venue must ensure the condition is implemented.</w:t>
      </w:r>
    </w:p>
    <w:p>
      <w:pPr>
        <w:pStyle w:val="Penstart"/>
      </w:pPr>
      <w:r>
        <w:tab/>
        <w:t>Penalty: a fine of $5 000.</w:t>
      </w:r>
    </w:p>
    <w:p>
      <w:pPr>
        <w:pStyle w:val="Footnotesection"/>
      </w:pPr>
      <w:r>
        <w:tab/>
        <w:t>[Regulation 19C inserted in Gazette 5 Dec 2013 p. 5708</w:t>
      </w:r>
      <w:r>
        <w:noBreakHyphen/>
        <w:t>9.]</w:t>
      </w:r>
    </w:p>
    <w:p>
      <w:pPr>
        <w:pStyle w:val="Heading5"/>
      </w:pPr>
      <w:bookmarkStart w:id="115" w:name="_Toc381705983"/>
      <w:r>
        <w:rPr>
          <w:rStyle w:val="CharSectno"/>
        </w:rPr>
        <w:t>19D</w:t>
      </w:r>
      <w:r>
        <w:t>.</w:t>
      </w:r>
      <w:r>
        <w:tab/>
        <w:t>Notifiable event at approved venue</w:t>
      </w:r>
      <w:bookmarkEnd w:id="115"/>
    </w:p>
    <w:p>
      <w:pPr>
        <w:pStyle w:val="Subsection"/>
      </w:pPr>
      <w:r>
        <w:tab/>
        <w:t>(1)</w:t>
      </w:r>
      <w:r>
        <w:tab/>
        <w:t>A person who proposes to hold an event at an approved venue that is a notifiable event of a type specified in the conditions of 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 in Gazette 5 Dec 2013 p. 5709</w:t>
      </w:r>
      <w:r>
        <w:noBreakHyphen/>
        <w:t>11.]</w:t>
      </w:r>
    </w:p>
    <w:p>
      <w:pPr>
        <w:pStyle w:val="Heading5"/>
      </w:pPr>
      <w:bookmarkStart w:id="116" w:name="_Toc381705984"/>
      <w:r>
        <w:rPr>
          <w:rStyle w:val="CharSectno"/>
        </w:rPr>
        <w:t>19E</w:t>
      </w:r>
      <w:r>
        <w:t>.</w:t>
      </w:r>
      <w:r>
        <w:tab/>
        <w:t>Amendment or revocation of venue approval</w:t>
      </w:r>
      <w:bookmarkEnd w:id="116"/>
    </w:p>
    <w:p>
      <w:pPr>
        <w:pStyle w:val="Subsection"/>
        <w:spacing w:before="200"/>
      </w:pPr>
      <w:r>
        <w:tab/>
        <w:t>(1)</w:t>
      </w:r>
      <w:r>
        <w:tab/>
        <w:t>The CEO may, on his or her own initiative, amend a venue approval if the CEO is satisfied that there is reasonable cause for the amendment.</w:t>
      </w:r>
    </w:p>
    <w:p>
      <w:pPr>
        <w:pStyle w:val="Subsection"/>
        <w:spacing w:before="200"/>
      </w:pPr>
      <w:r>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 in Gazette 5 Dec 2013 p. 5711</w:t>
      </w:r>
      <w:r>
        <w:noBreakHyphen/>
        <w:t>12.]</w:t>
      </w:r>
    </w:p>
    <w:p>
      <w:pPr>
        <w:pStyle w:val="Heading5"/>
      </w:pPr>
      <w:bookmarkStart w:id="117" w:name="_Toc381705985"/>
      <w:r>
        <w:rPr>
          <w:rStyle w:val="CharSectno"/>
        </w:rPr>
        <w:t>19F</w:t>
      </w:r>
      <w:r>
        <w:t>.</w:t>
      </w:r>
      <w:r>
        <w:tab/>
        <w:t>Notice of appellable decision</w:t>
      </w:r>
      <w:bookmarkEnd w:id="117"/>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tab/>
        <w:t>(2)</w:t>
      </w:r>
      <w:r>
        <w:tab/>
        <w:t xml:space="preserve">The CEO — </w:t>
      </w:r>
    </w:p>
    <w:p>
      <w:pPr>
        <w:pStyle w:val="Indenta"/>
      </w:pPr>
      <w:r>
        <w:tab/>
        <w:t>(a)</w:t>
      </w:r>
      <w:r>
        <w:tab/>
        <w:t>must give a written notice of an appellable decision to the occupier of the relevant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in Gazette 5 Dec 2013 p. 5712.]</w:t>
      </w:r>
    </w:p>
    <w:p>
      <w:pPr>
        <w:pStyle w:val="Heading5"/>
      </w:pPr>
      <w:bookmarkStart w:id="118" w:name="_Toc381705986"/>
      <w:r>
        <w:rPr>
          <w:rStyle w:val="CharSectno"/>
        </w:rPr>
        <w:t>19G</w:t>
      </w:r>
      <w:r>
        <w:t>.</w:t>
      </w:r>
      <w:r>
        <w:tab/>
        <w:t>Appeals against decisions under this Division</w:t>
      </w:r>
      <w:bookmarkEnd w:id="118"/>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in Gazette 5 Dec 2013 p. 5712</w:t>
      </w:r>
      <w:r>
        <w:noBreakHyphen/>
        <w:t>13.]</w:t>
      </w:r>
    </w:p>
    <w:p>
      <w:pPr>
        <w:pStyle w:val="Heading2"/>
      </w:pPr>
      <w:bookmarkStart w:id="119" w:name="_Toc381705987"/>
      <w:r>
        <w:rPr>
          <w:rStyle w:val="CharPartNo"/>
        </w:rPr>
        <w:t>Part 3</w:t>
      </w:r>
      <w:r>
        <w:rPr>
          <w:rStyle w:val="CharDivNo"/>
        </w:rPr>
        <w:t> </w:t>
      </w:r>
      <w:r>
        <w:t>—</w:t>
      </w:r>
      <w:r>
        <w:rPr>
          <w:rStyle w:val="CharDivText"/>
        </w:rPr>
        <w:t> </w:t>
      </w:r>
      <w:r>
        <w:rPr>
          <w:rStyle w:val="CharPartText"/>
        </w:rPr>
        <w:t>Noise measurement</w:t>
      </w:r>
      <w:bookmarkEnd w:id="119"/>
      <w:r>
        <w:rPr>
          <w:rStyle w:val="CharPartText"/>
        </w:rPr>
        <w:t xml:space="preserve"> </w:t>
      </w:r>
    </w:p>
    <w:p>
      <w:pPr>
        <w:pStyle w:val="Heading5"/>
        <w:rPr>
          <w:snapToGrid w:val="0"/>
        </w:rPr>
      </w:pPr>
      <w:bookmarkStart w:id="120" w:name="_Toc381705988"/>
      <w:r>
        <w:rPr>
          <w:rStyle w:val="CharSectno"/>
        </w:rPr>
        <w:t>19</w:t>
      </w:r>
      <w:r>
        <w:rPr>
          <w:snapToGrid w:val="0"/>
        </w:rPr>
        <w:t xml:space="preserve">. </w:t>
      </w:r>
      <w:r>
        <w:rPr>
          <w:snapToGrid w:val="0"/>
        </w:rPr>
        <w:tab/>
        <w:t>Place of measurement of noise</w:t>
      </w:r>
      <w:bookmarkEnd w:id="12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121" w:name="RuleErr_125"/>
      <w:bookmarkStart w:id="122" w:name="RuleErr_168"/>
      <w:r>
        <w:rPr>
          <w:rStyle w:val="CharDefText"/>
        </w:rPr>
        <w:t>boundary</w:t>
      </w:r>
      <w:bookmarkEnd w:id="121"/>
      <w:bookmarkEnd w:id="122"/>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123" w:name="_Toc381705989"/>
      <w:r>
        <w:rPr>
          <w:rStyle w:val="CharSectno"/>
        </w:rPr>
        <w:t>20</w:t>
      </w:r>
      <w:r>
        <w:rPr>
          <w:snapToGrid w:val="0"/>
        </w:rPr>
        <w:t xml:space="preserve">. </w:t>
      </w:r>
      <w:r>
        <w:rPr>
          <w:snapToGrid w:val="0"/>
        </w:rPr>
        <w:tab/>
        <w:t>Measurement of noise at premises</w:t>
      </w:r>
      <w:bookmarkEnd w:id="123"/>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metres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metres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one metre from any open external window or door.</w:t>
      </w:r>
    </w:p>
    <w:p>
      <w:pPr>
        <w:pStyle w:val="Heading5"/>
        <w:rPr>
          <w:snapToGrid w:val="0"/>
        </w:rPr>
      </w:pPr>
      <w:bookmarkStart w:id="124" w:name="_Toc381705990"/>
      <w:r>
        <w:rPr>
          <w:rStyle w:val="CharSectno"/>
        </w:rPr>
        <w:t>21</w:t>
      </w:r>
      <w:r>
        <w:rPr>
          <w:snapToGrid w:val="0"/>
        </w:rPr>
        <w:t xml:space="preserve">. </w:t>
      </w:r>
      <w:r>
        <w:rPr>
          <w:snapToGrid w:val="0"/>
        </w:rPr>
        <w:tab/>
        <w:t>Measurement of airblast levels</w:t>
      </w:r>
      <w:bookmarkEnd w:id="124"/>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metres to 1.6 metres above the ground plane.</w:t>
      </w:r>
    </w:p>
    <w:p>
      <w:pPr>
        <w:pStyle w:val="Subsection"/>
        <w:rPr>
          <w:snapToGrid w:val="0"/>
        </w:rPr>
      </w:pPr>
      <w:r>
        <w:rPr>
          <w:snapToGrid w:val="0"/>
        </w:rPr>
        <w:tab/>
        <w:t>(3)</w:t>
      </w:r>
      <w:r>
        <w:rPr>
          <w:snapToGrid w:val="0"/>
        </w:rPr>
        <w:tab/>
        <w:t>Airblast level measurements must be made with the measuring microphone located at least 5 metres from any substantial sound reflecting surface (other than the ground plane).</w:t>
      </w:r>
    </w:p>
    <w:p>
      <w:pPr>
        <w:pStyle w:val="Heading5"/>
        <w:rPr>
          <w:snapToGrid w:val="0"/>
        </w:rPr>
      </w:pPr>
      <w:bookmarkStart w:id="125" w:name="_Toc371928085"/>
      <w:bookmarkStart w:id="126" w:name="_Toc381705991"/>
      <w:r>
        <w:rPr>
          <w:rStyle w:val="CharSectno"/>
        </w:rPr>
        <w:t>22</w:t>
      </w:r>
      <w:r>
        <w:rPr>
          <w:snapToGrid w:val="0"/>
        </w:rPr>
        <w:t>.</w:t>
      </w:r>
      <w:r>
        <w:rPr>
          <w:snapToGrid w:val="0"/>
        </w:rPr>
        <w:tab/>
        <w:t>Sound measuring equipment must comply with Schedule 4</w:t>
      </w:r>
      <w:bookmarkEnd w:id="125"/>
      <w:bookmarkEnd w:id="126"/>
    </w:p>
    <w:p>
      <w:pPr>
        <w:pStyle w:val="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Footnotesection"/>
      </w:pPr>
      <w:r>
        <w:tab/>
        <w:t>[Regulation 22 inserted in Gazette 5 Dec 2013 p. 5713</w:t>
      </w:r>
      <w:r>
        <w:noBreakHyphen/>
        <w:t>14.]</w:t>
      </w:r>
    </w:p>
    <w:p>
      <w:pPr>
        <w:pStyle w:val="Heading5"/>
        <w:spacing w:before="200"/>
        <w:rPr>
          <w:snapToGrid w:val="0"/>
        </w:rPr>
      </w:pPr>
      <w:bookmarkStart w:id="127" w:name="_Toc381705992"/>
      <w:r>
        <w:rPr>
          <w:rStyle w:val="CharSectno"/>
        </w:rPr>
        <w:t>23</w:t>
      </w:r>
      <w:r>
        <w:rPr>
          <w:snapToGrid w:val="0"/>
        </w:rPr>
        <w:t xml:space="preserve">. </w:t>
      </w:r>
      <w:r>
        <w:rPr>
          <w:snapToGrid w:val="0"/>
        </w:rPr>
        <w:tab/>
        <w:t>Calibration results to be available</w:t>
      </w:r>
      <w:bookmarkEnd w:id="127"/>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in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28" w:name="_Toc371927998"/>
      <w:bookmarkStart w:id="129" w:name="_Toc371928089"/>
      <w:bookmarkStart w:id="130" w:name="_Toc381705993"/>
      <w:r>
        <w:rPr>
          <w:rStyle w:val="CharSchNo"/>
        </w:rPr>
        <w:t>Schedule 1</w:t>
      </w:r>
      <w:r>
        <w:t> — </w:t>
      </w:r>
      <w:r>
        <w:rPr>
          <w:rStyle w:val="CharSchText"/>
        </w:rPr>
        <w:t>Classification of premises</w:t>
      </w:r>
      <w:bookmarkEnd w:id="128"/>
      <w:bookmarkEnd w:id="129"/>
      <w:bookmarkEnd w:id="130"/>
    </w:p>
    <w:p>
      <w:pPr>
        <w:pStyle w:val="yShoulderClause"/>
      </w:pPr>
      <w:r>
        <w:t>[r. 2]</w:t>
      </w:r>
    </w:p>
    <w:p>
      <w:pPr>
        <w:pStyle w:val="yFootnoteheading"/>
      </w:pPr>
      <w:r>
        <w:tab/>
        <w:t>[Heading inserted in Gazette 5 Dec 2013 p. 5714.]</w:t>
      </w:r>
    </w:p>
    <w:p>
      <w:pPr>
        <w:pStyle w:val="yMiscellaneousHeading"/>
        <w:rPr>
          <w:b/>
        </w:rPr>
      </w:pPr>
      <w:r>
        <w:rPr>
          <w:b/>
        </w:rPr>
        <w:t>Part A — Industrial and utility premises</w:t>
      </w:r>
    </w:p>
    <w:p>
      <w:pPr>
        <w:pStyle w:val="yMiscellaneousBody"/>
        <w:ind w:left="720" w:hanging="720"/>
        <w:rPr>
          <w:snapToGrid w:val="0"/>
        </w:rPr>
      </w:pPr>
      <w:r>
        <w:rPr>
          <w:snapToGrid w:val="0"/>
        </w:rPr>
        <w:t>1.</w:t>
      </w:r>
      <w:r>
        <w:rPr>
          <w:snapToGrid w:val="0"/>
        </w:rPr>
        <w:tab/>
        <w:t>Premises used for the purpose of providing sewerage, electricity, gas, drainage, passenger transport or other similar services.</w:t>
      </w:r>
    </w:p>
    <w:p>
      <w:pPr>
        <w:pStyle w:val="yMiscellaneousBody"/>
        <w:ind w:left="720" w:hanging="720"/>
        <w:rPr>
          <w:snapToGrid w:val="0"/>
        </w:rPr>
      </w:pPr>
      <w:r>
        <w:rPr>
          <w:snapToGrid w:val="0"/>
        </w:rPr>
        <w:t>2A.</w:t>
      </w:r>
      <w:r>
        <w:rPr>
          <w:snapToGrid w:val="0"/>
        </w:rPr>
        <w:tab/>
        <w:t>Premises used for the purpose of providing water other than a water storage dam or catchment for a water storage dam.</w:t>
      </w:r>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r>
        <w:rPr>
          <w:snapToGrid w:val="0"/>
        </w:rPr>
        <w:tab/>
        <w:t>(a)</w:t>
      </w:r>
      <w:r>
        <w:rPr>
          <w:snapToGrid w:val="0"/>
        </w:rPr>
        <w:tab/>
        <w:t>production, processing or manufacture; or</w:t>
      </w:r>
    </w:p>
    <w:p>
      <w:pPr>
        <w:pStyle w:val="yMiscellaneousBody"/>
        <w:tabs>
          <w:tab w:val="left" w:pos="1276"/>
        </w:tabs>
        <w:ind w:left="720" w:hanging="720"/>
        <w:rPr>
          <w:snapToGrid w:val="0"/>
        </w:rPr>
      </w:pPr>
      <w:r>
        <w:rPr>
          <w:snapToGrid w:val="0"/>
        </w:rPr>
        <w:tab/>
        <w:t>(b)</w:t>
      </w:r>
      <w:r>
        <w:rPr>
          <w:snapToGrid w:val="0"/>
        </w:rPr>
        <w:tab/>
        <w:t>dismantling or breaking up equipment; or</w:t>
      </w:r>
    </w:p>
    <w:p>
      <w:pPr>
        <w:pStyle w:val="yMiscellaneousBody"/>
        <w:tabs>
          <w:tab w:val="left" w:pos="709"/>
          <w:tab w:val="left" w:pos="1276"/>
        </w:tabs>
        <w:ind w:left="1276" w:hanging="1276"/>
        <w:rPr>
          <w:snapToGrid w:val="0"/>
        </w:rPr>
      </w:pPr>
      <w:r>
        <w:rPr>
          <w:snapToGrid w:val="0"/>
        </w:rPr>
        <w:tab/>
        <w:t>(c)</w:t>
      </w:r>
      <w:r>
        <w:rPr>
          <w:snapToGrid w:val="0"/>
        </w:rPr>
        <w:tab/>
        <w:t>repairing, laundering and servicing of equipment and buildings, but not including on</w:t>
      </w:r>
      <w:r>
        <w:rPr>
          <w:snapToGrid w:val="0"/>
        </w:rPr>
        <w:noBreakHyphen/>
        <w:t>site work on buildings; or</w:t>
      </w:r>
    </w:p>
    <w:p>
      <w:pPr>
        <w:pStyle w:val="yMiscellaneousBody"/>
        <w:tabs>
          <w:tab w:val="left" w:pos="1276"/>
        </w:tabs>
        <w:ind w:left="720" w:hanging="720"/>
        <w:rPr>
          <w:snapToGrid w:val="0"/>
        </w:rPr>
      </w:pPr>
      <w:r>
        <w:rPr>
          <w:snapToGrid w:val="0"/>
        </w:rPr>
        <w:tab/>
        <w:t>(d)</w:t>
      </w:r>
      <w:r>
        <w:rPr>
          <w:snapToGrid w:val="0"/>
        </w:rPr>
        <w:tab/>
        <w:t>packaging; or</w:t>
      </w:r>
    </w:p>
    <w:p>
      <w:pPr>
        <w:pStyle w:val="yMiscellaneousBody"/>
        <w:tabs>
          <w:tab w:val="left" w:pos="709"/>
          <w:tab w:val="left" w:pos="1276"/>
        </w:tabs>
        <w:ind w:left="1276" w:hanging="1276"/>
        <w:rPr>
          <w:snapToGrid w:val="0"/>
        </w:rPr>
      </w:pPr>
      <w:r>
        <w:rPr>
          <w:snapToGrid w:val="0"/>
        </w:rPr>
        <w:tab/>
        <w:t>(e)</w:t>
      </w:r>
      <w:r>
        <w:rPr>
          <w:snapToGrid w:val="0"/>
        </w:rPr>
        <w:tab/>
        <w:t>outdoor storage not in association with any other activity on the site, but not including a vehicle sales yard; or</w:t>
      </w:r>
    </w:p>
    <w:p>
      <w:pPr>
        <w:pStyle w:val="yMiscellaneousBody"/>
        <w:tabs>
          <w:tab w:val="left" w:pos="1276"/>
        </w:tabs>
        <w:ind w:left="720" w:hanging="720"/>
        <w:rPr>
          <w:snapToGrid w:val="0"/>
        </w:rPr>
      </w:pPr>
      <w:r>
        <w:rPr>
          <w:snapToGrid w:val="0"/>
        </w:rPr>
        <w:tab/>
        <w:t>(f)</w:t>
      </w:r>
      <w:r>
        <w:rPr>
          <w:snapToGrid w:val="0"/>
        </w:rPr>
        <w:tab/>
        <w:t>printing.</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Grounds, administrative premises, and premises or parts of premises used for the personal comfort, convenience or enjoyment of leisure of employees, or persons otherwise engaged in the conduct of an industry or utility, where those premises are attached to or form part of premises referred to in this Part.</w:t>
      </w:r>
    </w:p>
    <w:p>
      <w:pPr>
        <w:pStyle w:val="yMiscellaneousBody"/>
        <w:ind w:left="720" w:hanging="720"/>
        <w:rPr>
          <w:snapToGrid w:val="0"/>
        </w:rPr>
      </w:pPr>
      <w:r>
        <w:rPr>
          <w:snapToGrid w:val="0"/>
        </w:rPr>
        <w:t xml:space="preserve">8. </w:t>
      </w:r>
      <w:r>
        <w:rPr>
          <w:snapToGrid w:val="0"/>
        </w:rPr>
        <w:tab/>
        <w:t>Caretaker’s and like residences attached to or forming part of premises referred to in this Part.</w:t>
      </w:r>
    </w:p>
    <w:p>
      <w:pPr>
        <w:pStyle w:val="yFootnotesection"/>
      </w:pPr>
      <w:r>
        <w:tab/>
        <w:t>[Part A amended in Gazette 5 Dec 2013 p. 5714</w:t>
      </w:r>
      <w:r>
        <w:noBreakHyphen/>
        <w:t>15.]</w:t>
      </w:r>
    </w:p>
    <w:p>
      <w:pPr>
        <w:pStyle w:val="yMiscellaneousHeading"/>
        <w:rPr>
          <w:b/>
        </w:rPr>
      </w:pPr>
      <w:r>
        <w:rPr>
          <w:b/>
        </w:rPr>
        <w:t>Part B — 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structures within the meaning of the </w:t>
      </w:r>
      <w:r>
        <w:rPr>
          <w:i/>
          <w:snapToGrid w:val="0"/>
        </w:rPr>
        <w:t>Occupational Safety and Health Regulations 1996</w:t>
      </w:r>
      <w:r>
        <w:rPr>
          <w:snapToGrid w:val="0"/>
        </w:rPr>
        <w:t>.</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snapToGrid w:val="0"/>
        </w:rPr>
      </w:pPr>
      <w:r>
        <w:rPr>
          <w:snapToGrid w:val="0"/>
        </w:rPr>
        <w:t>14.</w:t>
      </w:r>
      <w:r>
        <w:rPr>
          <w:snapToGrid w:val="0"/>
        </w:rPr>
        <w:tab/>
      </w:r>
      <w:r>
        <w:t>P</w:t>
      </w:r>
      <w:r>
        <w:rPr>
          <w:snapToGrid w:val="0"/>
        </w:rPr>
        <w:t>remises used for the purpose of providing communications.</w:t>
      </w:r>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pPr>
      <w:r>
        <w:tab/>
        <w:t>[Part B amended in Gazette 5 Dec 2013 p. 5715.]</w:t>
      </w:r>
    </w:p>
    <w:p>
      <w:pPr>
        <w:pStyle w:val="yMiscellaneousHeading"/>
        <w:rPr>
          <w:b/>
        </w:rPr>
      </w:pPr>
      <w:r>
        <w:rPr>
          <w:b/>
        </w:rPr>
        <w:t>Part C — Noise sensitive premises</w:t>
      </w:r>
    </w:p>
    <w:p>
      <w:pPr>
        <w:pStyle w:val="yFootnoteheading"/>
      </w:pPr>
      <w:r>
        <w:tab/>
        <w:t>[Heading inserted in Gazette 5 Dec 2013 p. 5715.]</w:t>
      </w:r>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r>
        <w:rPr>
          <w:snapToGrid w:val="0"/>
        </w:rPr>
        <w:tab/>
        <w:t>(a)</w:t>
      </w:r>
      <w:r>
        <w:rPr>
          <w:snapToGrid w:val="0"/>
        </w:rPr>
        <w:tab/>
        <w:t>a caravan park or camping ground; or</w:t>
      </w:r>
    </w:p>
    <w:p>
      <w:pPr>
        <w:pStyle w:val="yMiscellaneousBody"/>
        <w:tabs>
          <w:tab w:val="left" w:pos="709"/>
          <w:tab w:val="left" w:pos="1276"/>
        </w:tabs>
        <w:ind w:left="1276" w:hanging="1276"/>
        <w:rPr>
          <w:snapToGrid w:val="0"/>
        </w:rPr>
      </w:pPr>
      <w:r>
        <w:rPr>
          <w:snapToGrid w:val="0"/>
        </w:rPr>
        <w:tab/>
        <w:t>(b)</w:t>
      </w:r>
      <w:r>
        <w:rPr>
          <w:snapToGrid w:val="0"/>
        </w:rPr>
        <w:tab/>
        <w:t>a hospital having accommodation for less than 150 in</w:t>
      </w:r>
      <w:r>
        <w:rPr>
          <w:snapToGrid w:val="0"/>
        </w:rPr>
        <w:noBreakHyphen/>
        <w:t>patients; or</w:t>
      </w:r>
    </w:p>
    <w:p>
      <w:pPr>
        <w:pStyle w:val="yMiscellaneousBody"/>
        <w:tabs>
          <w:tab w:val="left" w:pos="709"/>
          <w:tab w:val="left" w:pos="1276"/>
        </w:tabs>
        <w:ind w:left="1276" w:hanging="1276"/>
        <w:rPr>
          <w:snapToGrid w:val="0"/>
        </w:rPr>
      </w:pPr>
      <w:r>
        <w:rPr>
          <w:snapToGrid w:val="0"/>
        </w:rPr>
        <w:tab/>
        <w:t>(c)</w:t>
      </w:r>
      <w:r>
        <w:rPr>
          <w:snapToGrid w:val="0"/>
        </w:rPr>
        <w:tab/>
        <w:t>a sanatorium, home or institution for care of persons, a rehabilitation centre, home or institution for persons requiring medical or rehabilitative treatment; or</w:t>
      </w:r>
    </w:p>
    <w:p>
      <w:pPr>
        <w:pStyle w:val="yMiscellaneousBody"/>
        <w:tabs>
          <w:tab w:val="left" w:pos="709"/>
          <w:tab w:val="left" w:pos="1276"/>
        </w:tabs>
        <w:ind w:left="1276" w:hanging="1276"/>
        <w:rPr>
          <w:snapToGrid w:val="0"/>
        </w:rPr>
      </w:pPr>
      <w:r>
        <w:rPr>
          <w:snapToGrid w:val="0"/>
        </w:rPr>
        <w:tab/>
        <w:t>(d)</w:t>
      </w:r>
      <w:r>
        <w:rPr>
          <w:snapToGrid w:val="0"/>
        </w:rPr>
        <w:tab/>
        <w:t>education — school, college, university, technical institute, academy or other educational centre, lecture hall or other premises used for the purpose of instruction; or</w:t>
      </w:r>
    </w:p>
    <w:p>
      <w:pPr>
        <w:pStyle w:val="yMiscellaneousBody"/>
        <w:tabs>
          <w:tab w:val="left" w:pos="709"/>
          <w:tab w:val="left" w:pos="1276"/>
        </w:tabs>
        <w:rPr>
          <w:snapToGrid w:val="0"/>
        </w:rPr>
      </w:pPr>
      <w:r>
        <w:rPr>
          <w:snapToGrid w:val="0"/>
        </w:rPr>
        <w:tab/>
        <w:t>(e)</w:t>
      </w:r>
      <w:r>
        <w:rPr>
          <w:snapToGrid w:val="0"/>
        </w:rPr>
        <w:tab/>
        <w:t>public worship; or</w:t>
      </w:r>
    </w:p>
    <w:p>
      <w:pPr>
        <w:pStyle w:val="yMiscellaneousBody"/>
        <w:tabs>
          <w:tab w:val="left" w:pos="742"/>
        </w:tabs>
        <w:ind w:left="1440" w:hanging="1440"/>
        <w:rPr>
          <w:snapToGrid w:val="0"/>
        </w:rPr>
      </w:pPr>
      <w:r>
        <w:rPr>
          <w:snapToGrid w:val="0"/>
        </w:rPr>
        <w:tab/>
        <w:t>(f)</w:t>
      </w:r>
      <w:r>
        <w:rPr>
          <w:snapToGrid w:val="0"/>
        </w:rPr>
        <w:tab/>
        <w:t>a tavern, hotel, club premises, reception lodge or other premises which provides accommodation for the public; or</w:t>
      </w:r>
    </w:p>
    <w:p>
      <w:pPr>
        <w:pStyle w:val="yMiscellaneousBody"/>
        <w:rPr>
          <w:snapToGrid w:val="0"/>
        </w:rPr>
      </w:pPr>
      <w:r>
        <w:rPr>
          <w:snapToGrid w:val="0"/>
        </w:rPr>
        <w:tab/>
        <w:t>(g)</w:t>
      </w:r>
      <w:r>
        <w:rPr>
          <w:snapToGrid w:val="0"/>
        </w:rPr>
        <w:tab/>
        <w:t>aged care; or</w:t>
      </w:r>
    </w:p>
    <w:p>
      <w:pPr>
        <w:pStyle w:val="yMiscellaneousBody"/>
        <w:rPr>
          <w:snapToGrid w:val="0"/>
        </w:rPr>
      </w:pPr>
      <w:r>
        <w:rPr>
          <w:snapToGrid w:val="0"/>
        </w:rPr>
        <w:tab/>
        <w:t>(h)</w:t>
      </w:r>
      <w:r>
        <w:rPr>
          <w:snapToGrid w:val="0"/>
        </w:rPr>
        <w:tab/>
        <w:t>child care; or</w:t>
      </w:r>
    </w:p>
    <w:p>
      <w:pPr>
        <w:pStyle w:val="yMiscellaneousBody"/>
        <w:rPr>
          <w:snapToGrid w:val="0"/>
        </w:rPr>
      </w:pPr>
      <w:r>
        <w:rPr>
          <w:snapToGrid w:val="0"/>
        </w:rPr>
        <w:tab/>
        <w:t>(i)</w:t>
      </w:r>
      <w:r>
        <w:rPr>
          <w:snapToGrid w:val="0"/>
        </w:rPr>
        <w:tab/>
        <w:t xml:space="preserve">a prison or detention </w:t>
      </w:r>
      <w:r>
        <w:rPr>
          <w:szCs w:val="22"/>
        </w:rPr>
        <w:t>centre; or</w:t>
      </w:r>
    </w:p>
    <w:p>
      <w:pPr>
        <w:pStyle w:val="yMiscellaneousBody"/>
        <w:rPr>
          <w:snapToGrid w:val="0"/>
        </w:rPr>
      </w:pPr>
      <w:r>
        <w:rPr>
          <w:snapToGrid w:val="0"/>
        </w:rPr>
        <w:tab/>
        <w:t>(j)</w:t>
      </w:r>
      <w:r>
        <w:rPr>
          <w:snapToGrid w:val="0"/>
        </w:rPr>
        <w:tab/>
        <w:t>a water storage dam or a catchment for a water storage dam.</w:t>
      </w:r>
    </w:p>
    <w:p>
      <w:pPr>
        <w:pStyle w:val="yMiscellaneousBody"/>
        <w:rPr>
          <w:snapToGrid w:val="0"/>
        </w:rPr>
      </w:pPr>
      <w:r>
        <w:rPr>
          <w:snapToGrid w:val="0"/>
        </w:rPr>
        <w:t xml:space="preserve">4. </w:t>
      </w:r>
      <w:r>
        <w:rPr>
          <w:snapToGrid w:val="0"/>
        </w:rPr>
        <w:tab/>
        <w:t>Any other premises not referred to in Part A or Part B</w:t>
      </w:r>
      <w:bookmarkStart w:id="131" w:name="RuleErr_67"/>
      <w:r>
        <w:rPr>
          <w:snapToGrid w:val="0"/>
        </w:rPr>
        <w:t xml:space="preserve"> of this Schedule</w:t>
      </w:r>
      <w:bookmarkEnd w:id="131"/>
      <w:r>
        <w:rPr>
          <w:snapToGrid w:val="0"/>
        </w:rPr>
        <w:t>.</w:t>
      </w:r>
    </w:p>
    <w:p>
      <w:pPr>
        <w:pStyle w:val="yFootnotesection"/>
      </w:pPr>
      <w:r>
        <w:tab/>
        <w:t>[Part C amended in Gazette 5 Dec 2013 p. 5715</w:t>
      </w:r>
      <w:r>
        <w:noBreakHyphen/>
        <w:t>16.]</w:t>
      </w:r>
    </w:p>
    <w:p>
      <w:pPr>
        <w:pStyle w:val="yScheduleHeading"/>
      </w:pPr>
      <w:bookmarkStart w:id="132" w:name="_Toc381705994"/>
      <w:r>
        <w:rPr>
          <w:rStyle w:val="CharSchNo"/>
        </w:rPr>
        <w:t>Schedule 2</w:t>
      </w:r>
      <w:r>
        <w:rPr>
          <w:rStyle w:val="CharSDivNo"/>
        </w:rPr>
        <w:t> </w:t>
      </w:r>
      <w:r>
        <w:t>—</w:t>
      </w:r>
      <w:r>
        <w:rPr>
          <w:rStyle w:val="CharSDivText"/>
        </w:rPr>
        <w:t> </w:t>
      </w:r>
      <w:r>
        <w:rPr>
          <w:rStyle w:val="CharSchText"/>
        </w:rPr>
        <w:t>Community noise</w:t>
      </w:r>
      <w:bookmarkEnd w:id="132"/>
    </w:p>
    <w:p>
      <w:pPr>
        <w:pStyle w:val="yShoulderClause"/>
      </w:pPr>
      <w:r>
        <w:t>[r. 16]</w:t>
      </w:r>
    </w:p>
    <w:p>
      <w:pPr>
        <w:pStyle w:val="yFootnoteheading"/>
        <w:rPr>
          <w:snapToGrid w:val="0"/>
        </w:rPr>
      </w:pPr>
      <w:r>
        <w:tab/>
        <w:t>[Heading inserted in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ind w:left="567" w:hanging="567"/>
        <w:rPr>
          <w:snapToGrid w:val="0"/>
        </w:rPr>
      </w:pPr>
      <w:r>
        <w:rPr>
          <w:snapToGrid w:val="0"/>
        </w:rPr>
        <w:t xml:space="preserve">1. </w:t>
      </w:r>
      <w:r>
        <w:rPr>
          <w:snapToGrid w:val="0"/>
        </w:rPr>
        <w:tab/>
        <w:t>Noise emitted by spectators at a sporting activity that is — </w:t>
      </w:r>
    </w:p>
    <w:p>
      <w:pPr>
        <w:pStyle w:val="yTable"/>
        <w:ind w:left="1134" w:hanging="567"/>
        <w:rPr>
          <w:snapToGrid w:val="0"/>
        </w:rPr>
      </w:pPr>
      <w:r>
        <w:rPr>
          <w:snapToGrid w:val="0"/>
        </w:rPr>
        <w:t>(a)</w:t>
      </w:r>
      <w:r>
        <w:rPr>
          <w:snapToGrid w:val="0"/>
        </w:rPr>
        <w:tab/>
        <w:t>arranged by a sporting organization;</w:t>
      </w:r>
    </w:p>
    <w:p>
      <w:pPr>
        <w:pStyle w:val="yTable"/>
        <w:ind w:left="1134" w:hanging="567"/>
        <w:rPr>
          <w:snapToGrid w:val="0"/>
        </w:rPr>
      </w:pPr>
      <w:r>
        <w:rPr>
          <w:snapToGrid w:val="0"/>
        </w:rPr>
        <w:t>(b)</w:t>
      </w:r>
      <w:r>
        <w:rPr>
          <w:snapToGrid w:val="0"/>
        </w:rPr>
        <w:tab/>
        <w:t>conducted at a sporting venue; or</w:t>
      </w:r>
    </w:p>
    <w:p>
      <w:pPr>
        <w:pStyle w:val="yTable"/>
        <w:ind w:left="1134" w:hanging="567"/>
        <w:rPr>
          <w:snapToGrid w:val="0"/>
        </w:rPr>
      </w:pPr>
      <w:r>
        <w:rPr>
          <w:snapToGrid w:val="0"/>
        </w:rPr>
        <w:t>(c)</w:t>
      </w:r>
      <w:r>
        <w:rPr>
          <w:snapToGrid w:val="0"/>
        </w:rPr>
        <w:tab/>
        <w:t>advertised prior to the conduct of the event.</w:t>
      </w:r>
    </w:p>
    <w:p>
      <w:pPr>
        <w:pStyle w:val="yTable"/>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ind w:left="1134" w:hanging="567"/>
        <w:rPr>
          <w:snapToGrid w:val="0"/>
        </w:rPr>
      </w:pPr>
      <w:r>
        <w:rPr>
          <w:snapToGrid w:val="0"/>
        </w:rPr>
        <w:t>(a)</w:t>
      </w:r>
      <w:r>
        <w:rPr>
          <w:snapToGrid w:val="0"/>
        </w:rPr>
        <w:tab/>
        <w:t>the noise is not noise of a kind referred to in regulation 1</w:t>
      </w:r>
      <w:bookmarkStart w:id="133" w:name="RuleErr_31"/>
      <w:r>
        <w:rPr>
          <w:snapToGrid w:val="0"/>
        </w:rPr>
        <w:t>5(</w:t>
      </w:r>
      <w:bookmarkEnd w:id="133"/>
      <w:r>
        <w:rPr>
          <w:snapToGrid w:val="0"/>
        </w:rPr>
        <w:t>2); and</w:t>
      </w:r>
    </w:p>
    <w:p>
      <w:pPr>
        <w:pStyle w:val="yTable"/>
        <w:ind w:left="1134" w:hanging="567"/>
        <w:rPr>
          <w:snapToGrid w:val="0"/>
        </w:rPr>
      </w:pPr>
      <w:r>
        <w:rPr>
          <w:snapToGrid w:val="0"/>
        </w:rPr>
        <w:t>(b)</w:t>
      </w:r>
      <w:r>
        <w:rPr>
          <w:snapToGrid w:val="0"/>
        </w:rPr>
        <w:tab/>
        <w:t>the premises or public place on which the worship takes place is land which is referred to in section 6.2</w:t>
      </w:r>
      <w:bookmarkStart w:id="134" w:name="RuleErr_32"/>
      <w:r>
        <w:rPr>
          <w:snapToGrid w:val="0"/>
        </w:rPr>
        <w:t>6(</w:t>
      </w:r>
      <w:bookmarkEnd w:id="134"/>
      <w:r>
        <w:rPr>
          <w:snapToGrid w:val="0"/>
        </w:rPr>
        <w:t>2</w:t>
      </w:r>
      <w:bookmarkStart w:id="135" w:name="RuleErr_61"/>
      <w:r>
        <w:rPr>
          <w:snapToGrid w:val="0"/>
        </w:rPr>
        <w:t>)(</w:t>
      </w:r>
      <w:bookmarkEnd w:id="135"/>
      <w:r>
        <w:rPr>
          <w:snapToGrid w:val="0"/>
        </w:rPr>
        <w:t xml:space="preserve">d), (e) or (f) of the </w:t>
      </w:r>
      <w:r>
        <w:rPr>
          <w:i/>
          <w:snapToGrid w:val="0"/>
        </w:rPr>
        <w:t>Local Government Act 1995</w:t>
      </w:r>
      <w:r>
        <w:rPr>
          <w:snapToGrid w:val="0"/>
        </w:rPr>
        <w:t>.</w:t>
      </w:r>
    </w:p>
    <w:p>
      <w:pPr>
        <w:pStyle w:val="yTable"/>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ind w:left="1134" w:hanging="567"/>
        <w:rPr>
          <w:snapToGrid w:val="0"/>
        </w:rPr>
      </w:pPr>
      <w:r>
        <w:rPr>
          <w:snapToGrid w:val="0"/>
        </w:rPr>
        <w:t>(a)</w:t>
      </w:r>
      <w:r>
        <w:rPr>
          <w:snapToGrid w:val="0"/>
        </w:rPr>
        <w:tab/>
        <w:t>is conducted under the control of the occupier of the premises; and</w:t>
      </w:r>
    </w:p>
    <w:p>
      <w:pPr>
        <w:pStyle w:val="yTable"/>
        <w:ind w:left="1134" w:hanging="567"/>
        <w:rPr>
          <w:snapToGrid w:val="0"/>
        </w:rPr>
      </w:pPr>
      <w:r>
        <w:rPr>
          <w:snapToGrid w:val="0"/>
        </w:rPr>
        <w:t>(b)</w:t>
      </w:r>
      <w:r>
        <w:rPr>
          <w:snapToGrid w:val="0"/>
        </w:rPr>
        <w:tab/>
        <w:t>does not include the use of mechanical equipment other than musical instruments.</w:t>
      </w:r>
    </w:p>
    <w:p>
      <w:pPr>
        <w:pStyle w:val="yTable"/>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in Gazette 5 Dec 2013 p. 5716.]</w:t>
      </w:r>
    </w:p>
    <w:p>
      <w:pPr>
        <w:rPr>
          <w:rStyle w:val="CharSchNo"/>
          <w:b/>
          <w:snapToGrid w:val="0"/>
          <w:sz w:val="28"/>
        </w:rPr>
        <w:sectPr>
          <w:headerReference w:type="even" r:id="rId28"/>
          <w:headerReference w:type="default" r:id="rId29"/>
          <w:headerReference w:type="first" r:id="rId30"/>
          <w:type w:val="continuous"/>
          <w:pgSz w:w="11906" w:h="16838" w:code="9"/>
          <w:pgMar w:top="2376" w:right="2405" w:bottom="3542" w:left="2405" w:header="706" w:footer="3380" w:gutter="0"/>
          <w:cols w:space="720"/>
          <w:noEndnote/>
          <w:docGrid w:linePitch="326"/>
        </w:sectPr>
      </w:pPr>
    </w:p>
    <w:p>
      <w:pPr>
        <w:pStyle w:val="yScheduleHeading"/>
      </w:pPr>
      <w:bookmarkStart w:id="136" w:name="_Toc371928006"/>
      <w:bookmarkStart w:id="137" w:name="_Toc371928097"/>
      <w:bookmarkStart w:id="138" w:name="_Toc381705995"/>
      <w:r>
        <w:rPr>
          <w:rStyle w:val="CharSchNo"/>
        </w:rPr>
        <w:t>Schedule 3</w:t>
      </w:r>
      <w:r>
        <w:t> — </w:t>
      </w:r>
      <w:r>
        <w:rPr>
          <w:rStyle w:val="CharSchText"/>
        </w:rPr>
        <w:t>Determination of influencing factor on noise sensitive premises</w:t>
      </w:r>
      <w:bookmarkEnd w:id="136"/>
      <w:bookmarkEnd w:id="137"/>
      <w:bookmarkEnd w:id="138"/>
    </w:p>
    <w:p>
      <w:pPr>
        <w:pStyle w:val="yShoulderClause"/>
      </w:pPr>
      <w:r>
        <w:t>[r. 8]</w:t>
      </w:r>
    </w:p>
    <w:p>
      <w:pPr>
        <w:pStyle w:val="yFootnoteheading"/>
      </w:pPr>
      <w:r>
        <w:tab/>
        <w:t>[Heading inserted in Gazette 5 Dec 2013 p. 5716</w:t>
      </w:r>
      <w:r>
        <w:noBreakHyphen/>
        <w:t>17.]</w:t>
      </w:r>
    </w:p>
    <w:p>
      <w:pPr>
        <w:pStyle w:val="yHeading5"/>
        <w:outlineLvl w:val="9"/>
        <w:rPr>
          <w:snapToGrid w:val="0"/>
        </w:rPr>
      </w:pPr>
      <w:bookmarkStart w:id="139" w:name="_Toc381705996"/>
      <w:r>
        <w:rPr>
          <w:rStyle w:val="CharSClsNo"/>
        </w:rPr>
        <w:t>1</w:t>
      </w:r>
      <w:r>
        <w:rPr>
          <w:snapToGrid w:val="0"/>
        </w:rPr>
        <w:t xml:space="preserve">. </w:t>
      </w:r>
      <w:r>
        <w:rPr>
          <w:snapToGrid w:val="0"/>
        </w:rPr>
        <w:tab/>
        <w:t>Interpretation</w:t>
      </w:r>
      <w:bookmarkEnd w:id="139"/>
      <w:r>
        <w:rPr>
          <w:snapToGrid w:val="0"/>
        </w:rPr>
        <w:t xml:space="preserve"> </w:t>
      </w:r>
    </w:p>
    <w:p>
      <w:pPr>
        <w:pStyle w:val="ySubsection"/>
        <w:rPr>
          <w:snapToGrid w:val="0"/>
        </w:rPr>
      </w:pPr>
      <w:r>
        <w:rPr>
          <w:snapToGrid w:val="0"/>
        </w:rPr>
        <w:tab/>
        <w:t>(1)</w:t>
      </w:r>
      <w:r>
        <w:rPr>
          <w:snapToGrid w:val="0"/>
        </w:rPr>
        <w:tab/>
        <w:t>In this Schedule — </w:t>
      </w:r>
    </w:p>
    <w:p>
      <w:pPr>
        <w:pStyle w:val="yDefstart"/>
      </w:pPr>
      <w:r>
        <w:rPr>
          <w:b/>
        </w:rPr>
        <w:tab/>
      </w:r>
      <w:r>
        <w:rPr>
          <w:rStyle w:val="CharDefText"/>
        </w:rPr>
        <w:t>average daily traffic count</w:t>
      </w:r>
      <w:r>
        <w:t xml:space="preserve"> means the average daily traffic count as estimated under subclause (2);</w:t>
      </w:r>
    </w:p>
    <w:p>
      <w:pPr>
        <w:pStyle w:val="yDefstart"/>
      </w:pPr>
      <w:r>
        <w:rPr>
          <w:b/>
        </w:rPr>
        <w:tab/>
      </w:r>
      <w:r>
        <w:rPr>
          <w:rStyle w:val="CharDefText"/>
        </w:rPr>
        <w:t>inner circle</w:t>
      </w:r>
      <w:r>
        <w:t xml:space="preserve"> means a circle having a radius of 100 metres referred to in clause </w:t>
      </w:r>
      <w:bookmarkStart w:id="140" w:name="RuleErr_33"/>
      <w:r>
        <w:t>2(</w:t>
      </w:r>
      <w:bookmarkEnd w:id="140"/>
      <w:r>
        <w:t>1);</w:t>
      </w:r>
    </w:p>
    <w:p>
      <w:pPr>
        <w:pStyle w:val="yDefstart"/>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yDefstart"/>
      </w:pPr>
      <w:r>
        <w:tab/>
      </w:r>
      <w:r>
        <w:rPr>
          <w:rStyle w:val="CharDefText"/>
        </w:rPr>
        <w:t>land use map</w:t>
      </w:r>
      <w:r>
        <w:t xml:space="preserve"> means — </w:t>
      </w:r>
    </w:p>
    <w:p>
      <w:pPr>
        <w:pStyle w:val="yDefpara"/>
      </w:pPr>
      <w:r>
        <w:tab/>
        <w:t>(a)</w:t>
      </w:r>
      <w:r>
        <w:tab/>
        <w:t>a map prepared and in use by a local government for the purposes of imposing differential general rates; and</w:t>
      </w:r>
    </w:p>
    <w:p>
      <w:pPr>
        <w:pStyle w:val="yDefpara"/>
      </w:pPr>
      <w:r>
        <w:tab/>
        <w:t>(b)</w:t>
      </w:r>
      <w:r>
        <w:tab/>
        <w:t xml:space="preserve">a map that is included in a planning scheme as defined in the </w:t>
      </w:r>
      <w:r>
        <w:rPr>
          <w:i/>
          <w:iCs/>
        </w:rPr>
        <w:t>Planning and Development Act 2005</w:t>
      </w:r>
      <w:r>
        <w:t xml:space="preserve"> section 4(1); and</w:t>
      </w:r>
    </w:p>
    <w:p>
      <w:pPr>
        <w:pStyle w:val="yDefpara"/>
      </w:pPr>
      <w:r>
        <w:tab/>
        <w:t>(c)</w:t>
      </w:r>
      <w:r>
        <w:tab/>
        <w:t xml:space="preserve">a map that is included in a redevelopment scheme referred to in the </w:t>
      </w:r>
      <w:r>
        <w:rPr>
          <w:i/>
          <w:iCs/>
        </w:rPr>
        <w:t>Planning and Development Act 2005</w:t>
      </w:r>
      <w:r>
        <w:t xml:space="preserve"> section 71;</w:t>
      </w:r>
    </w:p>
    <w:p>
      <w:pPr>
        <w:pStyle w:val="yDefstart"/>
      </w:pPr>
      <w:r>
        <w:rPr>
          <w:b/>
        </w:rPr>
        <w:tab/>
      </w:r>
      <w:r>
        <w:rPr>
          <w:rStyle w:val="CharDefText"/>
        </w:rPr>
        <w:t>major road</w:t>
      </w:r>
      <w:r>
        <w:t xml:space="preserve"> means a road estimated to have an average daily traffic count of more than 15 000 vehicles;</w:t>
      </w:r>
    </w:p>
    <w:p>
      <w:pPr>
        <w:pStyle w:val="yDefstart"/>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pPr>
      <w:r>
        <w:rPr>
          <w:b/>
        </w:rPr>
        <w:tab/>
      </w:r>
      <w:r>
        <w:rPr>
          <w:rStyle w:val="CharDefText"/>
        </w:rPr>
        <w:t>outer circle</w:t>
      </w:r>
      <w:r>
        <w:t xml:space="preserve"> means a circle having a radius of 450 metres referred to in clause </w:t>
      </w:r>
      <w:bookmarkStart w:id="141" w:name="RuleErr_35"/>
      <w:r>
        <w:t>2(</w:t>
      </w:r>
      <w:bookmarkEnd w:id="141"/>
      <w:r>
        <w:t>1);</w:t>
      </w:r>
    </w:p>
    <w:p>
      <w:pPr>
        <w:pStyle w:val="yDefstart"/>
      </w:pPr>
      <w:r>
        <w:rPr>
          <w:b/>
        </w:rPr>
        <w:tab/>
      </w:r>
      <w:r>
        <w:rPr>
          <w:rStyle w:val="CharDefText"/>
        </w:rPr>
        <w:t>secondary road</w:t>
      </w:r>
      <w:r>
        <w:t xml:space="preserve"> means a road estimated to have an average daily traffic count of 6 000 to 15 000 vehicles;</w:t>
      </w:r>
    </w:p>
    <w:p>
      <w:pPr>
        <w:pStyle w:val="yDefstart"/>
      </w:pPr>
      <w:r>
        <w:rPr>
          <w:b/>
        </w:rPr>
        <w:tab/>
      </w:r>
      <w:r>
        <w:rPr>
          <w:rStyle w:val="CharDefText"/>
        </w:rPr>
        <w:t>transport factor</w:t>
      </w:r>
      <w:r>
        <w:t xml:space="preserve"> means — </w:t>
      </w:r>
    </w:p>
    <w:p>
      <w:pPr>
        <w:pStyle w:val="yDefpara"/>
      </w:pPr>
      <w:r>
        <w:tab/>
        <w:t>(a)</w:t>
      </w:r>
      <w:r>
        <w:tab/>
        <w:t>for a major road where any point inside the road reserve is present in the relevant inner circle, a transport factor of 6 dB;</w:t>
      </w:r>
    </w:p>
    <w:p>
      <w:pPr>
        <w:pStyle w:val="yDefpara"/>
      </w:pPr>
      <w:r>
        <w:tab/>
        <w:t>(b)</w:t>
      </w:r>
      <w:r>
        <w:tab/>
        <w:t>for a major road where any point inside the road reserve is present in the relevant outer circle, a transport factor of 2 dB;</w:t>
      </w:r>
    </w:p>
    <w:p>
      <w:pPr>
        <w:pStyle w:val="yDefpara"/>
      </w:pPr>
      <w:r>
        <w:tab/>
        <w:t>(c)</w:t>
      </w:r>
      <w:r>
        <w:tab/>
        <w:t>for each secondary road where any point inside the road reserve is present in the relevant inner circle, a transport factor of 2 dB.</w:t>
      </w:r>
    </w:p>
    <w:p>
      <w:pPr>
        <w:pStyle w:val="ySubsection"/>
        <w:rPr>
          <w:snapToGrid w:val="0"/>
        </w:rPr>
      </w:pPr>
      <w:r>
        <w:rPr>
          <w:snapToGrid w:val="0"/>
        </w:rPr>
        <w:tab/>
        <w:t>(2)</w:t>
      </w:r>
      <w:r>
        <w:rPr>
          <w:snapToGrid w:val="0"/>
        </w:rPr>
        <w:tab/>
        <w:t>The average daily traffic count of a road is to be estimated — </w:t>
      </w:r>
    </w:p>
    <w:p>
      <w:pPr>
        <w:pStyle w:val="yIndenta"/>
        <w:rPr>
          <w:snapToGrid w:val="0"/>
        </w:rPr>
      </w:pPr>
      <w:r>
        <w:rPr>
          <w:snapToGrid w:val="0"/>
        </w:rPr>
        <w:tab/>
        <w:t>(a)</w:t>
      </w:r>
      <w:r>
        <w:rPr>
          <w:snapToGrid w:val="0"/>
        </w:rPr>
        <w:tab/>
        <w:t xml:space="preserve">by reference to the latest </w:t>
      </w:r>
      <w:r>
        <w:t>average weekday traffic flows published by Main Roads Western Australia; or</w:t>
      </w:r>
    </w:p>
    <w:p>
      <w:pPr>
        <w:pStyle w:val="yIndenta"/>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ySubsection"/>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pPr>
      <w:r>
        <w:tab/>
        <w:t>[Clause 1 amended in Gazette 5 Dec 2013 p. 5717</w:t>
      </w:r>
      <w:r>
        <w:noBreakHyphen/>
        <w:t>18.]</w:t>
      </w:r>
    </w:p>
    <w:p>
      <w:pPr>
        <w:pStyle w:val="yHeading5"/>
        <w:spacing w:before="240"/>
        <w:outlineLvl w:val="9"/>
        <w:rPr>
          <w:snapToGrid w:val="0"/>
        </w:rPr>
      </w:pPr>
      <w:bookmarkStart w:id="142" w:name="_Toc381705997"/>
      <w:r>
        <w:rPr>
          <w:rStyle w:val="CharSClsNo"/>
        </w:rPr>
        <w:t>2</w:t>
      </w:r>
      <w:r>
        <w:rPr>
          <w:snapToGrid w:val="0"/>
        </w:rPr>
        <w:t xml:space="preserve">. </w:t>
      </w:r>
      <w:r>
        <w:rPr>
          <w:snapToGrid w:val="0"/>
        </w:rPr>
        <w:tab/>
        <w:t>Influencing factor</w:t>
      </w:r>
      <w:bookmarkEnd w:id="142"/>
      <w:r>
        <w:rPr>
          <w:snapToGrid w:val="0"/>
        </w:rPr>
        <w:t xml:space="preserve"> </w:t>
      </w:r>
    </w:p>
    <w:p>
      <w:pPr>
        <w:pStyle w:val="ySubsection"/>
        <w:rPr>
          <w:snapToGrid w:val="0"/>
        </w:rPr>
      </w:pPr>
      <w:r>
        <w:rPr>
          <w:snapToGrid w:val="0"/>
        </w:rPr>
        <w:tab/>
        <w:t>(1)</w:t>
      </w:r>
      <w:r>
        <w:rPr>
          <w:snapToGrid w:val="0"/>
        </w:rPr>
        <w:tab/>
        <w:t xml:space="preserve">The influencing factor for noise received on noise sensitive premises is to be determined </w:t>
      </w:r>
      <w:bookmarkStart w:id="143" w:name="RuleErr_70"/>
      <w:r>
        <w:rPr>
          <w:snapToGrid w:val="0"/>
        </w:rPr>
        <w:t>as follows —</w:t>
      </w:r>
      <w:bookmarkEnd w:id="143"/>
      <w:r>
        <w:rPr>
          <w:snapToGrid w:val="0"/>
        </w:rPr>
        <w:t> </w:t>
      </w:r>
    </w:p>
    <w:p>
      <w:pPr>
        <w:pStyle w:val="yIndenta"/>
        <w:rPr>
          <w:snapToGrid w:val="0"/>
        </w:rPr>
      </w:pPr>
      <w:r>
        <w:rPr>
          <w:snapToGrid w:val="0"/>
        </w:rPr>
        <w:tab/>
        <w:t>(a)</w:t>
      </w:r>
      <w:r>
        <w:rPr>
          <w:snapToGrid w:val="0"/>
        </w:rPr>
        <w:tab/>
        <w:t xml:space="preserve">using an appropriate land use map, 2 concentric circles, having radii representing 100 metres and 450 metres, and centred on the measurement point on the noise sensitive premises are to be drawn; </w:t>
      </w:r>
    </w:p>
    <w:p>
      <w:pPr>
        <w:pStyle w:val="yIndenta"/>
        <w:spacing w:before="12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tabs>
          <w:tab w:val="clear" w:pos="1616"/>
          <w:tab w:val="left" w:pos="1985"/>
        </w:tabs>
        <w:spacing w:before="100"/>
        <w:rPr>
          <w:snapToGrid w:val="0"/>
        </w:rPr>
      </w:pPr>
      <w:r>
        <w:rPr>
          <w:snapToGrid w:val="0"/>
        </w:rPr>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w:t>
      </w:r>
      <w:bookmarkStart w:id="144" w:name="RuleErr_36"/>
      <w:r>
        <w:rPr>
          <w:snapToGrid w:val="0"/>
        </w:rPr>
        <w:t>0 (</w:t>
      </w:r>
      <w:bookmarkEnd w:id="144"/>
      <w:r>
        <w:rPr>
          <w:snapToGrid w:val="0"/>
        </w:rPr>
        <w:t>sum of Type A percentages for both circles) +</w:t>
      </w:r>
    </w:p>
    <w:p>
      <w:pPr>
        <w:pStyle w:val="yIndenta"/>
        <w:spacing w:before="120"/>
        <w:ind w:left="4111" w:hanging="4111"/>
        <w:rPr>
          <w:snapToGrid w:val="0"/>
        </w:rPr>
      </w:pPr>
      <w:r>
        <w:rPr>
          <w:snapToGrid w:val="0"/>
        </w:rPr>
        <w:tab/>
      </w:r>
      <w:r>
        <w:rPr>
          <w:snapToGrid w:val="0"/>
        </w:rPr>
        <w:tab/>
      </w:r>
      <w:r>
        <w:rPr>
          <w:snapToGrid w:val="0"/>
        </w:rPr>
        <w:tab/>
        <w:t>1/2</w:t>
      </w:r>
      <w:bookmarkStart w:id="145" w:name="RuleErr_37"/>
      <w:r>
        <w:rPr>
          <w:snapToGrid w:val="0"/>
        </w:rPr>
        <w:t>0 (</w:t>
      </w:r>
      <w:bookmarkEnd w:id="145"/>
      <w:r>
        <w:rPr>
          <w:snapToGrid w:val="0"/>
        </w:rPr>
        <w:t xml:space="preserve">sum of Type B percentages for both circles) + </w:t>
      </w:r>
      <w:r>
        <w:rPr>
          <w:snapToGrid w:val="0"/>
        </w:rPr>
        <w:br/>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ySubsection"/>
        <w:spacing w:before="120"/>
        <w:rPr>
          <w:snapToGrid w:val="0"/>
        </w:rPr>
      </w:pPr>
      <w:r>
        <w:rPr>
          <w:snapToGrid w:val="0"/>
        </w:rPr>
        <w:tab/>
        <w:t>(2)</w:t>
      </w:r>
      <w:r>
        <w:rPr>
          <w:snapToGrid w:val="0"/>
        </w:rPr>
        <w:tab/>
        <w:t>If it is not possible to identify the land for the purposes of subclause (1</w:t>
      </w:r>
      <w:bookmarkStart w:id="146" w:name="RuleErr_62"/>
      <w:r>
        <w:rPr>
          <w:snapToGrid w:val="0"/>
        </w:rPr>
        <w:t>)(</w:t>
      </w:r>
      <w:bookmarkEnd w:id="146"/>
      <w:r>
        <w:rPr>
          <w:snapToGrid w:val="0"/>
        </w:rPr>
        <w:t>b) by reference to a land use map, the land within the circles is to be identified by determining the actual land use at the time the noise was received.</w:t>
      </w:r>
    </w:p>
    <w:p>
      <w:pPr>
        <w:pStyle w:val="ySubsection"/>
        <w:spacing w:before="120"/>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spacing w:before="120"/>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pPr>
      <w:r>
        <w:tab/>
        <w:t>(b)</w:t>
      </w:r>
      <w:r>
        <w:tab/>
        <w:t xml:space="preserve">is categorised on the land use map as — </w:t>
      </w:r>
    </w:p>
    <w:p>
      <w:pPr>
        <w:pStyle w:val="yIndenti0"/>
      </w:pPr>
      <w:r>
        <w:tab/>
        <w:t>(i)</w:t>
      </w:r>
      <w:r>
        <w:tab/>
        <w:t>land used for industrial or utility purposes that are service industry or light industry purposes; or</w:t>
      </w:r>
    </w:p>
    <w:p>
      <w:pPr>
        <w:pStyle w:val="yIndenti0"/>
      </w:pPr>
      <w:r>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metres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w:t>
      </w:r>
    </w:p>
    <w:p>
      <w:pPr>
        <w:pStyle w:val="yIndenta"/>
        <w:rPr>
          <w:snapToGrid w:val="0"/>
        </w:rPr>
      </w:pPr>
      <w:r>
        <w:rPr>
          <w:snapToGrid w:val="0"/>
        </w:rPr>
        <w:tab/>
        <w:t>(b)</w:t>
      </w:r>
      <w:r>
        <w:rPr>
          <w:snapToGrid w:val="0"/>
        </w:rPr>
        <w:tab/>
        <w:t>1900 hours and 2200 hours on any day;</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tab/>
        <w:t>(6)</w:t>
      </w:r>
      <w:r>
        <w:rPr>
          <w:snapToGrid w:val="0"/>
        </w:rPr>
        <w:tab/>
        <w:t>If the land within either of the circles is used for — </w:t>
      </w:r>
    </w:p>
    <w:p>
      <w:pPr>
        <w:pStyle w:val="yIndenta"/>
        <w:rPr>
          <w:snapToGrid w:val="0"/>
        </w:rPr>
      </w:pPr>
      <w:r>
        <w:rPr>
          <w:snapToGrid w:val="0"/>
        </w:rPr>
        <w:tab/>
        <w:t>(a)</w:t>
      </w:r>
      <w:r>
        <w:rPr>
          <w:snapToGrid w:val="0"/>
        </w:rPr>
        <w:tab/>
        <w:t>a road reserve; or</w:t>
      </w:r>
    </w:p>
    <w:p>
      <w:pPr>
        <w:pStyle w:val="yIndenta"/>
        <w:rPr>
          <w:snapToGrid w:val="0"/>
        </w:rPr>
      </w:pPr>
      <w:r>
        <w:rPr>
          <w:snapToGrid w:val="0"/>
        </w:rPr>
        <w:tab/>
        <w:t>(b)</w:t>
      </w:r>
      <w:r>
        <w:rPr>
          <w:snapToGrid w:val="0"/>
        </w:rPr>
        <w:tab/>
        <w:t>a railway reserve; or</w:t>
      </w:r>
    </w:p>
    <w:p>
      <w:pPr>
        <w:pStyle w:val="yIndenta"/>
        <w:rPr>
          <w:snapToGrid w:val="0"/>
        </w:rPr>
      </w:pPr>
      <w:r>
        <w:rPr>
          <w:snapToGrid w:val="0"/>
        </w:rPr>
        <w:tab/>
        <w:t>(c)</w:t>
      </w:r>
      <w:r>
        <w:rPr>
          <w:snapToGrid w:val="0"/>
        </w:rPr>
        <w:tab/>
        <w:t>a drainage easement; or</w:t>
      </w:r>
    </w:p>
    <w:p>
      <w:pPr>
        <w:pStyle w:val="yIndenta"/>
        <w:rPr>
          <w:snapToGrid w:val="0"/>
        </w:rPr>
      </w:pPr>
      <w:r>
        <w:rPr>
          <w:snapToGrid w:val="0"/>
        </w:rPr>
        <w:tab/>
        <w:t>(d)</w:t>
      </w:r>
      <w:r>
        <w:rPr>
          <w:snapToGrid w:val="0"/>
        </w:rPr>
        <w:tab/>
        <w:t>a powerline easement or reserve; or</w:t>
      </w:r>
    </w:p>
    <w:p>
      <w:pPr>
        <w:pStyle w:val="yIndenta"/>
        <w:rPr>
          <w:snapToGrid w:val="0"/>
        </w:rPr>
      </w:pPr>
      <w:r>
        <w:rPr>
          <w:snapToGrid w:val="0"/>
        </w:rPr>
        <w:tab/>
        <w:t>(e)</w:t>
      </w:r>
      <w:r>
        <w:rPr>
          <w:snapToGrid w:val="0"/>
        </w:rPr>
        <w:tab/>
        <w:t>a pipeline or aqueduct easement or reserve; or</w:t>
      </w:r>
    </w:p>
    <w:p>
      <w:pPr>
        <w:pStyle w:val="yEdnotepara"/>
        <w:rPr>
          <w:snapToGrid w:val="0"/>
        </w:rPr>
      </w:pPr>
      <w:r>
        <w:rPr>
          <w:snapToGrid w:val="0"/>
        </w:rPr>
        <w:tab/>
        <w:t>[(f)</w:t>
      </w:r>
      <w:r>
        <w:rPr>
          <w:snapToGrid w:val="0"/>
        </w:rPr>
        <w:tab/>
        <w:t>deleted]</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yFootnotesection"/>
      </w:pPr>
      <w:r>
        <w:tab/>
        <w:t>[Clause 2 amended in Gazette 5 Dec 2013 p. 5718</w:t>
      </w:r>
      <w:r>
        <w:noBreakHyphen/>
        <w:t>20.]</w:t>
      </w:r>
    </w:p>
    <w:p>
      <w:pPr>
        <w:pStyle w:val="yScheduleHeading"/>
      </w:pPr>
      <w:bookmarkStart w:id="147" w:name="_Toc371928010"/>
      <w:bookmarkStart w:id="148" w:name="_Toc371928101"/>
      <w:bookmarkStart w:id="149" w:name="_Toc381705998"/>
      <w:r>
        <w:rPr>
          <w:rStyle w:val="CharSchNo"/>
        </w:rPr>
        <w:t>Schedule 4</w:t>
      </w:r>
      <w:r>
        <w:t> —</w:t>
      </w:r>
      <w:r>
        <w:rPr>
          <w:rStyle w:val="CharSchNo"/>
        </w:rPr>
        <w:t> </w:t>
      </w:r>
      <w:r>
        <w:rPr>
          <w:rStyle w:val="CharSchText"/>
        </w:rPr>
        <w:t>Rules for sound measuring equipment</w:t>
      </w:r>
      <w:bookmarkEnd w:id="147"/>
      <w:bookmarkEnd w:id="148"/>
      <w:bookmarkEnd w:id="149"/>
    </w:p>
    <w:p>
      <w:pPr>
        <w:pStyle w:val="yShoulderClause"/>
      </w:pPr>
      <w:r>
        <w:t>[r. 22]</w:t>
      </w:r>
    </w:p>
    <w:p>
      <w:pPr>
        <w:pStyle w:val="yFootnoteheading"/>
      </w:pPr>
      <w:r>
        <w:tab/>
        <w:t>[Heading inserted in Gazette 5 Dec 2013 p. 5720.]</w:t>
      </w:r>
    </w:p>
    <w:p>
      <w:pPr>
        <w:pStyle w:val="yHeading5"/>
      </w:pPr>
      <w:bookmarkStart w:id="150" w:name="_Toc371928102"/>
      <w:bookmarkStart w:id="151" w:name="_Toc381705999"/>
      <w:r>
        <w:rPr>
          <w:rStyle w:val="CharSClsNo"/>
        </w:rPr>
        <w:t>1</w:t>
      </w:r>
      <w:r>
        <w:t>.</w:t>
      </w:r>
      <w:r>
        <w:tab/>
        <w:t>Sound measuring equipment</w:t>
      </w:r>
      <w:bookmarkEnd w:id="150"/>
      <w:bookmarkEnd w:id="151"/>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pPr>
      <w:r>
        <w:tab/>
        <w:t>[Clause 1 inserted in Gazette 5 Dec 2013 p. 5720</w:t>
      </w:r>
      <w:r>
        <w:noBreakHyphen/>
        <w:t>1.]</w:t>
      </w:r>
    </w:p>
    <w:p>
      <w:pPr>
        <w:pStyle w:val="yHeading5"/>
      </w:pPr>
      <w:bookmarkStart w:id="152" w:name="_Toc371928103"/>
      <w:bookmarkStart w:id="153" w:name="_Toc381706000"/>
      <w:r>
        <w:rPr>
          <w:rStyle w:val="CharSClsNo"/>
        </w:rPr>
        <w:t>2</w:t>
      </w:r>
      <w:r>
        <w:t>.</w:t>
      </w:r>
      <w:r>
        <w:tab/>
        <w:t>Calibration of sound measuring equipment</w:t>
      </w:r>
      <w:bookmarkEnd w:id="152"/>
      <w:bookmarkEnd w:id="153"/>
    </w:p>
    <w:p>
      <w:pPr>
        <w:pStyle w:val="ySubsection"/>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tab/>
        <w:t>(c)</w:t>
      </w:r>
      <w:r>
        <w:tab/>
        <w:t xml:space="preserve">the National Measurement Institute referred to in the </w:t>
      </w:r>
      <w:r>
        <w:rPr>
          <w:i/>
          <w:iCs/>
        </w:rPr>
        <w:t>National Measurement Act 1960</w:t>
      </w:r>
      <w:r>
        <w:t xml:space="preserve"> (Commonwealth) section 17;</w:t>
      </w:r>
    </w:p>
    <w:p>
      <w:pPr>
        <w:pStyle w:val="yDefstart"/>
      </w:pPr>
      <w:r>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pPr>
      <w:r>
        <w:tab/>
        <w:t>[Clause 2 inserted in Gazette 5 Dec 2013 p. 5721</w:t>
      </w:r>
      <w:r>
        <w:noBreakHyphen/>
        <w:t>3.]</w:t>
      </w:r>
    </w:p>
    <w:p>
      <w:pPr>
        <w:pStyle w:val="yHeading5"/>
      </w:pPr>
      <w:bookmarkStart w:id="154" w:name="_Toc371928104"/>
      <w:bookmarkStart w:id="155" w:name="_Toc381706001"/>
      <w:r>
        <w:rPr>
          <w:rStyle w:val="CharSClsNo"/>
        </w:rPr>
        <w:t>3</w:t>
      </w:r>
      <w:r>
        <w:t>.</w:t>
      </w:r>
      <w:r>
        <w:tab/>
        <w:t>Field performance checks</w:t>
      </w:r>
      <w:bookmarkEnd w:id="154"/>
      <w:bookmarkEnd w:id="155"/>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pPr>
      <w:r>
        <w:tab/>
        <w:t>[Clause 3 inserted in Gazette 5 Dec 2013 p. 5723.]</w:t>
      </w:r>
    </w:p>
    <w:p>
      <w:pPr>
        <w:pStyle w:val="yHeading5"/>
        <w:rPr>
          <w:snapToGrid w:val="0"/>
        </w:rPr>
      </w:pPr>
      <w:bookmarkStart w:id="156" w:name="_Toc371928105"/>
      <w:bookmarkStart w:id="157" w:name="_Toc381706002"/>
      <w:r>
        <w:rPr>
          <w:rStyle w:val="CharSClsNo"/>
        </w:rPr>
        <w:t>4</w:t>
      </w:r>
      <w:r>
        <w:t>.</w:t>
      </w:r>
      <w:r>
        <w:tab/>
        <w:t>Equipment</w:t>
      </w:r>
      <w:r>
        <w:rPr>
          <w:snapToGrid w:val="0"/>
        </w:rPr>
        <w:t xml:space="preserve"> used for measurement of airblast levels</w:t>
      </w:r>
      <w:bookmarkEnd w:id="156"/>
      <w:bookmarkEnd w:id="157"/>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pPr>
      <w:r>
        <w:tab/>
        <w:t>(2)</w:t>
      </w:r>
      <w:r>
        <w:tab/>
        <w:t xml:space="preserve">Sound measuring equipment which is used for measuring airblast levels from blasting must be calibrated in accordance with clause 2 and checked in accordance with clause 3 except that — </w:t>
      </w:r>
    </w:p>
    <w:p>
      <w:pPr>
        <w:pStyle w:val="y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yFootnotesection"/>
      </w:pPr>
      <w:r>
        <w:tab/>
        <w:t>[Clause 4 inserted in Gazette 5 Dec 2013 p. 5723</w:t>
      </w:r>
      <w:r>
        <w:noBreakHyphen/>
        <w:t>4.]</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158" w:name="_Toc381706003"/>
      <w:r>
        <w:t>Notes</w:t>
      </w:r>
      <w:bookmarkEnd w:id="158"/>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(Noise) Regulations 1997</w:t>
      </w:r>
      <w:r>
        <w:rPr>
          <w:snapToGrid w:val="0"/>
        </w:rPr>
        <w:t xml:space="preserve"> and includes the amendments made by the other written laws referred to in the following </w:t>
      </w:r>
      <w:bookmarkStart w:id="159" w:name="RuleErr_14"/>
      <w:r>
        <w:rPr>
          <w:snapToGrid w:val="0"/>
        </w:rPr>
        <w:t>table</w:t>
      </w:r>
      <w:bookmarkEnd w:id="159"/>
      <w:r>
        <w:rPr>
          <w:snapToGrid w:val="0"/>
        </w:rPr>
        <w:t xml:space="preserve">.  The </w:t>
      </w:r>
      <w:bookmarkStart w:id="160" w:name="RuleErr_15"/>
      <w:r>
        <w:rPr>
          <w:snapToGrid w:val="0"/>
        </w:rPr>
        <w:t>table</w:t>
      </w:r>
      <w:bookmarkEnd w:id="160"/>
      <w:r>
        <w:rPr>
          <w:snapToGrid w:val="0"/>
        </w:rPr>
        <w:t xml:space="preserve"> also contains information about any reprint.</w:t>
      </w:r>
    </w:p>
    <w:p>
      <w:pPr>
        <w:pStyle w:val="nHeading3"/>
        <w:rPr>
          <w:snapToGrid w:val="0"/>
        </w:rPr>
      </w:pPr>
      <w:bookmarkStart w:id="161" w:name="_Toc381706004"/>
      <w:r>
        <w:rPr>
          <w:snapToGrid w:val="0"/>
        </w:rPr>
        <w:t xml:space="preserve">Compilation </w:t>
      </w:r>
      <w:bookmarkStart w:id="162" w:name="RuleErr_16"/>
      <w:r>
        <w:rPr>
          <w:snapToGrid w:val="0"/>
        </w:rPr>
        <w:t>table</w:t>
      </w:r>
      <w:bookmarkEnd w:id="162"/>
      <w:bookmarkEnd w:id="1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Environmental Protection (Noise) Regulations 1997</w:t>
            </w:r>
          </w:p>
        </w:tc>
        <w:tc>
          <w:tcPr>
            <w:tcW w:w="1276" w:type="dxa"/>
          </w:tcPr>
          <w:p>
            <w:pPr>
              <w:pStyle w:val="nTable"/>
              <w:spacing w:after="40"/>
              <w:rPr>
                <w:sz w:val="19"/>
              </w:rPr>
            </w:pPr>
            <w:r>
              <w:rPr>
                <w:sz w:val="19"/>
              </w:rPr>
              <w:t>31 Oct 1997 p. 6035</w:t>
            </w:r>
            <w:r>
              <w:rPr>
                <w:sz w:val="19"/>
              </w:rPr>
              <w:noBreakHyphen/>
              <w:t>74</w:t>
            </w:r>
          </w:p>
        </w:tc>
        <w:tc>
          <w:tcPr>
            <w:tcW w:w="2693" w:type="dxa"/>
          </w:tcPr>
          <w:p>
            <w:pPr>
              <w:pStyle w:val="nTable"/>
              <w:spacing w:after="40"/>
              <w:rPr>
                <w:sz w:val="19"/>
              </w:rPr>
            </w:pPr>
            <w:r>
              <w:rPr>
                <w:sz w:val="19"/>
              </w:rPr>
              <w:t>31 Oct 1997</w:t>
            </w:r>
          </w:p>
        </w:tc>
      </w:tr>
      <w:tr>
        <w:tc>
          <w:tcPr>
            <w:tcW w:w="3118" w:type="dxa"/>
          </w:tcPr>
          <w:p>
            <w:pPr>
              <w:pStyle w:val="nTable"/>
              <w:spacing w:after="40"/>
              <w:rPr>
                <w:sz w:val="19"/>
              </w:rPr>
            </w:pPr>
            <w:r>
              <w:rPr>
                <w:i/>
                <w:sz w:val="19"/>
              </w:rPr>
              <w:t>Environmental Protection (Miscellaneous Amendments) Regulations 1998</w:t>
            </w:r>
            <w:r>
              <w:rPr>
                <w:sz w:val="19"/>
              </w:rPr>
              <w:t xml:space="preserve"> Pt. 5</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w:t>
            </w:r>
            <w:bookmarkStart w:id="163" w:name="RuleErr_40"/>
            <w:r>
              <w:rPr>
                <w:sz w:val="19"/>
              </w:rPr>
              <w:t>9 (</w:t>
            </w:r>
            <w:bookmarkEnd w:id="163"/>
            <w:r>
              <w:rPr>
                <w:sz w:val="19"/>
              </w:rPr>
              <w:t>see r. 2)</w:t>
            </w:r>
          </w:p>
        </w:tc>
      </w:tr>
      <w:tr>
        <w:tc>
          <w:tcPr>
            <w:tcW w:w="3118" w:type="dxa"/>
          </w:tcPr>
          <w:p>
            <w:pPr>
              <w:pStyle w:val="nTable"/>
              <w:spacing w:after="40"/>
              <w:rPr>
                <w:i/>
                <w:sz w:val="19"/>
              </w:rPr>
            </w:pPr>
            <w:r>
              <w:rPr>
                <w:i/>
                <w:sz w:val="19"/>
              </w:rPr>
              <w:t>Environmental Protection (Noise) Amendment Regulations 2000</w:t>
            </w:r>
          </w:p>
        </w:tc>
        <w:tc>
          <w:tcPr>
            <w:tcW w:w="1276" w:type="dxa"/>
          </w:tcPr>
          <w:p>
            <w:pPr>
              <w:pStyle w:val="nTable"/>
              <w:spacing w:after="40"/>
              <w:rPr>
                <w:sz w:val="19"/>
              </w:rPr>
            </w:pPr>
            <w:r>
              <w:rPr>
                <w:sz w:val="19"/>
              </w:rPr>
              <w:t>7 Nov 2000 p. 6143</w:t>
            </w:r>
            <w:r>
              <w:rPr>
                <w:sz w:val="19"/>
              </w:rPr>
              <w:noBreakHyphen/>
              <w:t>4</w:t>
            </w:r>
          </w:p>
        </w:tc>
        <w:tc>
          <w:tcPr>
            <w:tcW w:w="2693" w:type="dxa"/>
          </w:tcPr>
          <w:p>
            <w:pPr>
              <w:pStyle w:val="nTable"/>
              <w:spacing w:after="40"/>
              <w:rPr>
                <w:sz w:val="19"/>
              </w:rPr>
            </w:pPr>
            <w:r>
              <w:rPr>
                <w:sz w:val="19"/>
              </w:rPr>
              <w:t>7 Nov 2000</w:t>
            </w:r>
          </w:p>
        </w:tc>
      </w:tr>
      <w:tr>
        <w:trPr>
          <w:cantSplit/>
        </w:trPr>
        <w:tc>
          <w:tcPr>
            <w:tcW w:w="7087" w:type="dxa"/>
            <w:gridSpan w:val="3"/>
          </w:tcPr>
          <w:p>
            <w:pPr>
              <w:pStyle w:val="nTable"/>
              <w:spacing w:after="40"/>
              <w:rPr>
                <w:sz w:val="19"/>
              </w:rPr>
            </w:pPr>
            <w:r>
              <w:rPr>
                <w:b/>
                <w:sz w:val="19"/>
              </w:rPr>
              <w:t xml:space="preserve">Reprint 1:  The </w:t>
            </w:r>
            <w:r>
              <w:rPr>
                <w:b/>
                <w:i/>
                <w:sz w:val="19"/>
              </w:rPr>
              <w:t>Environmental Protection (Noise) Regulations 1997</w:t>
            </w:r>
            <w:r>
              <w:rPr>
                <w:b/>
                <w:sz w:val="19"/>
              </w:rPr>
              <w:t xml:space="preserve"> as at 7 Nov 2003</w:t>
            </w:r>
            <w:r>
              <w:rPr>
                <w:sz w:val="19"/>
              </w:rPr>
              <w:t xml:space="preserve"> (includes amendments listed above)</w:t>
            </w:r>
          </w:p>
        </w:tc>
      </w:tr>
      <w:tr>
        <w:tc>
          <w:tcPr>
            <w:tcW w:w="3118" w:type="dxa"/>
            <w:tcBorders>
              <w:bottom w:val="single" w:sz="4" w:space="0" w:color="auto"/>
            </w:tcBorders>
          </w:tcPr>
          <w:p>
            <w:pPr>
              <w:pStyle w:val="nTable"/>
              <w:spacing w:after="40"/>
              <w:rPr>
                <w:sz w:val="19"/>
                <w:szCs w:val="19"/>
              </w:rPr>
            </w:pPr>
            <w:r>
              <w:rPr>
                <w:i/>
                <w:sz w:val="19"/>
                <w:szCs w:val="19"/>
              </w:rPr>
              <w:t>Environmental Protection (Noise) Amendment Regulations 2013</w:t>
            </w:r>
            <w:r>
              <w:rPr>
                <w:sz w:val="19"/>
                <w:szCs w:val="19"/>
              </w:rPr>
              <w:t xml:space="preserve"> </w:t>
            </w:r>
          </w:p>
        </w:tc>
        <w:tc>
          <w:tcPr>
            <w:tcW w:w="1276" w:type="dxa"/>
            <w:tcBorders>
              <w:bottom w:val="single" w:sz="4" w:space="0" w:color="auto"/>
            </w:tcBorders>
          </w:tcPr>
          <w:p>
            <w:pPr>
              <w:pStyle w:val="nTable"/>
              <w:spacing w:after="40"/>
              <w:rPr>
                <w:sz w:val="19"/>
                <w:szCs w:val="19"/>
              </w:rPr>
            </w:pPr>
            <w:r>
              <w:rPr>
                <w:sz w:val="19"/>
                <w:szCs w:val="19"/>
              </w:rPr>
              <w:t>5 Dec 2013 p. 5641</w:t>
            </w:r>
            <w:r>
              <w:rPr>
                <w:sz w:val="19"/>
                <w:szCs w:val="19"/>
              </w:rPr>
              <w:noBreakHyphen/>
              <w:t>724</w:t>
            </w:r>
          </w:p>
        </w:tc>
        <w:tc>
          <w:tcPr>
            <w:tcW w:w="2693" w:type="dxa"/>
            <w:tcBorders>
              <w:bottom w:val="single" w:sz="4" w:space="0" w:color="auto"/>
            </w:tcBorders>
          </w:tcPr>
          <w:p>
            <w:pPr>
              <w:pStyle w:val="nTable"/>
              <w:spacing w:after="40"/>
              <w:rPr>
                <w:b/>
                <w:kern w:val="28"/>
                <w:sz w:val="19"/>
                <w:szCs w:val="19"/>
              </w:rPr>
            </w:pPr>
            <w:r>
              <w:rPr>
                <w:bCs/>
                <w:snapToGrid w:val="0"/>
                <w:sz w:val="19"/>
                <w:szCs w:val="19"/>
              </w:rPr>
              <w:t>r. 1 and 2: 5 Dec 2013 (see r. 2(a));</w:t>
            </w:r>
            <w:r>
              <w:rPr>
                <w:bCs/>
                <w:snapToGrid w:val="0"/>
                <w:sz w:val="19"/>
                <w:szCs w:val="19"/>
              </w:rPr>
              <w:br/>
              <w:t>Regulations other than r. 1, 2,</w:t>
            </w:r>
            <w:r>
              <w:rPr>
                <w:sz w:val="19"/>
                <w:szCs w:val="19"/>
              </w:rPr>
              <w:t xml:space="preserve"> 14, 27, 30</w:t>
            </w:r>
            <w:r>
              <w:rPr>
                <w:sz w:val="19"/>
                <w:szCs w:val="19"/>
              </w:rPr>
              <w:noBreakHyphen/>
              <w:t>33 and 36</w:t>
            </w:r>
            <w:r>
              <w:rPr>
                <w:sz w:val="19"/>
                <w:szCs w:val="19"/>
              </w:rPr>
              <w:noBreakHyphen/>
              <w:t>39</w:t>
            </w:r>
            <w:r>
              <w:rPr>
                <w:bCs/>
                <w:snapToGrid w:val="0"/>
                <w:sz w:val="19"/>
                <w:szCs w:val="19"/>
              </w:rPr>
              <w:t>: 6 Dec 2013 (see r. 2(b));</w:t>
            </w:r>
            <w:r>
              <w:rPr>
                <w:bCs/>
                <w:snapToGrid w:val="0"/>
                <w:sz w:val="19"/>
                <w:szCs w:val="19"/>
              </w:rPr>
              <w:br/>
            </w:r>
            <w:r>
              <w:rPr>
                <w:sz w:val="19"/>
                <w:szCs w:val="19"/>
              </w:rPr>
              <w:t>r. 14, 27, 30</w:t>
            </w:r>
            <w:r>
              <w:rPr>
                <w:sz w:val="19"/>
                <w:szCs w:val="19"/>
              </w:rPr>
              <w:noBreakHyphen/>
              <w:t>33 and 36</w:t>
            </w:r>
            <w:r>
              <w:rPr>
                <w:sz w:val="19"/>
                <w:szCs w:val="19"/>
              </w:rPr>
              <w:noBreakHyphen/>
              <w:t xml:space="preserve">39: 5 Mar 2014 (see r. 2(c)) </w:t>
            </w:r>
          </w:p>
        </w:tc>
      </w:tr>
    </w:tbl>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rPr>
          <w:i/>
        </w:rPr>
      </w:pPr>
      <w:r>
        <w:rPr>
          <w:vertAlign w:val="superscript"/>
        </w:rPr>
        <w:t>3</w:t>
      </w:r>
      <w:r>
        <w:tab/>
        <w:t xml:space="preserve">Repealed by the </w:t>
      </w:r>
      <w:r>
        <w:rPr>
          <w:i/>
        </w:rPr>
        <w:t>Road Traffic Code 2000.</w:t>
      </w:r>
    </w:p>
    <w:p>
      <w:pPr>
        <w:pStyle w:val="nSubsection"/>
      </w:pPr>
      <w:r>
        <w:rPr>
          <w:vertAlign w:val="superscript"/>
        </w:rPr>
        <w:t>4</w:t>
      </w:r>
      <w:r>
        <w:rPr>
          <w:vertAlign w:val="superscript"/>
        </w:rPr>
        <w:tab/>
      </w:r>
      <w:r>
        <w:t>Repealed by r. 24</w:t>
      </w:r>
      <w:r>
        <w:rPr>
          <w:i/>
        </w:rPr>
        <w:t>.</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164" w:name="_Toc381706005"/>
      <w:r>
        <w:rPr>
          <w:sz w:val="28"/>
        </w:rPr>
        <w:t>Defined terms</w:t>
      </w:r>
      <w:bookmarkEnd w:id="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5" w:name="DefinedTerms"/>
      <w:bookmarkEnd w:id="165"/>
      <w:r>
        <w:t>airblast level</w:t>
      </w:r>
      <w:r>
        <w:tab/>
        <w:t>11(1)</w:t>
      </w:r>
    </w:p>
    <w:p>
      <w:pPr>
        <w:pStyle w:val="DefinedTerms"/>
      </w:pPr>
      <w:r>
        <w:t>amending provision</w:t>
      </w:r>
      <w:r>
        <w:tab/>
        <w:t>18I(1)</w:t>
      </w:r>
    </w:p>
    <w:p>
      <w:pPr>
        <w:pStyle w:val="DefinedTerms"/>
      </w:pPr>
      <w:r>
        <w:t>amplified call to worship</w:t>
      </w:r>
      <w:r>
        <w:tab/>
        <w:t>15(1)</w:t>
      </w:r>
    </w:p>
    <w:p>
      <w:pPr>
        <w:pStyle w:val="DefinedTerms"/>
      </w:pPr>
      <w:r>
        <w:t>ancillary condition</w:t>
      </w:r>
      <w:r>
        <w:tab/>
        <w:t>18D(1), 18(1)</w:t>
      </w:r>
    </w:p>
    <w:p>
      <w:pPr>
        <w:pStyle w:val="DefinedTerms"/>
      </w:pPr>
      <w:r>
        <w:t>ancillary measure</w:t>
      </w:r>
      <w:r>
        <w:tab/>
        <w:t>13(1), 14A(1), 16A, 16B</w:t>
      </w:r>
    </w:p>
    <w:p>
      <w:pPr>
        <w:pStyle w:val="DefinedTerms"/>
      </w:pPr>
      <w:r>
        <w:t>appellable decision</w:t>
      </w:r>
      <w:r>
        <w:tab/>
        <w:t>16AD(1), 16AE(1), 16BD(1), 16BE(1), 19F(1), 19G(1)</w:t>
      </w:r>
    </w:p>
    <w:p>
      <w:pPr>
        <w:pStyle w:val="DefinedTerms"/>
      </w:pPr>
      <w:r>
        <w:t>approved calibration laboratory</w:t>
      </w:r>
      <w:r>
        <w:tab/>
        <w:t>Sch. 4, cl. 2(1)</w:t>
      </w:r>
    </w:p>
    <w:p>
      <w:pPr>
        <w:pStyle w:val="DefinedTerms"/>
      </w:pPr>
      <w:r>
        <w:t>approved event</w:t>
      </w:r>
      <w:r>
        <w:tab/>
        <w:t>18J</w:t>
      </w:r>
    </w:p>
    <w:p>
      <w:pPr>
        <w:pStyle w:val="DefinedTerms"/>
      </w:pPr>
      <w:r>
        <w:t>approved noise management plan</w:t>
      </w:r>
      <w:r>
        <w:tab/>
        <w:t>16A, 16B</w:t>
      </w:r>
    </w:p>
    <w:p>
      <w:pPr>
        <w:pStyle w:val="DefinedTerms"/>
      </w:pPr>
      <w:r>
        <w:t>approved person</w:t>
      </w:r>
      <w:r>
        <w:tab/>
        <w:t>Sch. 4, cl. 2(1)</w:t>
      </w:r>
    </w:p>
    <w:p>
      <w:pPr>
        <w:pStyle w:val="DefinedTerms"/>
      </w:pPr>
      <w:r>
        <w:t>approved venue</w:t>
      </w:r>
      <w:r>
        <w:tab/>
        <w:t>18J</w:t>
      </w:r>
    </w:p>
    <w:p>
      <w:pPr>
        <w:pStyle w:val="DefinedTerms"/>
      </w:pPr>
      <w:r>
        <w:t>assigned level</w:t>
      </w:r>
      <w:r>
        <w:tab/>
        <w:t>2(1)</w:t>
      </w:r>
    </w:p>
    <w:p>
      <w:pPr>
        <w:pStyle w:val="DefinedTerms"/>
      </w:pPr>
      <w:r>
        <w:t>average daily traffic count</w:t>
      </w:r>
      <w:r>
        <w:tab/>
        <w:t>Sch. 3, cl. 1(1)</w:t>
      </w:r>
    </w:p>
    <w:p>
      <w:pPr>
        <w:pStyle w:val="DefinedTerms"/>
      </w:pPr>
      <w:r>
        <w:t>bellringing</w:t>
      </w:r>
      <w:r>
        <w:tab/>
        <w:t>15(1)</w:t>
      </w:r>
    </w:p>
    <w:p>
      <w:pPr>
        <w:pStyle w:val="DefinedTerms"/>
      </w:pPr>
      <w:r>
        <w:t>blaster</w:t>
      </w:r>
      <w:r>
        <w:tab/>
        <w:t>11(1)</w:t>
      </w:r>
    </w:p>
    <w:p>
      <w:pPr>
        <w:pStyle w:val="DefinedTerms"/>
      </w:pPr>
      <w:r>
        <w:t>blasting</w:t>
      </w:r>
      <w:r>
        <w:tab/>
        <w:t>2(1)</w:t>
      </w:r>
    </w:p>
    <w:p>
      <w:pPr>
        <w:pStyle w:val="DefinedTerms"/>
      </w:pPr>
      <w:r>
        <w:t>boundary</w:t>
      </w:r>
      <w:r>
        <w:tab/>
        <w:t>19(1)</w:t>
      </w:r>
    </w:p>
    <w:p>
      <w:pPr>
        <w:pStyle w:val="DefinedTerms"/>
      </w:pPr>
      <w:r>
        <w:t xml:space="preserve">building </w:t>
      </w:r>
      <w:r>
        <w:tab/>
        <w:t>8(1)</w:t>
      </w:r>
    </w:p>
    <w:p>
      <w:pPr>
        <w:pStyle w:val="DefinedTerms"/>
      </w:pPr>
      <w:r>
        <w:t>building</w:t>
      </w:r>
      <w:r>
        <w:tab/>
        <w:t>11(1)</w:t>
      </w:r>
    </w:p>
    <w:p>
      <w:pPr>
        <w:pStyle w:val="DefinedTerms"/>
      </w:pPr>
      <w:r>
        <w:t>caravan park or camping ground</w:t>
      </w:r>
      <w:r>
        <w:tab/>
        <w:t>2(1)</w:t>
      </w:r>
    </w:p>
    <w:p>
      <w:pPr>
        <w:pStyle w:val="DefinedTerms"/>
      </w:pPr>
      <w:r>
        <w:t>class 1 works</w:t>
      </w:r>
      <w:r>
        <w:tab/>
        <w:t>14A(1)</w:t>
      </w:r>
    </w:p>
    <w:p>
      <w:pPr>
        <w:pStyle w:val="DefinedTerms"/>
      </w:pPr>
      <w:r>
        <w:t>class 2 works</w:t>
      </w:r>
      <w:r>
        <w:tab/>
        <w:t>14A(1)</w:t>
      </w:r>
    </w:p>
    <w:p>
      <w:pPr>
        <w:pStyle w:val="DefinedTerms"/>
      </w:pPr>
      <w:r>
        <w:t>commercial premises</w:t>
      </w:r>
      <w:r>
        <w:tab/>
        <w:t>2(1)</w:t>
      </w:r>
    </w:p>
    <w:p>
      <w:pPr>
        <w:pStyle w:val="DefinedTerms"/>
      </w:pPr>
      <w:r>
        <w:t>community noise</w:t>
      </w:r>
      <w:r>
        <w:tab/>
        <w:t>16(1)</w:t>
      </w:r>
    </w:p>
    <w:p>
      <w:pPr>
        <w:pStyle w:val="DefinedTerms"/>
      </w:pPr>
      <w:r>
        <w:t>construction site</w:t>
      </w:r>
      <w:r>
        <w:tab/>
        <w:t>13(1)</w:t>
      </w:r>
    </w:p>
    <w:p>
      <w:pPr>
        <w:pStyle w:val="DefinedTerms"/>
      </w:pPr>
      <w:r>
        <w:t>construction work</w:t>
      </w:r>
      <w:r>
        <w:tab/>
        <w:t>13(1)</w:t>
      </w:r>
    </w:p>
    <w:p>
      <w:pPr>
        <w:pStyle w:val="DefinedTerms"/>
      </w:pPr>
      <w:r>
        <w:t>current approval</w:t>
      </w:r>
      <w:r>
        <w:tab/>
        <w:t>19B(11)</w:t>
      </w:r>
    </w:p>
    <w:p>
      <w:pPr>
        <w:pStyle w:val="DefinedTerms"/>
      </w:pPr>
      <w:r>
        <w:t>current plan</w:t>
      </w:r>
      <w:r>
        <w:tab/>
        <w:t>16AA(6), 16BA(6)</w:t>
      </w:r>
    </w:p>
    <w:p>
      <w:pPr>
        <w:pStyle w:val="DefinedTerms"/>
      </w:pPr>
      <w:r>
        <w:t>emitting premises</w:t>
      </w:r>
      <w:r>
        <w:tab/>
        <w:t>10(3)</w:t>
      </w:r>
    </w:p>
    <w:p>
      <w:pPr>
        <w:pStyle w:val="DefinedTerms"/>
      </w:pPr>
      <w:r>
        <w:t>expiry day</w:t>
      </w:r>
      <w:r>
        <w:tab/>
        <w:t>16AA(6), 16BA(6), 19B(11)</w:t>
      </w:r>
    </w:p>
    <w:p>
      <w:pPr>
        <w:pStyle w:val="DefinedTerms"/>
      </w:pPr>
      <w:r>
        <w:t>farming vehicle</w:t>
      </w:r>
      <w:r>
        <w:tab/>
        <w:t>12(1)</w:t>
      </w:r>
    </w:p>
    <w:p>
      <w:pPr>
        <w:pStyle w:val="DefinedTerms"/>
      </w:pPr>
      <w:r>
        <w:t>former regulation 17</w:t>
      </w:r>
      <w:r>
        <w:tab/>
        <w:t>18I(1)</w:t>
      </w:r>
    </w:p>
    <w:p>
      <w:pPr>
        <w:pStyle w:val="DefinedTerms"/>
      </w:pPr>
      <w:r>
        <w:t>highly sensitive area</w:t>
      </w:r>
      <w:r>
        <w:tab/>
        <w:t>8(1)</w:t>
      </w:r>
    </w:p>
    <w:p>
      <w:pPr>
        <w:pStyle w:val="DefinedTerms"/>
      </w:pPr>
      <w:r>
        <w:t>impulsiveness</w:t>
      </w:r>
      <w:r>
        <w:tab/>
        <w:t>9(1)</w:t>
      </w:r>
    </w:p>
    <w:p>
      <w:pPr>
        <w:pStyle w:val="DefinedTerms"/>
      </w:pPr>
      <w:r>
        <w:t>industrial and utility premises</w:t>
      </w:r>
      <w:r>
        <w:tab/>
        <w:t>2(1)</w:t>
      </w:r>
    </w:p>
    <w:p>
      <w:pPr>
        <w:pStyle w:val="DefinedTerms"/>
      </w:pPr>
      <w:r>
        <w:t>influencing factor</w:t>
      </w:r>
      <w:r>
        <w:tab/>
        <w:t>8(1)</w:t>
      </w:r>
    </w:p>
    <w:p>
      <w:pPr>
        <w:pStyle w:val="DefinedTerms"/>
      </w:pPr>
      <w:r>
        <w:t>inner circle</w:t>
      </w:r>
      <w:r>
        <w:tab/>
        <w:t>Sch. 3, cl. 1(1)</w:t>
      </w:r>
    </w:p>
    <w:p>
      <w:pPr>
        <w:pStyle w:val="DefinedTerms"/>
      </w:pPr>
      <w:r>
        <w:t>Kwinana Industrial Area</w:t>
      </w:r>
      <w:r>
        <w:tab/>
        <w:t>8(1)</w:t>
      </w:r>
    </w:p>
    <w:p>
      <w:pPr>
        <w:pStyle w:val="DefinedTerms"/>
      </w:pPr>
      <w:r>
        <w:t>Kwinana Policy Area</w:t>
      </w:r>
      <w:r>
        <w:tab/>
        <w:t>Sch. 3, cl. 1(1)</w:t>
      </w:r>
    </w:p>
    <w:p>
      <w:pPr>
        <w:pStyle w:val="DefinedTerms"/>
      </w:pPr>
      <w:r>
        <w:t>LA 1 assigned level</w:t>
      </w:r>
      <w:r>
        <w:tab/>
        <w:t>8(1)</w:t>
      </w:r>
    </w:p>
    <w:p>
      <w:pPr>
        <w:pStyle w:val="DefinedTerms"/>
      </w:pPr>
      <w:r>
        <w:t>LA 10 assigned level</w:t>
      </w:r>
      <w:r>
        <w:tab/>
        <w:t>8(1)</w:t>
      </w:r>
    </w:p>
    <w:p>
      <w:pPr>
        <w:pStyle w:val="DefinedTerms"/>
      </w:pPr>
      <w:r>
        <w:t>LA Fast</w:t>
      </w:r>
      <w:r>
        <w:tab/>
        <w:t>9(2)</w:t>
      </w:r>
    </w:p>
    <w:p>
      <w:pPr>
        <w:pStyle w:val="DefinedTerms"/>
      </w:pPr>
      <w:r>
        <w:t>LA max assigned level</w:t>
      </w:r>
      <w:r>
        <w:tab/>
        <w:t>8(1)</w:t>
      </w:r>
    </w:p>
    <w:p>
      <w:pPr>
        <w:pStyle w:val="DefinedTerms"/>
      </w:pPr>
      <w:r>
        <w:t>LA peak</w:t>
      </w:r>
      <w:r>
        <w:tab/>
        <w:t>9(2)</w:t>
      </w:r>
    </w:p>
    <w:p>
      <w:pPr>
        <w:pStyle w:val="DefinedTerms"/>
      </w:pPr>
      <w:r>
        <w:t>LA Slow</w:t>
      </w:r>
      <w:r>
        <w:tab/>
        <w:t>2(1)</w:t>
      </w:r>
    </w:p>
    <w:p>
      <w:pPr>
        <w:pStyle w:val="DefinedTerms"/>
      </w:pPr>
      <w:r>
        <w:t>LA Slow max</w:t>
      </w:r>
      <w:r>
        <w:tab/>
        <w:t>9(2)</w:t>
      </w:r>
    </w:p>
    <w:p>
      <w:pPr>
        <w:pStyle w:val="DefinedTerms"/>
      </w:pPr>
      <w:r>
        <w:t>LAeqT</w:t>
      </w:r>
      <w:r>
        <w:tab/>
        <w:t>9(2)</w:t>
      </w:r>
    </w:p>
    <w:p>
      <w:pPr>
        <w:pStyle w:val="DefinedTerms"/>
      </w:pPr>
      <w:r>
        <w:t>land use map</w:t>
      </w:r>
      <w:r>
        <w:tab/>
        <w:t>Sch. 3, cl. 1(1)</w:t>
      </w:r>
    </w:p>
    <w:p>
      <w:pPr>
        <w:pStyle w:val="DefinedTerms"/>
      </w:pPr>
      <w:r>
        <w:t>local government</w:t>
      </w:r>
      <w:r>
        <w:tab/>
        <w:t>2(1)</w:t>
      </w:r>
    </w:p>
    <w:p>
      <w:pPr>
        <w:pStyle w:val="DefinedTerms"/>
      </w:pPr>
      <w:r>
        <w:t>local government CEO</w:t>
      </w:r>
      <w:r>
        <w:tab/>
        <w:t>18(12)</w:t>
      </w:r>
    </w:p>
    <w:p>
      <w:pPr>
        <w:pStyle w:val="DefinedTerms"/>
      </w:pPr>
      <w:r>
        <w:t>LZ peak</w:t>
      </w:r>
      <w:r>
        <w:tab/>
        <w:t>11(1)</w:t>
      </w:r>
    </w:p>
    <w:p>
      <w:pPr>
        <w:pStyle w:val="DefinedTerms"/>
      </w:pPr>
      <w:r>
        <w:t>major road</w:t>
      </w:r>
      <w:r>
        <w:tab/>
        <w:t>Sch. 3, cl. 1(1)</w:t>
      </w:r>
    </w:p>
    <w:p>
      <w:pPr>
        <w:pStyle w:val="DefinedTerms"/>
      </w:pPr>
      <w:r>
        <w:t>measured</w:t>
      </w:r>
      <w:r>
        <w:tab/>
        <w:t>2(1)</w:t>
      </w:r>
    </w:p>
    <w:p>
      <w:pPr>
        <w:pStyle w:val="DefinedTerms"/>
      </w:pPr>
      <w:r>
        <w:t>mining operation</w:t>
      </w:r>
      <w:r>
        <w:tab/>
        <w:t>Sch. 3, cl. 1(1)</w:t>
      </w:r>
    </w:p>
    <w:p>
      <w:pPr>
        <w:pStyle w:val="DefinedTerms"/>
      </w:pPr>
      <w:r>
        <w:t>modulation</w:t>
      </w:r>
      <w:r>
        <w:tab/>
        <w:t>9(1)</w:t>
      </w:r>
    </w:p>
    <w:p>
      <w:pPr>
        <w:pStyle w:val="DefinedTerms"/>
      </w:pPr>
      <w:r>
        <w:t>motor sport organisation</w:t>
      </w:r>
      <w:r>
        <w:tab/>
        <w:t>16A</w:t>
      </w:r>
    </w:p>
    <w:p>
      <w:pPr>
        <w:pStyle w:val="DefinedTerms"/>
      </w:pPr>
      <w:r>
        <w:t>motor sport venue</w:t>
      </w:r>
      <w:r>
        <w:tab/>
        <w:t>16A</w:t>
      </w:r>
    </w:p>
    <w:p>
      <w:pPr>
        <w:pStyle w:val="DefinedTerms"/>
      </w:pPr>
      <w:r>
        <w:t>NATA</w:t>
      </w:r>
      <w:r>
        <w:tab/>
        <w:t>Sch. 4, cl. 2(1)</w:t>
      </w:r>
    </w:p>
    <w:p>
      <w:pPr>
        <w:pStyle w:val="DefinedTerms"/>
      </w:pPr>
      <w:r>
        <w:t>noise</w:t>
      </w:r>
      <w:r>
        <w:tab/>
        <w:t>18(1)</w:t>
      </w:r>
    </w:p>
    <w:p>
      <w:pPr>
        <w:pStyle w:val="DefinedTerms"/>
      </w:pPr>
      <w:r>
        <w:t>noise control notice</w:t>
      </w:r>
      <w:r>
        <w:tab/>
        <w:t>16(1)</w:t>
      </w:r>
    </w:p>
    <w:p>
      <w:pPr>
        <w:pStyle w:val="DefinedTerms"/>
      </w:pPr>
      <w:r>
        <w:t>noise sensitive premises</w:t>
      </w:r>
      <w:r>
        <w:tab/>
        <w:t>2(1)</w:t>
      </w:r>
    </w:p>
    <w:p>
      <w:pPr>
        <w:pStyle w:val="DefinedTerms"/>
      </w:pPr>
      <w:r>
        <w:t>noise sensitive purpose, in relation to</w:t>
      </w:r>
      <w:r>
        <w:tab/>
        <w:t>2(1)</w:t>
      </w:r>
    </w:p>
    <w:p>
      <w:pPr>
        <w:pStyle w:val="DefinedTerms"/>
      </w:pPr>
      <w:r>
        <w:t>non</w:t>
      </w:r>
      <w:r>
        <w:noBreakHyphen/>
        <w:t>conforming use</w:t>
      </w:r>
      <w:r>
        <w:tab/>
        <w:t>10(1)</w:t>
      </w:r>
    </w:p>
    <w:p>
      <w:pPr>
        <w:pStyle w:val="DefinedTerms"/>
      </w:pPr>
      <w:r>
        <w:t>notifiable event</w:t>
      </w:r>
      <w:r>
        <w:tab/>
        <w:t>19B(1)</w:t>
      </w:r>
    </w:p>
    <w:p>
      <w:pPr>
        <w:pStyle w:val="DefinedTerms"/>
      </w:pPr>
      <w:r>
        <w:t>one</w:t>
      </w:r>
      <w:r>
        <w:noBreakHyphen/>
        <w:t>third octave band</w:t>
      </w:r>
      <w:r>
        <w:tab/>
        <w:t>9(2)</w:t>
      </w:r>
    </w:p>
    <w:p>
      <w:pPr>
        <w:pStyle w:val="DefinedTerms"/>
      </w:pPr>
      <w:r>
        <w:t>other call to worship</w:t>
      </w:r>
      <w:r>
        <w:tab/>
        <w:t>15(1)</w:t>
      </w:r>
    </w:p>
    <w:p>
      <w:pPr>
        <w:pStyle w:val="DefinedTerms"/>
      </w:pPr>
      <w:r>
        <w:t>outer circle</w:t>
      </w:r>
      <w:r>
        <w:tab/>
        <w:t>Sch. 3, cl. 1(1)</w:t>
      </w:r>
    </w:p>
    <w:p>
      <w:pPr>
        <w:pStyle w:val="DefinedTerms"/>
      </w:pPr>
      <w:r>
        <w:t>planning scheme</w:t>
      </w:r>
      <w:r>
        <w:tab/>
        <w:t>10(1)</w:t>
      </w:r>
    </w:p>
    <w:p>
      <w:pPr>
        <w:pStyle w:val="DefinedTerms"/>
      </w:pPr>
      <w:r>
        <w:t>port</w:t>
      </w:r>
      <w:r>
        <w:tab/>
        <w:t>3(2)</w:t>
      </w:r>
    </w:p>
    <w:p>
      <w:pPr>
        <w:pStyle w:val="DefinedTerms"/>
      </w:pPr>
      <w:r>
        <w:t>public holiday</w:t>
      </w:r>
      <w:r>
        <w:tab/>
        <w:t>2(1)</w:t>
      </w:r>
    </w:p>
    <w:p>
      <w:pPr>
        <w:pStyle w:val="DefinedTerms"/>
      </w:pPr>
      <w:r>
        <w:t>racing activity</w:t>
      </w:r>
      <w:r>
        <w:tab/>
        <w:t>16A</w:t>
      </w:r>
    </w:p>
    <w:p>
      <w:pPr>
        <w:pStyle w:val="DefinedTerms"/>
      </w:pPr>
      <w:r>
        <w:t>representative assessment period</w:t>
      </w:r>
      <w:r>
        <w:tab/>
        <w:t>2(1)</w:t>
      </w:r>
    </w:p>
    <w:p>
      <w:pPr>
        <w:pStyle w:val="DefinedTerms"/>
      </w:pPr>
      <w:r>
        <w:t>rural premises</w:t>
      </w:r>
      <w:r>
        <w:tab/>
        <w:t>2(1)</w:t>
      </w:r>
    </w:p>
    <w:p>
      <w:pPr>
        <w:pStyle w:val="DefinedTerms"/>
      </w:pPr>
      <w:r>
        <w:t>secondary road</w:t>
      </w:r>
      <w:r>
        <w:tab/>
        <w:t>Sch. 3, cl. 1(1)</w:t>
      </w:r>
    </w:p>
    <w:p>
      <w:pPr>
        <w:pStyle w:val="DefinedTerms"/>
      </w:pPr>
      <w:r>
        <w:t>sensitive site</w:t>
      </w:r>
      <w:r>
        <w:tab/>
        <w:t>11(1)</w:t>
      </w:r>
    </w:p>
    <w:p>
      <w:pPr>
        <w:pStyle w:val="DefinedTerms"/>
      </w:pPr>
      <w:r>
        <w:t>shooting activity</w:t>
      </w:r>
      <w:r>
        <w:tab/>
        <w:t>16B</w:t>
      </w:r>
    </w:p>
    <w:p>
      <w:pPr>
        <w:pStyle w:val="DefinedTerms"/>
      </w:pPr>
      <w:r>
        <w:t>shooting venue</w:t>
      </w:r>
      <w:r>
        <w:tab/>
        <w:t>16B</w:t>
      </w:r>
    </w:p>
    <w:p>
      <w:pPr>
        <w:pStyle w:val="DefinedTerms"/>
      </w:pPr>
      <w:r>
        <w:t>significantly contribute to</w:t>
      </w:r>
      <w:r>
        <w:tab/>
        <w:t>7(2)</w:t>
      </w:r>
    </w:p>
    <w:p>
      <w:pPr>
        <w:pStyle w:val="DefinedTerms"/>
      </w:pPr>
      <w:r>
        <w:t>specified equipment</w:t>
      </w:r>
      <w:r>
        <w:tab/>
        <w:t>14(1)</w:t>
      </w:r>
    </w:p>
    <w:p>
      <w:pPr>
        <w:pStyle w:val="DefinedTerms"/>
      </w:pPr>
      <w:r>
        <w:t>specified works</w:t>
      </w:r>
      <w:r>
        <w:tab/>
        <w:t>14A(1)</w:t>
      </w:r>
    </w:p>
    <w:p>
      <w:pPr>
        <w:pStyle w:val="DefinedTerms"/>
      </w:pPr>
      <w:r>
        <w:t>tonality</w:t>
      </w:r>
      <w:r>
        <w:tab/>
        <w:t>9(1)</w:t>
      </w:r>
    </w:p>
    <w:p>
      <w:pPr>
        <w:pStyle w:val="DefinedTerms"/>
      </w:pPr>
      <w:r>
        <w:t>transport factor</w:t>
      </w:r>
      <w:r>
        <w:tab/>
        <w:t>Sch. 3, cl. 1(1)</w:t>
      </w:r>
    </w:p>
    <w:p>
      <w:pPr>
        <w:pStyle w:val="DefinedTerms"/>
      </w:pPr>
      <w:r>
        <w:t>venue</w:t>
      </w:r>
      <w:r>
        <w:tab/>
        <w:t>18J</w:t>
      </w:r>
    </w:p>
    <w:p>
      <w:pPr>
        <w:pStyle w:val="DefinedTerms"/>
      </w:pPr>
      <w:r>
        <w:t>venue approval</w:t>
      </w:r>
      <w:r>
        <w:tab/>
        <w:t>18J</w:t>
      </w:r>
    </w:p>
    <w:p>
      <w:pPr>
        <w:pStyle w:val="DefinedTerms"/>
      </w:pPr>
      <w:r>
        <w:t>waste</w:t>
      </w:r>
      <w:r>
        <w:tab/>
        <w:t>14A(1)</w:t>
      </w:r>
    </w:p>
    <w:p/>
    <w:p>
      <w:pPr>
        <w:sectPr>
          <w:headerReference w:type="even" r:id="rId36"/>
          <w:headerReference w:type="default" r:id="rId37"/>
          <w:footerReference w:type="even" r:id="rId38"/>
          <w:footerReference w:type="default" r:id="rId39"/>
          <w:headerReference w:type="first" r:id="rId40"/>
          <w:foot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Environmental Protection (Noise)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(Noise)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Classification of premises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tabs>
              <w:tab w:val="left" w:pos="863"/>
            </w:tabs>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vAlign w:val="bottom"/>
        </w:tcPr>
        <w:p>
          <w:pPr>
            <w:pStyle w:val="HeaderTextRight"/>
          </w:pPr>
          <w:fldSimple w:instr=" styleref CharSchText ">
            <w:r>
              <w:rPr>
                <w:noProof/>
              </w:rPr>
              <w:t>Classification of premises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(Noise)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Community noise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tabs>
              <w:tab w:val="left" w:pos="863"/>
            </w:tabs>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vAlign w:val="bottom"/>
        </w:tcPr>
        <w:p>
          <w:pPr>
            <w:pStyle w:val="HeaderTextRight"/>
          </w:pPr>
          <w:fldSimple w:instr=" styleref CharSchText ">
            <w:r>
              <w:rPr>
                <w:noProof/>
              </w:rPr>
              <w:t>Community noise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(Noise)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(Noise)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4105305"/>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EB343-F64C-43E7-8AB6-DC5899BAF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96</Pages>
  <Words>22326</Words>
  <Characters>109402</Characters>
  <Application>Microsoft Office Word</Application>
  <DocSecurity>0</DocSecurity>
  <Lines>2956</Lines>
  <Paragraphs>1688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1997 - 01-c0-00</dc:title>
  <dc:subject/>
  <dc:creator/>
  <cp:keywords/>
  <dc:description/>
  <cp:lastModifiedBy>svcMRProcess</cp:lastModifiedBy>
  <cp:revision>4</cp:revision>
  <cp:lastPrinted>2003-11-17T01:47:00Z</cp:lastPrinted>
  <dcterms:created xsi:type="dcterms:W3CDTF">2018-09-11T09:07:00Z</dcterms:created>
  <dcterms:modified xsi:type="dcterms:W3CDTF">2018-09-11T09:07:00Z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CommencementDate">
    <vt:lpwstr>20140305</vt:lpwstr>
  </property>
  <property fmtid="{D5CDD505-2E9C-101B-9397-08002B2CF9AE}" pid="4" name="DocumentType">
    <vt:lpwstr>Reg</vt:lpwstr>
  </property>
  <property fmtid="{D5CDD505-2E9C-101B-9397-08002B2CF9AE}" pid="5" name="OwlsUID">
    <vt:i4>4419</vt:i4>
  </property>
  <property fmtid="{D5CDD505-2E9C-101B-9397-08002B2CF9AE}" pid="6" name="AsAtDate">
    <vt:lpwstr>05 Mar 2014</vt:lpwstr>
  </property>
  <property fmtid="{D5CDD505-2E9C-101B-9397-08002B2CF9AE}" pid="7" name="Suffix">
    <vt:lpwstr>01-c0-00</vt:lpwstr>
  </property>
</Properties>
</file>