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Sector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_Toc424740163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_Toc424740164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_Toc424740165 \h </w:instrText>
      </w:r>
      <w:r>
        <w:fldChar w:fldCharType="separate"/>
      </w:r>
      <w:r>
        <w:t>1</w:t>
      </w:r>
      <w:r>
        <w:fldChar w:fldCharType="end"/>
      </w:r>
    </w:p>
    <w:p>
      <w:pPr>
        <w:pStyle w:val="TOC8"/>
        <w:rPr>
          <w:rFonts w:asciiTheme="minorHAnsi" w:eastAsiaTheme="minorEastAsia" w:hAnsiTheme="minorHAnsi" w:cstheme="minorBidi"/>
          <w:szCs w:val="22"/>
        </w:rPr>
      </w:pPr>
      <w:r>
        <w:t>4.</w:t>
      </w:r>
      <w:r>
        <w:tab/>
        <w:t>Guidelines</w:t>
      </w:r>
      <w:r>
        <w:tab/>
      </w:r>
      <w:r>
        <w:fldChar w:fldCharType="begin"/>
      </w:r>
      <w:r>
        <w:instrText xml:space="preserve"> PAGEREF _Toc424740166 \h </w:instrText>
      </w:r>
      <w:r>
        <w:fldChar w:fldCharType="separate"/>
      </w:r>
      <w:r>
        <w:t>3</w:t>
      </w:r>
      <w:r>
        <w:fldChar w:fldCharType="end"/>
      </w:r>
    </w:p>
    <w:p>
      <w:pPr>
        <w:pStyle w:val="TOC8"/>
        <w:rPr>
          <w:rFonts w:asciiTheme="minorHAnsi" w:eastAsiaTheme="minorEastAsia" w:hAnsiTheme="minorHAnsi" w:cstheme="minorBidi"/>
          <w:szCs w:val="22"/>
        </w:rPr>
      </w:pPr>
      <w:r>
        <w:t>5A.</w:t>
      </w:r>
      <w:r>
        <w:tab/>
        <w:t>Shared appointment pools</w:t>
      </w:r>
      <w:r>
        <w:tab/>
      </w:r>
      <w:r>
        <w:fldChar w:fldCharType="begin"/>
      </w:r>
      <w:r>
        <w:instrText xml:space="preserve"> PAGEREF _Toc424740167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Claims for relief for breaches of public sector standards</w:t>
      </w:r>
    </w:p>
    <w:p>
      <w:pPr>
        <w:pStyle w:val="TOC8"/>
        <w:rPr>
          <w:rFonts w:asciiTheme="minorHAnsi" w:eastAsiaTheme="minorEastAsia" w:hAnsiTheme="minorHAnsi" w:cstheme="minorBidi"/>
          <w:szCs w:val="22"/>
        </w:rPr>
      </w:pPr>
      <w:r>
        <w:t>5.</w:t>
      </w:r>
      <w:r>
        <w:tab/>
        <w:t>Public sector bodies to give notice of certain reviewable decisions</w:t>
      </w:r>
      <w:r>
        <w:tab/>
      </w:r>
      <w:r>
        <w:fldChar w:fldCharType="begin"/>
      </w:r>
      <w:r>
        <w:instrText xml:space="preserve"> PAGEREF _Toc424740169 \h </w:instrText>
      </w:r>
      <w:r>
        <w:fldChar w:fldCharType="separate"/>
      </w:r>
      <w:r>
        <w:t>5</w:t>
      </w:r>
      <w:r>
        <w:fldChar w:fldCharType="end"/>
      </w:r>
    </w:p>
    <w:p>
      <w:pPr>
        <w:pStyle w:val="TOC8"/>
        <w:rPr>
          <w:rFonts w:asciiTheme="minorHAnsi" w:eastAsiaTheme="minorEastAsia" w:hAnsiTheme="minorHAnsi" w:cstheme="minorBidi"/>
          <w:szCs w:val="22"/>
        </w:rPr>
      </w:pPr>
      <w:r>
        <w:t>6.</w:t>
      </w:r>
      <w:r>
        <w:tab/>
        <w:t>Making claims for relief for breaches of public sector standards</w:t>
      </w:r>
      <w:r>
        <w:tab/>
      </w:r>
      <w:r>
        <w:fldChar w:fldCharType="begin"/>
      </w:r>
      <w:r>
        <w:instrText xml:space="preserve"> PAGEREF _Toc424740170 \h </w:instrText>
      </w:r>
      <w:r>
        <w:fldChar w:fldCharType="separate"/>
      </w:r>
      <w:r>
        <w:t>6</w:t>
      </w:r>
      <w:r>
        <w:fldChar w:fldCharType="end"/>
      </w:r>
    </w:p>
    <w:p>
      <w:pPr>
        <w:pStyle w:val="TOC8"/>
        <w:rPr>
          <w:rFonts w:asciiTheme="minorHAnsi" w:eastAsiaTheme="minorEastAsia" w:hAnsiTheme="minorHAnsi" w:cstheme="minorBidi"/>
          <w:szCs w:val="22"/>
        </w:rPr>
      </w:pPr>
      <w:r>
        <w:t>7.</w:t>
      </w:r>
      <w:r>
        <w:tab/>
        <w:t>Lodging claims with public sector bodies</w:t>
      </w:r>
      <w:r>
        <w:tab/>
      </w:r>
      <w:r>
        <w:fldChar w:fldCharType="begin"/>
      </w:r>
      <w:r>
        <w:instrText xml:space="preserve"> PAGEREF _Toc424740171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making claims on proposed appointments and transfers</w:t>
      </w:r>
      <w:r>
        <w:tab/>
      </w:r>
      <w:r>
        <w:fldChar w:fldCharType="begin"/>
      </w:r>
      <w:r>
        <w:instrText xml:space="preserve"> PAGEREF _Toc424740172 \h </w:instrText>
      </w:r>
      <w:r>
        <w:fldChar w:fldCharType="separate"/>
      </w:r>
      <w:r>
        <w:t>9</w:t>
      </w:r>
      <w:r>
        <w:fldChar w:fldCharType="end"/>
      </w:r>
    </w:p>
    <w:p>
      <w:pPr>
        <w:pStyle w:val="TOC8"/>
        <w:rPr>
          <w:rFonts w:asciiTheme="minorHAnsi" w:eastAsiaTheme="minorEastAsia" w:hAnsiTheme="minorHAnsi" w:cstheme="minorBidi"/>
          <w:szCs w:val="22"/>
        </w:rPr>
      </w:pPr>
      <w:r>
        <w:t>9.</w:t>
      </w:r>
      <w:r>
        <w:tab/>
        <w:t>Effect of making claims on proposed selections to appointment pools</w:t>
      </w:r>
      <w:r>
        <w:tab/>
      </w:r>
      <w:r>
        <w:fldChar w:fldCharType="begin"/>
      </w:r>
      <w:r>
        <w:instrText xml:space="preserve"> PAGEREF _Toc424740173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dealing with claims for relief</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Public sector bodies to send claims for relief to Commissioner</w:t>
      </w:r>
      <w:r>
        <w:tab/>
      </w:r>
      <w:r>
        <w:fldChar w:fldCharType="begin"/>
      </w:r>
      <w:r>
        <w:instrText xml:space="preserve"> PAGEREF _Toc424740176 \h </w:instrText>
      </w:r>
      <w:r>
        <w:fldChar w:fldCharType="separate"/>
      </w:r>
      <w:r>
        <w:t>11</w:t>
      </w:r>
      <w:r>
        <w:fldChar w:fldCharType="end"/>
      </w:r>
    </w:p>
    <w:p>
      <w:pPr>
        <w:pStyle w:val="TOC8"/>
        <w:rPr>
          <w:rFonts w:asciiTheme="minorHAnsi" w:eastAsiaTheme="minorEastAsia" w:hAnsiTheme="minorHAnsi" w:cstheme="minorBidi"/>
          <w:szCs w:val="22"/>
        </w:rPr>
      </w:pPr>
      <w:r>
        <w:t>11A.</w:t>
      </w:r>
      <w:r>
        <w:tab/>
        <w:t>Commissioner may decide not to deal with a claim</w:t>
      </w:r>
      <w:r>
        <w:tab/>
      </w:r>
      <w:r>
        <w:fldChar w:fldCharType="begin"/>
      </w:r>
      <w:r>
        <w:instrText xml:space="preserve"> PAGEREF _Toc424740177 \h </w:instrText>
      </w:r>
      <w:r>
        <w:fldChar w:fldCharType="separate"/>
      </w:r>
      <w:r>
        <w:t>11</w:t>
      </w:r>
      <w:r>
        <w:fldChar w:fldCharType="end"/>
      </w:r>
    </w:p>
    <w:p>
      <w:pPr>
        <w:pStyle w:val="TOC8"/>
        <w:rPr>
          <w:rFonts w:asciiTheme="minorHAnsi" w:eastAsiaTheme="minorEastAsia" w:hAnsiTheme="minorHAnsi" w:cstheme="minorBidi"/>
          <w:szCs w:val="22"/>
        </w:rPr>
      </w:pPr>
      <w:r>
        <w:t>11.</w:t>
      </w:r>
      <w:r>
        <w:tab/>
        <w:t>Assignment of claims for relief to conciliation and review officers</w:t>
      </w:r>
      <w:r>
        <w:tab/>
      </w:r>
      <w:r>
        <w:fldChar w:fldCharType="begin"/>
      </w:r>
      <w:r>
        <w:instrText xml:space="preserve"> PAGEREF _Toc424740178 \h </w:instrText>
      </w:r>
      <w:r>
        <w:fldChar w:fldCharType="separate"/>
      </w:r>
      <w:r>
        <w:t>12</w:t>
      </w:r>
      <w:r>
        <w:fldChar w:fldCharType="end"/>
      </w:r>
    </w:p>
    <w:p>
      <w:pPr>
        <w:pStyle w:val="TOC8"/>
        <w:rPr>
          <w:rFonts w:asciiTheme="minorHAnsi" w:eastAsiaTheme="minorEastAsia" w:hAnsiTheme="minorHAnsi" w:cstheme="minorBidi"/>
          <w:szCs w:val="22"/>
        </w:rPr>
      </w:pPr>
      <w:r>
        <w:t>12.</w:t>
      </w:r>
      <w:r>
        <w:tab/>
        <w:t>Conciliation and review officers may seek information and documents</w:t>
      </w:r>
      <w:r>
        <w:tab/>
      </w:r>
      <w:r>
        <w:fldChar w:fldCharType="begin"/>
      </w:r>
      <w:r>
        <w:instrText xml:space="preserve"> PAGEREF _Toc424740179 \h </w:instrText>
      </w:r>
      <w:r>
        <w:fldChar w:fldCharType="separate"/>
      </w:r>
      <w:r>
        <w:t>13</w:t>
      </w:r>
      <w:r>
        <w:fldChar w:fldCharType="end"/>
      </w:r>
    </w:p>
    <w:p>
      <w:pPr>
        <w:pStyle w:val="TOC8"/>
        <w:rPr>
          <w:rFonts w:asciiTheme="minorHAnsi" w:eastAsiaTheme="minorEastAsia" w:hAnsiTheme="minorHAnsi" w:cstheme="minorBidi"/>
          <w:szCs w:val="22"/>
        </w:rPr>
      </w:pPr>
      <w:r>
        <w:t>13.</w:t>
      </w:r>
      <w:r>
        <w:tab/>
        <w:t>Commissioner may perform functions of conciliation and review officer</w:t>
      </w:r>
      <w:r>
        <w:tab/>
      </w:r>
      <w:r>
        <w:fldChar w:fldCharType="begin"/>
      </w:r>
      <w:r>
        <w:instrText xml:space="preserve"> PAGEREF _Toc424740180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Conciliation</w:t>
      </w:r>
    </w:p>
    <w:p>
      <w:pPr>
        <w:pStyle w:val="TOC8"/>
        <w:rPr>
          <w:rFonts w:asciiTheme="minorHAnsi" w:eastAsiaTheme="minorEastAsia" w:hAnsiTheme="minorHAnsi" w:cstheme="minorBidi"/>
          <w:szCs w:val="22"/>
        </w:rPr>
      </w:pPr>
      <w:r>
        <w:t>14.</w:t>
      </w:r>
      <w:r>
        <w:tab/>
        <w:t>Conciliation of claims</w:t>
      </w:r>
      <w:r>
        <w:tab/>
      </w:r>
      <w:r>
        <w:fldChar w:fldCharType="begin"/>
      </w:r>
      <w:r>
        <w:instrText xml:space="preserve"> PAGEREF _Toc424740182 \h </w:instrText>
      </w:r>
      <w:r>
        <w:fldChar w:fldCharType="separate"/>
      </w:r>
      <w:r>
        <w:t>13</w:t>
      </w:r>
      <w:r>
        <w:fldChar w:fldCharType="end"/>
      </w:r>
    </w:p>
    <w:p>
      <w:pPr>
        <w:pStyle w:val="TOC8"/>
        <w:rPr>
          <w:rFonts w:asciiTheme="minorHAnsi" w:eastAsiaTheme="minorEastAsia" w:hAnsiTheme="minorHAnsi" w:cstheme="minorBidi"/>
          <w:szCs w:val="22"/>
        </w:rPr>
      </w:pPr>
      <w:r>
        <w:t>15.</w:t>
      </w:r>
      <w:r>
        <w:tab/>
        <w:t>Conciliation may be repeated</w:t>
      </w:r>
      <w:r>
        <w:tab/>
      </w:r>
      <w:r>
        <w:fldChar w:fldCharType="begin"/>
      </w:r>
      <w:r>
        <w:instrText xml:space="preserve"> PAGEREF _Toc424740183 \h </w:instrText>
      </w:r>
      <w:r>
        <w:fldChar w:fldCharType="separate"/>
      </w:r>
      <w:r>
        <w:t>14</w:t>
      </w:r>
      <w:r>
        <w:fldChar w:fldCharType="end"/>
      </w:r>
    </w:p>
    <w:p>
      <w:pPr>
        <w:pStyle w:val="TOC8"/>
        <w:rPr>
          <w:rFonts w:asciiTheme="minorHAnsi" w:eastAsiaTheme="minorEastAsia" w:hAnsiTheme="minorHAnsi" w:cstheme="minorBidi"/>
          <w:szCs w:val="22"/>
        </w:rPr>
      </w:pPr>
      <w:r>
        <w:t>16.</w:t>
      </w:r>
      <w:r>
        <w:tab/>
        <w:t>Settlement of claims by agreement</w:t>
      </w:r>
      <w:r>
        <w:tab/>
      </w:r>
      <w:r>
        <w:fldChar w:fldCharType="begin"/>
      </w:r>
      <w:r>
        <w:instrText xml:space="preserve"> PAGEREF _Toc424740184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Review</w:t>
      </w:r>
    </w:p>
    <w:p>
      <w:pPr>
        <w:pStyle w:val="TOC8"/>
        <w:rPr>
          <w:rFonts w:asciiTheme="minorHAnsi" w:eastAsiaTheme="minorEastAsia" w:hAnsiTheme="minorHAnsi" w:cstheme="minorBidi"/>
          <w:szCs w:val="22"/>
        </w:rPr>
      </w:pPr>
      <w:r>
        <w:t>17.</w:t>
      </w:r>
      <w:r>
        <w:tab/>
        <w:t>Review to be carried out if claim not settled by agreement</w:t>
      </w:r>
      <w:r>
        <w:tab/>
      </w:r>
      <w:r>
        <w:fldChar w:fldCharType="begin"/>
      </w:r>
      <w:r>
        <w:instrText xml:space="preserve"> PAGEREF _Toc424740186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procedures</w:t>
      </w:r>
      <w:r>
        <w:tab/>
      </w:r>
      <w:r>
        <w:fldChar w:fldCharType="begin"/>
      </w:r>
      <w:r>
        <w:instrText xml:space="preserve"> PAGEREF _Toc424740187 \h </w:instrText>
      </w:r>
      <w:r>
        <w:fldChar w:fldCharType="separate"/>
      </w:r>
      <w:r>
        <w:t>15</w:t>
      </w:r>
      <w:r>
        <w:fldChar w:fldCharType="end"/>
      </w:r>
    </w:p>
    <w:p>
      <w:pPr>
        <w:pStyle w:val="TOC8"/>
        <w:rPr>
          <w:rFonts w:asciiTheme="minorHAnsi" w:eastAsiaTheme="minorEastAsia" w:hAnsiTheme="minorHAnsi" w:cstheme="minorBidi"/>
          <w:szCs w:val="22"/>
        </w:rPr>
      </w:pPr>
      <w:r>
        <w:t>19.</w:t>
      </w:r>
      <w:r>
        <w:tab/>
        <w:t>Conciliation and review officer to report to Commissioner</w:t>
      </w:r>
      <w:r>
        <w:tab/>
      </w:r>
      <w:r>
        <w:fldChar w:fldCharType="begin"/>
      </w:r>
      <w:r>
        <w:instrText xml:space="preserve"> PAGEREF _Toc424740188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Determinations by Commissioner</w:t>
      </w:r>
    </w:p>
    <w:p>
      <w:pPr>
        <w:pStyle w:val="TOC8"/>
        <w:rPr>
          <w:rFonts w:asciiTheme="minorHAnsi" w:eastAsiaTheme="minorEastAsia" w:hAnsiTheme="minorHAnsi" w:cstheme="minorBidi"/>
          <w:szCs w:val="22"/>
        </w:rPr>
      </w:pPr>
      <w:r>
        <w:t>20.</w:t>
      </w:r>
      <w:r>
        <w:tab/>
        <w:t>Commissioner to make determination</w:t>
      </w:r>
      <w:r>
        <w:tab/>
      </w:r>
      <w:r>
        <w:fldChar w:fldCharType="begin"/>
      </w:r>
      <w:r>
        <w:instrText xml:space="preserve"> PAGEREF _Toc424740190 \h </w:instrText>
      </w:r>
      <w:r>
        <w:fldChar w:fldCharType="separate"/>
      </w:r>
      <w:r>
        <w:t>16</w:t>
      </w:r>
      <w:r>
        <w:fldChar w:fldCharType="end"/>
      </w:r>
    </w:p>
    <w:p>
      <w:pPr>
        <w:pStyle w:val="TOC8"/>
        <w:rPr>
          <w:rFonts w:asciiTheme="minorHAnsi" w:eastAsiaTheme="minorEastAsia" w:hAnsiTheme="minorHAnsi" w:cstheme="minorBidi"/>
          <w:szCs w:val="22"/>
        </w:rPr>
      </w:pPr>
      <w:r>
        <w:t>21.</w:t>
      </w:r>
      <w:r>
        <w:tab/>
        <w:t>Commissioner to notify claimant and public sector body of determination</w:t>
      </w:r>
      <w:r>
        <w:tab/>
      </w:r>
      <w:r>
        <w:fldChar w:fldCharType="begin"/>
      </w:r>
      <w:r>
        <w:instrText xml:space="preserve"> PAGEREF _Toc424740191 \h </w:instrText>
      </w:r>
      <w:r>
        <w:fldChar w:fldCharType="separate"/>
      </w:r>
      <w:r>
        <w:t>17</w:t>
      </w:r>
      <w:r>
        <w:fldChar w:fldCharType="end"/>
      </w:r>
    </w:p>
    <w:p>
      <w:pPr>
        <w:pStyle w:val="TOC8"/>
        <w:rPr>
          <w:rFonts w:asciiTheme="minorHAnsi" w:eastAsiaTheme="minorEastAsia" w:hAnsiTheme="minorHAnsi" w:cstheme="minorBidi"/>
          <w:szCs w:val="22"/>
        </w:rPr>
      </w:pPr>
      <w:r>
        <w:t>22.</w:t>
      </w:r>
      <w:r>
        <w:tab/>
        <w:t>Public sector body to notify Commissioner and claimant of intended response</w:t>
      </w:r>
      <w:r>
        <w:tab/>
      </w:r>
      <w:r>
        <w:fldChar w:fldCharType="begin"/>
      </w:r>
      <w:r>
        <w:instrText xml:space="preserve"> PAGEREF _Toc424740192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Withdrawn and lapsed claims</w:t>
      </w:r>
    </w:p>
    <w:p>
      <w:pPr>
        <w:pStyle w:val="TOC8"/>
        <w:rPr>
          <w:rFonts w:asciiTheme="minorHAnsi" w:eastAsiaTheme="minorEastAsia" w:hAnsiTheme="minorHAnsi" w:cstheme="minorBidi"/>
          <w:szCs w:val="22"/>
        </w:rPr>
      </w:pPr>
      <w:r>
        <w:t>23.</w:t>
      </w:r>
      <w:r>
        <w:tab/>
        <w:t>Withdrawn claims</w:t>
      </w:r>
      <w:r>
        <w:tab/>
      </w:r>
      <w:r>
        <w:fldChar w:fldCharType="begin"/>
      </w:r>
      <w:r>
        <w:instrText xml:space="preserve"> PAGEREF _Toc424740194 \h </w:instrText>
      </w:r>
      <w:r>
        <w:fldChar w:fldCharType="separate"/>
      </w:r>
      <w:r>
        <w:t>18</w:t>
      </w:r>
      <w:r>
        <w:fldChar w:fldCharType="end"/>
      </w:r>
    </w:p>
    <w:p>
      <w:pPr>
        <w:pStyle w:val="TOC8"/>
        <w:rPr>
          <w:rFonts w:asciiTheme="minorHAnsi" w:eastAsiaTheme="minorEastAsia" w:hAnsiTheme="minorHAnsi" w:cstheme="minorBidi"/>
          <w:szCs w:val="22"/>
        </w:rPr>
      </w:pPr>
      <w:r>
        <w:t>24.</w:t>
      </w:r>
      <w:r>
        <w:tab/>
        <w:t>Lapsed claims</w:t>
      </w:r>
      <w:r>
        <w:tab/>
      </w:r>
      <w:r>
        <w:fldChar w:fldCharType="begin"/>
      </w:r>
      <w:r>
        <w:instrText xml:space="preserve"> PAGEREF _Toc424740195 \h </w:instrText>
      </w:r>
      <w:r>
        <w:fldChar w:fldCharType="separate"/>
      </w:r>
      <w:r>
        <w:t>19</w:t>
      </w:r>
      <w:r>
        <w:fldChar w:fldCharType="end"/>
      </w:r>
    </w:p>
    <w:p>
      <w:pPr>
        <w:pStyle w:val="TOC8"/>
        <w:rPr>
          <w:rFonts w:asciiTheme="minorHAnsi" w:eastAsiaTheme="minorEastAsia" w:hAnsiTheme="minorHAnsi" w:cstheme="minorBidi"/>
          <w:szCs w:val="22"/>
        </w:rPr>
      </w:pPr>
      <w:r>
        <w:t>25.</w:t>
      </w:r>
      <w:r>
        <w:tab/>
        <w:t>No further action to be taken for withdrawn or lapsed claims</w:t>
      </w:r>
      <w:r>
        <w:tab/>
      </w:r>
      <w:r>
        <w:fldChar w:fldCharType="begin"/>
      </w:r>
      <w:r>
        <w:instrText xml:space="preserve"> PAGEREF _Toc424740196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26.</w:t>
      </w:r>
      <w:r>
        <w:tab/>
        <w:t>Suspension of conciliation process or review process</w:t>
      </w:r>
      <w:r>
        <w:tab/>
      </w:r>
      <w:r>
        <w:fldChar w:fldCharType="begin"/>
      </w:r>
      <w:r>
        <w:instrText xml:space="preserve"> PAGEREF _Toc424740198 \h </w:instrText>
      </w:r>
      <w:r>
        <w:fldChar w:fldCharType="separate"/>
      </w:r>
      <w:r>
        <w:t>19</w:t>
      </w:r>
      <w:r>
        <w:fldChar w:fldCharType="end"/>
      </w:r>
    </w:p>
    <w:p>
      <w:pPr>
        <w:pStyle w:val="TOC8"/>
        <w:rPr>
          <w:rFonts w:asciiTheme="minorHAnsi" w:eastAsiaTheme="minorEastAsia" w:hAnsiTheme="minorHAnsi" w:cstheme="minorBidi"/>
          <w:szCs w:val="22"/>
        </w:rPr>
      </w:pPr>
      <w:r>
        <w:t>27.</w:t>
      </w:r>
      <w:r>
        <w:tab/>
        <w:t>Representation during conciliation process or review process</w:t>
      </w:r>
      <w:r>
        <w:tab/>
      </w:r>
      <w:r>
        <w:fldChar w:fldCharType="begin"/>
      </w:r>
      <w:r>
        <w:instrText xml:space="preserve"> PAGEREF _Toc424740199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28.</w:t>
      </w:r>
      <w:r>
        <w:tab/>
        <w:t>Information about public sector standards and regulations to be made available to employees</w:t>
      </w:r>
      <w:r>
        <w:tab/>
      </w:r>
      <w:r>
        <w:fldChar w:fldCharType="begin"/>
      </w:r>
      <w:r>
        <w:instrText xml:space="preserve"> PAGEREF _Toc424740201 \h </w:instrText>
      </w:r>
      <w:r>
        <w:fldChar w:fldCharType="separate"/>
      </w:r>
      <w:r>
        <w:t>22</w:t>
      </w:r>
      <w:r>
        <w:fldChar w:fldCharType="end"/>
      </w:r>
    </w:p>
    <w:p>
      <w:pPr>
        <w:pStyle w:val="TOC8"/>
        <w:rPr>
          <w:rFonts w:asciiTheme="minorHAnsi" w:eastAsiaTheme="minorEastAsia" w:hAnsiTheme="minorHAnsi" w:cstheme="minorBidi"/>
          <w:szCs w:val="22"/>
        </w:rPr>
      </w:pPr>
      <w:r>
        <w:t>29.</w:t>
      </w:r>
      <w:r>
        <w:tab/>
        <w:t>Terms and conditions of appointment of conciliation and review officers</w:t>
      </w:r>
      <w:r>
        <w:tab/>
      </w:r>
      <w:r>
        <w:fldChar w:fldCharType="begin"/>
      </w:r>
      <w:r>
        <w:instrText xml:space="preserve"> PAGEREF _Toc424740202 \h </w:instrText>
      </w:r>
      <w:r>
        <w:fldChar w:fldCharType="separate"/>
      </w:r>
      <w:r>
        <w:t>22</w:t>
      </w:r>
      <w:r>
        <w:fldChar w:fldCharType="end"/>
      </w:r>
    </w:p>
    <w:p>
      <w:pPr>
        <w:pStyle w:val="TOC8"/>
        <w:rPr>
          <w:rFonts w:asciiTheme="minorHAnsi" w:eastAsiaTheme="minorEastAsia" w:hAnsiTheme="minorHAnsi" w:cstheme="minorBidi"/>
          <w:szCs w:val="22"/>
        </w:rPr>
      </w:pPr>
      <w:r>
        <w:t>30.</w:t>
      </w:r>
      <w:r>
        <w:tab/>
        <w:t>Commissioner may report to Minister and Parliament</w:t>
      </w:r>
      <w:r>
        <w:tab/>
      </w:r>
      <w:r>
        <w:fldChar w:fldCharType="begin"/>
      </w:r>
      <w:r>
        <w:instrText xml:space="preserve"> PAGEREF _Toc424740203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matters</w:t>
      </w:r>
    </w:p>
    <w:p>
      <w:pPr>
        <w:pStyle w:val="TOC8"/>
        <w:rPr>
          <w:rFonts w:asciiTheme="minorHAnsi" w:eastAsiaTheme="minorEastAsia" w:hAnsiTheme="minorHAnsi" w:cstheme="minorBidi"/>
          <w:szCs w:val="22"/>
        </w:rPr>
      </w:pPr>
      <w:r>
        <w:t>31.</w:t>
      </w:r>
      <w:r>
        <w:tab/>
        <w:t>Transitional</w:t>
      </w:r>
      <w:r>
        <w:tab/>
      </w:r>
      <w:r>
        <w:fldChar w:fldCharType="begin"/>
      </w:r>
      <w:r>
        <w:instrText xml:space="preserve"> PAGEREF _Toc424740205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_Toc424740207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3" w:name="_Toc382230117"/>
      <w:bookmarkStart w:id="4" w:name="_Toc424740116"/>
      <w:bookmarkStart w:id="5" w:name="_Toc4247401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82230118"/>
      <w:bookmarkStart w:id="7" w:name="_Toc424740163"/>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8" w:name="_Toc382230119"/>
      <w:bookmarkStart w:id="9" w:name="_Toc424740164"/>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1 September 2005.</w:t>
      </w:r>
    </w:p>
    <w:p>
      <w:pPr>
        <w:pStyle w:val="Heading5"/>
      </w:pPr>
      <w:bookmarkStart w:id="10" w:name="_Toc382230120"/>
      <w:bookmarkStart w:id="11" w:name="_Toc424740165"/>
      <w:r>
        <w:rPr>
          <w:rStyle w:val="CharSectno"/>
        </w:rPr>
        <w:t>3</w:t>
      </w:r>
      <w:r>
        <w:t>.</w:t>
      </w:r>
      <w:r>
        <w:tab/>
        <w:t>Terms used in these regulations</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tab/>
        <w:t>(b)</w:t>
      </w:r>
      <w:r>
        <w:tab/>
        <w:t>a shared appointment pool;</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pPr>
      <w:r>
        <w:tab/>
      </w:r>
      <w:r>
        <w:rPr>
          <w:rStyle w:val="CharDefText"/>
        </w:rPr>
        <w:t>transfer</w:t>
      </w:r>
      <w:r>
        <w:t xml:space="preserve"> means the permanent movement of an employee from an office, post or position in a public sector body to another office, post or position with the same level of classification in a public sector body;</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Footnotesection"/>
      </w:pPr>
      <w:r>
        <w:tab/>
        <w:t>[Regulation 3 amended: Gazette 11 Feb 2011 p. 493-6.]</w:t>
      </w:r>
    </w:p>
    <w:p>
      <w:pPr>
        <w:pStyle w:val="Heading5"/>
      </w:pPr>
      <w:bookmarkStart w:id="12" w:name="_Toc382230121"/>
      <w:bookmarkStart w:id="13" w:name="_Toc424740166"/>
      <w:r>
        <w:rPr>
          <w:rStyle w:val="CharSectno"/>
        </w:rPr>
        <w:t>4</w:t>
      </w:r>
      <w:r>
        <w:t>.</w:t>
      </w:r>
      <w:r>
        <w:tab/>
        <w:t>Guidelines</w:t>
      </w:r>
      <w:bookmarkEnd w:id="12"/>
      <w:bookmarkEnd w:id="13"/>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14" w:name="_Toc382230122"/>
      <w:bookmarkStart w:id="15" w:name="_Toc424740167"/>
      <w:r>
        <w:rPr>
          <w:rStyle w:val="CharSectno"/>
        </w:rPr>
        <w:t>5A</w:t>
      </w:r>
      <w:r>
        <w:t>.</w:t>
      </w:r>
      <w:r>
        <w:tab/>
        <w:t>Shared appointment pools</w:t>
      </w:r>
      <w:bookmarkEnd w:id="14"/>
      <w:bookmarkEnd w:id="15"/>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 Gazette 11 Feb 2011 p. 495.]</w:t>
      </w:r>
    </w:p>
    <w:p>
      <w:pPr>
        <w:pStyle w:val="Heading2"/>
      </w:pPr>
      <w:bookmarkStart w:id="16" w:name="_Toc382230123"/>
      <w:bookmarkStart w:id="17" w:name="_Toc424740122"/>
      <w:bookmarkStart w:id="18" w:name="_Toc424740168"/>
      <w:r>
        <w:rPr>
          <w:rStyle w:val="CharPartNo"/>
        </w:rPr>
        <w:t>Part 2</w:t>
      </w:r>
      <w:r>
        <w:rPr>
          <w:rStyle w:val="CharDivNo"/>
        </w:rPr>
        <w:t> </w:t>
      </w:r>
      <w:r>
        <w:t>—</w:t>
      </w:r>
      <w:r>
        <w:rPr>
          <w:rStyle w:val="CharDivText"/>
        </w:rPr>
        <w:t> </w:t>
      </w:r>
      <w:r>
        <w:rPr>
          <w:rStyle w:val="CharPartText"/>
        </w:rPr>
        <w:t>Claims for relief for breaches of public sector standards</w:t>
      </w:r>
      <w:bookmarkEnd w:id="16"/>
      <w:bookmarkEnd w:id="17"/>
      <w:bookmarkEnd w:id="18"/>
    </w:p>
    <w:p>
      <w:pPr>
        <w:pStyle w:val="Heading5"/>
      </w:pPr>
      <w:bookmarkStart w:id="19" w:name="_Toc382230124"/>
      <w:bookmarkStart w:id="20" w:name="_Toc424740169"/>
      <w:r>
        <w:rPr>
          <w:rStyle w:val="CharSectno"/>
        </w:rPr>
        <w:t>5</w:t>
      </w:r>
      <w:r>
        <w:t>.</w:t>
      </w:r>
      <w:r>
        <w:tab/>
        <w:t>Public sector bodies to give notice of certain reviewable decisions</w:t>
      </w:r>
      <w:bookmarkEnd w:id="19"/>
      <w:bookmarkEnd w:id="20"/>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 Gazette 11 Feb 2011 p. 495-6.]</w:t>
      </w:r>
    </w:p>
    <w:p>
      <w:pPr>
        <w:pStyle w:val="Heading5"/>
      </w:pPr>
      <w:bookmarkStart w:id="21" w:name="_Toc382230125"/>
      <w:bookmarkStart w:id="22" w:name="_Toc424740170"/>
      <w:r>
        <w:rPr>
          <w:rStyle w:val="CharSectno"/>
        </w:rPr>
        <w:t>6</w:t>
      </w:r>
      <w:r>
        <w:t>.</w:t>
      </w:r>
      <w:r>
        <w:tab/>
        <w:t>Making claims for relief for breaches of public sector standards</w:t>
      </w:r>
      <w:bookmarkEnd w:id="21"/>
      <w:bookmarkEnd w:id="22"/>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Only the following persons may make a claim in respect of a breach of a public sector employment standard — </w:t>
      </w:r>
    </w:p>
    <w:p>
      <w:pPr>
        <w:pStyle w:val="Defpara"/>
      </w:pPr>
      <w:r>
        <w:tab/>
        <w:t>(a)</w:t>
      </w:r>
      <w:r>
        <w:tab/>
        <w:t xml:space="preserve">a person who has applied unsuccessfully to be appointed to fill a vacancy, otherwise than from an appointment pool or by way of acting movement or transfer — </w:t>
      </w:r>
    </w:p>
    <w:p>
      <w:pPr>
        <w:pStyle w:val="Indenti"/>
      </w:pPr>
      <w:r>
        <w:tab/>
        <w:t>(i)</w:t>
      </w:r>
      <w:r>
        <w:tab/>
        <w:t>for a period of more than 6 months; or</w:t>
      </w:r>
    </w:p>
    <w:p>
      <w:pPr>
        <w:pStyle w:val="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Indenta"/>
      </w:pPr>
      <w:r>
        <w:tab/>
      </w:r>
      <w:r>
        <w:tab/>
        <w:t>and claims there has been a breach of the standard in relation to the process of appointment;</w:t>
      </w:r>
    </w:p>
    <w:p>
      <w:pPr>
        <w:pStyle w:val="Defpara"/>
      </w:pPr>
      <w:r>
        <w:tab/>
        <w:t>(b)</w:t>
      </w:r>
      <w:r>
        <w:tab/>
        <w:t xml:space="preserve">a person who has applied unsuccessfully to be appointed to fill a temporary vacancy, by way of acting movement — </w:t>
      </w:r>
    </w:p>
    <w:p>
      <w:pPr>
        <w:pStyle w:val="Indenti"/>
      </w:pPr>
      <w:r>
        <w:tab/>
        <w:t>(i)</w:t>
      </w:r>
      <w:r>
        <w:tab/>
        <w:t>for a period of more than 6 months; or</w:t>
      </w:r>
    </w:p>
    <w:p>
      <w:pPr>
        <w:pStyle w:val="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Indenta"/>
      </w:pPr>
      <w:r>
        <w:tab/>
      </w:r>
      <w:r>
        <w:tab/>
        <w:t>and claims there has been a breach of the standard in relation to the process of appointment;</w:t>
      </w:r>
    </w:p>
    <w:p>
      <w:pPr>
        <w:pStyle w:val="Indenta"/>
      </w:pPr>
      <w:r>
        <w:tab/>
        <w:t>(c)</w:t>
      </w:r>
      <w:r>
        <w:tab/>
        <w:t>a person who has applied unsuccessfully to be selected to form part of an appointment pool, and claims there has been a breach of the standard in relation to the process of selection;</w:t>
      </w:r>
    </w:p>
    <w:p>
      <w:pPr>
        <w:pStyle w:val="Indenta"/>
      </w:pPr>
      <w:r>
        <w:tab/>
        <w:t>(d)</w:t>
      </w:r>
      <w:r>
        <w:tab/>
        <w:t>a person who has applied unsuccessfully to be appointed to fill a vacancy by way of transfer, or is being transferred, and claims there has been a breach of the standard in relation to the process of transfer.</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 Gazette 11 Feb 2011 p. 496-7.]</w:t>
      </w:r>
    </w:p>
    <w:p>
      <w:pPr>
        <w:pStyle w:val="Heading5"/>
      </w:pPr>
      <w:bookmarkStart w:id="23" w:name="_Toc382230126"/>
      <w:bookmarkStart w:id="24" w:name="_Toc424740171"/>
      <w:r>
        <w:rPr>
          <w:rStyle w:val="CharSectno"/>
        </w:rPr>
        <w:t>7</w:t>
      </w:r>
      <w:r>
        <w:t>.</w:t>
      </w:r>
      <w:r>
        <w:tab/>
        <w:t>Lodging claims with public sector bodies</w:t>
      </w:r>
      <w:bookmarkEnd w:id="23"/>
      <w:bookmarkEnd w:id="24"/>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days after the claimant was given notice under regulation 5(2) or (3A), as is specified in the notice;</w:t>
      </w:r>
    </w:p>
    <w:p>
      <w:pPr>
        <w:pStyle w:val="Defpara"/>
      </w:pPr>
      <w:r>
        <w:tab/>
        <w:t>(b)</w:t>
      </w:r>
      <w:r>
        <w:tab/>
        <w:t>for a reviewable decision referred to in regulation 5(1) — 10 days after the claimant was given notice under that subregulation;</w:t>
      </w:r>
    </w:p>
    <w:p>
      <w:pPr>
        <w:pStyle w:val="Defpara"/>
      </w:pPr>
      <w:r>
        <w:tab/>
        <w:t>(c)</w:t>
      </w:r>
      <w:r>
        <w:tab/>
        <w:t>for any other reviewable decision — 10 days after the claimant first became aware of the reviewable decision or 30 days after the reviewable decision was made, which period expires first.</w:t>
      </w:r>
    </w:p>
    <w:p>
      <w:pPr>
        <w:pStyle w:val="Footnotesection"/>
      </w:pPr>
      <w:r>
        <w:tab/>
        <w:t>[Regulation 7 amended: Gazette 28 Oct 2008 p. 4727</w:t>
      </w:r>
      <w:r>
        <w:noBreakHyphen/>
        <w:t>8; 11 Feb 2011 p. 497.]</w:t>
      </w:r>
    </w:p>
    <w:p>
      <w:pPr>
        <w:pStyle w:val="Ednotesection"/>
      </w:pPr>
      <w:r>
        <w:t>[</w:t>
      </w:r>
      <w:r>
        <w:rPr>
          <w:b/>
        </w:rPr>
        <w:t>8A.</w:t>
      </w:r>
      <w:r>
        <w:tab/>
        <w:t>Deleted: Gazette 11 Feb 2011 p. 497.]</w:t>
      </w:r>
    </w:p>
    <w:p>
      <w:pPr>
        <w:pStyle w:val="Heading5"/>
      </w:pPr>
      <w:bookmarkStart w:id="25" w:name="_Toc382230127"/>
      <w:bookmarkStart w:id="26" w:name="_Toc424740172"/>
      <w:r>
        <w:rPr>
          <w:rStyle w:val="CharSectno"/>
        </w:rPr>
        <w:t>8</w:t>
      </w:r>
      <w:r>
        <w:t>.</w:t>
      </w:r>
      <w:r>
        <w:tab/>
        <w:t>Effect of making claims on proposed appointments and transfers</w:t>
      </w:r>
      <w:bookmarkEnd w:id="25"/>
      <w:bookmarkEnd w:id="26"/>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tab/>
        <w:t>(b)</w:t>
      </w:r>
      <w:r>
        <w:tab/>
        <w:t>the Commissioner gives the employing authority written approval to make the appointment or give effect to the transfer.</w:t>
      </w:r>
    </w:p>
    <w:p>
      <w:pPr>
        <w:pStyle w:val="Footnotesection"/>
      </w:pPr>
      <w:r>
        <w:tab/>
        <w:t>[Regulation 8 amended: Gazette 11 Feb 2011 p. 497-8.]</w:t>
      </w:r>
    </w:p>
    <w:p>
      <w:pPr>
        <w:pStyle w:val="Heading5"/>
      </w:pPr>
      <w:bookmarkStart w:id="27" w:name="_Toc382230128"/>
      <w:bookmarkStart w:id="28" w:name="_Toc424740173"/>
      <w:r>
        <w:rPr>
          <w:rStyle w:val="CharSectno"/>
        </w:rPr>
        <w:t>9</w:t>
      </w:r>
      <w:r>
        <w:t>.</w:t>
      </w:r>
      <w:r>
        <w:tab/>
        <w:t>Effect of making claims on proposed selections to appointment pools</w:t>
      </w:r>
      <w:bookmarkEnd w:id="27"/>
      <w:bookmarkEnd w:id="28"/>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 Gazette 11 Feb 2011 p. 498.]</w:t>
      </w:r>
    </w:p>
    <w:p>
      <w:pPr>
        <w:pStyle w:val="Heading2"/>
      </w:pPr>
      <w:bookmarkStart w:id="29" w:name="_Toc382230129"/>
      <w:bookmarkStart w:id="30" w:name="_Toc424740128"/>
      <w:bookmarkStart w:id="31" w:name="_Toc424740174"/>
      <w:r>
        <w:rPr>
          <w:rStyle w:val="CharPartNo"/>
        </w:rPr>
        <w:t>Part 3</w:t>
      </w:r>
      <w:r>
        <w:t> — </w:t>
      </w:r>
      <w:r>
        <w:rPr>
          <w:rStyle w:val="CharPartText"/>
        </w:rPr>
        <w:t>Procedures for dealing with claims for relief</w:t>
      </w:r>
      <w:bookmarkEnd w:id="29"/>
      <w:bookmarkEnd w:id="30"/>
      <w:bookmarkEnd w:id="31"/>
    </w:p>
    <w:p>
      <w:pPr>
        <w:pStyle w:val="Heading3"/>
      </w:pPr>
      <w:bookmarkStart w:id="32" w:name="_Toc382230130"/>
      <w:bookmarkStart w:id="33" w:name="_Toc424740129"/>
      <w:bookmarkStart w:id="34" w:name="_Toc424740175"/>
      <w:r>
        <w:rPr>
          <w:rStyle w:val="CharDivNo"/>
        </w:rPr>
        <w:t>Division 1</w:t>
      </w:r>
      <w:r>
        <w:t> — </w:t>
      </w:r>
      <w:r>
        <w:rPr>
          <w:rStyle w:val="CharDivText"/>
        </w:rPr>
        <w:t>General</w:t>
      </w:r>
      <w:bookmarkEnd w:id="32"/>
      <w:bookmarkEnd w:id="33"/>
      <w:bookmarkEnd w:id="34"/>
    </w:p>
    <w:p>
      <w:pPr>
        <w:pStyle w:val="Heading5"/>
      </w:pPr>
      <w:bookmarkStart w:id="35" w:name="_Toc382230131"/>
      <w:bookmarkStart w:id="36" w:name="_Toc424740176"/>
      <w:r>
        <w:rPr>
          <w:rStyle w:val="CharSectno"/>
        </w:rPr>
        <w:t>10</w:t>
      </w:r>
      <w:r>
        <w:t>.</w:t>
      </w:r>
      <w:r>
        <w:tab/>
        <w:t>Public sector bodies to send claims for relief to Commissioner</w:t>
      </w:r>
      <w:bookmarkEnd w:id="35"/>
      <w:bookmarkEnd w:id="36"/>
    </w:p>
    <w:p>
      <w:pPr>
        <w:pStyle w:val="Subsection"/>
      </w:pPr>
      <w:r>
        <w:tab/>
      </w:r>
      <w:r>
        <w:tab/>
        <w:t xml:space="preserve">If a claim is lodged with a public sector body, the public sector body — </w:t>
      </w:r>
    </w:p>
    <w:p>
      <w:pPr>
        <w:pStyle w:val="Indenta"/>
      </w:pPr>
      <w:r>
        <w:tab/>
        <w:t>(aa)</w:t>
      </w:r>
      <w:r>
        <w:tab/>
        <w:t>is to make reasonable attempts to resolve the claim with the claimant before the claim must be sent to the Commissioner under paragraph (a); and</w:t>
      </w:r>
    </w:p>
    <w:p>
      <w:pPr>
        <w:pStyle w:val="Indenta"/>
      </w:pPr>
      <w:r>
        <w:tab/>
        <w:t>(a)</w:t>
      </w:r>
      <w:r>
        <w:tab/>
        <w:t>if the claim is not resolved within 15 days after it is lodged, is to send to the Commissioner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Footnotesection"/>
      </w:pPr>
      <w:r>
        <w:tab/>
        <w:t>[Regulation 10 amended: Gazette 11 Feb 2011 p. 499.]</w:t>
      </w:r>
    </w:p>
    <w:p>
      <w:pPr>
        <w:pStyle w:val="Heading5"/>
      </w:pPr>
      <w:bookmarkStart w:id="37" w:name="_Toc382230132"/>
      <w:bookmarkStart w:id="38" w:name="_Toc424740177"/>
      <w:r>
        <w:rPr>
          <w:rStyle w:val="CharSectno"/>
        </w:rPr>
        <w:t>11A</w:t>
      </w:r>
      <w:r>
        <w:t>.</w:t>
      </w:r>
      <w:r>
        <w:tab/>
        <w:t>Commissioner may decide not to deal with a claim</w:t>
      </w:r>
      <w:bookmarkEnd w:id="37"/>
      <w:bookmarkEnd w:id="38"/>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Footnotesection"/>
      </w:pPr>
      <w:r>
        <w:tab/>
        <w:t>[Regulation 11A inserted: Gazette 11 Feb 2011 p. 499.]</w:t>
      </w:r>
    </w:p>
    <w:p>
      <w:pPr>
        <w:pStyle w:val="Heading5"/>
      </w:pPr>
      <w:bookmarkStart w:id="39" w:name="_Toc382230133"/>
      <w:bookmarkStart w:id="40" w:name="_Toc424740178"/>
      <w:r>
        <w:rPr>
          <w:rStyle w:val="CharSectno"/>
        </w:rPr>
        <w:t>11</w:t>
      </w:r>
      <w:r>
        <w:t>.</w:t>
      </w:r>
      <w:r>
        <w:tab/>
        <w:t>Assignment of claims for relief to conciliation and review officers</w:t>
      </w:r>
      <w:bookmarkEnd w:id="39"/>
      <w:bookmarkEnd w:id="40"/>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41" w:name="_Toc382230134"/>
      <w:bookmarkStart w:id="42" w:name="_Toc424740179"/>
      <w:r>
        <w:rPr>
          <w:rStyle w:val="CharSectno"/>
        </w:rPr>
        <w:t>12</w:t>
      </w:r>
      <w:r>
        <w:t>.</w:t>
      </w:r>
      <w:r>
        <w:tab/>
        <w:t>Conciliation and review officers may seek information and documents</w:t>
      </w:r>
      <w:bookmarkEnd w:id="41"/>
      <w:bookmarkEnd w:id="42"/>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 Gazette 11 Feb 2011 p. 499-500.]</w:t>
      </w:r>
    </w:p>
    <w:p>
      <w:pPr>
        <w:pStyle w:val="Heading5"/>
      </w:pPr>
      <w:bookmarkStart w:id="43" w:name="_Toc382230135"/>
      <w:bookmarkStart w:id="44" w:name="_Toc424740180"/>
      <w:r>
        <w:rPr>
          <w:rStyle w:val="CharSectno"/>
        </w:rPr>
        <w:t>13</w:t>
      </w:r>
      <w:r>
        <w:t>.</w:t>
      </w:r>
      <w:r>
        <w:tab/>
        <w:t>Commissioner may perform functions of conciliation and review officer</w:t>
      </w:r>
      <w:bookmarkEnd w:id="43"/>
      <w:bookmarkEnd w:id="44"/>
    </w:p>
    <w:p>
      <w:pPr>
        <w:pStyle w:val="Subsection"/>
      </w:pPr>
      <w:r>
        <w:tab/>
      </w:r>
      <w:r>
        <w:tab/>
        <w:t>The Commissioner may perform all or any of the functions of a conciliation and review officer under these regulations in respect of a claim.</w:t>
      </w:r>
    </w:p>
    <w:p>
      <w:pPr>
        <w:pStyle w:val="Heading3"/>
      </w:pPr>
      <w:bookmarkStart w:id="45" w:name="_Toc382230136"/>
      <w:bookmarkStart w:id="46" w:name="_Toc424740135"/>
      <w:bookmarkStart w:id="47" w:name="_Toc424740181"/>
      <w:r>
        <w:rPr>
          <w:rStyle w:val="CharDivNo"/>
        </w:rPr>
        <w:t>Division 2</w:t>
      </w:r>
      <w:r>
        <w:t> — </w:t>
      </w:r>
      <w:r>
        <w:rPr>
          <w:rStyle w:val="CharDivText"/>
        </w:rPr>
        <w:t>Conciliation</w:t>
      </w:r>
      <w:bookmarkEnd w:id="45"/>
      <w:bookmarkEnd w:id="46"/>
      <w:bookmarkEnd w:id="47"/>
    </w:p>
    <w:p>
      <w:pPr>
        <w:pStyle w:val="Heading5"/>
      </w:pPr>
      <w:bookmarkStart w:id="48" w:name="_Toc382230137"/>
      <w:bookmarkStart w:id="49" w:name="_Toc424740182"/>
      <w:r>
        <w:rPr>
          <w:rStyle w:val="CharSectno"/>
        </w:rPr>
        <w:t>14</w:t>
      </w:r>
      <w:r>
        <w:t>.</w:t>
      </w:r>
      <w:r>
        <w:tab/>
        <w:t>Conciliation of claims</w:t>
      </w:r>
      <w:bookmarkEnd w:id="48"/>
      <w:bookmarkEnd w:id="49"/>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 Gazette 11 Feb 2011 p. 500.]</w:t>
      </w:r>
    </w:p>
    <w:p>
      <w:pPr>
        <w:pStyle w:val="Heading5"/>
      </w:pPr>
      <w:bookmarkStart w:id="50" w:name="_Toc382230138"/>
      <w:bookmarkStart w:id="51" w:name="_Toc424740183"/>
      <w:r>
        <w:rPr>
          <w:rStyle w:val="CharSectno"/>
        </w:rPr>
        <w:t>15</w:t>
      </w:r>
      <w:r>
        <w:t>.</w:t>
      </w:r>
      <w:r>
        <w:tab/>
        <w:t>Conciliation may be repeated</w:t>
      </w:r>
      <w:bookmarkEnd w:id="50"/>
      <w:bookmarkEnd w:id="51"/>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 Gazette 11 Feb 2011 p. 500.]</w:t>
      </w:r>
    </w:p>
    <w:p>
      <w:pPr>
        <w:pStyle w:val="Heading5"/>
      </w:pPr>
      <w:bookmarkStart w:id="52" w:name="_Toc382230139"/>
      <w:bookmarkStart w:id="53" w:name="_Toc424740184"/>
      <w:r>
        <w:rPr>
          <w:rStyle w:val="CharSectno"/>
        </w:rPr>
        <w:t>16</w:t>
      </w:r>
      <w:r>
        <w:t>.</w:t>
      </w:r>
      <w:r>
        <w:tab/>
        <w:t>Settlement of claims by agreement</w:t>
      </w:r>
      <w:bookmarkEnd w:id="52"/>
      <w:bookmarkEnd w:id="53"/>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54" w:name="_Toc382230140"/>
      <w:bookmarkStart w:id="55" w:name="_Toc424740139"/>
      <w:bookmarkStart w:id="56" w:name="_Toc424740185"/>
      <w:r>
        <w:rPr>
          <w:rStyle w:val="CharDivNo"/>
        </w:rPr>
        <w:t>Division 3</w:t>
      </w:r>
      <w:r>
        <w:t> — </w:t>
      </w:r>
      <w:r>
        <w:rPr>
          <w:rStyle w:val="CharDivText"/>
        </w:rPr>
        <w:t>Review</w:t>
      </w:r>
      <w:bookmarkEnd w:id="54"/>
      <w:bookmarkEnd w:id="55"/>
      <w:bookmarkEnd w:id="56"/>
    </w:p>
    <w:p>
      <w:pPr>
        <w:pStyle w:val="Heading5"/>
      </w:pPr>
      <w:bookmarkStart w:id="57" w:name="_Toc382230141"/>
      <w:bookmarkStart w:id="58" w:name="_Toc424740186"/>
      <w:r>
        <w:rPr>
          <w:rStyle w:val="CharSectno"/>
        </w:rPr>
        <w:t>17</w:t>
      </w:r>
      <w:r>
        <w:t>.</w:t>
      </w:r>
      <w:r>
        <w:tab/>
        <w:t>Review to be carried out if claim not settled by agreement</w:t>
      </w:r>
      <w:bookmarkEnd w:id="57"/>
      <w:bookmarkEnd w:id="58"/>
    </w:p>
    <w:p>
      <w:pPr>
        <w:pStyle w:val="Subsection"/>
      </w:pPr>
      <w:r>
        <w:tab/>
      </w:r>
      <w:r>
        <w:tab/>
        <w:t>If a claim is not settled by agreement under Division 2, the conciliation and review officer is to carry out a review of the claim.</w:t>
      </w:r>
    </w:p>
    <w:p>
      <w:pPr>
        <w:pStyle w:val="Heading5"/>
      </w:pPr>
      <w:bookmarkStart w:id="59" w:name="_Toc382230142"/>
      <w:bookmarkStart w:id="60" w:name="_Toc424740187"/>
      <w:r>
        <w:rPr>
          <w:rStyle w:val="CharSectno"/>
        </w:rPr>
        <w:t>18</w:t>
      </w:r>
      <w:r>
        <w:t>.</w:t>
      </w:r>
      <w:r>
        <w:tab/>
        <w:t>Review procedures</w:t>
      </w:r>
      <w:bookmarkEnd w:id="59"/>
      <w:bookmarkEnd w:id="60"/>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 Gazette 11 Feb 2011 p. 500.]</w:t>
      </w:r>
    </w:p>
    <w:p>
      <w:pPr>
        <w:pStyle w:val="Heading5"/>
      </w:pPr>
      <w:bookmarkStart w:id="61" w:name="_Toc382230143"/>
      <w:bookmarkStart w:id="62" w:name="_Toc424740188"/>
      <w:r>
        <w:rPr>
          <w:rStyle w:val="CharSectno"/>
        </w:rPr>
        <w:t>19</w:t>
      </w:r>
      <w:r>
        <w:t>.</w:t>
      </w:r>
      <w:r>
        <w:tab/>
        <w:t>Conciliation and review officer to report to Commissioner</w:t>
      </w:r>
      <w:bookmarkEnd w:id="61"/>
      <w:bookmarkEnd w:id="62"/>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 Gazette 11 Feb 2011 p. 500.]</w:t>
      </w:r>
    </w:p>
    <w:p>
      <w:pPr>
        <w:pStyle w:val="Heading3"/>
      </w:pPr>
      <w:bookmarkStart w:id="63" w:name="_Toc382230144"/>
      <w:bookmarkStart w:id="64" w:name="_Toc424740143"/>
      <w:bookmarkStart w:id="65" w:name="_Toc424740189"/>
      <w:r>
        <w:rPr>
          <w:rStyle w:val="CharDivNo"/>
        </w:rPr>
        <w:t>Division 4</w:t>
      </w:r>
      <w:r>
        <w:t> — </w:t>
      </w:r>
      <w:r>
        <w:rPr>
          <w:rStyle w:val="CharDivText"/>
        </w:rPr>
        <w:t>Determinations by Commissioner</w:t>
      </w:r>
      <w:bookmarkEnd w:id="63"/>
      <w:bookmarkEnd w:id="64"/>
      <w:bookmarkEnd w:id="65"/>
    </w:p>
    <w:p>
      <w:pPr>
        <w:pStyle w:val="Heading5"/>
      </w:pPr>
      <w:bookmarkStart w:id="66" w:name="_Toc382230145"/>
      <w:bookmarkStart w:id="67" w:name="_Toc424740190"/>
      <w:r>
        <w:rPr>
          <w:rStyle w:val="CharSectno"/>
        </w:rPr>
        <w:t>20</w:t>
      </w:r>
      <w:r>
        <w:t>.</w:t>
      </w:r>
      <w:r>
        <w:tab/>
        <w:t>Commissioner to make determination</w:t>
      </w:r>
      <w:bookmarkEnd w:id="66"/>
      <w:bookmarkEnd w:id="67"/>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 Gazette 11 Feb 2011 p. 500-1; 11 Mar 2014 p. 585.]</w:t>
      </w:r>
    </w:p>
    <w:p>
      <w:pPr>
        <w:pStyle w:val="Heading5"/>
      </w:pPr>
      <w:bookmarkStart w:id="68" w:name="_Toc382230146"/>
      <w:bookmarkStart w:id="69" w:name="_Toc424740191"/>
      <w:r>
        <w:rPr>
          <w:rStyle w:val="CharSectno"/>
        </w:rPr>
        <w:t>21</w:t>
      </w:r>
      <w:r>
        <w:t>.</w:t>
      </w:r>
      <w:r>
        <w:tab/>
        <w:t>Commissioner to notify claimant and public sector body of determination</w:t>
      </w:r>
      <w:bookmarkEnd w:id="68"/>
      <w:bookmarkEnd w:id="69"/>
    </w:p>
    <w:p>
      <w:pPr>
        <w:pStyle w:val="Subsection"/>
      </w:pPr>
      <w:r>
        <w:tab/>
        <w:t>(1)</w:t>
      </w:r>
      <w:r>
        <w:tab/>
        <w:t xml:space="preserve">The Commissioner is to give written notice to the claimant and the public sector body of — </w:t>
      </w:r>
    </w:p>
    <w:p>
      <w:pPr>
        <w:pStyle w:val="Indenta"/>
      </w:pPr>
      <w:r>
        <w:tab/>
        <w:t>(a)</w:t>
      </w:r>
      <w:r>
        <w:tab/>
        <w:t>the Commissioner’s determination under regulation 20(2) including, if applicable, the Commissioner’s recommendation or direction —</w:t>
      </w:r>
    </w:p>
    <w:p>
      <w:pPr>
        <w:pStyle w:val="Indenti"/>
      </w:pPr>
      <w:r>
        <w:tab/>
        <w:t>(i)</w:t>
      </w:r>
      <w:r>
        <w:tab/>
        <w:t>that the claimant be given the relief as specified in the notice within the period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(2A)</w:t>
      </w:r>
      <w:r>
        <w:tab/>
        <w:t xml:space="preserve">If — </w:t>
      </w:r>
    </w:p>
    <w:p>
      <w:pPr>
        <w:pStyle w:val="Indenta"/>
      </w:pPr>
      <w:r>
        <w:tab/>
        <w:t>(a)</w:t>
      </w:r>
      <w:r>
        <w:tab/>
        <w:t>the Commissioner makes a recommendation in a notice under subregulation (1); and</w:t>
      </w:r>
    </w:p>
    <w:p>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pPr>
        <w:pStyle w:val="Subsection"/>
      </w:pPr>
      <w:r>
        <w:tab/>
      </w:r>
      <w:r>
        <w:tab/>
        <w:t>the Commissioner may direct the public sector body or its employing authority to give the claimant the relief specified in the direction within a period specified in the direction.</w:t>
      </w:r>
    </w:p>
    <w:p>
      <w:pPr>
        <w:pStyle w:val="Subsection"/>
      </w:pPr>
      <w:r>
        <w:tab/>
        <w:t>(2)</w:t>
      </w:r>
      <w:r>
        <w:tab/>
        <w:t>The Commissioner cannot recommend that the relief to be given by the public sector body is the appointment of the claimant or another person.</w:t>
      </w:r>
    </w:p>
    <w:p>
      <w:pPr>
        <w:pStyle w:val="Subsection"/>
      </w:pPr>
      <w:r>
        <w:tab/>
        <w:t>(3)</w:t>
      </w:r>
      <w:r>
        <w:tab/>
        <w:t>The Commissioner cannot direct under subregulation (1) or (2A) that the relief to be given is the appointment of the claimant or another person, but may direct that a specified person is not to be appointed.</w:t>
      </w:r>
    </w:p>
    <w:p>
      <w:pPr>
        <w:pStyle w:val="Footnotesection"/>
      </w:pPr>
      <w:r>
        <w:tab/>
        <w:t>[Regulation 21 amended: Gazette 11 Mar 2014 p. 585-6.]</w:t>
      </w:r>
    </w:p>
    <w:p>
      <w:pPr>
        <w:pStyle w:val="Heading5"/>
      </w:pPr>
      <w:bookmarkStart w:id="70" w:name="_Toc382230147"/>
      <w:bookmarkStart w:id="71" w:name="_Toc424740192"/>
      <w:r>
        <w:rPr>
          <w:rStyle w:val="CharSectno"/>
        </w:rPr>
        <w:t>22</w:t>
      </w:r>
      <w:r>
        <w:t>.</w:t>
      </w:r>
      <w:r>
        <w:tab/>
        <w:t>Public sector body to notify Commissioner and claimant of intended response</w:t>
      </w:r>
      <w:bookmarkEnd w:id="70"/>
      <w:bookmarkEnd w:id="71"/>
    </w:p>
    <w:p>
      <w:pPr>
        <w:pStyle w:val="Subsection"/>
      </w:pPr>
      <w:r>
        <w:tab/>
        <w:t>(1)</w:t>
      </w:r>
      <w:r>
        <w:tab/>
        <w:t xml:space="preserve">Within 10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 days after the claimant is given relief, specifying the relief that was given.</w:t>
      </w:r>
    </w:p>
    <w:p>
      <w:pPr>
        <w:pStyle w:val="Footnotesection"/>
      </w:pPr>
      <w:r>
        <w:tab/>
        <w:t>[Regulation 22 amended: Gazette 11 Feb 2011 p. 501.]</w:t>
      </w:r>
    </w:p>
    <w:p>
      <w:pPr>
        <w:pStyle w:val="Heading3"/>
      </w:pPr>
      <w:bookmarkStart w:id="72" w:name="_Toc382230148"/>
      <w:bookmarkStart w:id="73" w:name="_Toc424740147"/>
      <w:bookmarkStart w:id="74" w:name="_Toc424740193"/>
      <w:r>
        <w:rPr>
          <w:rStyle w:val="CharDivNo"/>
        </w:rPr>
        <w:t>Division 5</w:t>
      </w:r>
      <w:r>
        <w:t> — </w:t>
      </w:r>
      <w:r>
        <w:rPr>
          <w:rStyle w:val="CharDivText"/>
        </w:rPr>
        <w:t>Withdrawn and lapsed claims</w:t>
      </w:r>
      <w:bookmarkEnd w:id="72"/>
      <w:bookmarkEnd w:id="73"/>
      <w:bookmarkEnd w:id="74"/>
    </w:p>
    <w:p>
      <w:pPr>
        <w:pStyle w:val="Heading5"/>
      </w:pPr>
      <w:bookmarkStart w:id="75" w:name="_Toc382230149"/>
      <w:bookmarkStart w:id="76" w:name="_Toc424740194"/>
      <w:r>
        <w:rPr>
          <w:rStyle w:val="CharSectno"/>
        </w:rPr>
        <w:t>23</w:t>
      </w:r>
      <w:r>
        <w:t>.</w:t>
      </w:r>
      <w:r>
        <w:tab/>
        <w:t>Withdrawn claims</w:t>
      </w:r>
      <w:bookmarkEnd w:id="75"/>
      <w:bookmarkEnd w:id="76"/>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Footnotesection"/>
      </w:pPr>
      <w:r>
        <w:tab/>
        <w:t>[Regulation 23 amended: Gazette 11 Feb 2011 p. 501.]</w:t>
      </w:r>
    </w:p>
    <w:p>
      <w:pPr>
        <w:pStyle w:val="Heading5"/>
      </w:pPr>
      <w:bookmarkStart w:id="77" w:name="_Toc382230150"/>
      <w:bookmarkStart w:id="78" w:name="_Toc424740195"/>
      <w:r>
        <w:rPr>
          <w:rStyle w:val="CharSectno"/>
        </w:rPr>
        <w:t>24</w:t>
      </w:r>
      <w:r>
        <w:t>.</w:t>
      </w:r>
      <w:r>
        <w:tab/>
        <w:t>Lapsed claims</w:t>
      </w:r>
      <w:bookmarkEnd w:id="77"/>
      <w:bookmarkEnd w:id="78"/>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79" w:name="_Toc382230151"/>
      <w:bookmarkStart w:id="80" w:name="_Toc424740196"/>
      <w:r>
        <w:rPr>
          <w:rStyle w:val="CharSectno"/>
        </w:rPr>
        <w:t>25</w:t>
      </w:r>
      <w:r>
        <w:t>.</w:t>
      </w:r>
      <w:r>
        <w:tab/>
        <w:t>No further action to be taken for withdrawn or lapsed claims</w:t>
      </w:r>
      <w:bookmarkEnd w:id="79"/>
      <w:bookmarkEnd w:id="80"/>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81" w:name="_Toc382230152"/>
      <w:bookmarkStart w:id="82" w:name="_Toc424740151"/>
      <w:bookmarkStart w:id="83" w:name="_Toc424740197"/>
      <w:r>
        <w:rPr>
          <w:rStyle w:val="CharDivNo"/>
        </w:rPr>
        <w:t>Division 6</w:t>
      </w:r>
      <w:r>
        <w:t> — </w:t>
      </w:r>
      <w:r>
        <w:rPr>
          <w:rStyle w:val="CharDivText"/>
        </w:rPr>
        <w:t>Miscellaneous</w:t>
      </w:r>
      <w:bookmarkEnd w:id="81"/>
      <w:bookmarkEnd w:id="82"/>
      <w:bookmarkEnd w:id="83"/>
    </w:p>
    <w:p>
      <w:pPr>
        <w:pStyle w:val="Heading5"/>
      </w:pPr>
      <w:bookmarkStart w:id="84" w:name="_Toc382230153"/>
      <w:bookmarkStart w:id="85" w:name="_Toc424740198"/>
      <w:r>
        <w:rPr>
          <w:rStyle w:val="CharSectno"/>
        </w:rPr>
        <w:t>26</w:t>
      </w:r>
      <w:r>
        <w:t>.</w:t>
      </w:r>
      <w:r>
        <w:tab/>
        <w:t>Suspension of conciliation process or review process</w:t>
      </w:r>
      <w:bookmarkEnd w:id="84"/>
      <w:bookmarkEnd w:id="85"/>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86" w:name="_Toc382230154"/>
      <w:bookmarkStart w:id="87" w:name="_Toc424740199"/>
      <w:r>
        <w:rPr>
          <w:rStyle w:val="CharSectno"/>
        </w:rPr>
        <w:t>27</w:t>
      </w:r>
      <w:r>
        <w:t>.</w:t>
      </w:r>
      <w:r>
        <w:tab/>
        <w:t>Representation during conciliation process or review process</w:t>
      </w:r>
      <w:bookmarkEnd w:id="86"/>
      <w:bookmarkEnd w:id="87"/>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 Gazette 11 Feb 2011 p. 501.]</w:t>
      </w:r>
    </w:p>
    <w:p>
      <w:pPr>
        <w:pStyle w:val="Heading2"/>
      </w:pPr>
      <w:bookmarkStart w:id="88" w:name="_Toc382230155"/>
      <w:bookmarkStart w:id="89" w:name="_Toc424740154"/>
      <w:bookmarkStart w:id="90" w:name="_Toc424740200"/>
      <w:r>
        <w:rPr>
          <w:rStyle w:val="CharPartNo"/>
        </w:rPr>
        <w:t>Part 4</w:t>
      </w:r>
      <w:r>
        <w:rPr>
          <w:rStyle w:val="CharDivNo"/>
        </w:rPr>
        <w:t> </w:t>
      </w:r>
      <w:r>
        <w:t>—</w:t>
      </w:r>
      <w:r>
        <w:rPr>
          <w:rStyle w:val="CharDivText"/>
        </w:rPr>
        <w:t> </w:t>
      </w:r>
      <w:r>
        <w:rPr>
          <w:rStyle w:val="CharPartText"/>
        </w:rPr>
        <w:t>General</w:t>
      </w:r>
      <w:bookmarkEnd w:id="88"/>
      <w:bookmarkEnd w:id="89"/>
      <w:bookmarkEnd w:id="90"/>
    </w:p>
    <w:p>
      <w:pPr>
        <w:pStyle w:val="Heading5"/>
      </w:pPr>
      <w:bookmarkStart w:id="91" w:name="_Toc382230156"/>
      <w:bookmarkStart w:id="92" w:name="_Toc424740201"/>
      <w:r>
        <w:rPr>
          <w:rStyle w:val="CharSectno"/>
        </w:rPr>
        <w:t>28</w:t>
      </w:r>
      <w:r>
        <w:t>.</w:t>
      </w:r>
      <w:r>
        <w:tab/>
        <w:t>Information about public sector standards and regulations to be made available to employees</w:t>
      </w:r>
      <w:bookmarkEnd w:id="91"/>
      <w:bookmarkEnd w:id="92"/>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93" w:name="_Toc382230157"/>
      <w:bookmarkStart w:id="94" w:name="_Toc424740202"/>
      <w:r>
        <w:rPr>
          <w:rStyle w:val="CharSectno"/>
        </w:rPr>
        <w:t>29</w:t>
      </w:r>
      <w:r>
        <w:t>.</w:t>
      </w:r>
      <w:r>
        <w:tab/>
        <w:t>Terms and conditions of appointment of conciliation and review officers</w:t>
      </w:r>
      <w:bookmarkEnd w:id="93"/>
      <w:bookmarkEnd w:id="94"/>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95" w:name="_Toc382230158"/>
      <w:bookmarkStart w:id="96" w:name="_Toc424740203"/>
      <w:r>
        <w:rPr>
          <w:rStyle w:val="CharSectno"/>
        </w:rPr>
        <w:t>30</w:t>
      </w:r>
      <w:r>
        <w:t>.</w:t>
      </w:r>
      <w:r>
        <w:tab/>
        <w:t>Commissioner may report to Minister and Parliament</w:t>
      </w:r>
      <w:bookmarkEnd w:id="95"/>
      <w:bookmarkEnd w:id="96"/>
    </w:p>
    <w:p>
      <w:pPr>
        <w:pStyle w:val="Subsection"/>
      </w:pPr>
      <w:r>
        <w:tab/>
      </w:r>
      <w:r>
        <w:tab/>
        <w:t xml:space="preserve">If the Commissioner determines that a public sector body — </w:t>
      </w:r>
    </w:p>
    <w:p>
      <w:pPr>
        <w:pStyle w:val="Indenta"/>
      </w:pPr>
      <w:r>
        <w:tab/>
        <w:t>(a)</w:t>
      </w:r>
      <w:r>
        <w:tab/>
        <w:t>has not given a claimant the relief directed by the Commissioner under regulation 21(1) or (2A);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Footnotesection"/>
      </w:pPr>
      <w:r>
        <w:tab/>
        <w:t>[Regulation 30 amended: Gazette 11 Mar 2014 p. 586.]</w:t>
      </w:r>
    </w:p>
    <w:p>
      <w:pPr>
        <w:pStyle w:val="Heading2"/>
      </w:pPr>
      <w:bookmarkStart w:id="97" w:name="_Toc382230159"/>
      <w:bookmarkStart w:id="98" w:name="_Toc424740158"/>
      <w:bookmarkStart w:id="99" w:name="_Toc424740204"/>
      <w:r>
        <w:rPr>
          <w:rStyle w:val="CharPartNo"/>
        </w:rPr>
        <w:t>Part 5</w:t>
      </w:r>
      <w:r>
        <w:rPr>
          <w:rStyle w:val="CharDivNo"/>
        </w:rPr>
        <w:t> </w:t>
      </w:r>
      <w:r>
        <w:t>—</w:t>
      </w:r>
      <w:r>
        <w:rPr>
          <w:rStyle w:val="CharDivText"/>
        </w:rPr>
        <w:t> </w:t>
      </w:r>
      <w:r>
        <w:rPr>
          <w:rStyle w:val="CharPartText"/>
        </w:rPr>
        <w:t>Transitional matters</w:t>
      </w:r>
      <w:bookmarkEnd w:id="97"/>
      <w:bookmarkEnd w:id="98"/>
      <w:bookmarkEnd w:id="99"/>
    </w:p>
    <w:p>
      <w:pPr>
        <w:pStyle w:val="Footnoteheading"/>
      </w:pPr>
      <w:r>
        <w:tab/>
        <w:t>[Heading inserted: Gazette 11 Feb 2011 p. 501.]</w:t>
      </w:r>
    </w:p>
    <w:p>
      <w:pPr>
        <w:pStyle w:val="Heading5"/>
      </w:pPr>
      <w:bookmarkStart w:id="100" w:name="_Toc382230160"/>
      <w:bookmarkStart w:id="101" w:name="_Toc424740205"/>
      <w:r>
        <w:rPr>
          <w:rStyle w:val="CharSectno"/>
        </w:rPr>
        <w:t>31</w:t>
      </w:r>
      <w:r>
        <w:t>.</w:t>
      </w:r>
      <w:r>
        <w:tab/>
        <w:t>Transitional</w:t>
      </w:r>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Public Sector Management (Breaches of Public Sector Standards) Amendment Regulations 2011</w:t>
      </w:r>
      <w:r>
        <w:t xml:space="preserve"> come into operation;</w:t>
      </w:r>
    </w:p>
    <w:p>
      <w:pPr>
        <w:pStyle w:val="Defstart"/>
      </w:pPr>
      <w:r>
        <w:tab/>
      </w:r>
      <w:r>
        <w:rPr>
          <w:rStyle w:val="CharDefText"/>
        </w:rPr>
        <w:t>former regulations</w:t>
      </w:r>
      <w:r>
        <w:t xml:space="preserve"> means these regulations as in force immediately before commencement day.</w:t>
      </w:r>
    </w:p>
    <w:p>
      <w:pPr>
        <w:pStyle w:val="Subsection"/>
      </w:pPr>
      <w:r>
        <w:tab/>
        <w:t>(2)</w:t>
      </w:r>
      <w:r>
        <w:tab/>
        <w:t xml:space="preserve">If — </w:t>
      </w:r>
    </w:p>
    <w:p>
      <w:pPr>
        <w:pStyle w:val="Indenta"/>
      </w:pPr>
      <w:r>
        <w:tab/>
        <w:t>(a)</w:t>
      </w:r>
      <w:r>
        <w:tab/>
        <w:t>a claim has been lodged under Part 2 before commencement day; and</w:t>
      </w:r>
    </w:p>
    <w:p>
      <w:pPr>
        <w:pStyle w:val="Indenta"/>
      </w:pPr>
      <w:r>
        <w:tab/>
        <w:t>(b)</w:t>
      </w:r>
      <w:r>
        <w:tab/>
        <w:t>immediately before commencement day, the claim has not been completely dealt with under these regulations or withdrawn by the claimant,</w:t>
      </w:r>
    </w:p>
    <w:p>
      <w:pPr>
        <w:pStyle w:val="Subsection"/>
      </w:pPr>
      <w:r>
        <w:tab/>
      </w:r>
      <w:r>
        <w:tab/>
        <w:t>then the former regulations, and the Commissioner’s instructions as in force before the commencement day continue to have effect for the purposes of dealing with the claim.</w:t>
      </w:r>
    </w:p>
    <w:p>
      <w:pPr>
        <w:pStyle w:val="Footnotesection"/>
      </w:pPr>
      <w:r>
        <w:tab/>
        <w:t>[Regulation 31 inserted: Gazette 11 Feb 2011 p. 501-2.]</w:t>
      </w:r>
    </w:p>
    <w:p>
      <w:pPr>
        <w:pStyle w:val="Ednotesection"/>
      </w:pPr>
      <w:r>
        <w:t>[</w:t>
      </w:r>
      <w:r>
        <w:rPr>
          <w:b/>
        </w:rPr>
        <w:t>32.</w:t>
      </w:r>
      <w:r>
        <w:tab/>
        <w:t>Deleted: Gazette 11 Feb 2011 p. 501.]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2" w:name="_Toc382230161"/>
      <w:bookmarkStart w:id="103" w:name="_Toc424740160"/>
      <w:bookmarkStart w:id="104" w:name="_Toc424740206"/>
      <w:r>
        <w:t>Notes</w:t>
      </w:r>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p>
    <w:p>
      <w:pPr>
        <w:pStyle w:val="nHeading3"/>
      </w:pPr>
      <w:bookmarkStart w:id="105" w:name="_Toc382230162"/>
      <w:bookmarkStart w:id="106" w:name="_Toc424740207"/>
      <w: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pPr>
              <w:pStyle w:val="nTable"/>
            </w:pPr>
            <w:r>
              <w:t>15 Jul 2005 p. 3325</w:t>
            </w:r>
            <w:r>
              <w:noBreakHyphen/>
              <w:t>49</w:t>
            </w:r>
          </w:p>
        </w:tc>
        <w:tc>
          <w:tcPr>
            <w:tcW w:w="2693" w:type="dxa"/>
            <w:tcBorders>
              <w:top w:val="single" w:sz="4" w:space="0" w:color="auto"/>
            </w:tcBorders>
          </w:tcPr>
          <w:p>
            <w:pPr>
              <w:pStyle w:val="nTable"/>
            </w:pPr>
            <w:r>
              <w:t>1 Sep 2005 (see r. 2)</w:t>
            </w:r>
          </w:p>
        </w:tc>
      </w:tr>
      <w:tr>
        <w:tc>
          <w:tcPr>
            <w:tcW w:w="3118" w:type="dxa"/>
          </w:tcPr>
          <w:p>
            <w:pPr>
              <w:pStyle w:val="nTable"/>
              <w:rPr>
                <w:i/>
                <w:noProof/>
                <w:snapToGrid w:val="0"/>
              </w:rPr>
            </w:pPr>
            <w:r>
              <w:rPr>
                <w:i/>
                <w:noProof/>
                <w:snapToGrid w:val="0"/>
              </w:rPr>
              <w:t>Public Sector Management (Breaches of Public Sector Standards) Amendment Regulations 2008</w:t>
            </w:r>
          </w:p>
        </w:tc>
        <w:tc>
          <w:tcPr>
            <w:tcW w:w="1276" w:type="dxa"/>
          </w:tcPr>
          <w:p>
            <w:pPr>
              <w:pStyle w:val="nTable"/>
            </w:pPr>
            <w:r>
              <w:t>28 Oct 2008 p. 4727</w:t>
            </w:r>
            <w:r>
              <w:noBreakHyphen/>
              <w:t>8</w:t>
            </w:r>
          </w:p>
        </w:tc>
        <w:tc>
          <w:tcPr>
            <w:tcW w:w="2693" w:type="dxa"/>
          </w:tcPr>
          <w:p>
            <w:pPr>
              <w:pStyle w:val="nTable"/>
            </w:pPr>
            <w:r>
              <w:t>r. 1 and 2: 28 Oct 2008 (see r. 2(a));</w:t>
            </w:r>
            <w:r>
              <w:br/>
              <w:t>Regulations other than r. 1 and 2: 1 Nov 2008 (see r. 2(b))</w:t>
            </w:r>
          </w:p>
        </w:tc>
      </w:tr>
      <w:tr>
        <w:tc>
          <w:tcPr>
            <w:tcW w:w="3118" w:type="dxa"/>
          </w:tcPr>
          <w:p>
            <w:pPr>
              <w:pStyle w:val="nTable"/>
              <w:rPr>
                <w:i/>
                <w:noProof/>
                <w:snapToGrid w:val="0"/>
              </w:rPr>
            </w:pPr>
            <w:r>
              <w:rPr>
                <w:i/>
                <w:noProof/>
                <w:snapToGrid w:val="0"/>
              </w:rPr>
              <w:t>Public Sector Management (Breaches of Public Sector Standards) Amendment Regulations 2011</w:t>
            </w:r>
          </w:p>
        </w:tc>
        <w:tc>
          <w:tcPr>
            <w:tcW w:w="1276" w:type="dxa"/>
          </w:tcPr>
          <w:p>
            <w:pPr>
              <w:pStyle w:val="nTable"/>
            </w:pPr>
            <w:r>
              <w:t>11 Feb 2011 p. 493-502</w:t>
            </w:r>
          </w:p>
        </w:tc>
        <w:tc>
          <w:tcPr>
            <w:tcW w:w="2693" w:type="dxa"/>
          </w:tcPr>
          <w:p>
            <w:pPr>
              <w:pStyle w:val="nTable"/>
            </w:pPr>
            <w:r>
              <w:t>r. 1 and 2: 11 Feb 2011 (see r. 2(a));</w:t>
            </w:r>
            <w:r>
              <w:br/>
              <w:t>Regulations other than r. 1 and 2: 21 Feb 2011 (see r. 2(b))</w:t>
            </w:r>
          </w:p>
        </w:tc>
      </w:tr>
      <w:tr>
        <w:tc>
          <w:tcPr>
            <w:tcW w:w="3118" w:type="dxa"/>
            <w:tcBorders>
              <w:bottom w:val="single" w:sz="4" w:space="0" w:color="auto"/>
            </w:tcBorders>
          </w:tcPr>
          <w:p>
            <w:pPr>
              <w:pStyle w:val="nTable"/>
              <w:rPr>
                <w:i/>
                <w:noProof/>
                <w:snapToGrid w:val="0"/>
              </w:rPr>
            </w:pPr>
            <w:r>
              <w:rPr>
                <w:i/>
                <w:noProof/>
                <w:snapToGrid w:val="0"/>
              </w:rPr>
              <w:t>Public Sector Management (Breaches of Public Sector Standards) Amendment Regulations 2014</w:t>
            </w:r>
          </w:p>
        </w:tc>
        <w:tc>
          <w:tcPr>
            <w:tcW w:w="1276" w:type="dxa"/>
            <w:tcBorders>
              <w:bottom w:val="single" w:sz="4" w:space="0" w:color="auto"/>
            </w:tcBorders>
          </w:tcPr>
          <w:p>
            <w:pPr>
              <w:pStyle w:val="nTable"/>
            </w:pPr>
            <w:r>
              <w:t>11 Mar 2014 p. 584-6</w:t>
            </w:r>
          </w:p>
        </w:tc>
        <w:tc>
          <w:tcPr>
            <w:tcW w:w="2693" w:type="dxa"/>
            <w:tcBorders>
              <w:bottom w:val="single" w:sz="4" w:space="0" w:color="auto"/>
            </w:tcBorders>
          </w:tcPr>
          <w:p>
            <w:pPr>
              <w:pStyle w:val="nTable"/>
            </w:pPr>
            <w:r>
              <w:t>r. 1 and 2: 11 Mar 2014 (see r. 2(a));</w:t>
            </w:r>
            <w:r>
              <w:br/>
              <w:t>Regulations other than r. 1 and 2: 12 Mar 2014 (see r. 2(b))</w:t>
            </w:r>
          </w:p>
        </w:tc>
      </w:tr>
    </w:tbl>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8" w:name="_Toc424740208"/>
      <w:r>
        <w:rPr>
          <w:sz w:val="28"/>
        </w:rPr>
        <w:t>Defined terms</w:t>
      </w:r>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movement</w:t>
      </w:r>
      <w:r>
        <w:tab/>
        <w:t>3(1)</w:t>
      </w:r>
    </w:p>
    <w:p>
      <w:pPr>
        <w:pStyle w:val="DefinedTerms"/>
      </w:pPr>
      <w:r>
        <w:t>appointment pool</w:t>
      </w:r>
      <w:r>
        <w:tab/>
        <w:t>3(1)</w:t>
      </w:r>
    </w:p>
    <w:p>
      <w:pPr>
        <w:pStyle w:val="DefinedTerms"/>
      </w:pPr>
      <w:r>
        <w:t>claim</w:t>
      </w:r>
      <w:r>
        <w:tab/>
        <w:t>3(1)</w:t>
      </w:r>
    </w:p>
    <w:p>
      <w:pPr>
        <w:pStyle w:val="DefinedTerms"/>
      </w:pPr>
      <w:r>
        <w:t>claimant</w:t>
      </w:r>
      <w:r>
        <w:tab/>
        <w:t>3(1)</w:t>
      </w:r>
    </w:p>
    <w:p>
      <w:pPr>
        <w:pStyle w:val="DefinedTerms"/>
      </w:pPr>
      <w:r>
        <w:t>commencement day</w:t>
      </w:r>
      <w:r>
        <w:tab/>
        <w:t>31(1)</w:t>
      </w:r>
    </w:p>
    <w:p>
      <w:pPr>
        <w:pStyle w:val="DefinedTerms"/>
      </w:pPr>
      <w:r>
        <w:t>conciliation and review officer</w:t>
      </w:r>
      <w:r>
        <w:tab/>
        <w:t>3(1)</w:t>
      </w:r>
    </w:p>
    <w:p>
      <w:pPr>
        <w:pStyle w:val="DefinedTerms"/>
      </w:pPr>
      <w:r>
        <w:t>conciliation process</w:t>
      </w:r>
      <w:r>
        <w:tab/>
        <w:t>3(1)</w:t>
      </w:r>
    </w:p>
    <w:p>
      <w:pPr>
        <w:pStyle w:val="DefinedTerms"/>
      </w:pPr>
      <w:r>
        <w:t>former regulations</w:t>
      </w:r>
      <w:r>
        <w:tab/>
        <w:t>31(1)</w:t>
      </w:r>
    </w:p>
    <w:p>
      <w:pPr>
        <w:pStyle w:val="DefinedTerms"/>
      </w:pPr>
      <w:r>
        <w:t>guidelines</w:t>
      </w:r>
      <w:r>
        <w:tab/>
        <w:t>3(1)</w:t>
      </w:r>
    </w:p>
    <w:p>
      <w:pPr>
        <w:pStyle w:val="DefinedTerms"/>
      </w:pPr>
      <w:r>
        <w:t>nominated officer</w:t>
      </w:r>
      <w:r>
        <w:tab/>
        <w:t>3(1)</w:t>
      </w:r>
    </w:p>
    <w:p>
      <w:pPr>
        <w:pStyle w:val="DefinedTerms"/>
      </w:pPr>
      <w:r>
        <w:t>notifiable employment decision</w:t>
      </w:r>
      <w:r>
        <w:tab/>
        <w:t>3(1)</w:t>
      </w:r>
    </w:p>
    <w:p>
      <w:pPr>
        <w:pStyle w:val="DefinedTerms"/>
      </w:pPr>
      <w:r>
        <w:t>prescribed lodgement period</w:t>
      </w:r>
      <w:r>
        <w:tab/>
        <w:t>7(5)</w:t>
      </w:r>
    </w:p>
    <w:p>
      <w:pPr>
        <w:pStyle w:val="DefinedTerms"/>
      </w:pPr>
      <w:r>
        <w:t xml:space="preserve">public sector employment standard </w:t>
      </w:r>
      <w:r>
        <w:tab/>
        <w:t>3(1)</w:t>
      </w:r>
    </w:p>
    <w:p>
      <w:pPr>
        <w:pStyle w:val="DefinedTerms"/>
      </w:pPr>
      <w:r>
        <w:t>public sector standard</w:t>
      </w:r>
      <w:r>
        <w:tab/>
        <w:t>3(1)</w:t>
      </w:r>
    </w:p>
    <w:p>
      <w:pPr>
        <w:pStyle w:val="DefinedTerms"/>
      </w:pPr>
      <w:r>
        <w:t>review process</w:t>
      </w:r>
      <w:r>
        <w:tab/>
        <w:t>3(1)</w:t>
      </w:r>
    </w:p>
    <w:p>
      <w:pPr>
        <w:pStyle w:val="DefinedTerms"/>
      </w:pPr>
      <w:r>
        <w:t>reviewable decision</w:t>
      </w:r>
      <w:r>
        <w:tab/>
        <w:t>3(1)</w:t>
      </w:r>
    </w:p>
    <w:p>
      <w:pPr>
        <w:pStyle w:val="DefinedTerms"/>
      </w:pPr>
      <w:r>
        <w:t>shared appointment pool</w:t>
      </w:r>
      <w:r>
        <w:tab/>
        <w:t>3(1)</w:t>
      </w:r>
    </w:p>
    <w:p>
      <w:pPr>
        <w:pStyle w:val="DefinedTerms"/>
      </w:pPr>
      <w:r>
        <w:t>transfer</w:t>
      </w:r>
      <w:r>
        <w:tab/>
        <w:t>3(1)</w:t>
      </w:r>
    </w:p>
    <w:p>
      <w:pPr>
        <w:pStyle w:val="DefinedTerms"/>
      </w:pPr>
      <w:r>
        <w:t>vacancy</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03"/>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5934</Words>
  <Characters>29911</Characters>
  <Application>Microsoft Office Word</Application>
  <DocSecurity>0</DocSecurity>
  <Lines>830</Lines>
  <Paragraphs>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2005 - 00-e0-04</dc:title>
  <dc:subject/>
  <dc:creator/>
  <cp:keywords/>
  <dc:description/>
  <cp:lastModifiedBy>svcMRProcess</cp:lastModifiedBy>
  <cp:revision>4</cp:revision>
  <cp:lastPrinted>2005-05-31T08:55:00Z</cp:lastPrinted>
  <dcterms:created xsi:type="dcterms:W3CDTF">2019-01-17T08:51:00Z</dcterms:created>
  <dcterms:modified xsi:type="dcterms:W3CDTF">2019-01-17T08:51:00Z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CommencementDate">
    <vt:lpwstr>20140312</vt:lpwstr>
  </property>
  <property fmtid="{D5CDD505-2E9C-101B-9397-08002B2CF9AE}" pid="5" name="DocumentType">
    <vt:lpwstr>Reg</vt:lpwstr>
  </property>
  <property fmtid="{D5CDD505-2E9C-101B-9397-08002B2CF9AE}" pid="6" name="AsAtDate">
    <vt:lpwstr>12 Mar 2014</vt:lpwstr>
  </property>
  <property fmtid="{D5CDD505-2E9C-101B-9397-08002B2CF9AE}" pid="7" name="Suffix">
    <vt:lpwstr>00-e0-04</vt:lpwstr>
  </property>
</Properties>
</file>