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Emergency Management Act 2005</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Emergency Management Regulations 2006</w:t>
      </w:r>
      <w:r>
        <w:rPr>
          <w:sz w:val="48"/>
        </w:rPr>
        <w:fldChar w:fldCharType="end"/>
      </w:r>
    </w:p>
    <w:p>
      <w:pPr>
        <w:pStyle w:val="ReprintNo"/>
        <w:outlineLvl w:val="9"/>
      </w:pPr>
      <w:r>
        <w:t>Reprint 3:  The regulations as at 7 March 2014</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5140927"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March 2014</w:t>
            </w:r>
          </w:p>
        </w:tc>
      </w:tr>
    </w:tbl>
    <w:p>
      <w:pPr>
        <w:pStyle w:val="WA"/>
        <w:spacing w:before="120"/>
      </w:pPr>
      <w:r>
        <w:t>Western Australia</w:t>
      </w:r>
    </w:p>
    <w:p>
      <w:pPr>
        <w:pStyle w:val="NameofActRegPage1"/>
        <w:spacing w:after="600"/>
      </w:pPr>
      <w:r>
        <w:fldChar w:fldCharType="begin"/>
      </w:r>
      <w:r>
        <w:instrText xml:space="preserve"> STYLEREF "Name Of Act/Reg"</w:instrText>
      </w:r>
      <w:r>
        <w:fldChar w:fldCharType="separate"/>
      </w:r>
      <w:r>
        <w:rPr>
          <w:noProof/>
        </w:rPr>
        <w:t>Emergency Management Regulations 2006</w:t>
      </w:r>
      <w:r>
        <w:fldChar w:fldCharType="end"/>
      </w:r>
    </w:p>
    <w:p>
      <w:pPr>
        <w:pStyle w:val="Arrangement"/>
        <w:spacing w:after="400"/>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_Toc34528185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The State Emergency Management Committee</w:t>
      </w:r>
    </w:p>
    <w:p>
      <w:pPr>
        <w:pStyle w:val="TOC8"/>
        <w:rPr>
          <w:rFonts w:asciiTheme="minorHAnsi" w:eastAsiaTheme="minorEastAsia" w:hAnsiTheme="minorHAnsi" w:cstheme="minorBidi"/>
          <w:szCs w:val="22"/>
        </w:rPr>
      </w:pPr>
      <w:r>
        <w:t>2.</w:t>
      </w:r>
      <w:r>
        <w:tab/>
        <w:t>Appointment by Minister of members of SEMC (Act s. 13(2))</w:t>
      </w:r>
      <w:r>
        <w:tab/>
      </w:r>
      <w:r>
        <w:fldChar w:fldCharType="begin"/>
      </w:r>
      <w:r>
        <w:instrText xml:space="preserve"> PAGEREF _Toc34528187 \h </w:instrText>
      </w:r>
      <w:r>
        <w:fldChar w:fldCharType="separate"/>
      </w:r>
      <w:r>
        <w:t>2</w:t>
      </w:r>
      <w:r>
        <w:fldChar w:fldCharType="end"/>
      </w:r>
    </w:p>
    <w:p>
      <w:pPr>
        <w:pStyle w:val="TOC8"/>
        <w:rPr>
          <w:rFonts w:asciiTheme="minorHAnsi" w:eastAsiaTheme="minorEastAsia" w:hAnsiTheme="minorHAnsi" w:cstheme="minorBidi"/>
          <w:szCs w:val="22"/>
        </w:rPr>
      </w:pPr>
      <w:r>
        <w:t>3.</w:t>
      </w:r>
      <w:r>
        <w:tab/>
        <w:t>Term of office</w:t>
      </w:r>
      <w:r>
        <w:tab/>
      </w:r>
      <w:r>
        <w:fldChar w:fldCharType="begin"/>
      </w:r>
      <w:r>
        <w:instrText xml:space="preserve"> PAGEREF _Toc34528188 \h </w:instrText>
      </w:r>
      <w:r>
        <w:fldChar w:fldCharType="separate"/>
      </w:r>
      <w:r>
        <w:t>2</w:t>
      </w:r>
      <w:r>
        <w:fldChar w:fldCharType="end"/>
      </w:r>
    </w:p>
    <w:p>
      <w:pPr>
        <w:pStyle w:val="TOC8"/>
        <w:rPr>
          <w:rFonts w:asciiTheme="minorHAnsi" w:eastAsiaTheme="minorEastAsia" w:hAnsiTheme="minorHAnsi" w:cstheme="minorBidi"/>
          <w:szCs w:val="22"/>
        </w:rPr>
      </w:pPr>
      <w:r>
        <w:t>4.</w:t>
      </w:r>
      <w:r>
        <w:tab/>
        <w:t>Vacancies</w:t>
      </w:r>
      <w:r>
        <w:tab/>
      </w:r>
      <w:r>
        <w:fldChar w:fldCharType="begin"/>
      </w:r>
      <w:r>
        <w:instrText xml:space="preserve"> PAGEREF _Toc34528189 \h </w:instrText>
      </w:r>
      <w:r>
        <w:fldChar w:fldCharType="separate"/>
      </w:r>
      <w:r>
        <w:t>2</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_Toc34528190 \h </w:instrText>
      </w:r>
      <w:r>
        <w:fldChar w:fldCharType="separate"/>
      </w:r>
      <w:r>
        <w:t>3</w:t>
      </w:r>
      <w:r>
        <w:fldChar w:fldCharType="end"/>
      </w:r>
    </w:p>
    <w:p>
      <w:pPr>
        <w:pStyle w:val="TOC8"/>
        <w:rPr>
          <w:rFonts w:asciiTheme="minorHAnsi" w:eastAsiaTheme="minorEastAsia" w:hAnsiTheme="minorHAnsi" w:cstheme="minorBidi"/>
          <w:szCs w:val="22"/>
        </w:rPr>
      </w:pPr>
      <w:r>
        <w:t>6.</w:t>
      </w:r>
      <w:r>
        <w:tab/>
        <w:t>Chairman unable to act</w:t>
      </w:r>
      <w:r>
        <w:tab/>
      </w:r>
      <w:r>
        <w:fldChar w:fldCharType="begin"/>
      </w:r>
      <w:r>
        <w:instrText xml:space="preserve"> PAGEREF _Toc34528191 \h </w:instrText>
      </w:r>
      <w:r>
        <w:fldChar w:fldCharType="separate"/>
      </w:r>
      <w:r>
        <w:t>3</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_Toc34528192 \h </w:instrText>
      </w:r>
      <w:r>
        <w:fldChar w:fldCharType="separate"/>
      </w:r>
      <w:r>
        <w:t>3</w:t>
      </w:r>
      <w:r>
        <w:fldChar w:fldCharType="end"/>
      </w:r>
    </w:p>
    <w:p>
      <w:pPr>
        <w:pStyle w:val="TOC8"/>
        <w:rPr>
          <w:rFonts w:asciiTheme="minorHAnsi" w:eastAsiaTheme="minorEastAsia" w:hAnsiTheme="minorHAnsi" w:cstheme="minorBidi"/>
          <w:szCs w:val="22"/>
        </w:rPr>
      </w:pPr>
      <w:r>
        <w:t>8.</w:t>
      </w:r>
      <w:r>
        <w:tab/>
        <w:t>Saving for acts etc. of deputies</w:t>
      </w:r>
      <w:r>
        <w:tab/>
      </w:r>
      <w:r>
        <w:fldChar w:fldCharType="begin"/>
      </w:r>
      <w:r>
        <w:instrText xml:space="preserve"> PAGEREF _Toc34528193 \h </w:instrText>
      </w:r>
      <w:r>
        <w:fldChar w:fldCharType="separate"/>
      </w:r>
      <w:r>
        <w:t>4</w:t>
      </w:r>
      <w:r>
        <w:fldChar w:fldCharType="end"/>
      </w:r>
    </w:p>
    <w:p>
      <w:pPr>
        <w:pStyle w:val="TOC8"/>
        <w:rPr>
          <w:rFonts w:asciiTheme="minorHAnsi" w:eastAsiaTheme="minorEastAsia" w:hAnsiTheme="minorHAnsi" w:cstheme="minorBidi"/>
          <w:szCs w:val="22"/>
        </w:rPr>
      </w:pPr>
      <w:r>
        <w:t>9.</w:t>
      </w:r>
      <w:r>
        <w:tab/>
        <w:t>Calling meetings</w:t>
      </w:r>
      <w:r>
        <w:tab/>
      </w:r>
      <w:r>
        <w:fldChar w:fldCharType="begin"/>
      </w:r>
      <w:r>
        <w:instrText xml:space="preserve"> PAGEREF _Toc34528194 \h </w:instrText>
      </w:r>
      <w:r>
        <w:fldChar w:fldCharType="separate"/>
      </w:r>
      <w:r>
        <w:t>4</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_Toc34528195 \h </w:instrText>
      </w:r>
      <w:r>
        <w:fldChar w:fldCharType="separate"/>
      </w:r>
      <w:r>
        <w:t>4</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_Toc34528196 \h </w:instrText>
      </w:r>
      <w:r>
        <w:fldChar w:fldCharType="separate"/>
      </w:r>
      <w:r>
        <w:t>4</w:t>
      </w:r>
      <w:r>
        <w:fldChar w:fldCharType="end"/>
      </w:r>
    </w:p>
    <w:p>
      <w:pPr>
        <w:pStyle w:val="TOC8"/>
        <w:rPr>
          <w:rFonts w:asciiTheme="minorHAnsi" w:eastAsiaTheme="minorEastAsia" w:hAnsiTheme="minorHAnsi" w:cstheme="minorBidi"/>
          <w:szCs w:val="22"/>
        </w:rPr>
      </w:pPr>
      <w:r>
        <w:t>12.</w:t>
      </w:r>
      <w:r>
        <w:tab/>
        <w:t>Holding meetings by telephone etc.</w:t>
      </w:r>
      <w:r>
        <w:tab/>
      </w:r>
      <w:r>
        <w:fldChar w:fldCharType="begin"/>
      </w:r>
      <w:r>
        <w:instrText xml:space="preserve"> PAGEREF _Toc34528197 \h </w:instrText>
      </w:r>
      <w:r>
        <w:fldChar w:fldCharType="separate"/>
      </w:r>
      <w:r>
        <w:t>5</w:t>
      </w:r>
      <w:r>
        <w:fldChar w:fldCharType="end"/>
      </w:r>
    </w:p>
    <w:p>
      <w:pPr>
        <w:pStyle w:val="TOC8"/>
        <w:rPr>
          <w:rFonts w:asciiTheme="minorHAnsi" w:eastAsiaTheme="minorEastAsia" w:hAnsiTheme="minorHAnsi" w:cstheme="minorBidi"/>
          <w:szCs w:val="22"/>
        </w:rPr>
      </w:pPr>
      <w:r>
        <w:t>13.</w:t>
      </w:r>
      <w:r>
        <w:tab/>
        <w:t>Resolution without meeting</w:t>
      </w:r>
      <w:r>
        <w:tab/>
      </w:r>
      <w:r>
        <w:fldChar w:fldCharType="begin"/>
      </w:r>
      <w:r>
        <w:instrText xml:space="preserve"> PAGEREF _Toc34528198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 — Hazard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_Toc34528200 \h </w:instrText>
      </w:r>
      <w:r>
        <w:fldChar w:fldCharType="separate"/>
      </w:r>
      <w:r>
        <w:t>6</w:t>
      </w:r>
      <w:r>
        <w:fldChar w:fldCharType="end"/>
      </w:r>
    </w:p>
    <w:p>
      <w:pPr>
        <w:pStyle w:val="TOC8"/>
        <w:rPr>
          <w:rFonts w:asciiTheme="minorHAnsi" w:eastAsiaTheme="minorEastAsia" w:hAnsiTheme="minorHAnsi" w:cstheme="minorBidi"/>
          <w:szCs w:val="22"/>
        </w:rPr>
      </w:pPr>
      <w:r>
        <w:t>15.</w:t>
      </w:r>
      <w:r>
        <w:tab/>
        <w:t>Events, situations and conditions prescribed as hazards</w:t>
      </w:r>
      <w:r>
        <w:tab/>
      </w:r>
      <w:r>
        <w:fldChar w:fldCharType="begin"/>
      </w:r>
      <w:r>
        <w:instrText xml:space="preserve"> PAGEREF _Toc34528201 \h </w:instrText>
      </w:r>
      <w:r>
        <w:fldChar w:fldCharType="separate"/>
      </w:r>
      <w:r>
        <w:t>6</w:t>
      </w:r>
      <w:r>
        <w:fldChar w:fldCharType="end"/>
      </w:r>
    </w:p>
    <w:p>
      <w:pPr>
        <w:pStyle w:val="TOC8"/>
        <w:rPr>
          <w:rFonts w:asciiTheme="minorHAnsi" w:eastAsiaTheme="minorEastAsia" w:hAnsiTheme="minorHAnsi" w:cstheme="minorBidi"/>
          <w:szCs w:val="22"/>
        </w:rPr>
      </w:pPr>
      <w:r>
        <w:t>16.</w:t>
      </w:r>
      <w:r>
        <w:tab/>
        <w:t>Hazard management agency — Commissioner of Police</w:t>
      </w:r>
      <w:r>
        <w:tab/>
      </w:r>
      <w:r>
        <w:fldChar w:fldCharType="begin"/>
      </w:r>
      <w:r>
        <w:instrText xml:space="preserve"> PAGEREF _Toc34528202 \h </w:instrText>
      </w:r>
      <w:r>
        <w:fldChar w:fldCharType="separate"/>
      </w:r>
      <w:r>
        <w:t>7</w:t>
      </w:r>
      <w:r>
        <w:fldChar w:fldCharType="end"/>
      </w:r>
    </w:p>
    <w:p>
      <w:pPr>
        <w:pStyle w:val="TOC8"/>
        <w:rPr>
          <w:rFonts w:asciiTheme="minorHAnsi" w:eastAsiaTheme="minorEastAsia" w:hAnsiTheme="minorHAnsi" w:cstheme="minorBidi"/>
          <w:szCs w:val="22"/>
        </w:rPr>
      </w:pPr>
      <w:r>
        <w:t>17.</w:t>
      </w:r>
      <w:r>
        <w:tab/>
        <w:t>Hazard management agency — FES Commissioner</w:t>
      </w:r>
      <w:r>
        <w:tab/>
      </w:r>
      <w:r>
        <w:fldChar w:fldCharType="begin"/>
      </w:r>
      <w:r>
        <w:instrText xml:space="preserve"> PAGEREF _Toc34528203 \h </w:instrText>
      </w:r>
      <w:r>
        <w:fldChar w:fldCharType="separate"/>
      </w:r>
      <w:r>
        <w:t>8</w:t>
      </w:r>
      <w:r>
        <w:fldChar w:fldCharType="end"/>
      </w:r>
    </w:p>
    <w:p>
      <w:pPr>
        <w:pStyle w:val="TOC8"/>
        <w:rPr>
          <w:rFonts w:asciiTheme="minorHAnsi" w:eastAsiaTheme="minorEastAsia" w:hAnsiTheme="minorHAnsi" w:cstheme="minorBidi"/>
          <w:szCs w:val="22"/>
        </w:rPr>
      </w:pPr>
      <w:r>
        <w:t>18.</w:t>
      </w:r>
      <w:r>
        <w:tab/>
        <w:t>Hazard management agency — State Human Epidemic Controller</w:t>
      </w:r>
      <w:r>
        <w:tab/>
      </w:r>
      <w:r>
        <w:fldChar w:fldCharType="begin"/>
      </w:r>
      <w:r>
        <w:instrText xml:space="preserve"> PAGEREF _Toc34528204 \h </w:instrText>
      </w:r>
      <w:r>
        <w:fldChar w:fldCharType="separate"/>
      </w:r>
      <w:r>
        <w:t>9</w:t>
      </w:r>
      <w:r>
        <w:fldChar w:fldCharType="end"/>
      </w:r>
    </w:p>
    <w:p>
      <w:pPr>
        <w:pStyle w:val="TOC8"/>
        <w:rPr>
          <w:rFonts w:asciiTheme="minorHAnsi" w:eastAsiaTheme="minorEastAsia" w:hAnsiTheme="minorHAnsi" w:cstheme="minorBidi"/>
          <w:szCs w:val="22"/>
        </w:rPr>
      </w:pPr>
      <w:r>
        <w:t>19.</w:t>
      </w:r>
      <w:r>
        <w:tab/>
        <w:t>Hazard management agency — Agriculture Director General</w:t>
      </w:r>
      <w:r>
        <w:tab/>
      </w:r>
      <w:r>
        <w:fldChar w:fldCharType="begin"/>
      </w:r>
      <w:r>
        <w:instrText xml:space="preserve"> PAGEREF _Toc34528205 \h </w:instrText>
      </w:r>
      <w:r>
        <w:fldChar w:fldCharType="separate"/>
      </w:r>
      <w:r>
        <w:t>9</w:t>
      </w:r>
      <w:r>
        <w:fldChar w:fldCharType="end"/>
      </w:r>
    </w:p>
    <w:p>
      <w:pPr>
        <w:pStyle w:val="TOC8"/>
        <w:rPr>
          <w:rFonts w:asciiTheme="minorHAnsi" w:eastAsiaTheme="minorEastAsia" w:hAnsiTheme="minorHAnsi" w:cstheme="minorBidi"/>
          <w:szCs w:val="22"/>
        </w:rPr>
      </w:pPr>
      <w:r>
        <w:t>20.</w:t>
      </w:r>
      <w:r>
        <w:tab/>
        <w:t>Hazard management agency — Public Transport Authority</w:t>
      </w:r>
      <w:r>
        <w:tab/>
      </w:r>
      <w:r>
        <w:fldChar w:fldCharType="begin"/>
      </w:r>
      <w:r>
        <w:instrText xml:space="preserve"> PAGEREF _Toc34528206 \h </w:instrText>
      </w:r>
      <w:r>
        <w:fldChar w:fldCharType="separate"/>
      </w:r>
      <w:r>
        <w:t>9</w:t>
      </w:r>
      <w:r>
        <w:fldChar w:fldCharType="end"/>
      </w:r>
    </w:p>
    <w:p>
      <w:pPr>
        <w:pStyle w:val="TOC8"/>
        <w:rPr>
          <w:rFonts w:asciiTheme="minorHAnsi" w:eastAsiaTheme="minorEastAsia" w:hAnsiTheme="minorHAnsi" w:cstheme="minorBidi"/>
          <w:szCs w:val="22"/>
        </w:rPr>
      </w:pPr>
      <w:r>
        <w:t>21.</w:t>
      </w:r>
      <w:r>
        <w:tab/>
        <w:t>Hazard management agency — Brookfield Rail Pty Limited</w:t>
      </w:r>
      <w:r>
        <w:tab/>
      </w:r>
      <w:r>
        <w:fldChar w:fldCharType="begin"/>
      </w:r>
      <w:r>
        <w:instrText xml:space="preserve"> PAGEREF _Toc34528207 \h </w:instrText>
      </w:r>
      <w:r>
        <w:fldChar w:fldCharType="separate"/>
      </w:r>
      <w:r>
        <w:t>10</w:t>
      </w:r>
      <w:r>
        <w:fldChar w:fldCharType="end"/>
      </w:r>
    </w:p>
    <w:p>
      <w:pPr>
        <w:pStyle w:val="TOC8"/>
        <w:rPr>
          <w:rFonts w:asciiTheme="minorHAnsi" w:eastAsiaTheme="minorEastAsia" w:hAnsiTheme="minorHAnsi" w:cstheme="minorBidi"/>
          <w:szCs w:val="22"/>
        </w:rPr>
      </w:pPr>
      <w:r>
        <w:t>22.</w:t>
      </w:r>
      <w:r>
        <w:tab/>
        <w:t>Hazard management agency — State Health Coordinator</w:t>
      </w:r>
      <w:r>
        <w:tab/>
      </w:r>
      <w:r>
        <w:fldChar w:fldCharType="begin"/>
      </w:r>
      <w:r>
        <w:instrText xml:space="preserve"> PAGEREF _Toc34528208 \h </w:instrText>
      </w:r>
      <w:r>
        <w:fldChar w:fldCharType="separate"/>
      </w:r>
      <w:r>
        <w:t>10</w:t>
      </w:r>
      <w:r>
        <w:fldChar w:fldCharType="end"/>
      </w:r>
    </w:p>
    <w:p>
      <w:pPr>
        <w:pStyle w:val="TOC8"/>
        <w:rPr>
          <w:rFonts w:asciiTheme="minorHAnsi" w:eastAsiaTheme="minorEastAsia" w:hAnsiTheme="minorHAnsi" w:cstheme="minorBidi"/>
          <w:szCs w:val="22"/>
        </w:rPr>
      </w:pPr>
      <w:r>
        <w:t>23A.</w:t>
      </w:r>
      <w:r>
        <w:tab/>
        <w:t>Hazard management agency — Marine Safety, General Manager</w:t>
      </w:r>
      <w:r>
        <w:tab/>
      </w:r>
      <w:r>
        <w:fldChar w:fldCharType="begin"/>
      </w:r>
      <w:r>
        <w:instrText xml:space="preserve"> PAGEREF _Toc34528209 \h </w:instrText>
      </w:r>
      <w:r>
        <w:fldChar w:fldCharType="separate"/>
      </w:r>
      <w:r>
        <w:t>11</w:t>
      </w:r>
      <w:r>
        <w:fldChar w:fldCharType="end"/>
      </w:r>
    </w:p>
    <w:p>
      <w:pPr>
        <w:pStyle w:val="TOC8"/>
        <w:rPr>
          <w:rFonts w:asciiTheme="minorHAnsi" w:eastAsiaTheme="minorEastAsia" w:hAnsiTheme="minorHAnsi" w:cstheme="minorBidi"/>
          <w:szCs w:val="22"/>
        </w:rPr>
      </w:pPr>
      <w:r>
        <w:t>23B.</w:t>
      </w:r>
      <w:r>
        <w:tab/>
        <w:t>Hazard management agency — Coordinator of Energy</w:t>
      </w:r>
      <w:r>
        <w:tab/>
      </w:r>
      <w:r>
        <w:fldChar w:fldCharType="begin"/>
      </w:r>
      <w:r>
        <w:instrText xml:space="preserve"> PAGEREF _Toc34528210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4 — Exchange of information</w:t>
      </w:r>
    </w:p>
    <w:p>
      <w:pPr>
        <w:pStyle w:val="TOC8"/>
        <w:rPr>
          <w:rFonts w:asciiTheme="minorHAnsi" w:eastAsiaTheme="minorEastAsia" w:hAnsiTheme="minorHAnsi" w:cstheme="minorBidi"/>
          <w:szCs w:val="22"/>
        </w:rPr>
      </w:pPr>
      <w:r>
        <w:t>23.</w:t>
      </w:r>
      <w:r>
        <w:tab/>
        <w:t>Prescribed relevant information (Act s. 72)</w:t>
      </w:r>
      <w:r>
        <w:tab/>
      </w:r>
      <w:r>
        <w:fldChar w:fldCharType="begin"/>
      </w:r>
      <w:r>
        <w:instrText xml:space="preserve"> PAGEREF _Toc34528212 \h </w:instrText>
      </w:r>
      <w:r>
        <w:fldChar w:fldCharType="separate"/>
      </w:r>
      <w:r>
        <w:t>13</w:t>
      </w:r>
      <w:r>
        <w:fldChar w:fldCharType="end"/>
      </w:r>
    </w:p>
    <w:p>
      <w:pPr>
        <w:pStyle w:val="TOC8"/>
        <w:rPr>
          <w:rFonts w:asciiTheme="minorHAnsi" w:eastAsiaTheme="minorEastAsia" w:hAnsiTheme="minorHAnsi" w:cstheme="minorBidi"/>
          <w:szCs w:val="22"/>
        </w:rPr>
      </w:pPr>
      <w:r>
        <w:t>24.</w:t>
      </w:r>
      <w:r>
        <w:tab/>
        <w:t>Disclosure of relevant information (Act s. 72(2))</w:t>
      </w:r>
      <w:r>
        <w:tab/>
      </w:r>
      <w:r>
        <w:fldChar w:fldCharType="begin"/>
      </w:r>
      <w:r>
        <w:instrText xml:space="preserve"> PAGEREF _Toc34528213 \h </w:instrText>
      </w:r>
      <w:r>
        <w:fldChar w:fldCharType="separate"/>
      </w:r>
      <w:r>
        <w:t>13</w:t>
      </w:r>
      <w:r>
        <w:fldChar w:fldCharType="end"/>
      </w:r>
    </w:p>
    <w:p>
      <w:pPr>
        <w:pStyle w:val="TOC8"/>
        <w:rPr>
          <w:rFonts w:asciiTheme="minorHAnsi" w:eastAsiaTheme="minorEastAsia" w:hAnsiTheme="minorHAnsi" w:cstheme="minorBidi"/>
          <w:szCs w:val="22"/>
        </w:rPr>
      </w:pPr>
      <w:r>
        <w:t>25.</w:t>
      </w:r>
      <w:r>
        <w:tab/>
        <w:t>Storing disclosed relevant information (Act s. 72(2))</w:t>
      </w:r>
      <w:r>
        <w:tab/>
      </w:r>
      <w:r>
        <w:fldChar w:fldCharType="begin"/>
      </w:r>
      <w:r>
        <w:instrText xml:space="preserve"> PAGEREF _Toc34528214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5 — Combat agencies and support organisations</w:t>
      </w:r>
    </w:p>
    <w:p>
      <w:pPr>
        <w:pStyle w:val="TOC8"/>
        <w:rPr>
          <w:rFonts w:asciiTheme="minorHAnsi" w:eastAsiaTheme="minorEastAsia" w:hAnsiTheme="minorHAnsi" w:cstheme="minorBidi"/>
          <w:szCs w:val="22"/>
        </w:rPr>
      </w:pPr>
      <w:r>
        <w:t>26.</w:t>
      </w:r>
      <w:r>
        <w:tab/>
        <w:t>Combat agency — Department of Health</w:t>
      </w:r>
      <w:r>
        <w:tab/>
      </w:r>
      <w:r>
        <w:fldChar w:fldCharType="begin"/>
      </w:r>
      <w:r>
        <w:instrText xml:space="preserve"> PAGEREF _Toc34528216 \h </w:instrText>
      </w:r>
      <w:r>
        <w:fldChar w:fldCharType="separate"/>
      </w:r>
      <w:r>
        <w:t>15</w:t>
      </w:r>
      <w:r>
        <w:fldChar w:fldCharType="end"/>
      </w:r>
    </w:p>
    <w:p>
      <w:pPr>
        <w:pStyle w:val="TOC8"/>
        <w:rPr>
          <w:rFonts w:asciiTheme="minorHAnsi" w:eastAsiaTheme="minorEastAsia" w:hAnsiTheme="minorHAnsi" w:cstheme="minorBidi"/>
          <w:szCs w:val="22"/>
        </w:rPr>
      </w:pPr>
      <w:r>
        <w:t>27.</w:t>
      </w:r>
      <w:r>
        <w:tab/>
        <w:t>Combat agency — St John Ambulance Australia (Western Australia) Incorporated</w:t>
      </w:r>
      <w:r>
        <w:tab/>
      </w:r>
      <w:r>
        <w:fldChar w:fldCharType="begin"/>
      </w:r>
      <w:r>
        <w:instrText xml:space="preserve"> PAGEREF _Toc34528217 \h </w:instrText>
      </w:r>
      <w:r>
        <w:fldChar w:fldCharType="separate"/>
      </w:r>
      <w:r>
        <w:t>15</w:t>
      </w:r>
      <w:r>
        <w:fldChar w:fldCharType="end"/>
      </w:r>
    </w:p>
    <w:p>
      <w:pPr>
        <w:pStyle w:val="TOC8"/>
        <w:rPr>
          <w:rFonts w:asciiTheme="minorHAnsi" w:eastAsiaTheme="minorEastAsia" w:hAnsiTheme="minorHAnsi" w:cstheme="minorBidi"/>
          <w:szCs w:val="22"/>
        </w:rPr>
      </w:pPr>
      <w:r>
        <w:t>28.</w:t>
      </w:r>
      <w:r>
        <w:tab/>
        <w:t>Combat agency — Police Force of Western Australia</w:t>
      </w:r>
      <w:r>
        <w:tab/>
      </w:r>
      <w:r>
        <w:fldChar w:fldCharType="begin"/>
      </w:r>
      <w:r>
        <w:instrText xml:space="preserve"> PAGEREF _Toc34528218 \h </w:instrText>
      </w:r>
      <w:r>
        <w:fldChar w:fldCharType="separate"/>
      </w:r>
      <w:r>
        <w:t>15</w:t>
      </w:r>
      <w:r>
        <w:fldChar w:fldCharType="end"/>
      </w:r>
    </w:p>
    <w:p>
      <w:pPr>
        <w:pStyle w:val="TOC8"/>
        <w:rPr>
          <w:rFonts w:asciiTheme="minorHAnsi" w:eastAsiaTheme="minorEastAsia" w:hAnsiTheme="minorHAnsi" w:cstheme="minorBidi"/>
          <w:szCs w:val="22"/>
        </w:rPr>
      </w:pPr>
      <w:r>
        <w:t>29.</w:t>
      </w:r>
      <w:r>
        <w:tab/>
        <w:t>Combat agency — Police Service</w:t>
      </w:r>
      <w:r>
        <w:tab/>
      </w:r>
      <w:r>
        <w:fldChar w:fldCharType="begin"/>
      </w:r>
      <w:r>
        <w:instrText xml:space="preserve"> PAGEREF _Toc34528219 \h </w:instrText>
      </w:r>
      <w:r>
        <w:fldChar w:fldCharType="separate"/>
      </w:r>
      <w:r>
        <w:t>15</w:t>
      </w:r>
      <w:r>
        <w:fldChar w:fldCharType="end"/>
      </w:r>
    </w:p>
    <w:p>
      <w:pPr>
        <w:pStyle w:val="TOC8"/>
        <w:rPr>
          <w:rFonts w:asciiTheme="minorHAnsi" w:eastAsiaTheme="minorEastAsia" w:hAnsiTheme="minorHAnsi" w:cstheme="minorBidi"/>
          <w:szCs w:val="22"/>
        </w:rPr>
      </w:pPr>
      <w:r>
        <w:t>30.</w:t>
      </w:r>
      <w:r>
        <w:tab/>
        <w:t>Combat agency — Department of Environment and Conservation</w:t>
      </w:r>
      <w:r>
        <w:tab/>
      </w:r>
      <w:r>
        <w:fldChar w:fldCharType="begin"/>
      </w:r>
      <w:r>
        <w:instrText xml:space="preserve"> PAGEREF _Toc34528220 \h </w:instrText>
      </w:r>
      <w:r>
        <w:fldChar w:fldCharType="separate"/>
      </w:r>
      <w:r>
        <w:t>15</w:t>
      </w:r>
      <w:r>
        <w:fldChar w:fldCharType="end"/>
      </w:r>
    </w:p>
    <w:p>
      <w:pPr>
        <w:pStyle w:val="TOC8"/>
        <w:rPr>
          <w:rFonts w:asciiTheme="minorHAnsi" w:eastAsiaTheme="minorEastAsia" w:hAnsiTheme="minorHAnsi" w:cstheme="minorBidi"/>
          <w:szCs w:val="22"/>
        </w:rPr>
      </w:pPr>
      <w:r>
        <w:t>31.</w:t>
      </w:r>
      <w:r>
        <w:tab/>
        <w:t>Combat agency — local government</w:t>
      </w:r>
      <w:r>
        <w:tab/>
      </w:r>
      <w:r>
        <w:fldChar w:fldCharType="begin"/>
      </w:r>
      <w:r>
        <w:instrText xml:space="preserve"> PAGEREF _Toc34528221 \h </w:instrText>
      </w:r>
      <w:r>
        <w:fldChar w:fldCharType="separate"/>
      </w:r>
      <w:r>
        <w:t>16</w:t>
      </w:r>
      <w:r>
        <w:fldChar w:fldCharType="end"/>
      </w:r>
    </w:p>
    <w:p>
      <w:pPr>
        <w:pStyle w:val="TOC8"/>
        <w:rPr>
          <w:rFonts w:asciiTheme="minorHAnsi" w:eastAsiaTheme="minorEastAsia" w:hAnsiTheme="minorHAnsi" w:cstheme="minorBidi"/>
          <w:szCs w:val="22"/>
        </w:rPr>
      </w:pPr>
      <w:r>
        <w:t>32.</w:t>
      </w:r>
      <w:r>
        <w:tab/>
        <w:t>Support organisation — Department for Child Protection</w:t>
      </w:r>
      <w:r>
        <w:tab/>
      </w:r>
      <w:r>
        <w:fldChar w:fldCharType="begin"/>
      </w:r>
      <w:r>
        <w:instrText xml:space="preserve"> PAGEREF _Toc34528222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_Toc34528224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keepNext/>
        <w:rPr>
          <w:sz w:val="18"/>
          <w:szCs w:val="18"/>
        </w:rPr>
      </w:pPr>
      <w:r>
        <w:fldChar w:fldCharType="end"/>
      </w:r>
    </w:p>
    <w:p>
      <w:pPr>
        <w:pStyle w:val="NoteHeading"/>
        <w:rPr>
          <w:sz w:val="18"/>
          <w:szCs w:val="18"/>
        </w:rPr>
      </w:pPr>
      <w:r>
        <w:rPr>
          <w:rStyle w:val="CharPartNo"/>
          <w:sz w:val="18"/>
          <w:szCs w:val="18"/>
        </w:rPr>
        <w:t xml:space="preserve"> </w:t>
      </w:r>
      <w:r>
        <w:rPr>
          <w:rStyle w:val="CharPartText"/>
          <w:sz w:val="18"/>
          <w:szCs w:val="18"/>
        </w:rPr>
        <w:t xml:space="preserve"> </w:t>
      </w:r>
      <w:r>
        <w:rPr>
          <w:rStyle w:val="CharDivNo"/>
          <w:sz w:val="18"/>
          <w:szCs w:val="18"/>
        </w:rPr>
        <w:t xml:space="preserve"> </w:t>
      </w:r>
      <w:r>
        <w:rPr>
          <w:rStyle w:val="CharDivText"/>
          <w:sz w:val="18"/>
          <w:szCs w:val="18"/>
        </w:rPr>
        <w:t xml:space="preserve"> </w:t>
      </w:r>
      <w:r>
        <w:rPr>
          <w:rStyle w:val="CharSchNo"/>
          <w:sz w:val="18"/>
          <w:szCs w:val="18"/>
        </w:rPr>
        <w:t xml:space="preserve"> </w:t>
      </w:r>
      <w:r>
        <w:rPr>
          <w:rStyle w:val="CharSchText"/>
          <w:sz w:val="18"/>
          <w:szCs w:val="18"/>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March 2014</w:t>
            </w:r>
          </w:p>
        </w:tc>
      </w:tr>
    </w:tbl>
    <w:p>
      <w:pPr>
        <w:pStyle w:val="WA"/>
        <w:spacing w:before="120"/>
      </w:pPr>
      <w:r>
        <w:t>Western Australia</w:t>
      </w:r>
    </w:p>
    <w:p>
      <w:pPr>
        <w:pStyle w:val="PrincipalActReg"/>
      </w:pPr>
      <w:r>
        <w:t>Emergency Management Act 2005</w:t>
      </w:r>
    </w:p>
    <w:p>
      <w:pPr>
        <w:pStyle w:val="NameofActReg"/>
      </w:pPr>
      <w:r>
        <w:t>Emergency Management Regulations 2006</w:t>
      </w:r>
    </w:p>
    <w:p>
      <w:pPr>
        <w:pStyle w:val="Heading2"/>
        <w:pageBreakBefore w:val="0"/>
        <w:spacing w:before="480"/>
        <w:rPr>
          <w:rStyle w:val="CharPartText"/>
        </w:rPr>
      </w:pPr>
      <w:bookmarkStart w:id="1" w:name="_Toc34528184"/>
      <w:r>
        <w:rPr>
          <w:rStyle w:val="CharPartNo"/>
        </w:rPr>
        <w:t>Part 1</w:t>
      </w:r>
      <w:r>
        <w:t> — </w:t>
      </w:r>
      <w:r>
        <w:rPr>
          <w:rStyle w:val="CharPartText"/>
        </w:rPr>
        <w:t>Preliminary</w:t>
      </w:r>
      <w:bookmarkEnd w:id="1"/>
    </w:p>
    <w:p>
      <w:pPr>
        <w:pStyle w:val="Footnoteheading"/>
      </w:pPr>
      <w:r>
        <w:tab/>
        <w:t>[Heading inserted in Gazette 12 Jan 2007 p. 50.]</w:t>
      </w:r>
    </w:p>
    <w:p>
      <w:pPr>
        <w:pStyle w:val="Heading5"/>
      </w:pPr>
      <w:bookmarkStart w:id="2" w:name="_Toc34528185"/>
      <w:r>
        <w:rPr>
          <w:rStyle w:val="CharSectno"/>
        </w:rPr>
        <w:t>1</w:t>
      </w:r>
      <w:r>
        <w:t>.</w:t>
      </w:r>
      <w:r>
        <w:tab/>
        <w:t>Citation</w:t>
      </w:r>
      <w:bookmarkEnd w:id="2"/>
    </w:p>
    <w:p>
      <w:pPr>
        <w:pStyle w:val="Subsection"/>
        <w:ind w:right="282"/>
      </w:pPr>
      <w:r>
        <w:tab/>
      </w:r>
      <w:r>
        <w:tab/>
      </w:r>
      <w:bookmarkStart w:id="3" w:name="Start_Cursor"/>
      <w:bookmarkEnd w:id="3"/>
      <w:r>
        <w:t xml:space="preserve">These regulations are the </w:t>
      </w:r>
      <w:r>
        <w:rPr>
          <w:i/>
        </w:rPr>
        <w:t>Emergency Management Regulations 2006</w:t>
      </w:r>
      <w:r>
        <w:rPr>
          <w:iCs/>
        </w:rPr>
        <w:t xml:space="preserve"> </w:t>
      </w:r>
      <w:r>
        <w:rPr>
          <w:iCs/>
          <w:vertAlign w:val="superscript"/>
        </w:rPr>
        <w:t>1</w:t>
      </w:r>
      <w:r>
        <w:t>.</w:t>
      </w:r>
    </w:p>
    <w:p>
      <w:pPr>
        <w:pStyle w:val="Heading2"/>
      </w:pPr>
      <w:bookmarkStart w:id="4" w:name="_Toc34528186"/>
      <w:r>
        <w:rPr>
          <w:rStyle w:val="CharPartNo"/>
        </w:rPr>
        <w:t>Part 2</w:t>
      </w:r>
      <w:r>
        <w:t> — </w:t>
      </w:r>
      <w:r>
        <w:rPr>
          <w:rStyle w:val="CharPartText"/>
        </w:rPr>
        <w:t>The State Emergency Management Committee</w:t>
      </w:r>
      <w:bookmarkEnd w:id="4"/>
    </w:p>
    <w:p>
      <w:pPr>
        <w:pStyle w:val="Footnoteheading"/>
      </w:pPr>
      <w:r>
        <w:tab/>
        <w:t>[Heading inserted in Gazette 12 Jan 2007 p. 50.]</w:t>
      </w:r>
    </w:p>
    <w:p>
      <w:pPr>
        <w:pStyle w:val="Heading5"/>
      </w:pPr>
      <w:bookmarkStart w:id="5" w:name="_Toc34528187"/>
      <w:r>
        <w:rPr>
          <w:rStyle w:val="CharSectno"/>
        </w:rPr>
        <w:t>2</w:t>
      </w:r>
      <w:r>
        <w:t>.</w:t>
      </w:r>
      <w:r>
        <w:tab/>
        <w:t>Appointment by Minister of members of SEMC (Act s. 13(2))</w:t>
      </w:r>
      <w:bookmarkEnd w:id="5"/>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in Gazette 29 Jan 2013 p. 330.]</w:t>
      </w:r>
    </w:p>
    <w:p>
      <w:pPr>
        <w:pStyle w:val="Heading5"/>
      </w:pPr>
      <w:bookmarkStart w:id="6" w:name="_Toc34528188"/>
      <w:r>
        <w:rPr>
          <w:rStyle w:val="CharSectno"/>
        </w:rPr>
        <w:t>3</w:t>
      </w:r>
      <w:r>
        <w:t>.</w:t>
      </w:r>
      <w:r>
        <w:tab/>
        <w:t>Term of office</w:t>
      </w:r>
      <w:bookmarkEnd w:id="6"/>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7" w:name="_Toc34528189"/>
      <w:r>
        <w:rPr>
          <w:rStyle w:val="CharSectno"/>
        </w:rPr>
        <w:t>4</w:t>
      </w:r>
      <w:r>
        <w:t>.</w:t>
      </w:r>
      <w:r>
        <w:tab/>
        <w:t>Vacancies</w:t>
      </w:r>
      <w:bookmarkEnd w:id="7"/>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 in Gazette 29 Jan 2013 p. 330.]</w:t>
      </w:r>
    </w:p>
    <w:p>
      <w:pPr>
        <w:pStyle w:val="Heading5"/>
      </w:pPr>
      <w:bookmarkStart w:id="8" w:name="_Toc34528190"/>
      <w:r>
        <w:rPr>
          <w:rStyle w:val="CharSectno"/>
        </w:rPr>
        <w:t>5</w:t>
      </w:r>
      <w:r>
        <w:t>.</w:t>
      </w:r>
      <w:r>
        <w:tab/>
        <w:t>Leave of absence</w:t>
      </w:r>
      <w:bookmarkEnd w:id="8"/>
    </w:p>
    <w:p>
      <w:pPr>
        <w:pStyle w:val="Subsection"/>
      </w:pPr>
      <w:r>
        <w:tab/>
      </w:r>
      <w:r>
        <w:tab/>
        <w:t>The SEMC may grant leave of absence to a member on any terms and conditions it thinks fit.</w:t>
      </w:r>
    </w:p>
    <w:p>
      <w:pPr>
        <w:pStyle w:val="Heading5"/>
      </w:pPr>
      <w:bookmarkStart w:id="9" w:name="_Toc34528191"/>
      <w:r>
        <w:rPr>
          <w:rStyle w:val="CharSectno"/>
        </w:rPr>
        <w:t>6</w:t>
      </w:r>
      <w:r>
        <w:t>.</w:t>
      </w:r>
      <w:r>
        <w:tab/>
        <w:t>Chairman unable to act</w:t>
      </w:r>
      <w:bookmarkEnd w:id="9"/>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10" w:name="_Toc34528192"/>
      <w:r>
        <w:rPr>
          <w:rStyle w:val="CharSectno"/>
        </w:rPr>
        <w:t>7</w:t>
      </w:r>
      <w:r>
        <w:t>.</w:t>
      </w:r>
      <w:r>
        <w:tab/>
        <w:t>Deputy members</w:t>
      </w:r>
      <w:bookmarkEnd w:id="10"/>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11" w:name="_Toc34528193"/>
      <w:r>
        <w:rPr>
          <w:rStyle w:val="CharSectno"/>
        </w:rPr>
        <w:t>8</w:t>
      </w:r>
      <w:r>
        <w:t>.</w:t>
      </w:r>
      <w:r>
        <w:tab/>
        <w:t>Saving for acts etc. of deputies</w:t>
      </w:r>
      <w:bookmarkEnd w:id="11"/>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12" w:name="_Toc34528194"/>
      <w:r>
        <w:rPr>
          <w:rStyle w:val="CharSectno"/>
        </w:rPr>
        <w:t>9</w:t>
      </w:r>
      <w:r>
        <w:t>.</w:t>
      </w:r>
      <w:r>
        <w:tab/>
        <w:t>Calling meetings</w:t>
      </w:r>
      <w:bookmarkEnd w:id="12"/>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13" w:name="_Toc34528195"/>
      <w:r>
        <w:rPr>
          <w:rStyle w:val="CharSectno"/>
        </w:rPr>
        <w:t>10</w:t>
      </w:r>
      <w:r>
        <w:t>.</w:t>
      </w:r>
      <w:r>
        <w:tab/>
        <w:t>Quorum</w:t>
      </w:r>
      <w:bookmarkEnd w:id="13"/>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14" w:name="_Toc34528196"/>
      <w:r>
        <w:rPr>
          <w:rStyle w:val="CharSectno"/>
        </w:rPr>
        <w:t>11</w:t>
      </w:r>
      <w:r>
        <w:t>.</w:t>
      </w:r>
      <w:r>
        <w:tab/>
        <w:t>Minutes</w:t>
      </w:r>
      <w:bookmarkEnd w:id="14"/>
    </w:p>
    <w:p>
      <w:pPr>
        <w:pStyle w:val="Subsection"/>
      </w:pPr>
      <w:r>
        <w:tab/>
      </w:r>
      <w:r>
        <w:tab/>
        <w:t>The SEMC must cause accurate minutes to be kept of the proceedings at its meetings and of each resolution passed by the SEMC.</w:t>
      </w:r>
    </w:p>
    <w:p>
      <w:pPr>
        <w:pStyle w:val="Heading5"/>
      </w:pPr>
      <w:bookmarkStart w:id="15" w:name="_Toc34528197"/>
      <w:r>
        <w:rPr>
          <w:rStyle w:val="CharSectno"/>
        </w:rPr>
        <w:t>12</w:t>
      </w:r>
      <w:r>
        <w:t>.</w:t>
      </w:r>
      <w:r>
        <w:tab/>
        <w:t>Holding meetings by telephone etc.</w:t>
      </w:r>
      <w:bookmarkEnd w:id="15"/>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16" w:name="_Toc34528198"/>
      <w:r>
        <w:rPr>
          <w:rStyle w:val="CharSectno"/>
        </w:rPr>
        <w:t>13</w:t>
      </w:r>
      <w:r>
        <w:t>.</w:t>
      </w:r>
      <w:r>
        <w:tab/>
        <w:t>Resolution without meeting</w:t>
      </w:r>
      <w:bookmarkEnd w:id="16"/>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17" w:name="_Toc34528199"/>
      <w:r>
        <w:rPr>
          <w:rStyle w:val="CharPartNo"/>
        </w:rPr>
        <w:t>Part 3</w:t>
      </w:r>
      <w:r>
        <w:t> — </w:t>
      </w:r>
      <w:r>
        <w:rPr>
          <w:rStyle w:val="CharPartText"/>
        </w:rPr>
        <w:t>Hazard management</w:t>
      </w:r>
      <w:bookmarkEnd w:id="17"/>
    </w:p>
    <w:p>
      <w:pPr>
        <w:pStyle w:val="Footnoteheading"/>
      </w:pPr>
      <w:r>
        <w:tab/>
        <w:t>[Heading inserted in Gazette 12 Jan 2007 p. 50.]</w:t>
      </w:r>
    </w:p>
    <w:p>
      <w:pPr>
        <w:pStyle w:val="Heading5"/>
      </w:pPr>
      <w:bookmarkStart w:id="18" w:name="_Toc34528200"/>
      <w:r>
        <w:rPr>
          <w:rStyle w:val="CharSectno"/>
        </w:rPr>
        <w:t>14</w:t>
      </w:r>
      <w:r>
        <w:t>.</w:t>
      </w:r>
      <w:r>
        <w:tab/>
        <w:t>Terms used</w:t>
      </w:r>
      <w:bookmarkEnd w:id="18"/>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ship</w:t>
      </w:r>
      <w:r>
        <w:t xml:space="preserve"> has the meaning given in the </w:t>
      </w:r>
      <w:r>
        <w:rPr>
          <w:i/>
          <w:iCs/>
        </w:rPr>
        <w:t>Navigation Act 1912</w:t>
      </w:r>
      <w:r>
        <w:t xml:space="preserve"> (Commonwealth) section 6(1).</w:t>
      </w:r>
    </w:p>
    <w:p>
      <w:pPr>
        <w:pStyle w:val="Footnotesection"/>
      </w:pPr>
      <w:r>
        <w:tab/>
        <w:t>[Regulation 14 inserted in Gazette 12 Jan 2007 p. 50</w:t>
      </w:r>
      <w:r>
        <w:noBreakHyphen/>
        <w:t>1; amended in Gazette 18 Mar 2008 p. 867; 13 Jan 2009 p. 55</w:t>
      </w:r>
      <w:r>
        <w:noBreakHyphen/>
        <w:t>6; 10 Sep 2010 p. 4345; 29 Jan 2013 p. 330.]</w:t>
      </w:r>
    </w:p>
    <w:p>
      <w:pPr>
        <w:pStyle w:val="Heading5"/>
      </w:pPr>
      <w:bookmarkStart w:id="19" w:name="_Toc34528201"/>
      <w:r>
        <w:rPr>
          <w:rStyle w:val="CharSectno"/>
        </w:rPr>
        <w:t>15</w:t>
      </w:r>
      <w:r>
        <w:t>.</w:t>
      </w:r>
      <w:r>
        <w:tab/>
        <w:t>Events, situations and conditions prescribed as hazards</w:t>
      </w:r>
      <w:bookmarkEnd w:id="19"/>
    </w:p>
    <w:p>
      <w:pPr>
        <w:pStyle w:val="Subsection"/>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on inland waterways within the limits of a port or in a fishing vessel or pleasure craft within the limits of a port or at sea;</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actual or impending event involving a ship that is capable of causing loss of life, injury to a person or damage to the health of a person, property or the environment;</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p>
    <w:p>
      <w:pPr>
        <w:pStyle w:val="Footnotesection"/>
      </w:pPr>
      <w:r>
        <w:tab/>
        <w:t>[Regulation 15 inserted in Gazette 12 Jan 2007 p. 51; amended in Gazette 18 Mar 2008 p. 867; 29 Apr 2008 p. 1577</w:t>
      </w:r>
      <w:r>
        <w:noBreakHyphen/>
        <w:t>8; 10 Sep 2010 p. 4345; 3 Dec 2010 p. 6056; 15 Oct 2013 p. 4673.]</w:t>
      </w:r>
    </w:p>
    <w:p>
      <w:pPr>
        <w:pStyle w:val="Heading5"/>
        <w:keepLines w:val="0"/>
      </w:pPr>
      <w:bookmarkStart w:id="20" w:name="_Toc34528202"/>
      <w:r>
        <w:rPr>
          <w:rStyle w:val="CharSectno"/>
        </w:rPr>
        <w:t>16</w:t>
      </w:r>
      <w:r>
        <w:t>.</w:t>
      </w:r>
      <w:r>
        <w:tab/>
        <w:t>Hazard management agency — Commissioner of Police</w:t>
      </w:r>
      <w:bookmarkEnd w:id="20"/>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Indenta"/>
      </w:pPr>
      <w:r>
        <w:tab/>
        <w:t>(d)</w:t>
      </w:r>
      <w:r>
        <w:tab/>
        <w:t>persons lost or in distress on inland waterways within the limits of a port or in a fishing vessel or pleasure craft within the limits of a port or at sea;</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Ednotesubsection"/>
      </w:pPr>
      <w:r>
        <w:tab/>
        <w:t>[(2)</w:t>
      </w:r>
      <w:r>
        <w:tab/>
        <w:t>deleted]</w:t>
      </w:r>
    </w:p>
    <w:p>
      <w:pPr>
        <w:pStyle w:val="Footnotesection"/>
      </w:pPr>
      <w:r>
        <w:tab/>
        <w:t>[Regulation 16 inserted in Gazette 12 Jan 2007 p. 51</w:t>
      </w:r>
      <w:r>
        <w:noBreakHyphen/>
        <w:t>2; amended in Gazette 13 Jan 2009 p. 56; 29 Jan 2013 p. 330.]</w:t>
      </w:r>
    </w:p>
    <w:p>
      <w:pPr>
        <w:pStyle w:val="Heading5"/>
      </w:pPr>
      <w:bookmarkStart w:id="21" w:name="_Toc34528203"/>
      <w:r>
        <w:rPr>
          <w:rStyle w:val="CharSectno"/>
        </w:rPr>
        <w:t>17</w:t>
      </w:r>
      <w:r>
        <w:t>.</w:t>
      </w:r>
      <w:r>
        <w:tab/>
        <w:t xml:space="preserve">Hazard management agency — </w:t>
      </w:r>
      <w:smartTag w:uri="urn:schemas-microsoft-com:office:smarttags" w:element="place">
        <w:r>
          <w:t>FES</w:t>
        </w:r>
      </w:smartTag>
      <w:r>
        <w:t xml:space="preserve"> Commissioner</w:t>
      </w:r>
      <w:bookmarkEnd w:id="21"/>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department of the Public Service principally assisting in the administration of the </w:t>
      </w:r>
      <w:r>
        <w:rPr>
          <w:i/>
        </w:rPr>
        <w:t>Fire and Emergency Services Act 1998</w:t>
      </w:r>
      <w:r>
        <w: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Footnotesection"/>
      </w:pPr>
      <w:r>
        <w:tab/>
        <w:t>[Regulation 17 inserted in Gazette 12 Jan 2007 p. 52; amended in Gazette 3 Dec 2010 p. 6057; 31 </w:t>
      </w:r>
      <w:r>
        <w:rPr>
          <w:szCs w:val="24"/>
        </w:rPr>
        <w:t>Oct 2012 p. 5254; 29 Jan 2013 p. 331</w:t>
      </w:r>
      <w:r>
        <w:t>.]</w:t>
      </w:r>
    </w:p>
    <w:p>
      <w:pPr>
        <w:pStyle w:val="Heading5"/>
      </w:pPr>
      <w:bookmarkStart w:id="22" w:name="_Toc34528204"/>
      <w:r>
        <w:rPr>
          <w:rStyle w:val="CharSectno"/>
        </w:rPr>
        <w:t>18</w:t>
      </w:r>
      <w:r>
        <w:t>.</w:t>
      </w:r>
      <w:r>
        <w:tab/>
        <w:t>Hazard management agency — State Human Epidemic Controller</w:t>
      </w:r>
      <w:bookmarkEnd w:id="22"/>
    </w:p>
    <w:p>
      <w:pPr>
        <w:pStyle w:val="Subsection"/>
      </w:pPr>
      <w:r>
        <w:tab/>
      </w:r>
      <w:r>
        <w:tab/>
        <w:t>The State Human Epidemic Controller, Department of Health, is the hazard management agency for emergency management of the hazard of human epidemic for the whole of the State.</w:t>
      </w:r>
    </w:p>
    <w:p>
      <w:pPr>
        <w:pStyle w:val="Footnotesection"/>
      </w:pPr>
      <w:r>
        <w:tab/>
        <w:t>[Regulation 18 inserted in Gazette 29 Jan 2013 p. 331.]</w:t>
      </w:r>
    </w:p>
    <w:p>
      <w:pPr>
        <w:pStyle w:val="Heading5"/>
      </w:pPr>
      <w:bookmarkStart w:id="23" w:name="_Toc34528205"/>
      <w:r>
        <w:rPr>
          <w:rStyle w:val="CharSectno"/>
        </w:rPr>
        <w:t>19</w:t>
      </w:r>
      <w:r>
        <w:t>.</w:t>
      </w:r>
      <w:r>
        <w:tab/>
        <w:t>Hazard management agency — Agriculture Director General</w:t>
      </w:r>
      <w:bookmarkEnd w:id="23"/>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 in Gazette 29 Apr 2008 p. 1578; amended in Gazette 29 Jan 2013 p. 331.]</w:t>
      </w:r>
    </w:p>
    <w:p>
      <w:pPr>
        <w:pStyle w:val="Heading5"/>
      </w:pPr>
      <w:bookmarkStart w:id="24" w:name="_Toc34528206"/>
      <w:r>
        <w:rPr>
          <w:rStyle w:val="CharSectno"/>
        </w:rPr>
        <w:t>20</w:t>
      </w:r>
      <w:r>
        <w:t>.</w:t>
      </w:r>
      <w:r>
        <w:tab/>
        <w:t>Hazard management agency — Public Transport Authority</w:t>
      </w:r>
      <w:bookmarkEnd w:id="24"/>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in Gazette 13 Jan 2009 p. 56</w:t>
      </w:r>
      <w:r>
        <w:noBreakHyphen/>
        <w:t>7.]</w:t>
      </w:r>
    </w:p>
    <w:p>
      <w:pPr>
        <w:pStyle w:val="Heading5"/>
      </w:pPr>
      <w:bookmarkStart w:id="25" w:name="_Toc34528207"/>
      <w:r>
        <w:rPr>
          <w:rStyle w:val="CharSectno"/>
        </w:rPr>
        <w:t>21</w:t>
      </w:r>
      <w:r>
        <w:t>.</w:t>
      </w:r>
      <w:r>
        <w:tab/>
        <w:t xml:space="preserve">Hazard management agency — </w:t>
      </w:r>
      <w:smartTag w:uri="urn:schemas-microsoft-com:office:smarttags" w:element="City">
        <w:smartTag w:uri="urn:schemas-microsoft-com:office:smarttags" w:element="place">
          <w:r>
            <w:t>Brookfield</w:t>
          </w:r>
        </w:smartTag>
      </w:smartTag>
      <w:r>
        <w:t xml:space="preserve"> Rail Pty Limited</w:t>
      </w:r>
      <w:bookmarkEnd w:id="25"/>
    </w:p>
    <w:p>
      <w:pPr>
        <w:pStyle w:val="Subsection"/>
      </w:pPr>
      <w:r>
        <w:tab/>
      </w:r>
      <w:r>
        <w:tab/>
        <w:t>Brookfield Rail Pty Limited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Brookfield Rail Pty Limited is situated.</w:t>
      </w:r>
    </w:p>
    <w:p>
      <w:pPr>
        <w:pStyle w:val="Footnotesection"/>
      </w:pPr>
      <w:r>
        <w:tab/>
        <w:t>[Regulation 21 inserted in Gazette 13 Jan 2009 p. 57; amended in Gazette 13 Mar 2012 p. 1034.]</w:t>
      </w:r>
    </w:p>
    <w:p>
      <w:pPr>
        <w:pStyle w:val="Heading5"/>
      </w:pPr>
      <w:bookmarkStart w:id="26" w:name="_Toc34528208"/>
      <w:r>
        <w:rPr>
          <w:rStyle w:val="CharSectno"/>
        </w:rPr>
        <w:t>22</w:t>
      </w:r>
      <w:r>
        <w:t>.</w:t>
      </w:r>
      <w:r>
        <w:tab/>
        <w:t>Hazard management agency — State Health Coordinator</w:t>
      </w:r>
      <w:bookmarkEnd w:id="26"/>
    </w:p>
    <w:p>
      <w:pPr>
        <w:pStyle w:val="Subsection"/>
      </w:pPr>
      <w:r>
        <w:tab/>
      </w:r>
      <w:r>
        <w:tab/>
        <w:t xml:space="preserve">The State Health Coordinator, Department of Health, is the hazard management agency for emergency management of the following hazards for the whole of the State — </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in Gazette 29 Jan 2013 p. 331-2.]</w:t>
      </w:r>
    </w:p>
    <w:p>
      <w:pPr>
        <w:pStyle w:val="Heading5"/>
      </w:pPr>
      <w:bookmarkStart w:id="27" w:name="_Toc34528209"/>
      <w:r>
        <w:rPr>
          <w:rStyle w:val="CharSectno"/>
        </w:rPr>
        <w:t>23A</w:t>
      </w:r>
      <w:r>
        <w:t>.</w:t>
      </w:r>
      <w:r>
        <w:tab/>
        <w:t>Hazard management agency — Marine Safety, General Manager</w:t>
      </w:r>
      <w:bookmarkEnd w:id="27"/>
    </w:p>
    <w:p>
      <w:pPr>
        <w:pStyle w:val="Subsection"/>
      </w:pPr>
      <w:r>
        <w:tab/>
        <w:t>(1)</w:t>
      </w:r>
      <w:r>
        <w:tab/>
        <w:t xml:space="preserve">In this regulation — </w:t>
      </w:r>
    </w:p>
    <w:p>
      <w:pPr>
        <w:pStyle w:val="Defstart"/>
      </w:pPr>
      <w:r>
        <w:tab/>
      </w:r>
      <w:r>
        <w:rPr>
          <w:rStyle w:val="CharDefText"/>
        </w:rPr>
        <w:t>waters of the State</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iCs/>
        </w:rPr>
        <w:t>Coastal Waters (State Powers) Act 1980</w:t>
      </w:r>
      <w:r>
        <w:t xml:space="preserve"> (Commonwealth) section 3(1).</w:t>
      </w:r>
    </w:p>
    <w:p>
      <w:pPr>
        <w:pStyle w:val="Subsection"/>
      </w:pPr>
      <w:r>
        <w:tab/>
        <w:t>(2)</w:t>
      </w:r>
      <w:r>
        <w:tab/>
        <w:t xml:space="preserve">The Marine Safety, General Manager, Department of Transport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spacing w:before="70"/>
      </w:pPr>
      <w:r>
        <w:tab/>
        <w:t>(i)</w:t>
      </w:r>
      <w:r>
        <w:tab/>
        <w:t>the waters of the State;</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Marine Safety, General Manager, Department of Transport is the hazard management agency of the hazard set out in regulation 15(j)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spacing w:before="70"/>
      </w:pPr>
      <w:r>
        <w:tab/>
        <w:t>(i)</w:t>
      </w:r>
      <w:r>
        <w:tab/>
        <w:t>the waters of the State;</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in Gazette 10 Sep 2010 p. 4345</w:t>
      </w:r>
      <w:r>
        <w:noBreakHyphen/>
        <w:t>6; amended in Gazette 29 Jan 2013 p. 332.]</w:t>
      </w:r>
    </w:p>
    <w:p>
      <w:pPr>
        <w:pStyle w:val="Heading5"/>
      </w:pPr>
      <w:bookmarkStart w:id="28" w:name="_Toc34528210"/>
      <w:r>
        <w:rPr>
          <w:rStyle w:val="CharSectno"/>
        </w:rPr>
        <w:t>23B</w:t>
      </w:r>
      <w:r>
        <w:t>.</w:t>
      </w:r>
      <w:r>
        <w:tab/>
        <w:t>Hazard management agency — Coordinator of Energy</w:t>
      </w:r>
      <w:bookmarkEnd w:id="28"/>
    </w:p>
    <w:p>
      <w:pPr>
        <w:pStyle w:val="Subsection"/>
      </w:pPr>
      <w:r>
        <w:tab/>
      </w:r>
      <w:r>
        <w:tab/>
        <w:t xml:space="preserve">The Coordinator as defined in the </w:t>
      </w:r>
      <w:r>
        <w:rPr>
          <w:i/>
        </w:rPr>
        <w:t xml:space="preserve">Energy Coordination Act 1994 </w:t>
      </w:r>
      <w:r>
        <w:t>section 3(1) is the hazard management agency for emergency management of the hazards set out in regulation 15(k) and (l) for the whole of the State.</w:t>
      </w:r>
    </w:p>
    <w:p>
      <w:pPr>
        <w:pStyle w:val="Footnotesection"/>
      </w:pPr>
      <w:r>
        <w:tab/>
        <w:t>[Regulation 23B inserted in Gazette 29 Jan 2013 p. 332; amended in Gazette 15 Oct 2013 p. 4674.]</w:t>
      </w:r>
    </w:p>
    <w:p>
      <w:pPr>
        <w:pStyle w:val="Heading2"/>
      </w:pPr>
      <w:bookmarkStart w:id="29" w:name="_Toc34528211"/>
      <w:r>
        <w:rPr>
          <w:rStyle w:val="CharPartNo"/>
        </w:rPr>
        <w:t>Part 4</w:t>
      </w:r>
      <w:r>
        <w:t> — </w:t>
      </w:r>
      <w:r>
        <w:rPr>
          <w:rStyle w:val="CharPartText"/>
        </w:rPr>
        <w:t>Exchange of information</w:t>
      </w:r>
      <w:bookmarkEnd w:id="29"/>
    </w:p>
    <w:p>
      <w:pPr>
        <w:pStyle w:val="Footnoteheading"/>
      </w:pPr>
      <w:r>
        <w:tab/>
        <w:t>[Heading inserted in Gazette 19 Feb 2010 p. 661.]</w:t>
      </w:r>
    </w:p>
    <w:p>
      <w:pPr>
        <w:pStyle w:val="Heading5"/>
      </w:pPr>
      <w:bookmarkStart w:id="30" w:name="_Toc34528212"/>
      <w:r>
        <w:rPr>
          <w:rStyle w:val="CharSectno"/>
        </w:rPr>
        <w:t>23</w:t>
      </w:r>
      <w:r>
        <w:t>.</w:t>
      </w:r>
      <w:r>
        <w:tab/>
        <w:t>Prescribed relevant information (Act s. 72)</w:t>
      </w:r>
      <w:bookmarkEnd w:id="30"/>
    </w:p>
    <w:p>
      <w:pPr>
        <w:pStyle w:val="Subsection"/>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pPr>
      <w:r>
        <w:tab/>
        <w:t>(c)</w:t>
      </w:r>
      <w:r>
        <w:tab/>
        <w:t>information relating to a person’s finances or insurance.</w:t>
      </w:r>
    </w:p>
    <w:p>
      <w:pPr>
        <w:pStyle w:val="Footnotesection"/>
      </w:pPr>
      <w:r>
        <w:tab/>
        <w:t>[Regulation 23 inserted in Gazette 19 Feb 2010 p. 661</w:t>
      </w:r>
      <w:r>
        <w:noBreakHyphen/>
        <w:t>2.]</w:t>
      </w:r>
    </w:p>
    <w:p>
      <w:pPr>
        <w:pStyle w:val="Heading5"/>
      </w:pPr>
      <w:bookmarkStart w:id="31" w:name="_Toc34528213"/>
      <w:r>
        <w:rPr>
          <w:rStyle w:val="CharSectno"/>
        </w:rPr>
        <w:t>24</w:t>
      </w:r>
      <w:r>
        <w:t>.</w:t>
      </w:r>
      <w:r>
        <w:tab/>
        <w:t>Disclosure of relevant information (Act s. 72(2))</w:t>
      </w:r>
      <w:bookmarkEnd w:id="31"/>
    </w:p>
    <w:p>
      <w:pPr>
        <w:pStyle w:val="Subsection"/>
      </w:pPr>
      <w:r>
        <w:tab/>
        <w:t>(1)</w:t>
      </w:r>
      <w:r>
        <w:tab/>
        <w:t>During an emergency situation or state of emergency, a hazard management officer or an authorised officer may disclose relevant information to a person or entity engaged by an emergency management agency to provide welfare services.</w:t>
      </w:r>
    </w:p>
    <w:p>
      <w:pPr>
        <w:pStyle w:val="Subsection"/>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a fine of $1 000.</w:t>
      </w:r>
    </w:p>
    <w:p>
      <w:pPr>
        <w:pStyle w:val="Subsection"/>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a fine of $1 000.</w:t>
      </w:r>
    </w:p>
    <w:p>
      <w:pPr>
        <w:pStyle w:val="Footnotesection"/>
      </w:pPr>
      <w:r>
        <w:tab/>
        <w:t>[Regulation 24 inserted in Gazette 19 Feb 2010 p. 662.]</w:t>
      </w:r>
    </w:p>
    <w:p>
      <w:pPr>
        <w:pStyle w:val="Heading5"/>
      </w:pPr>
      <w:bookmarkStart w:id="32" w:name="_Toc34528214"/>
      <w:r>
        <w:rPr>
          <w:rStyle w:val="CharSectno"/>
        </w:rPr>
        <w:t>25</w:t>
      </w:r>
      <w:r>
        <w:t>.</w:t>
      </w:r>
      <w:r>
        <w:tab/>
        <w:t>Storing disclosed relevant information (Act s. 72(2))</w:t>
      </w:r>
      <w:bookmarkEnd w:id="32"/>
    </w:p>
    <w:p>
      <w:pPr>
        <w:pStyle w:val="Subsection"/>
      </w:pPr>
      <w:r>
        <w:tab/>
      </w:r>
      <w:r>
        <w:tab/>
        <w:t>An agency, person or entity to which relevant information is disclosed under section 72(2)(a) of the Act must ensure that that information is kept in a secure manner so far as it is reasonably practicable to do so.</w:t>
      </w:r>
    </w:p>
    <w:p>
      <w:pPr>
        <w:pStyle w:val="Penstart"/>
      </w:pPr>
      <w:r>
        <w:tab/>
        <w:t>Penalty: a fine of $1 000.</w:t>
      </w:r>
    </w:p>
    <w:p>
      <w:pPr>
        <w:pStyle w:val="Footnotesection"/>
      </w:pPr>
      <w:r>
        <w:tab/>
        <w:t>[Regulation 25 inserted in Gazette 19 Feb 2010 p. 662.]</w:t>
      </w:r>
    </w:p>
    <w:p>
      <w:pPr>
        <w:pStyle w:val="Heading2"/>
      </w:pPr>
      <w:bookmarkStart w:id="33" w:name="_Toc34528215"/>
      <w:r>
        <w:rPr>
          <w:rStyle w:val="CharPartNo"/>
        </w:rPr>
        <w:t>Part 5</w:t>
      </w:r>
      <w:r>
        <w:t> — </w:t>
      </w:r>
      <w:r>
        <w:rPr>
          <w:rStyle w:val="CharPartText"/>
        </w:rPr>
        <w:t>Combat agencies and support organisations</w:t>
      </w:r>
      <w:bookmarkEnd w:id="33"/>
    </w:p>
    <w:p>
      <w:pPr>
        <w:pStyle w:val="Footnoteheading"/>
        <w:spacing w:before="100"/>
      </w:pPr>
      <w:r>
        <w:tab/>
        <w:t>[Heading inserted in Gazette 19 Jul 2011 p. 2985.]</w:t>
      </w:r>
    </w:p>
    <w:p>
      <w:pPr>
        <w:pStyle w:val="Heading5"/>
        <w:spacing w:before="200"/>
      </w:pPr>
      <w:bookmarkStart w:id="34" w:name="_Toc34528216"/>
      <w:r>
        <w:rPr>
          <w:rStyle w:val="CharSectno"/>
        </w:rPr>
        <w:t>26</w:t>
      </w:r>
      <w:r>
        <w:t>.</w:t>
      </w:r>
      <w:r>
        <w:tab/>
        <w:t>Combat agency — Department of Health</w:t>
      </w:r>
      <w:bookmarkEnd w:id="34"/>
    </w:p>
    <w:p>
      <w:pPr>
        <w:pStyle w:val="Subsection"/>
        <w:spacing w:before="140"/>
      </w:pPr>
      <w:r>
        <w:tab/>
      </w:r>
      <w:r>
        <w:tab/>
        <w:t>The Department of Health is a combat agency responsible for the emergency management activity of providing health services.</w:t>
      </w:r>
    </w:p>
    <w:p>
      <w:pPr>
        <w:pStyle w:val="Footnotesection"/>
        <w:spacing w:before="100"/>
      </w:pPr>
      <w:r>
        <w:tab/>
        <w:t>[Regulation 26 inserted in Gazette 19 Jul 2011 p. 2985.]</w:t>
      </w:r>
    </w:p>
    <w:p>
      <w:pPr>
        <w:pStyle w:val="Heading5"/>
        <w:spacing w:before="200"/>
      </w:pPr>
      <w:bookmarkStart w:id="35" w:name="_Toc34528217"/>
      <w:r>
        <w:rPr>
          <w:rStyle w:val="CharSectno"/>
        </w:rPr>
        <w:t>27</w:t>
      </w:r>
      <w:r>
        <w:t>.</w:t>
      </w:r>
      <w:r>
        <w:tab/>
        <w:t xml:space="preserve">Combat agency — </w:t>
      </w:r>
      <w:smartTag w:uri="urn:schemas-microsoft-com:office:smarttags" w:element="City">
        <w:r>
          <w:t>St John</w:t>
        </w:r>
      </w:smartTag>
      <w:r>
        <w:t xml:space="preserve"> Ambulance </w:t>
      </w:r>
      <w:smartTag w:uri="urn:schemas-microsoft-com:office:smarttags" w:element="country-region">
        <w:r>
          <w:t>Australia</w:t>
        </w:r>
      </w:smartTag>
      <w:r>
        <w:t xml:space="preserve"> (Western </w:t>
      </w:r>
      <w:smartTag w:uri="urn:schemas-microsoft-com:office:smarttags" w:element="place">
        <w:smartTag w:uri="urn:schemas-microsoft-com:office:smarttags" w:element="country-region">
          <w:r>
            <w:t>Australia</w:t>
          </w:r>
        </w:smartTag>
      </w:smartTag>
      <w:r>
        <w:t>) Incorporated</w:t>
      </w:r>
      <w:bookmarkEnd w:id="35"/>
    </w:p>
    <w:p>
      <w:pPr>
        <w:pStyle w:val="Subsection"/>
        <w:spacing w:before="140"/>
      </w:pPr>
      <w:r>
        <w:tab/>
      </w:r>
      <w:r>
        <w:tab/>
        <w:t>St John Ambulance Australia (</w:t>
      </w:r>
      <w:smartTag w:uri="urn:schemas-microsoft-com:office:smarttags" w:element="place">
        <w:smartTag w:uri="urn:schemas-microsoft-com:office:smarttags" w:element="State">
          <w:r>
            <w:t>Western Australia</w:t>
          </w:r>
        </w:smartTag>
      </w:smartTag>
      <w:r>
        <w:t>) Incorporated is a combat agency responsible for the emergency management activity of providing health services.</w:t>
      </w:r>
    </w:p>
    <w:p>
      <w:pPr>
        <w:pStyle w:val="Footnotesection"/>
        <w:spacing w:before="100"/>
      </w:pPr>
      <w:r>
        <w:tab/>
        <w:t>[Regulation 27 inserted in Gazette 19 Jul 2011 p. 2986.]</w:t>
      </w:r>
    </w:p>
    <w:p>
      <w:pPr>
        <w:pStyle w:val="Heading5"/>
        <w:spacing w:before="200"/>
      </w:pPr>
      <w:bookmarkStart w:id="36" w:name="_Toc34528218"/>
      <w:r>
        <w:rPr>
          <w:rStyle w:val="CharSectno"/>
        </w:rPr>
        <w:t>28</w:t>
      </w:r>
      <w:r>
        <w:t>.</w:t>
      </w:r>
      <w:r>
        <w:tab/>
        <w:t xml:space="preserve">Combat agency — Police Force of </w:t>
      </w:r>
      <w:smartTag w:uri="urn:schemas-microsoft-com:office:smarttags" w:element="place">
        <w:smartTag w:uri="urn:schemas-microsoft-com:office:smarttags" w:element="State">
          <w:r>
            <w:t>Western Australia</w:t>
          </w:r>
        </w:smartTag>
      </w:smartTag>
      <w:bookmarkEnd w:id="36"/>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 in Gazette 19 Jul 2011 p. 2986.]</w:t>
      </w:r>
    </w:p>
    <w:p>
      <w:pPr>
        <w:pStyle w:val="Heading5"/>
        <w:spacing w:before="200"/>
      </w:pPr>
      <w:bookmarkStart w:id="37" w:name="_Toc34528219"/>
      <w:r>
        <w:rPr>
          <w:rStyle w:val="CharSectno"/>
        </w:rPr>
        <w:t>29</w:t>
      </w:r>
      <w:r>
        <w:t>.</w:t>
      </w:r>
      <w:r>
        <w:tab/>
        <w:t>Combat agency — Police Service</w:t>
      </w:r>
      <w:bookmarkEnd w:id="37"/>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 in Gazette 19 Jul 2011 p. 2986.]</w:t>
      </w:r>
    </w:p>
    <w:p>
      <w:pPr>
        <w:pStyle w:val="Heading5"/>
        <w:spacing w:before="200"/>
      </w:pPr>
      <w:bookmarkStart w:id="38" w:name="_Toc34528220"/>
      <w:r>
        <w:rPr>
          <w:rStyle w:val="CharSectno"/>
        </w:rPr>
        <w:t>30</w:t>
      </w:r>
      <w:r>
        <w:t>.</w:t>
      </w:r>
      <w:r>
        <w:tab/>
        <w:t>Combat agency — Department of Environment and Conservation</w:t>
      </w:r>
      <w:bookmarkEnd w:id="38"/>
    </w:p>
    <w:p>
      <w:pPr>
        <w:pStyle w:val="Subsection"/>
        <w:spacing w:before="140"/>
      </w:pPr>
      <w:r>
        <w:tab/>
      </w:r>
      <w:r>
        <w:tab/>
        <w:t>The Department of Environment and Conservation</w:t>
      </w:r>
      <w:r>
        <w:rPr>
          <w:vertAlign w:val="superscript"/>
        </w:rPr>
        <w:t> 2</w:t>
      </w:r>
      <w:r>
        <w:t xml:space="preserve"> is a combat agency responsible for the emergency management activity of fire suppression.</w:t>
      </w:r>
    </w:p>
    <w:p>
      <w:pPr>
        <w:pStyle w:val="Footnotesection"/>
        <w:spacing w:before="100"/>
      </w:pPr>
      <w:r>
        <w:tab/>
        <w:t>[Regulation 30 inserted in Gazette 19 Jul 2011 p. 2986.]</w:t>
      </w:r>
    </w:p>
    <w:p>
      <w:pPr>
        <w:pStyle w:val="Heading5"/>
      </w:pPr>
      <w:bookmarkStart w:id="39" w:name="_Toc34528221"/>
      <w:r>
        <w:rPr>
          <w:rStyle w:val="CharSectno"/>
        </w:rPr>
        <w:t>31</w:t>
      </w:r>
      <w:r>
        <w:t>.</w:t>
      </w:r>
      <w:r>
        <w:tab/>
        <w:t>Combat agency — local government</w:t>
      </w:r>
      <w:bookmarkEnd w:id="39"/>
    </w:p>
    <w:p>
      <w:pPr>
        <w:pStyle w:val="Subsection"/>
      </w:pPr>
      <w:r>
        <w:tab/>
      </w:r>
      <w:r>
        <w:tab/>
        <w:t>A local government is a combat agency responsible for the emergency management activity of fire suppression.</w:t>
      </w:r>
    </w:p>
    <w:p>
      <w:pPr>
        <w:pStyle w:val="Footnotesection"/>
      </w:pPr>
      <w:r>
        <w:tab/>
        <w:t>[Regulation 31 inserted in Gazette 19 Jul 2011 p. 2986.]</w:t>
      </w:r>
    </w:p>
    <w:p>
      <w:pPr>
        <w:pStyle w:val="Heading5"/>
      </w:pPr>
      <w:bookmarkStart w:id="40" w:name="_Toc34528222"/>
      <w:r>
        <w:rPr>
          <w:rStyle w:val="CharSectno"/>
        </w:rPr>
        <w:t>32</w:t>
      </w:r>
      <w:r>
        <w:t>.</w:t>
      </w:r>
      <w:r>
        <w:tab/>
        <w:t>Support organisation — Department for Child Protection</w:t>
      </w:r>
      <w:bookmarkEnd w:id="40"/>
    </w:p>
    <w:p>
      <w:pPr>
        <w:pStyle w:val="Subsection"/>
      </w:pPr>
      <w:r>
        <w:tab/>
      </w:r>
      <w:r>
        <w:tab/>
        <w:t>The Department for Child Protection</w:t>
      </w:r>
      <w:r>
        <w:rPr>
          <w:vertAlign w:val="superscript"/>
        </w:rPr>
        <w:t> 3</w:t>
      </w:r>
      <w:r>
        <w:t xml:space="preserve"> is a support organisation responsible for the emergency management activity of providing welfare services.</w:t>
      </w:r>
    </w:p>
    <w:p>
      <w:pPr>
        <w:pStyle w:val="Footnotesection"/>
      </w:pPr>
      <w:r>
        <w:tab/>
        <w:t>[Regulation 32 inserted in Gazette 19 Jul 2011 p. 2986.]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1" w:name="_Toc34528223"/>
      <w:r>
        <w:t>Notes</w:t>
      </w:r>
      <w:bookmarkEnd w:id="41"/>
    </w:p>
    <w:p>
      <w:pPr>
        <w:pStyle w:val="nSubsection"/>
        <w:rPr>
          <w:snapToGrid w:val="0"/>
        </w:rPr>
      </w:pPr>
      <w:r>
        <w:rPr>
          <w:snapToGrid w:val="0"/>
          <w:vertAlign w:val="superscript"/>
        </w:rPr>
        <w:t>1</w:t>
      </w:r>
      <w:r>
        <w:rPr>
          <w:snapToGrid w:val="0"/>
        </w:rPr>
        <w:tab/>
        <w:t xml:space="preserve">This reprint is a compilation as at 7 March 2014 of the </w:t>
      </w:r>
      <w:r>
        <w:rPr>
          <w:i/>
          <w:noProof/>
          <w:snapToGrid w:val="0"/>
        </w:rPr>
        <w:t>Emergency Management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42" w:name="_Toc34528224"/>
      <w:r>
        <w:t>Compilation table</w:t>
      </w:r>
      <w:bookmarkEnd w:id="4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Emergency Management Regulations 2006</w:t>
            </w:r>
          </w:p>
        </w:tc>
        <w:tc>
          <w:tcPr>
            <w:tcW w:w="1276" w:type="dxa"/>
            <w:tcBorders>
              <w:top w:val="single" w:sz="8" w:space="0" w:color="auto"/>
            </w:tcBorders>
          </w:tcPr>
          <w:p>
            <w:pPr>
              <w:pStyle w:val="nTable"/>
              <w:spacing w:after="40"/>
              <w:rPr>
                <w:sz w:val="19"/>
              </w:rPr>
            </w:pPr>
            <w:r>
              <w:rPr>
                <w:sz w:val="19"/>
              </w:rPr>
              <w:t>21 Apr 2006 p. 1582</w:t>
            </w:r>
            <w:r>
              <w:rPr>
                <w:sz w:val="19"/>
              </w:rPr>
              <w:noBreakHyphen/>
              <w:t>4</w:t>
            </w:r>
          </w:p>
        </w:tc>
        <w:tc>
          <w:tcPr>
            <w:tcW w:w="2694" w:type="dxa"/>
            <w:tcBorders>
              <w:top w:val="single" w:sz="8" w:space="0" w:color="auto"/>
            </w:tcBorders>
          </w:tcPr>
          <w:p>
            <w:pPr>
              <w:pStyle w:val="nTable"/>
              <w:spacing w:after="40"/>
              <w:rPr>
                <w:sz w:val="19"/>
              </w:rPr>
            </w:pPr>
            <w:r>
              <w:rPr>
                <w:sz w:val="19"/>
              </w:rPr>
              <w:t>21 Apr 2006</w:t>
            </w:r>
          </w:p>
        </w:tc>
      </w:tr>
      <w:tr>
        <w:tc>
          <w:tcPr>
            <w:tcW w:w="3118" w:type="dxa"/>
          </w:tcPr>
          <w:p>
            <w:pPr>
              <w:pStyle w:val="nTable"/>
              <w:spacing w:after="40"/>
              <w:rPr>
                <w:i/>
                <w:noProof/>
                <w:snapToGrid w:val="0"/>
                <w:sz w:val="19"/>
              </w:rPr>
            </w:pPr>
            <w:r>
              <w:rPr>
                <w:i/>
                <w:noProof/>
                <w:snapToGrid w:val="0"/>
                <w:sz w:val="19"/>
              </w:rPr>
              <w:t>Emergency Management Amendment Regulations 2006</w:t>
            </w:r>
          </w:p>
        </w:tc>
        <w:tc>
          <w:tcPr>
            <w:tcW w:w="1276" w:type="dxa"/>
          </w:tcPr>
          <w:p>
            <w:pPr>
              <w:pStyle w:val="nTable"/>
              <w:spacing w:after="40"/>
              <w:rPr>
                <w:sz w:val="19"/>
              </w:rPr>
            </w:pPr>
            <w:r>
              <w:rPr>
                <w:sz w:val="19"/>
              </w:rPr>
              <w:t>12 Jan 2007 p. 50</w:t>
            </w:r>
            <w:r>
              <w:rPr>
                <w:sz w:val="19"/>
              </w:rPr>
              <w:noBreakHyphen/>
              <w:t>2</w:t>
            </w:r>
          </w:p>
        </w:tc>
        <w:tc>
          <w:tcPr>
            <w:tcW w:w="2694" w:type="dxa"/>
          </w:tcPr>
          <w:p>
            <w:pPr>
              <w:pStyle w:val="nTable"/>
              <w:spacing w:after="40"/>
              <w:rPr>
                <w:sz w:val="19"/>
              </w:rPr>
            </w:pPr>
            <w:r>
              <w:rPr>
                <w:sz w:val="19"/>
              </w:rPr>
              <w:t>12 Jan 2007</w:t>
            </w:r>
          </w:p>
        </w:tc>
      </w:tr>
      <w:tr>
        <w:tc>
          <w:tcPr>
            <w:tcW w:w="3118" w:type="dxa"/>
          </w:tcPr>
          <w:p>
            <w:pPr>
              <w:pStyle w:val="nTable"/>
              <w:spacing w:after="40"/>
              <w:rPr>
                <w:i/>
                <w:noProof/>
                <w:snapToGrid w:val="0"/>
                <w:sz w:val="19"/>
              </w:rPr>
            </w:pPr>
            <w:r>
              <w:rPr>
                <w:i/>
                <w:noProof/>
                <w:snapToGrid w:val="0"/>
                <w:sz w:val="19"/>
              </w:rPr>
              <w:t>Emergency Management Amendment Regulations 2008</w:t>
            </w:r>
          </w:p>
        </w:tc>
        <w:tc>
          <w:tcPr>
            <w:tcW w:w="1276" w:type="dxa"/>
          </w:tcPr>
          <w:p>
            <w:pPr>
              <w:pStyle w:val="nTable"/>
              <w:spacing w:after="40"/>
              <w:rPr>
                <w:sz w:val="19"/>
              </w:rPr>
            </w:pPr>
            <w:r>
              <w:rPr>
                <w:sz w:val="19"/>
              </w:rPr>
              <w:t>18 Mar 2008 p. 866</w:t>
            </w:r>
            <w:r>
              <w:rPr>
                <w:sz w:val="19"/>
              </w:rPr>
              <w:noBreakHyphen/>
              <w:t>7</w:t>
            </w:r>
          </w:p>
        </w:tc>
        <w:tc>
          <w:tcPr>
            <w:tcW w:w="2694" w:type="dxa"/>
          </w:tcPr>
          <w:p>
            <w:pPr>
              <w:pStyle w:val="nTable"/>
              <w:spacing w:after="40"/>
              <w:rPr>
                <w:sz w:val="19"/>
              </w:rPr>
            </w:pPr>
            <w:r>
              <w:rPr>
                <w:sz w:val="19"/>
              </w:rPr>
              <w:t>r. 1 and 2: 18 Mar 2008 (see r. 2(a));</w:t>
            </w:r>
            <w:r>
              <w:rPr>
                <w:sz w:val="19"/>
              </w:rPr>
              <w:br/>
              <w:t>Regulations other than r. 1 and 2: 19 Mar 2008 (see r. 2(b))</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Emergency Management Regulations 2006</w:t>
            </w:r>
            <w:r>
              <w:rPr>
                <w:b/>
                <w:bCs/>
                <w:sz w:val="19"/>
              </w:rPr>
              <w:t xml:space="preserve"> as at 18 Apr 2008</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Emergency Management Amendment Regulations (No. 2) 2008</w:t>
            </w:r>
          </w:p>
        </w:tc>
        <w:tc>
          <w:tcPr>
            <w:tcW w:w="1276" w:type="dxa"/>
          </w:tcPr>
          <w:p>
            <w:pPr>
              <w:pStyle w:val="nTable"/>
              <w:spacing w:after="40"/>
              <w:rPr>
                <w:sz w:val="19"/>
              </w:rPr>
            </w:pPr>
            <w:r>
              <w:rPr>
                <w:sz w:val="19"/>
              </w:rPr>
              <w:t>29 Apr 2008 p. 1577</w:t>
            </w:r>
            <w:r>
              <w:rPr>
                <w:sz w:val="19"/>
              </w:rPr>
              <w:noBreakHyphen/>
              <w:t>8</w:t>
            </w:r>
          </w:p>
        </w:tc>
        <w:tc>
          <w:tcPr>
            <w:tcW w:w="2694" w:type="dxa"/>
          </w:tcPr>
          <w:p>
            <w:pPr>
              <w:pStyle w:val="nTable"/>
              <w:spacing w:after="40"/>
              <w:rPr>
                <w:sz w:val="19"/>
              </w:rPr>
            </w:pPr>
            <w:r>
              <w:rPr>
                <w:sz w:val="19"/>
              </w:rPr>
              <w:t>r. 1 and 2: 29 Apr 2008 (see r. 2(a));</w:t>
            </w:r>
            <w:r>
              <w:rPr>
                <w:sz w:val="19"/>
              </w:rPr>
              <w:br/>
              <w:t>Regulations other than r. 1 and 2: 30 Apr 2008 (see r. 2(b))</w:t>
            </w:r>
          </w:p>
        </w:tc>
      </w:tr>
      <w:tr>
        <w:tc>
          <w:tcPr>
            <w:tcW w:w="3118" w:type="dxa"/>
          </w:tcPr>
          <w:p>
            <w:pPr>
              <w:pStyle w:val="nTable"/>
              <w:spacing w:after="40"/>
              <w:rPr>
                <w:i/>
                <w:noProof/>
                <w:snapToGrid w:val="0"/>
                <w:sz w:val="19"/>
              </w:rPr>
            </w:pPr>
            <w:r>
              <w:rPr>
                <w:i/>
                <w:noProof/>
                <w:snapToGrid w:val="0"/>
                <w:sz w:val="19"/>
              </w:rPr>
              <w:t>Emergency Management Amendment Regulations (No. 3) 2008</w:t>
            </w:r>
          </w:p>
        </w:tc>
        <w:tc>
          <w:tcPr>
            <w:tcW w:w="1276" w:type="dxa"/>
          </w:tcPr>
          <w:p>
            <w:pPr>
              <w:pStyle w:val="nTable"/>
              <w:spacing w:after="40"/>
              <w:rPr>
                <w:sz w:val="19"/>
              </w:rPr>
            </w:pPr>
            <w:r>
              <w:rPr>
                <w:sz w:val="19"/>
              </w:rPr>
              <w:t>13 Jan 2009 p. 55</w:t>
            </w:r>
            <w:r>
              <w:rPr>
                <w:sz w:val="19"/>
              </w:rPr>
              <w:noBreakHyphen/>
              <w:t>7</w:t>
            </w:r>
          </w:p>
        </w:tc>
        <w:tc>
          <w:tcPr>
            <w:tcW w:w="2694" w:type="dxa"/>
          </w:tcPr>
          <w:p>
            <w:pPr>
              <w:pStyle w:val="nTable"/>
              <w:spacing w:after="40"/>
              <w:rPr>
                <w:sz w:val="19"/>
              </w:rPr>
            </w:pPr>
            <w:r>
              <w:rPr>
                <w:snapToGrid w:val="0"/>
                <w:sz w:val="19"/>
              </w:rPr>
              <w:t>r. 1 and 2: 13 Jan 2009 (see r. 2(a));</w:t>
            </w:r>
            <w:r>
              <w:rPr>
                <w:snapToGrid w:val="0"/>
                <w:sz w:val="19"/>
              </w:rPr>
              <w:br/>
              <w:t>Regulations other than r. 1 and 2: 14 Jan 2009 (see r. 2(b))</w:t>
            </w:r>
          </w:p>
        </w:tc>
      </w:tr>
      <w:tr>
        <w:tc>
          <w:tcPr>
            <w:tcW w:w="3118" w:type="dxa"/>
          </w:tcPr>
          <w:p>
            <w:pPr>
              <w:pStyle w:val="nTable"/>
              <w:spacing w:after="40"/>
              <w:rPr>
                <w:i/>
                <w:noProof/>
                <w:snapToGrid w:val="0"/>
                <w:sz w:val="19"/>
              </w:rPr>
            </w:pPr>
            <w:r>
              <w:rPr>
                <w:i/>
                <w:noProof/>
                <w:snapToGrid w:val="0"/>
                <w:sz w:val="19"/>
              </w:rPr>
              <w:t>Emergency Management Amendment Regulations (No. 2) 2009</w:t>
            </w:r>
          </w:p>
        </w:tc>
        <w:tc>
          <w:tcPr>
            <w:tcW w:w="1276" w:type="dxa"/>
          </w:tcPr>
          <w:p>
            <w:pPr>
              <w:pStyle w:val="nTable"/>
              <w:spacing w:after="40"/>
              <w:rPr>
                <w:sz w:val="19"/>
              </w:rPr>
            </w:pPr>
            <w:r>
              <w:rPr>
                <w:sz w:val="19"/>
              </w:rPr>
              <w:t>19 Feb 2010 p. 661</w:t>
            </w:r>
            <w:r>
              <w:rPr>
                <w:sz w:val="19"/>
              </w:rPr>
              <w:noBreakHyphen/>
              <w:t>2</w:t>
            </w:r>
          </w:p>
        </w:tc>
        <w:tc>
          <w:tcPr>
            <w:tcW w:w="2694" w:type="dxa"/>
          </w:tcPr>
          <w:p>
            <w:pPr>
              <w:pStyle w:val="nTable"/>
              <w:spacing w:after="40"/>
              <w:rPr>
                <w:snapToGrid w:val="0"/>
                <w:sz w:val="19"/>
              </w:rPr>
            </w:pPr>
            <w:r>
              <w:rPr>
                <w:snapToGrid w:val="0"/>
                <w:sz w:val="19"/>
              </w:rPr>
              <w:t>r. 1 and 2: 19 Feb 2010 (see r. 2(a));</w:t>
            </w:r>
            <w:r>
              <w:rPr>
                <w:snapToGrid w:val="0"/>
                <w:sz w:val="19"/>
              </w:rPr>
              <w:br/>
              <w:t>Regulations other than r. 1 and 2: 20 Feb 2010 (see r. 2(b))</w:t>
            </w:r>
          </w:p>
        </w:tc>
      </w:tr>
      <w:tr>
        <w:tc>
          <w:tcPr>
            <w:tcW w:w="3118" w:type="dxa"/>
          </w:tcPr>
          <w:p>
            <w:pPr>
              <w:pStyle w:val="nTable"/>
              <w:spacing w:after="40"/>
              <w:rPr>
                <w:i/>
                <w:noProof/>
                <w:snapToGrid w:val="0"/>
                <w:sz w:val="19"/>
              </w:rPr>
            </w:pPr>
            <w:r>
              <w:rPr>
                <w:i/>
                <w:noProof/>
                <w:snapToGrid w:val="0"/>
                <w:sz w:val="19"/>
              </w:rPr>
              <w:t>Emergency Management Amendment Regulations 2010</w:t>
            </w:r>
          </w:p>
        </w:tc>
        <w:tc>
          <w:tcPr>
            <w:tcW w:w="1276" w:type="dxa"/>
          </w:tcPr>
          <w:p>
            <w:pPr>
              <w:pStyle w:val="nTable"/>
              <w:spacing w:after="40"/>
              <w:rPr>
                <w:sz w:val="19"/>
              </w:rPr>
            </w:pPr>
            <w:r>
              <w:rPr>
                <w:sz w:val="19"/>
              </w:rPr>
              <w:t>10 Sep 2010 p. 4344</w:t>
            </w:r>
            <w:r>
              <w:rPr>
                <w:sz w:val="19"/>
              </w:rPr>
              <w:noBreakHyphen/>
              <w:t>6</w:t>
            </w:r>
          </w:p>
        </w:tc>
        <w:tc>
          <w:tcPr>
            <w:tcW w:w="2694"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c>
          <w:tcPr>
            <w:tcW w:w="3118" w:type="dxa"/>
          </w:tcPr>
          <w:p>
            <w:pPr>
              <w:pStyle w:val="nTable"/>
              <w:spacing w:after="40"/>
              <w:rPr>
                <w:i/>
                <w:noProof/>
                <w:snapToGrid w:val="0"/>
                <w:sz w:val="19"/>
              </w:rPr>
            </w:pPr>
            <w:r>
              <w:rPr>
                <w:i/>
                <w:noProof/>
                <w:snapToGrid w:val="0"/>
                <w:sz w:val="19"/>
              </w:rPr>
              <w:t>Emergency Management Amendment Regulations (No. 2) 2010</w:t>
            </w:r>
          </w:p>
        </w:tc>
        <w:tc>
          <w:tcPr>
            <w:tcW w:w="1276" w:type="dxa"/>
          </w:tcPr>
          <w:p>
            <w:pPr>
              <w:pStyle w:val="nTable"/>
              <w:spacing w:after="40"/>
              <w:rPr>
                <w:sz w:val="19"/>
              </w:rPr>
            </w:pPr>
            <w:r>
              <w:rPr>
                <w:sz w:val="19"/>
              </w:rPr>
              <w:t>3 Dec 2010 p. 6055</w:t>
            </w:r>
            <w:r>
              <w:rPr>
                <w:sz w:val="19"/>
              </w:rPr>
              <w:noBreakHyphen/>
              <w:t>6</w:t>
            </w:r>
          </w:p>
        </w:tc>
        <w:tc>
          <w:tcPr>
            <w:tcW w:w="2694" w:type="dxa"/>
          </w:tcPr>
          <w:p>
            <w:pPr>
              <w:pStyle w:val="nTable"/>
              <w:spacing w:after="40"/>
              <w:rPr>
                <w:snapToGrid w:val="0"/>
                <w:sz w:val="19"/>
              </w:rPr>
            </w:pPr>
            <w:r>
              <w:rPr>
                <w:snapToGrid w:val="0"/>
                <w:sz w:val="19"/>
              </w:rPr>
              <w:t>r. 1 and 2: 3 Dec 2010 (see r. 2(a));</w:t>
            </w:r>
            <w:r>
              <w:rPr>
                <w:snapToGrid w:val="0"/>
                <w:sz w:val="19"/>
              </w:rPr>
              <w:br/>
              <w:t>Regulations other than r. 1 and 2: 4 Dec 2010 (see r. 2(b))</w:t>
            </w:r>
          </w:p>
        </w:tc>
      </w:tr>
      <w:tr>
        <w:trPr>
          <w:cantSplit/>
        </w:trPr>
        <w:tc>
          <w:tcPr>
            <w:tcW w:w="3118" w:type="dxa"/>
            <w:shd w:val="clear" w:color="auto" w:fill="auto"/>
          </w:tcPr>
          <w:p>
            <w:pPr>
              <w:pStyle w:val="nTable"/>
              <w:spacing w:after="40"/>
              <w:rPr>
                <w:i/>
                <w:noProof/>
                <w:snapToGrid w:val="0"/>
                <w:sz w:val="19"/>
              </w:rPr>
            </w:pPr>
            <w:r>
              <w:rPr>
                <w:i/>
                <w:noProof/>
                <w:snapToGrid w:val="0"/>
                <w:sz w:val="19"/>
              </w:rPr>
              <w:t>Emergency Management Amendment Regulations (No. 3) 2010</w:t>
            </w:r>
          </w:p>
        </w:tc>
        <w:tc>
          <w:tcPr>
            <w:tcW w:w="1276" w:type="dxa"/>
            <w:shd w:val="clear" w:color="auto" w:fill="auto"/>
          </w:tcPr>
          <w:p>
            <w:pPr>
              <w:pStyle w:val="nTable"/>
              <w:spacing w:after="40"/>
              <w:rPr>
                <w:sz w:val="19"/>
              </w:rPr>
            </w:pPr>
            <w:r>
              <w:rPr>
                <w:sz w:val="19"/>
              </w:rPr>
              <w:t>3 Dec 2010 p. 6056</w:t>
            </w:r>
            <w:r>
              <w:rPr>
                <w:sz w:val="19"/>
              </w:rPr>
              <w:noBreakHyphen/>
              <w:t>7</w:t>
            </w:r>
          </w:p>
        </w:tc>
        <w:tc>
          <w:tcPr>
            <w:tcW w:w="2694" w:type="dxa"/>
            <w:shd w:val="clear" w:color="auto" w:fill="auto"/>
          </w:tcPr>
          <w:p>
            <w:pPr>
              <w:pStyle w:val="nTable"/>
              <w:spacing w:after="40"/>
              <w:rPr>
                <w:snapToGrid w:val="0"/>
                <w:sz w:val="19"/>
              </w:rPr>
            </w:pPr>
            <w:r>
              <w:rPr>
                <w:snapToGrid w:val="0"/>
                <w:sz w:val="19"/>
              </w:rPr>
              <w:t>r. 1 and 2: 3 Dec 2010 (see r. 2(a));</w:t>
            </w:r>
            <w:r>
              <w:rPr>
                <w:snapToGrid w:val="0"/>
                <w:sz w:val="19"/>
              </w:rPr>
              <w:br/>
              <w:t>Regulations other than r. 1 and 2: 4 Dec 2010 (see r. 2(b))</w:t>
            </w:r>
          </w:p>
        </w:tc>
      </w:tr>
      <w:tr>
        <w:tc>
          <w:tcPr>
            <w:tcW w:w="7088" w:type="dxa"/>
            <w:gridSpan w:val="3"/>
            <w:shd w:val="clear" w:color="auto" w:fill="auto"/>
          </w:tcPr>
          <w:p>
            <w:pPr>
              <w:pStyle w:val="nTable"/>
              <w:spacing w:after="40"/>
              <w:rPr>
                <w:snapToGrid w:val="0"/>
                <w:spacing w:val="-2"/>
                <w:sz w:val="19"/>
              </w:rPr>
            </w:pPr>
            <w:r>
              <w:rPr>
                <w:b/>
                <w:bCs/>
                <w:sz w:val="19"/>
              </w:rPr>
              <w:t xml:space="preserve">Reprint 2:  The </w:t>
            </w:r>
            <w:r>
              <w:rPr>
                <w:b/>
                <w:bCs/>
                <w:i/>
                <w:noProof/>
                <w:snapToGrid w:val="0"/>
                <w:sz w:val="19"/>
              </w:rPr>
              <w:t>Emergency Management Regulations 2006</w:t>
            </w:r>
            <w:r>
              <w:rPr>
                <w:b/>
                <w:bCs/>
                <w:sz w:val="19"/>
              </w:rPr>
              <w:t xml:space="preserve"> as at 1 Apr 2011</w:t>
            </w:r>
            <w:r>
              <w:rPr>
                <w:sz w:val="19"/>
              </w:rPr>
              <w:t xml:space="preserve"> (includes amendments listed above)</w:t>
            </w:r>
          </w:p>
        </w:tc>
      </w:tr>
      <w:tr>
        <w:trPr>
          <w:cantSplit/>
        </w:trPr>
        <w:tc>
          <w:tcPr>
            <w:tcW w:w="3118" w:type="dxa"/>
            <w:shd w:val="clear" w:color="auto" w:fill="auto"/>
          </w:tcPr>
          <w:p>
            <w:pPr>
              <w:pStyle w:val="nTable"/>
              <w:spacing w:after="40"/>
              <w:rPr>
                <w:i/>
                <w:noProof/>
                <w:snapToGrid w:val="0"/>
                <w:sz w:val="19"/>
              </w:rPr>
            </w:pPr>
            <w:r>
              <w:rPr>
                <w:i/>
                <w:noProof/>
                <w:snapToGrid w:val="0"/>
                <w:sz w:val="19"/>
              </w:rPr>
              <w:t>Emergency Management Amendment Regulations 2011</w:t>
            </w:r>
          </w:p>
        </w:tc>
        <w:tc>
          <w:tcPr>
            <w:tcW w:w="1276" w:type="dxa"/>
            <w:shd w:val="clear" w:color="auto" w:fill="auto"/>
          </w:tcPr>
          <w:p>
            <w:pPr>
              <w:pStyle w:val="nTable"/>
              <w:spacing w:after="40"/>
              <w:rPr>
                <w:sz w:val="19"/>
              </w:rPr>
            </w:pPr>
            <w:r>
              <w:rPr>
                <w:sz w:val="19"/>
              </w:rPr>
              <w:t>19 Jul 2011 p. 2985</w:t>
            </w:r>
            <w:r>
              <w:rPr>
                <w:sz w:val="19"/>
              </w:rPr>
              <w:noBreakHyphen/>
              <w:t>6</w:t>
            </w:r>
          </w:p>
        </w:tc>
        <w:tc>
          <w:tcPr>
            <w:tcW w:w="2694" w:type="dxa"/>
            <w:shd w:val="clear" w:color="auto" w:fill="auto"/>
          </w:tcPr>
          <w:p>
            <w:pPr>
              <w:pStyle w:val="nTable"/>
              <w:spacing w:after="40"/>
              <w:rPr>
                <w:snapToGrid w:val="0"/>
                <w:sz w:val="19"/>
              </w:rPr>
            </w:pPr>
            <w:r>
              <w:rPr>
                <w:snapToGrid w:val="0"/>
                <w:sz w:val="19"/>
              </w:rPr>
              <w:t>r. 1 and 2: 19 Jul 2011 (see r. 2(a));</w:t>
            </w:r>
            <w:r>
              <w:rPr>
                <w:snapToGrid w:val="0"/>
                <w:sz w:val="19"/>
              </w:rPr>
              <w:br/>
              <w:t>Regulations other than r. 1 and 2: 20 Jul 2011 (see r. 2(b))</w:t>
            </w:r>
          </w:p>
        </w:tc>
      </w:tr>
      <w:tr>
        <w:trPr>
          <w:cantSplit/>
        </w:trPr>
        <w:tc>
          <w:tcPr>
            <w:tcW w:w="3118" w:type="dxa"/>
            <w:shd w:val="clear" w:color="auto" w:fill="auto"/>
          </w:tcPr>
          <w:p>
            <w:pPr>
              <w:pStyle w:val="nTable"/>
              <w:spacing w:after="40"/>
              <w:rPr>
                <w:i/>
                <w:noProof/>
                <w:snapToGrid w:val="0"/>
                <w:sz w:val="19"/>
              </w:rPr>
            </w:pPr>
            <w:r>
              <w:rPr>
                <w:i/>
                <w:noProof/>
                <w:snapToGrid w:val="0"/>
                <w:sz w:val="19"/>
              </w:rPr>
              <w:t>Emergency Management Amendment Regulations 2012</w:t>
            </w:r>
          </w:p>
        </w:tc>
        <w:tc>
          <w:tcPr>
            <w:tcW w:w="1276" w:type="dxa"/>
            <w:shd w:val="clear" w:color="auto" w:fill="auto"/>
          </w:tcPr>
          <w:p>
            <w:pPr>
              <w:pStyle w:val="nTable"/>
              <w:spacing w:after="40"/>
              <w:rPr>
                <w:sz w:val="19"/>
              </w:rPr>
            </w:pPr>
            <w:r>
              <w:rPr>
                <w:sz w:val="19"/>
              </w:rPr>
              <w:t>13 Mar 2012 p. 1034-5</w:t>
            </w:r>
          </w:p>
        </w:tc>
        <w:tc>
          <w:tcPr>
            <w:tcW w:w="2694" w:type="dxa"/>
            <w:shd w:val="clear" w:color="auto" w:fill="auto"/>
          </w:tcPr>
          <w:p>
            <w:pPr>
              <w:pStyle w:val="nTable"/>
              <w:spacing w:after="40"/>
              <w:rPr>
                <w:snapToGrid w:val="0"/>
                <w:sz w:val="19"/>
              </w:rPr>
            </w:pPr>
            <w:r>
              <w:rPr>
                <w:snapToGrid w:val="0"/>
                <w:sz w:val="19"/>
              </w:rPr>
              <w:t>r. 1 and 2: 13 Mar 2012 (see r. 2(a));</w:t>
            </w:r>
            <w:r>
              <w:rPr>
                <w:snapToGrid w:val="0"/>
                <w:sz w:val="19"/>
              </w:rPr>
              <w:br/>
              <w:t>Regulations other than r. 1 and 2: 14 Mar 2012 (see r. 2(b))</w:t>
            </w:r>
          </w:p>
        </w:tc>
      </w:tr>
      <w:tr>
        <w:trPr>
          <w:cantSplit/>
        </w:trPr>
        <w:tc>
          <w:tcPr>
            <w:tcW w:w="3118" w:type="dxa"/>
            <w:shd w:val="clear" w:color="auto" w:fill="auto"/>
          </w:tcPr>
          <w:p>
            <w:pPr>
              <w:pStyle w:val="nTable"/>
              <w:spacing w:after="40"/>
              <w:rPr>
                <w:i/>
                <w:noProof/>
                <w:snapToGrid w:val="0"/>
                <w:sz w:val="19"/>
              </w:rPr>
            </w:pPr>
            <w:r>
              <w:rPr>
                <w:i/>
                <w:sz w:val="19"/>
              </w:rPr>
              <w:t>Emergency Management Amendment Regulations (No. 2) 2012</w:t>
            </w:r>
          </w:p>
        </w:tc>
        <w:tc>
          <w:tcPr>
            <w:tcW w:w="1276" w:type="dxa"/>
            <w:shd w:val="clear" w:color="auto" w:fill="auto"/>
          </w:tcPr>
          <w:p>
            <w:pPr>
              <w:pStyle w:val="nTable"/>
              <w:spacing w:after="40"/>
              <w:rPr>
                <w:sz w:val="19"/>
              </w:rPr>
            </w:pPr>
            <w:r>
              <w:rPr>
                <w:sz w:val="19"/>
              </w:rPr>
              <w:t>31 Oct 2012 p. 5253</w:t>
            </w:r>
            <w:r>
              <w:rPr>
                <w:sz w:val="19"/>
              </w:rPr>
              <w:noBreakHyphen/>
              <w:t>4</w:t>
            </w:r>
          </w:p>
        </w:tc>
        <w:tc>
          <w:tcPr>
            <w:tcW w:w="2694" w:type="dxa"/>
            <w:shd w:val="clear" w:color="auto" w:fill="auto"/>
          </w:tcPr>
          <w:p>
            <w:pPr>
              <w:pStyle w:val="nTable"/>
              <w:spacing w:after="40"/>
              <w:rPr>
                <w:snapToGrid w:val="0"/>
                <w:sz w:val="19"/>
              </w:rPr>
            </w:pPr>
            <w:r>
              <w:rPr>
                <w:rFonts w:ascii="Times" w:hAnsi="Times"/>
                <w:snapToGrid w:val="0"/>
                <w:sz w:val="19"/>
              </w:rPr>
              <w:t>r. 1 and 2: 31 Oct 2012 (see r. 2(a));</w:t>
            </w:r>
            <w:r>
              <w:rPr>
                <w:rFonts w:ascii="Times" w:hAnsi="Times"/>
                <w:snapToGrid w:val="0"/>
                <w:sz w:val="19"/>
              </w:rPr>
              <w:br/>
              <w:t xml:space="preserve">Regulations other than r. 1 and 2: 1 Nov 2012 (see r. 2(b) and </w:t>
            </w:r>
            <w:r>
              <w:rPr>
                <w:rFonts w:ascii="Times" w:hAnsi="Times"/>
                <w:i/>
                <w:snapToGrid w:val="0"/>
                <w:sz w:val="19"/>
              </w:rPr>
              <w:t>Gazette</w:t>
            </w:r>
            <w:r>
              <w:rPr>
                <w:rFonts w:ascii="Times" w:hAnsi="Times"/>
                <w:snapToGrid w:val="0"/>
                <w:sz w:val="19"/>
              </w:rPr>
              <w:t xml:space="preserve"> 31 Oct 2012 p. 5255)</w:t>
            </w:r>
          </w:p>
        </w:tc>
      </w:tr>
      <w:tr>
        <w:trPr>
          <w:cantSplit/>
        </w:trPr>
        <w:tc>
          <w:tcPr>
            <w:tcW w:w="3118" w:type="dxa"/>
            <w:shd w:val="clear" w:color="auto" w:fill="auto"/>
          </w:tcPr>
          <w:p>
            <w:pPr>
              <w:pStyle w:val="nTable"/>
              <w:spacing w:after="40"/>
              <w:rPr>
                <w:i/>
                <w:sz w:val="19"/>
              </w:rPr>
            </w:pPr>
            <w:r>
              <w:rPr>
                <w:i/>
                <w:sz w:val="19"/>
              </w:rPr>
              <w:t>Emergency Management Amendment Regulations (No. 3) 2012</w:t>
            </w:r>
          </w:p>
        </w:tc>
        <w:tc>
          <w:tcPr>
            <w:tcW w:w="1276" w:type="dxa"/>
            <w:shd w:val="clear" w:color="auto" w:fill="auto"/>
          </w:tcPr>
          <w:p>
            <w:pPr>
              <w:pStyle w:val="nTable"/>
              <w:spacing w:after="40"/>
              <w:rPr>
                <w:sz w:val="19"/>
              </w:rPr>
            </w:pPr>
            <w:r>
              <w:rPr>
                <w:sz w:val="19"/>
              </w:rPr>
              <w:t>29 Jan 2013 p. 329-32</w:t>
            </w:r>
          </w:p>
        </w:tc>
        <w:tc>
          <w:tcPr>
            <w:tcW w:w="2694" w:type="dxa"/>
            <w:shd w:val="clear" w:color="auto" w:fill="auto"/>
          </w:tcPr>
          <w:p>
            <w:pPr>
              <w:pStyle w:val="nTable"/>
              <w:spacing w:after="40"/>
              <w:rPr>
                <w:rFonts w:ascii="Times" w:hAnsi="Times"/>
                <w:snapToGrid w:val="0"/>
                <w:sz w:val="19"/>
              </w:rPr>
            </w:pPr>
            <w:r>
              <w:rPr>
                <w:rFonts w:ascii="Times" w:hAnsi="Times"/>
                <w:snapToGrid w:val="0"/>
                <w:sz w:val="19"/>
              </w:rPr>
              <w:t>r. 1 and 2: 29 Jan 2013 (see r. 2(a));</w:t>
            </w:r>
            <w:r>
              <w:rPr>
                <w:rFonts w:ascii="Times" w:hAnsi="Times"/>
                <w:snapToGrid w:val="0"/>
                <w:sz w:val="19"/>
              </w:rPr>
              <w:br/>
              <w:t>Regulations other than r. 1 and 2: 30 Jan 2013 (see r. 2(b))</w:t>
            </w:r>
          </w:p>
        </w:tc>
      </w:tr>
      <w:tr>
        <w:trPr>
          <w:cantSplit/>
        </w:trPr>
        <w:tc>
          <w:tcPr>
            <w:tcW w:w="3118" w:type="dxa"/>
            <w:shd w:val="clear" w:color="auto" w:fill="auto"/>
          </w:tcPr>
          <w:p>
            <w:pPr>
              <w:pStyle w:val="nTable"/>
              <w:spacing w:after="40"/>
              <w:rPr>
                <w:i/>
                <w:sz w:val="19"/>
              </w:rPr>
            </w:pPr>
            <w:r>
              <w:rPr>
                <w:i/>
                <w:sz w:val="19"/>
              </w:rPr>
              <w:t>Emergency Management Amendment Regulations 2013</w:t>
            </w:r>
          </w:p>
        </w:tc>
        <w:tc>
          <w:tcPr>
            <w:tcW w:w="1276" w:type="dxa"/>
            <w:shd w:val="clear" w:color="auto" w:fill="auto"/>
          </w:tcPr>
          <w:p>
            <w:pPr>
              <w:pStyle w:val="nTable"/>
              <w:spacing w:after="40"/>
              <w:rPr>
                <w:sz w:val="19"/>
              </w:rPr>
            </w:pPr>
            <w:r>
              <w:rPr>
                <w:sz w:val="19"/>
              </w:rPr>
              <w:t>15 Oct 2013 p. 4673-4</w:t>
            </w:r>
          </w:p>
        </w:tc>
        <w:tc>
          <w:tcPr>
            <w:tcW w:w="2694" w:type="dxa"/>
            <w:shd w:val="clear" w:color="auto" w:fill="auto"/>
          </w:tcPr>
          <w:p>
            <w:pPr>
              <w:pStyle w:val="nTable"/>
              <w:spacing w:after="40"/>
              <w:rPr>
                <w:rFonts w:ascii="Times" w:hAnsi="Times"/>
                <w:snapToGrid w:val="0"/>
                <w:sz w:val="19"/>
              </w:rPr>
            </w:pPr>
            <w:r>
              <w:rPr>
                <w:rFonts w:ascii="Times" w:hAnsi="Times"/>
                <w:snapToGrid w:val="0"/>
                <w:sz w:val="19"/>
              </w:rPr>
              <w:t>r. 1 and 2: 15 Oct 2013 (see r. 2(a));</w:t>
            </w:r>
            <w:r>
              <w:rPr>
                <w:rFonts w:ascii="Times" w:hAnsi="Times"/>
                <w:snapToGrid w:val="0"/>
                <w:sz w:val="19"/>
              </w:rPr>
              <w:br/>
              <w:t>Regulations other than r. 1 and 2: 16 Oct 2013 (see r. 2(b))</w:t>
            </w:r>
          </w:p>
        </w:tc>
      </w:tr>
      <w:tr>
        <w:trPr>
          <w:cantSplit/>
        </w:trPr>
        <w:tc>
          <w:tcPr>
            <w:tcW w:w="7088" w:type="dxa"/>
            <w:gridSpan w:val="3"/>
            <w:tcBorders>
              <w:bottom w:val="single" w:sz="8" w:space="0" w:color="auto"/>
            </w:tcBorders>
            <w:shd w:val="clear" w:color="auto" w:fill="auto"/>
          </w:tcPr>
          <w:p>
            <w:pPr>
              <w:pStyle w:val="nTable"/>
              <w:spacing w:after="40"/>
              <w:rPr>
                <w:rFonts w:ascii="Times" w:hAnsi="Times"/>
                <w:snapToGrid w:val="0"/>
                <w:spacing w:val="-2"/>
                <w:sz w:val="19"/>
              </w:rPr>
            </w:pPr>
            <w:r>
              <w:rPr>
                <w:b/>
                <w:bCs/>
                <w:sz w:val="19"/>
              </w:rPr>
              <w:t xml:space="preserve">Reprint 3:  The </w:t>
            </w:r>
            <w:r>
              <w:rPr>
                <w:b/>
                <w:bCs/>
                <w:i/>
                <w:noProof/>
                <w:snapToGrid w:val="0"/>
                <w:sz w:val="19"/>
              </w:rPr>
              <w:t>Emergency Management Regulations 2006</w:t>
            </w:r>
            <w:r>
              <w:rPr>
                <w:b/>
                <w:bCs/>
                <w:sz w:val="19"/>
              </w:rPr>
              <w:t xml:space="preserve"> as at 7 Mar 2014</w:t>
            </w:r>
            <w:r>
              <w:rPr>
                <w:sz w:val="19"/>
              </w:rPr>
              <w:t xml:space="preserve"> (includes amendments listed above)</w:t>
            </w:r>
          </w:p>
        </w:tc>
      </w:tr>
    </w:tbl>
    <w:p>
      <w:pPr>
        <w:pStyle w:val="nSubsection"/>
      </w:pPr>
      <w:r>
        <w:rPr>
          <w:vertAlign w:val="superscript"/>
        </w:rPr>
        <w:t>2</w:t>
      </w:r>
      <w:r>
        <w:tab/>
        <w:t xml:space="preserve">Under the </w:t>
      </w:r>
      <w:r>
        <w:rPr>
          <w:i/>
        </w:rPr>
        <w:t>Alteration of Statutory Designations Order (No. 2) 2013</w:t>
      </w:r>
      <w:r>
        <w:t xml:space="preserve"> a reference in any law to the Department of Environment and Conservation is to be read and construed as a reference to the Department of Parks and Wildlife.</w:t>
      </w:r>
    </w:p>
    <w:p>
      <w:pPr>
        <w:pStyle w:val="nSubsection"/>
      </w:pPr>
      <w:r>
        <w:rPr>
          <w:vertAlign w:val="superscript"/>
        </w:rPr>
        <w:t>3</w:t>
      </w:r>
      <w:r>
        <w:tab/>
        <w:t xml:space="preserve">Under the </w:t>
      </w:r>
      <w:r>
        <w:rPr>
          <w:i/>
        </w:rPr>
        <w:t>Alteration of Statutory Designations Order (No. 5) 2013</w:t>
      </w:r>
      <w:r>
        <w:t xml:space="preserve"> a reference in any law to the Department of Child Protection is to be read and construed as a reference to the Department of Child Protection and Family Support.</w:t>
      </w: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43" w:name="_Toc34528225"/>
      <w:r>
        <w:rPr>
          <w:sz w:val="28"/>
        </w:rPr>
        <w:t>Defined terms</w:t>
      </w:r>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 w:name="DefinedTerms"/>
      <w:bookmarkEnd w:id="44"/>
      <w:r>
        <w:t>Agriculture Director General</w:t>
      </w:r>
      <w:r>
        <w:tab/>
        <w:t>19(1)</w:t>
      </w:r>
    </w:p>
    <w:p>
      <w:pPr>
        <w:pStyle w:val="DefinedTerms"/>
      </w:pPr>
      <w:r>
        <w:t>corridor land</w:t>
      </w:r>
      <w:r>
        <w:tab/>
        <w:t>14</w:t>
      </w:r>
    </w:p>
    <w:p>
      <w:pPr>
        <w:pStyle w:val="DefinedTerms"/>
      </w:pPr>
      <w:r>
        <w:t>FES Commissioner</w:t>
      </w:r>
      <w:r>
        <w:tab/>
        <w:t>17(1)</w:t>
      </w:r>
    </w:p>
    <w:p>
      <w:pPr>
        <w:pStyle w:val="DefinedTerms"/>
      </w:pPr>
      <w:r>
        <w:t>Public Transport Authority</w:t>
      </w:r>
      <w:r>
        <w:tab/>
        <w:t>20(1)</w:t>
      </w:r>
    </w:p>
    <w:p>
      <w:pPr>
        <w:pStyle w:val="DefinedTerms"/>
      </w:pPr>
      <w:r>
        <w:t>railway infrastructure</w:t>
      </w:r>
      <w:r>
        <w:tab/>
        <w:t>14</w:t>
      </w:r>
    </w:p>
    <w:p>
      <w:pPr>
        <w:pStyle w:val="DefinedTerms"/>
      </w:pPr>
      <w:r>
        <w:t>ship</w:t>
      </w:r>
      <w:r>
        <w:tab/>
        <w:t>14</w:t>
      </w:r>
    </w:p>
    <w:p>
      <w:pPr>
        <w:pStyle w:val="DefinedTerms"/>
      </w:pPr>
      <w:r>
        <w:t>waters of the State</w:t>
      </w:r>
      <w:r>
        <w:tab/>
        <w:t>23A(1)</w:t>
      </w:r>
    </w:p>
    <w:p>
      <w:pPr>
        <w:pStyle w:val="DefinedTerms"/>
      </w:pPr>
    </w:p>
    <w:p/>
    <w:p/>
    <w:p/>
    <w:p/>
    <w:p/>
    <w:p/>
    <w:p/>
    <w:p/>
    <w:p/>
    <w:p/>
    <w:p/>
    <w:p/>
    <w:p/>
    <w:p/>
    <w:p/>
    <w:p/>
    <w:p/>
    <w:p/>
    <w:p/>
    <w:p/>
    <w:p>
      <w:pPr>
        <w:spacing w:before="120"/>
      </w:pPr>
    </w:p>
    <w:p/>
    <w:p/>
    <w:p/>
    <w:p/>
    <w:p>
      <w:pPr>
        <w:sectPr>
          <w:headerReference w:type="even" r:id="rId34"/>
          <w:headerReference w:type="default" r:id="rId35"/>
          <w:footerReference w:type="even" r:id="rId36"/>
          <w:footerReference w:type="default" r:id="rId37"/>
          <w:headerReference w:type="first" r:id="rId38"/>
          <w:footerReference w:type="first" r:id="rId39"/>
          <w:endnotePr>
            <w:numFmt w:val="decimal"/>
          </w:endnotePr>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20</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9134812"/>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812" w:val="RemoveTocBookmarks,RemoveLanguageTags,RemoveTrackChanges,RunningHeaders"/>
    <w:docVar w:name="WAFER_20140319134812_GUID" w:val="136c801f-cdba-40b0-bbdb-90fd6071a0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8.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png"/><Relationship Id="rId32" Type="http://schemas.openxmlformats.org/officeDocument/2006/relationships/header" Target="header10.xml"/><Relationship Id="rId37" Type="http://schemas.openxmlformats.org/officeDocument/2006/relationships/footer" Target="footer11.xml"/><Relationship Id="rId40"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footer" Target="footer10.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5EB5F-D2E6-442F-AF0E-DB67C0ADE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4517</Words>
  <Characters>21957</Characters>
  <Application>Microsoft Office Word</Application>
  <DocSecurity>0</DocSecurity>
  <Lines>731</Lines>
  <Paragraphs>413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2006 - 03-00-00</dc:title>
  <dc:subject/>
  <dc:creator/>
  <cp:keywords/>
  <dc:description/>
  <cp:lastModifiedBy>svcMRProcess</cp:lastModifiedBy>
  <cp:revision>4</cp:revision>
  <cp:lastPrinted>2014-03-14T05:00:00Z</cp:lastPrinted>
  <dcterms:created xsi:type="dcterms:W3CDTF">2020-03-07T18:49:00Z</dcterms:created>
  <dcterms:modified xsi:type="dcterms:W3CDTF">2020-03-07T18:49:00Z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20140307</vt:lpwstr>
  </property>
  <property fmtid="{D5CDD505-2E9C-101B-9397-08002B2CF9AE}" pid="4" name="OwlsUID">
    <vt:i4>38333</vt:i4>
  </property>
  <property fmtid="{D5CDD505-2E9C-101B-9397-08002B2CF9AE}" pid="5" name="AsAtDate">
    <vt:lpwstr>07 Mar 2014</vt:lpwstr>
  </property>
  <property fmtid="{D5CDD505-2E9C-101B-9397-08002B2CF9AE}" pid="6" name="Suffix">
    <vt:lpwstr>03-00-00</vt:lpwstr>
  </property>
  <property fmtid="{D5CDD505-2E9C-101B-9397-08002B2CF9AE}" pid="7" name="DocumentType">
    <vt:lpwstr>Reg</vt:lpwstr>
  </property>
  <property fmtid="{D5CDD505-2E9C-101B-9397-08002B2CF9AE}" pid="8" name="ReprintNo">
    <vt:lpwstr>3</vt:lpwstr>
  </property>
  <property fmtid="{D5CDD505-2E9C-101B-9397-08002B2CF9AE}" pid="9" name="ReprintedAsAt">
    <vt:filetime>2014-03-06T16:00:00Z</vt:filetime>
  </property>
</Properties>
</file>