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10.xml" ContentType="application/vnd.openxmlformats-officedocument.wordprocessingml.footer+xml"/>
  <Override PartName="/word/footer11.xml" ContentType="application/vnd.openxmlformats-officedocument.wordprocessingml.footer+xml"/>
  <Override PartName="/word/header17.xml" ContentType="application/vnd.openxmlformats-officedocument.wordprocessingml.header+xml"/>
  <Override PartName="/word/footer12.xml" ContentType="application/vnd.openxmlformats-officedocument.wordprocessingml.footer+xml"/>
  <Override PartName="/word/header18.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 name="Picture 4"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
        <w:spacing w:before="2600" w:after="0"/>
      </w:pPr>
      <w:r>
        <w:t>Community Protection (Offender Reporting) Act 2004</w:t>
      </w:r>
    </w:p>
    <w:p>
      <w:pPr>
        <w:pStyle w:val="NameofActRegPage1"/>
        <w:spacing w:before="120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Community Protection (Offender Reporting) Regulations 2004</w:t>
      </w:r>
      <w:r>
        <w:rPr>
          <w:sz w:val="48"/>
        </w:rPr>
        <w:fldChar w:fldCharType="end"/>
      </w:r>
    </w:p>
    <w:p>
      <w:pPr>
        <w:pStyle w:val="ReprintNo"/>
        <w:outlineLvl w:val="9"/>
      </w:pPr>
      <w:r>
        <w:t xml:space="preserve">Reprint </w:t>
      </w:r>
      <w:r>
        <w:fldChar w:fldCharType="begin"/>
      </w:r>
      <w:r>
        <w:instrText xml:space="preserve"> DOCPROPERTY "ReprintNo" </w:instrText>
      </w:r>
      <w:r>
        <w:fldChar w:fldCharType="separate"/>
      </w:r>
      <w:r>
        <w:t>3</w:t>
      </w:r>
      <w:r>
        <w:fldChar w:fldCharType="end"/>
      </w:r>
      <w:r>
        <w:t xml:space="preserve">:  The regulations as at </w:t>
      </w:r>
      <w:r>
        <w:fldChar w:fldCharType="begin"/>
      </w:r>
      <w:r>
        <w:instrText xml:space="preserve"> DOCPROPERTY "ReprintedAsAt" \@ "d MMMM yyyy" </w:instrText>
      </w:r>
      <w:r>
        <w:fldChar w:fldCharType="separate"/>
      </w:r>
      <w:r>
        <w:t>11 April 2014</w:t>
      </w:r>
      <w:r>
        <w:fldChar w:fldCharType="end"/>
      </w:r>
    </w:p>
    <w:p>
      <w:pPr>
        <w:tabs>
          <w:tab w:val="left" w:pos="567"/>
          <w:tab w:val="left" w:pos="851"/>
        </w:tabs>
        <w:ind w:left="851" w:hanging="851"/>
        <w:rPr>
          <w:b/>
          <w:sz w:val="20"/>
        </w:rPr>
      </w:pPr>
      <w:r>
        <w:rPr>
          <w:b/>
          <w:sz w:val="22"/>
        </w:rPr>
        <w:br w:type="page"/>
      </w:r>
      <w:r>
        <w:rPr>
          <w:b/>
          <w:sz w:val="20"/>
        </w:rPr>
        <w:lastRenderedPageBreak/>
        <w:tab/>
      </w:r>
      <w:r>
        <w:rPr>
          <w:b/>
          <w:sz w:val="20"/>
        </w:rPr>
        <w:tab/>
        <w:t>Guide for using this reprint</w:t>
      </w:r>
    </w:p>
    <w:p>
      <w:pPr>
        <w:tabs>
          <w:tab w:val="left" w:pos="567"/>
          <w:tab w:val="left" w:pos="851"/>
        </w:tabs>
        <w:spacing w:before="120" w:after="60"/>
        <w:ind w:left="851" w:hanging="851"/>
        <w:rPr>
          <w:b/>
          <w:i/>
          <w:sz w:val="20"/>
        </w:rPr>
      </w:pPr>
      <w:r>
        <w:rPr>
          <w:b/>
          <w:sz w:val="20"/>
        </w:rPr>
        <w:tab/>
      </w:r>
      <w:r>
        <w:rPr>
          <w:b/>
          <w:sz w:val="20"/>
        </w:rPr>
        <w:tab/>
      </w:r>
      <w:r>
        <w:rPr>
          <w:b/>
          <w:i/>
          <w:sz w:val="20"/>
        </w:rPr>
        <w:t>What the reprint includes</w:t>
      </w:r>
    </w:p>
    <w:p>
      <w:pPr>
        <w:tabs>
          <w:tab w:val="left" w:pos="567"/>
          <w:tab w:val="left" w:pos="851"/>
        </w:tabs>
        <w:ind w:left="1418" w:hanging="851"/>
        <w:rPr>
          <w:b/>
          <w:sz w:val="20"/>
        </w:rPr>
      </w:pPr>
      <w:r>
        <w:rPr>
          <w:sz w:val="20"/>
        </w:rPr>
        <w:object w:dxaOrig="6315" w:dyaOrig="5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15.75pt;height:27.75pt" o:ole="" fillcolor="window">
            <v:imagedata r:id="rId10" o:title=""/>
          </v:shape>
          <o:OLEObject Type="Embed" ProgID="Word.Picture.8" ShapeID="_x0000_i1025" DrawAspect="Content" ObjectID="_1644925962" r:id="rId11"/>
        </w:object>
      </w:r>
    </w:p>
    <w:p>
      <w:pPr>
        <w:tabs>
          <w:tab w:val="left" w:pos="567"/>
          <w:tab w:val="left" w:pos="851"/>
        </w:tabs>
        <w:spacing w:before="120"/>
        <w:ind w:left="851" w:hanging="851"/>
        <w:rPr>
          <w:b/>
          <w:i/>
          <w:sz w:val="20"/>
        </w:rPr>
      </w:pPr>
      <w:r>
        <w:rPr>
          <w:b/>
          <w:sz w:val="20"/>
        </w:rPr>
        <w:tab/>
      </w:r>
      <w:r>
        <w:rPr>
          <w:b/>
          <w:sz w:val="20"/>
        </w:rPr>
        <w:tab/>
      </w:r>
      <w:r>
        <w:rPr>
          <w:b/>
          <w:i/>
          <w:sz w:val="20"/>
        </w:rPr>
        <w:t>Endnotes, Compilation table, and Table of provisions that have not come into operation</w:t>
      </w:r>
    </w:p>
    <w:p>
      <w:pPr>
        <w:tabs>
          <w:tab w:val="left" w:pos="567"/>
          <w:tab w:val="left" w:pos="851"/>
        </w:tabs>
        <w:ind w:left="851" w:hanging="851"/>
        <w:rPr>
          <w:sz w:val="20"/>
        </w:rPr>
      </w:pPr>
      <w:r>
        <w:rPr>
          <w:sz w:val="20"/>
        </w:rPr>
        <w:tab/>
        <w:t>1.</w:t>
      </w:r>
      <w:r>
        <w:rPr>
          <w:sz w:val="20"/>
        </w:rPr>
        <w:tab/>
        <w:t>Details about the original regulations and legislation that has amended its text are shown in the Compilation table in endnote 1, at the back of the reprint.  The table also shows any previous reprint.</w:t>
      </w:r>
    </w:p>
    <w:p>
      <w:pPr>
        <w:tabs>
          <w:tab w:val="left" w:pos="567"/>
          <w:tab w:val="left" w:pos="851"/>
        </w:tabs>
        <w:spacing w:before="60"/>
        <w:ind w:left="851" w:hanging="851"/>
        <w:rPr>
          <w:sz w:val="20"/>
        </w:rPr>
      </w:pPr>
      <w:r>
        <w:rPr>
          <w:sz w:val="20"/>
        </w:rPr>
        <w:tab/>
        <w:t>2.</w:t>
      </w:r>
      <w:r>
        <w:rPr>
          <w:sz w:val="20"/>
        </w:rPr>
        <w:tab/>
        <w:t>Transitional, savings, modifying or other provisions identified in the Compilation table may be important.  The table may refer to another endnote setting out the text of these provisions in full.</w:t>
      </w:r>
    </w:p>
    <w:p>
      <w:pPr>
        <w:tabs>
          <w:tab w:val="left" w:pos="567"/>
          <w:tab w:val="left" w:pos="851"/>
        </w:tabs>
        <w:spacing w:before="60"/>
        <w:ind w:left="851" w:hanging="851"/>
        <w:rPr>
          <w:sz w:val="20"/>
        </w:rPr>
      </w:pPr>
      <w:r>
        <w:rPr>
          <w:sz w:val="20"/>
        </w:rPr>
        <w:tab/>
        <w:t>3.</w:t>
      </w:r>
      <w:r>
        <w:rPr>
          <w:sz w:val="20"/>
        </w:rPr>
        <w:tab/>
        <w:t>A table of provisions that have not come into operation, to be found in endnote 1a if it is needed, lists any provisions of the regulations being reprinted that have not come into operation and any amendments that have not come into operation.  The full text is set out in another endnote that is referred to in the table.</w:t>
      </w:r>
    </w:p>
    <w:p>
      <w:pPr>
        <w:tabs>
          <w:tab w:val="left" w:pos="567"/>
          <w:tab w:val="left" w:pos="851"/>
        </w:tabs>
        <w:spacing w:before="120"/>
        <w:ind w:left="851" w:hanging="851"/>
        <w:rPr>
          <w:b/>
          <w:i/>
          <w:sz w:val="20"/>
        </w:rPr>
      </w:pPr>
      <w:r>
        <w:rPr>
          <w:b/>
          <w:sz w:val="20"/>
        </w:rPr>
        <w:tab/>
      </w:r>
      <w:r>
        <w:rPr>
          <w:b/>
          <w:sz w:val="20"/>
        </w:rPr>
        <w:tab/>
      </w:r>
      <w:r>
        <w:rPr>
          <w:b/>
          <w:i/>
          <w:sz w:val="20"/>
        </w:rPr>
        <w:t>Notes amongst text (italicised and within square brackets)</w:t>
      </w:r>
    </w:p>
    <w:p>
      <w:pPr>
        <w:tabs>
          <w:tab w:val="left" w:pos="567"/>
          <w:tab w:val="left" w:pos="851"/>
        </w:tabs>
        <w:ind w:left="851" w:hanging="851"/>
        <w:rPr>
          <w:sz w:val="20"/>
        </w:rPr>
      </w:pPr>
      <w:r>
        <w:rPr>
          <w:sz w:val="20"/>
        </w:rPr>
        <w:tab/>
        <w:t>1.</w:t>
      </w:r>
      <w:r>
        <w:rPr>
          <w:sz w:val="20"/>
        </w:rPr>
        <w:tab/>
        <w:t>If the reprint includes a regulation that was inserted, or has been amended, since the regulations being reprinted were made, editorial notes at the foot of the regulation give some history of how the regulation came to be as it is.  If the regulation replaced an earlier regulation, no history of the earlier regulation is given (the full history of the regulations is in the Compilation table).</w:t>
      </w:r>
    </w:p>
    <w:p>
      <w:pPr>
        <w:tabs>
          <w:tab w:val="left" w:pos="567"/>
          <w:tab w:val="left" w:pos="851"/>
        </w:tabs>
        <w:spacing w:before="60"/>
        <w:ind w:left="851" w:hanging="851"/>
        <w:rPr>
          <w:sz w:val="20"/>
        </w:rPr>
      </w:pPr>
      <w:r>
        <w:rPr>
          <w:sz w:val="20"/>
        </w:rPr>
        <w:tab/>
      </w:r>
      <w:r>
        <w:rPr>
          <w:sz w:val="20"/>
        </w:rPr>
        <w:tab/>
        <w:t>Notes of this kind may also be at the foot of Schedules or headings.</w:t>
      </w:r>
    </w:p>
    <w:p>
      <w:pPr>
        <w:tabs>
          <w:tab w:val="left" w:pos="567"/>
          <w:tab w:val="left" w:pos="851"/>
        </w:tabs>
        <w:spacing w:before="60"/>
        <w:ind w:left="851" w:hanging="851"/>
        <w:rPr>
          <w:sz w:val="20"/>
        </w:rPr>
      </w:pPr>
      <w:r>
        <w:rPr>
          <w:sz w:val="20"/>
        </w:rPr>
        <w:tab/>
        <w:t>2.</w:t>
      </w:r>
      <w:r>
        <w:rPr>
          <w:sz w:val="20"/>
        </w:rPr>
        <w:tab/>
        <w:t xml:space="preserve">The other kind of editorial note shows something has been — </w:t>
      </w:r>
    </w:p>
    <w:p>
      <w:pPr>
        <w:numPr>
          <w:ilvl w:val="0"/>
          <w:numId w:val="26"/>
        </w:numPr>
        <w:tabs>
          <w:tab w:val="clear" w:pos="360"/>
          <w:tab w:val="num" w:pos="1197"/>
        </w:tabs>
        <w:ind w:left="1208" w:hanging="357"/>
        <w:rPr>
          <w:sz w:val="20"/>
        </w:rPr>
      </w:pPr>
      <w:r>
        <w:rPr>
          <w:rFonts w:ascii="Times" w:hAnsi="Times"/>
          <w:sz w:val="20"/>
        </w:rPr>
        <w:t>removed (because it was repealed or deleted from the law); or</w:t>
      </w:r>
    </w:p>
    <w:p>
      <w:pPr>
        <w:numPr>
          <w:ilvl w:val="0"/>
          <w:numId w:val="26"/>
        </w:numPr>
        <w:tabs>
          <w:tab w:val="clear" w:pos="360"/>
          <w:tab w:val="num" w:pos="1197"/>
        </w:tabs>
        <w:ind w:left="1208" w:hanging="357"/>
        <w:rPr>
          <w:sz w:val="20"/>
        </w:rPr>
      </w:pPr>
      <w:r>
        <w:rPr>
          <w:sz w:val="20"/>
        </w:rPr>
        <w:t xml:space="preserve">omitted under the </w:t>
      </w:r>
      <w:r>
        <w:rPr>
          <w:i/>
          <w:sz w:val="20"/>
        </w:rPr>
        <w:t>Reprints Act 1984</w:t>
      </w:r>
      <w:r>
        <w:rPr>
          <w:sz w:val="20"/>
        </w:rPr>
        <w:t xml:space="preserve"> s. 7(4) (because, although still technically part of the text, it no longer has any effect).</w:t>
      </w:r>
    </w:p>
    <w:p>
      <w:pPr>
        <w:spacing w:before="60"/>
        <w:ind w:left="851"/>
        <w:rPr>
          <w:sz w:val="20"/>
        </w:rPr>
      </w:pPr>
      <w:r>
        <w:rPr>
          <w:sz w:val="20"/>
        </w:rPr>
        <w:t>The text of anything removed or omitted can be found in an earlier reprint (if there is one) or one of the written laws identified in the Compilation table.</w:t>
      </w:r>
    </w:p>
    <w:p>
      <w:pPr>
        <w:tabs>
          <w:tab w:val="left" w:pos="567"/>
          <w:tab w:val="left" w:pos="851"/>
        </w:tabs>
        <w:spacing w:before="120"/>
        <w:ind w:left="851" w:hanging="851"/>
        <w:outlineLvl w:val="0"/>
        <w:rPr>
          <w:b/>
          <w:i/>
          <w:sz w:val="20"/>
        </w:rPr>
      </w:pPr>
      <w:r>
        <w:rPr>
          <w:b/>
          <w:i/>
          <w:sz w:val="20"/>
        </w:rPr>
        <w:tab/>
      </w:r>
      <w:r>
        <w:rPr>
          <w:b/>
          <w:i/>
          <w:sz w:val="20"/>
        </w:rPr>
        <w:tab/>
        <w:t>Reprint numbering and date</w:t>
      </w:r>
    </w:p>
    <w:p>
      <w:pPr>
        <w:tabs>
          <w:tab w:val="left" w:pos="567"/>
          <w:tab w:val="left" w:pos="851"/>
        </w:tabs>
        <w:ind w:left="851" w:hanging="851"/>
        <w:rPr>
          <w:spacing w:val="-3"/>
          <w:sz w:val="20"/>
        </w:rPr>
      </w:pPr>
      <w:r>
        <w:rPr>
          <w:spacing w:val="-3"/>
          <w:sz w:val="20"/>
        </w:rPr>
        <w:tab/>
        <w:t>1.</w:t>
      </w:r>
      <w:r>
        <w:rPr>
          <w:spacing w:val="-3"/>
          <w:sz w:val="20"/>
        </w:rPr>
        <w:tab/>
        <w:t>The reprint number (in the footer of each page of the document) shows how many times the regulations have been reprinted.  For example, numbering a reprint as “Reprint 3” would mean that the reprint was the 3</w:t>
      </w:r>
      <w:r>
        <w:rPr>
          <w:spacing w:val="-3"/>
          <w:sz w:val="20"/>
          <w:vertAlign w:val="superscript"/>
        </w:rPr>
        <w:t>rd</w:t>
      </w:r>
      <w:r>
        <w:rPr>
          <w:spacing w:val="-3"/>
          <w:sz w:val="20"/>
        </w:rPr>
        <w:t xml:space="preserve"> reprint since the regulations were published.  Reprint numbering was implemented as from 1 January 2003.</w:t>
      </w:r>
    </w:p>
    <w:p>
      <w:pPr>
        <w:tabs>
          <w:tab w:val="left" w:pos="567"/>
        </w:tabs>
        <w:spacing w:before="60"/>
        <w:ind w:left="851" w:hanging="851"/>
        <w:rPr>
          <w:spacing w:val="-3"/>
          <w:sz w:val="20"/>
        </w:rPr>
      </w:pPr>
      <w:r>
        <w:rPr>
          <w:spacing w:val="-3"/>
          <w:sz w:val="20"/>
        </w:rPr>
        <w:tab/>
        <w:t>2.</w:t>
      </w:r>
      <w:r>
        <w:rPr>
          <w:spacing w:val="-3"/>
          <w:sz w:val="20"/>
        </w:rPr>
        <w:tab/>
        <w:t>The information in the reprint is current on the date shown as the date as at which the regulations are reprinted.  That date is not the date when the reprint was published by the State Law Publisher and it is probably not the date when the most recent amendment had effect.</w:t>
      </w:r>
    </w:p>
    <w:p>
      <w:pPr>
        <w:tabs>
          <w:tab w:val="left" w:pos="567"/>
        </w:tabs>
        <w:spacing w:before="60"/>
        <w:ind w:left="851" w:hanging="851"/>
        <w:rPr>
          <w:spacing w:val="-3"/>
          <w:sz w:val="20"/>
        </w:rPr>
      </w:pPr>
    </w:p>
    <w:p>
      <w:pPr>
        <w:tabs>
          <w:tab w:val="left" w:pos="284"/>
        </w:tabs>
        <w:spacing w:before="60"/>
        <w:ind w:left="284" w:right="567" w:hanging="284"/>
        <w:rPr>
          <w:b/>
        </w:rPr>
        <w:sectPr>
          <w:headerReference w:type="even" r:id="rId12"/>
          <w:headerReference w:type="default" r:id="rId13"/>
          <w:footerReference w:type="even" r:id="rId14"/>
          <w:footerReference w:type="default" r:id="rId15"/>
          <w:headerReference w:type="first" r:id="rId16"/>
          <w:footerReference w:type="first" r:id="rId17"/>
          <w:endnotePr>
            <w:numFmt w:val="decimal"/>
          </w:endnotePr>
          <w:pgSz w:w="11906" w:h="16838" w:code="9"/>
          <w:pgMar w:top="2381" w:right="2409" w:bottom="3515" w:left="2409" w:header="720"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p>
        </w:tc>
        <w:tc>
          <w:tcPr>
            <w:tcW w:w="2434" w:type="dxa"/>
          </w:tcPr>
          <w:p>
            <w:r>
              <w:rPr>
                <w:b/>
                <w:sz w:val="22"/>
              </w:rPr>
              <w:t xml:space="preserve">Reprinted under the </w:t>
            </w:r>
            <w:r>
              <w:rPr>
                <w:b/>
                <w:i/>
                <w:sz w:val="22"/>
              </w:rPr>
              <w:t>Reprints Act 1984</w:t>
            </w:r>
            <w:r>
              <w:rPr>
                <w:b/>
                <w:sz w:val="22"/>
              </w:rPr>
              <w:t xml:space="preserve"> as </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 xml:space="preserve">at </w:t>
            </w:r>
            <w:r>
              <w:rPr>
                <w:b/>
                <w:sz w:val="22"/>
              </w:rPr>
              <w:fldChar w:fldCharType="begin"/>
            </w:r>
            <w:r>
              <w:rPr>
                <w:b/>
                <w:sz w:val="22"/>
              </w:rPr>
              <w:instrText xml:space="preserve"> DOCPROPERTY "ReprintedAsAt"  \@ </w:instrText>
            </w:r>
            <w:r>
              <w:rPr>
                <w:b/>
                <w:snapToGrid w:val="0"/>
                <w:sz w:val="22"/>
              </w:rPr>
              <w:instrText xml:space="preserve">"d MMMM yyyy" </w:instrText>
            </w:r>
            <w:r>
              <w:rPr>
                <w:b/>
                <w:sz w:val="22"/>
              </w:rPr>
              <w:instrText>\* MERGEFORMAT</w:instrText>
            </w:r>
            <w:r>
              <w:rPr>
                <w:b/>
                <w:sz w:val="22"/>
              </w:rPr>
              <w:fldChar w:fldCharType="separate"/>
            </w:r>
            <w:r>
              <w:rPr>
                <w:b/>
                <w:sz w:val="22"/>
              </w:rPr>
              <w:t>11 April 2014</w:t>
            </w:r>
            <w:r>
              <w:rPr>
                <w:b/>
                <w:sz w:val="22"/>
              </w:rPr>
              <w:fldChar w:fldCharType="end"/>
            </w:r>
          </w:p>
        </w:tc>
      </w:tr>
    </w:tbl>
    <w:p>
      <w:pPr>
        <w:pStyle w:val="WA"/>
        <w:spacing w:before="120"/>
      </w:pPr>
      <w:r>
        <w:t>Western Australia</w:t>
      </w:r>
    </w:p>
    <w:p>
      <w:pPr>
        <w:pStyle w:val="NameofActRegPage1"/>
      </w:pPr>
      <w:r>
        <w:fldChar w:fldCharType="begin"/>
      </w:r>
      <w:r>
        <w:instrText xml:space="preserve"> STYLEREF "Name Of Act/Reg"</w:instrText>
      </w:r>
      <w:r>
        <w:fldChar w:fldCharType="separate"/>
      </w:r>
      <w:r>
        <w:rPr>
          <w:noProof/>
        </w:rPr>
        <w:t>Community Protection (Offender Reporting) Regulations 2004</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t>1.</w:t>
      </w:r>
      <w:r>
        <w:tab/>
        <w:t>Citation</w:t>
      </w:r>
      <w:r>
        <w:tab/>
      </w:r>
      <w:r>
        <w:fldChar w:fldCharType="begin"/>
      </w:r>
      <w:r>
        <w:instrText xml:space="preserve"> PAGEREF _Toc384379999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_Toc384380000 \h </w:instrText>
      </w:r>
      <w:r>
        <w:fldChar w:fldCharType="separate"/>
      </w:r>
      <w:r>
        <w:t>1</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_Toc384380001 \h </w:instrText>
      </w:r>
      <w:r>
        <w:fldChar w:fldCharType="separate"/>
      </w:r>
      <w:r>
        <w:t>1</w:t>
      </w:r>
      <w:r>
        <w:fldChar w:fldCharType="end"/>
      </w:r>
    </w:p>
    <w:p>
      <w:pPr>
        <w:pStyle w:val="TOC8"/>
        <w:rPr>
          <w:rFonts w:asciiTheme="minorHAnsi" w:eastAsiaTheme="minorEastAsia" w:hAnsiTheme="minorHAnsi" w:cstheme="minorBidi"/>
          <w:szCs w:val="22"/>
        </w:rPr>
      </w:pPr>
      <w:r>
        <w:t>4.</w:t>
      </w:r>
      <w:r>
        <w:tab/>
        <w:t>Authorised persons (s. 3)</w:t>
      </w:r>
      <w:r>
        <w:tab/>
      </w:r>
      <w:r>
        <w:fldChar w:fldCharType="begin"/>
      </w:r>
      <w:r>
        <w:instrText xml:space="preserve"> PAGEREF _Toc384380002 \h </w:instrText>
      </w:r>
      <w:r>
        <w:fldChar w:fldCharType="separate"/>
      </w:r>
      <w:r>
        <w:t>3</w:t>
      </w:r>
      <w:r>
        <w:fldChar w:fldCharType="end"/>
      </w:r>
    </w:p>
    <w:p>
      <w:pPr>
        <w:pStyle w:val="TOC8"/>
        <w:rPr>
          <w:rFonts w:asciiTheme="minorHAnsi" w:eastAsiaTheme="minorEastAsia" w:hAnsiTheme="minorHAnsi" w:cstheme="minorBidi"/>
          <w:szCs w:val="22"/>
        </w:rPr>
      </w:pPr>
      <w:r>
        <w:t>5.</w:t>
      </w:r>
      <w:r>
        <w:tab/>
        <w:t>Corresponding Acts (s. 3)</w:t>
      </w:r>
      <w:r>
        <w:tab/>
      </w:r>
      <w:r>
        <w:fldChar w:fldCharType="begin"/>
      </w:r>
      <w:r>
        <w:instrText xml:space="preserve"> PAGEREF _Toc384380003 \h </w:instrText>
      </w:r>
      <w:r>
        <w:fldChar w:fldCharType="separate"/>
      </w:r>
      <w:r>
        <w:t>3</w:t>
      </w:r>
      <w:r>
        <w:fldChar w:fldCharType="end"/>
      </w:r>
    </w:p>
    <w:p>
      <w:pPr>
        <w:pStyle w:val="TOC8"/>
        <w:rPr>
          <w:rFonts w:asciiTheme="minorHAnsi" w:eastAsiaTheme="minorEastAsia" w:hAnsiTheme="minorHAnsi" w:cstheme="minorBidi"/>
          <w:szCs w:val="22"/>
        </w:rPr>
      </w:pPr>
      <w:r>
        <w:t>6.</w:t>
      </w:r>
      <w:r>
        <w:tab/>
        <w:t>Corresponding offender reporting orders (s. 3)</w:t>
      </w:r>
      <w:r>
        <w:tab/>
      </w:r>
      <w:r>
        <w:fldChar w:fldCharType="begin"/>
      </w:r>
      <w:r>
        <w:instrText xml:space="preserve"> PAGEREF _Toc384380004 \h </w:instrText>
      </w:r>
      <w:r>
        <w:fldChar w:fldCharType="separate"/>
      </w:r>
      <w:r>
        <w:t>4</w:t>
      </w:r>
      <w:r>
        <w:fldChar w:fldCharType="end"/>
      </w:r>
    </w:p>
    <w:p>
      <w:pPr>
        <w:pStyle w:val="TOC8"/>
        <w:rPr>
          <w:rFonts w:asciiTheme="minorHAnsi" w:eastAsiaTheme="minorEastAsia" w:hAnsiTheme="minorHAnsi" w:cstheme="minorBidi"/>
          <w:szCs w:val="22"/>
        </w:rPr>
      </w:pPr>
      <w:r>
        <w:t>6A.</w:t>
      </w:r>
      <w:r>
        <w:tab/>
        <w:t>Sentences (s. 3)</w:t>
      </w:r>
      <w:r>
        <w:tab/>
      </w:r>
      <w:r>
        <w:fldChar w:fldCharType="begin"/>
      </w:r>
      <w:r>
        <w:instrText xml:space="preserve"> PAGEREF _Toc384380005 \h </w:instrText>
      </w:r>
      <w:r>
        <w:fldChar w:fldCharType="separate"/>
      </w:r>
      <w:r>
        <w:t>5</w:t>
      </w:r>
      <w:r>
        <w:fldChar w:fldCharType="end"/>
      </w:r>
    </w:p>
    <w:p>
      <w:pPr>
        <w:pStyle w:val="TOC8"/>
        <w:rPr>
          <w:rFonts w:asciiTheme="minorHAnsi" w:eastAsiaTheme="minorEastAsia" w:hAnsiTheme="minorHAnsi" w:cstheme="minorBidi"/>
          <w:szCs w:val="22"/>
        </w:rPr>
      </w:pPr>
      <w:r>
        <w:t>7.</w:t>
      </w:r>
      <w:r>
        <w:tab/>
        <w:t>Supervising authorities (s. 3)</w:t>
      </w:r>
      <w:r>
        <w:tab/>
      </w:r>
      <w:r>
        <w:fldChar w:fldCharType="begin"/>
      </w:r>
      <w:r>
        <w:instrText xml:space="preserve"> PAGEREF _Toc384380006 \h </w:instrText>
      </w:r>
      <w:r>
        <w:fldChar w:fldCharType="separate"/>
      </w:r>
      <w:r>
        <w:t>5</w:t>
      </w:r>
      <w:r>
        <w:fldChar w:fldCharType="end"/>
      </w:r>
    </w:p>
    <w:p>
      <w:pPr>
        <w:pStyle w:val="TOC8"/>
        <w:rPr>
          <w:rFonts w:asciiTheme="minorHAnsi" w:eastAsiaTheme="minorEastAsia" w:hAnsiTheme="minorHAnsi" w:cstheme="minorBidi"/>
          <w:szCs w:val="22"/>
        </w:rPr>
      </w:pPr>
      <w:r>
        <w:t>8.</w:t>
      </w:r>
      <w:r>
        <w:tab/>
        <w:t>Offences — relevance if committed by child (s. 6)</w:t>
      </w:r>
      <w:r>
        <w:tab/>
      </w:r>
      <w:r>
        <w:fldChar w:fldCharType="begin"/>
      </w:r>
      <w:r>
        <w:instrText xml:space="preserve"> PAGEREF _Toc384380007 \h </w:instrText>
      </w:r>
      <w:r>
        <w:fldChar w:fldCharType="separate"/>
      </w:r>
      <w:r>
        <w:t>6</w:t>
      </w:r>
      <w:r>
        <w:fldChar w:fldCharType="end"/>
      </w:r>
    </w:p>
    <w:p>
      <w:pPr>
        <w:pStyle w:val="TOC8"/>
        <w:rPr>
          <w:rFonts w:asciiTheme="minorHAnsi" w:eastAsiaTheme="minorEastAsia" w:hAnsiTheme="minorHAnsi" w:cstheme="minorBidi"/>
          <w:szCs w:val="22"/>
        </w:rPr>
      </w:pPr>
      <w:r>
        <w:t>9.</w:t>
      </w:r>
      <w:r>
        <w:tab/>
        <w:t>Foreign witness protection laws (s. 6 and 75)</w:t>
      </w:r>
      <w:r>
        <w:tab/>
      </w:r>
      <w:r>
        <w:fldChar w:fldCharType="begin"/>
      </w:r>
      <w:r>
        <w:instrText xml:space="preserve"> PAGEREF _Toc384380008 \h </w:instrText>
      </w:r>
      <w:r>
        <w:fldChar w:fldCharType="separate"/>
      </w:r>
      <w:r>
        <w:t>6</w:t>
      </w:r>
      <w:r>
        <w:fldChar w:fldCharType="end"/>
      </w:r>
    </w:p>
    <w:p>
      <w:pPr>
        <w:pStyle w:val="TOC8"/>
        <w:rPr>
          <w:rFonts w:asciiTheme="minorHAnsi" w:eastAsiaTheme="minorEastAsia" w:hAnsiTheme="minorHAnsi" w:cstheme="minorBidi"/>
          <w:szCs w:val="22"/>
        </w:rPr>
      </w:pPr>
      <w:r>
        <w:t>10.</w:t>
      </w:r>
      <w:r>
        <w:tab/>
        <w:t>Specified date for determining New South Wales reportable offenders (s. 8)</w:t>
      </w:r>
      <w:r>
        <w:tab/>
      </w:r>
      <w:r>
        <w:fldChar w:fldCharType="begin"/>
      </w:r>
      <w:r>
        <w:instrText xml:space="preserve"> PAGEREF _Toc384380009 \h </w:instrText>
      </w:r>
      <w:r>
        <w:fldChar w:fldCharType="separate"/>
      </w:r>
      <w:r>
        <w:t>7</w:t>
      </w:r>
      <w:r>
        <w:fldChar w:fldCharType="end"/>
      </w:r>
    </w:p>
    <w:p>
      <w:pPr>
        <w:pStyle w:val="TOC8"/>
        <w:rPr>
          <w:rFonts w:asciiTheme="minorHAnsi" w:eastAsiaTheme="minorEastAsia" w:hAnsiTheme="minorHAnsi" w:cstheme="minorBidi"/>
          <w:szCs w:val="22"/>
        </w:rPr>
      </w:pPr>
      <w:r>
        <w:t>11A.</w:t>
      </w:r>
      <w:r>
        <w:tab/>
        <w:t>Class 1 offences (s. 10)</w:t>
      </w:r>
      <w:r>
        <w:tab/>
      </w:r>
      <w:r>
        <w:fldChar w:fldCharType="begin"/>
      </w:r>
      <w:r>
        <w:instrText xml:space="preserve"> PAGEREF _Toc384380010 \h </w:instrText>
      </w:r>
      <w:r>
        <w:fldChar w:fldCharType="separate"/>
      </w:r>
      <w:r>
        <w:t>7</w:t>
      </w:r>
      <w:r>
        <w:fldChar w:fldCharType="end"/>
      </w:r>
    </w:p>
    <w:p>
      <w:pPr>
        <w:pStyle w:val="TOC8"/>
        <w:rPr>
          <w:rFonts w:asciiTheme="minorHAnsi" w:eastAsiaTheme="minorEastAsia" w:hAnsiTheme="minorHAnsi" w:cstheme="minorBidi"/>
          <w:szCs w:val="22"/>
        </w:rPr>
      </w:pPr>
      <w:r>
        <w:t>11.</w:t>
      </w:r>
      <w:r>
        <w:tab/>
        <w:t>Class 2 offences (s. 11)</w:t>
      </w:r>
      <w:r>
        <w:tab/>
      </w:r>
      <w:r>
        <w:fldChar w:fldCharType="begin"/>
      </w:r>
      <w:r>
        <w:instrText xml:space="preserve"> PAGEREF _Toc384380011 \h </w:instrText>
      </w:r>
      <w:r>
        <w:fldChar w:fldCharType="separate"/>
      </w:r>
      <w:r>
        <w:t>7</w:t>
      </w:r>
      <w:r>
        <w:fldChar w:fldCharType="end"/>
      </w:r>
    </w:p>
    <w:p>
      <w:pPr>
        <w:pStyle w:val="TOC8"/>
        <w:rPr>
          <w:rFonts w:asciiTheme="minorHAnsi" w:eastAsiaTheme="minorEastAsia" w:hAnsiTheme="minorHAnsi" w:cstheme="minorBidi"/>
          <w:szCs w:val="22"/>
        </w:rPr>
      </w:pPr>
      <w:r>
        <w:t>12.</w:t>
      </w:r>
      <w:r>
        <w:tab/>
        <w:t>Means of contacting authorised person for certain persons entering Western Australia (s. 27)</w:t>
      </w:r>
      <w:r>
        <w:tab/>
      </w:r>
      <w:r>
        <w:fldChar w:fldCharType="begin"/>
      </w:r>
      <w:r>
        <w:instrText xml:space="preserve"> PAGEREF _Toc384380012 \h </w:instrText>
      </w:r>
      <w:r>
        <w:fldChar w:fldCharType="separate"/>
      </w:r>
      <w:r>
        <w:t>8</w:t>
      </w:r>
      <w:r>
        <w:fldChar w:fldCharType="end"/>
      </w:r>
    </w:p>
    <w:p>
      <w:pPr>
        <w:pStyle w:val="TOC8"/>
        <w:rPr>
          <w:rFonts w:asciiTheme="minorHAnsi" w:eastAsiaTheme="minorEastAsia" w:hAnsiTheme="minorHAnsi" w:cstheme="minorBidi"/>
          <w:szCs w:val="22"/>
        </w:rPr>
      </w:pPr>
      <w:r>
        <w:t>13.</w:t>
      </w:r>
      <w:r>
        <w:tab/>
        <w:t>Manner of reporting change of reportable offender’s travel plans while out of Western Australia (s. 31)</w:t>
      </w:r>
      <w:r>
        <w:tab/>
      </w:r>
      <w:r>
        <w:fldChar w:fldCharType="begin"/>
      </w:r>
      <w:r>
        <w:instrText xml:space="preserve"> PAGEREF _Toc384380013 \h </w:instrText>
      </w:r>
      <w:r>
        <w:fldChar w:fldCharType="separate"/>
      </w:r>
      <w:r>
        <w:t>8</w:t>
      </w:r>
      <w:r>
        <w:fldChar w:fldCharType="end"/>
      </w:r>
    </w:p>
    <w:p>
      <w:pPr>
        <w:pStyle w:val="TOC8"/>
        <w:rPr>
          <w:rFonts w:asciiTheme="minorHAnsi" w:eastAsiaTheme="minorEastAsia" w:hAnsiTheme="minorHAnsi" w:cstheme="minorBidi"/>
          <w:szCs w:val="22"/>
        </w:rPr>
      </w:pPr>
      <w:r>
        <w:t>14.</w:t>
      </w:r>
      <w:r>
        <w:tab/>
        <w:t>Directions as to police station or approved place at which reportable offender must report (s. 34)</w:t>
      </w:r>
      <w:r>
        <w:tab/>
      </w:r>
      <w:r>
        <w:fldChar w:fldCharType="begin"/>
      </w:r>
      <w:r>
        <w:instrText xml:space="preserve"> PAGEREF _Toc384380014 \h </w:instrText>
      </w:r>
      <w:r>
        <w:fldChar w:fldCharType="separate"/>
      </w:r>
      <w:r>
        <w:t>8</w:t>
      </w:r>
      <w:r>
        <w:fldChar w:fldCharType="end"/>
      </w:r>
    </w:p>
    <w:p>
      <w:pPr>
        <w:pStyle w:val="TOC8"/>
        <w:rPr>
          <w:rFonts w:asciiTheme="minorHAnsi" w:eastAsiaTheme="minorEastAsia" w:hAnsiTheme="minorHAnsi" w:cstheme="minorBidi"/>
          <w:szCs w:val="22"/>
        </w:rPr>
      </w:pPr>
      <w:r>
        <w:t>16.</w:t>
      </w:r>
      <w:r>
        <w:tab/>
        <w:t>Prescribed distance — reporting by remote offenders (s. 43)</w:t>
      </w:r>
      <w:r>
        <w:tab/>
      </w:r>
      <w:r>
        <w:fldChar w:fldCharType="begin"/>
      </w:r>
      <w:r>
        <w:instrText xml:space="preserve"> PAGEREF _Toc384380015 \h </w:instrText>
      </w:r>
      <w:r>
        <w:fldChar w:fldCharType="separate"/>
      </w:r>
      <w:r>
        <w:t>9</w:t>
      </w:r>
      <w:r>
        <w:fldChar w:fldCharType="end"/>
      </w:r>
    </w:p>
    <w:p>
      <w:pPr>
        <w:pStyle w:val="TOC8"/>
        <w:rPr>
          <w:rFonts w:asciiTheme="minorHAnsi" w:eastAsiaTheme="minorEastAsia" w:hAnsiTheme="minorHAnsi" w:cstheme="minorBidi"/>
          <w:szCs w:val="22"/>
        </w:rPr>
      </w:pPr>
      <w:r>
        <w:t>17.</w:t>
      </w:r>
      <w:r>
        <w:tab/>
        <w:t>Offences — approval by Commissioner of suspension of reporting obligations (s. 61)</w:t>
      </w:r>
      <w:r>
        <w:tab/>
      </w:r>
      <w:r>
        <w:fldChar w:fldCharType="begin"/>
      </w:r>
      <w:r>
        <w:instrText xml:space="preserve"> PAGEREF _Toc384380016 \h </w:instrText>
      </w:r>
      <w:r>
        <w:fldChar w:fldCharType="separate"/>
      </w:r>
      <w:r>
        <w:t>9</w:t>
      </w:r>
      <w:r>
        <w:fldChar w:fldCharType="end"/>
      </w:r>
    </w:p>
    <w:p>
      <w:pPr>
        <w:pStyle w:val="TOC8"/>
        <w:rPr>
          <w:rFonts w:asciiTheme="minorHAnsi" w:eastAsiaTheme="minorEastAsia" w:hAnsiTheme="minorHAnsi" w:cstheme="minorBidi"/>
          <w:szCs w:val="22"/>
        </w:rPr>
      </w:pPr>
      <w:r>
        <w:t>18.</w:t>
      </w:r>
      <w:r>
        <w:tab/>
        <w:t>Sentences — approval by Commissioner of suspension of reporting obligations (s. 61)</w:t>
      </w:r>
      <w:r>
        <w:tab/>
      </w:r>
      <w:r>
        <w:fldChar w:fldCharType="begin"/>
      </w:r>
      <w:r>
        <w:instrText xml:space="preserve"> PAGEREF _Toc384380017 \h </w:instrText>
      </w:r>
      <w:r>
        <w:fldChar w:fldCharType="separate"/>
      </w:r>
      <w:r>
        <w:t>10</w:t>
      </w:r>
      <w:r>
        <w:fldChar w:fldCharType="end"/>
      </w:r>
    </w:p>
    <w:p>
      <w:pPr>
        <w:pStyle w:val="TOC8"/>
        <w:rPr>
          <w:rFonts w:asciiTheme="minorHAnsi" w:eastAsiaTheme="minorEastAsia" w:hAnsiTheme="minorHAnsi" w:cstheme="minorBidi"/>
          <w:szCs w:val="22"/>
        </w:rPr>
      </w:pPr>
      <w:r>
        <w:t>19.</w:t>
      </w:r>
      <w:r>
        <w:tab/>
        <w:t>Persons required to give notice of reporting obligations etc. to reportable offenders (s. 67)</w:t>
      </w:r>
      <w:r>
        <w:tab/>
      </w:r>
      <w:r>
        <w:fldChar w:fldCharType="begin"/>
      </w:r>
      <w:r>
        <w:instrText xml:space="preserve"> PAGEREF _Toc384380018 \h </w:instrText>
      </w:r>
      <w:r>
        <w:fldChar w:fldCharType="separate"/>
      </w:r>
      <w:r>
        <w:t>11</w:t>
      </w:r>
      <w:r>
        <w:fldChar w:fldCharType="end"/>
      </w:r>
    </w:p>
    <w:p>
      <w:pPr>
        <w:pStyle w:val="TOC8"/>
        <w:rPr>
          <w:rFonts w:asciiTheme="minorHAnsi" w:eastAsiaTheme="minorEastAsia" w:hAnsiTheme="minorHAnsi" w:cstheme="minorBidi"/>
          <w:szCs w:val="22"/>
        </w:rPr>
      </w:pPr>
      <w:r>
        <w:t>20.</w:t>
      </w:r>
      <w:r>
        <w:tab/>
        <w:t>Details to be included in notice given by supervising authority to Commissioner (s. 70)</w:t>
      </w:r>
      <w:r>
        <w:tab/>
      </w:r>
      <w:r>
        <w:fldChar w:fldCharType="begin"/>
      </w:r>
      <w:r>
        <w:instrText xml:space="preserve"> PAGEREF _Toc384380019 \h </w:instrText>
      </w:r>
      <w:r>
        <w:fldChar w:fldCharType="separate"/>
      </w:r>
      <w:r>
        <w:t>12</w:t>
      </w:r>
      <w:r>
        <w:fldChar w:fldCharType="end"/>
      </w:r>
    </w:p>
    <w:p>
      <w:pPr>
        <w:pStyle w:val="TOC8"/>
        <w:rPr>
          <w:rFonts w:asciiTheme="minorHAnsi" w:eastAsiaTheme="minorEastAsia" w:hAnsiTheme="minorHAnsi" w:cstheme="minorBidi"/>
          <w:szCs w:val="22"/>
        </w:rPr>
      </w:pPr>
      <w:r>
        <w:t>21.</w:t>
      </w:r>
      <w:r>
        <w:tab/>
        <w:t>Corresponding protection orders (s. 85)</w:t>
      </w:r>
      <w:r>
        <w:tab/>
      </w:r>
      <w:r>
        <w:fldChar w:fldCharType="begin"/>
      </w:r>
      <w:r>
        <w:instrText xml:space="preserve"> PAGEREF _Toc384380020 \h </w:instrText>
      </w:r>
      <w:r>
        <w:fldChar w:fldCharType="separate"/>
      </w:r>
      <w:r>
        <w:t>12</w:t>
      </w:r>
      <w:r>
        <w:fldChar w:fldCharType="end"/>
      </w:r>
    </w:p>
    <w:p>
      <w:pPr>
        <w:pStyle w:val="TOC8"/>
        <w:rPr>
          <w:rFonts w:asciiTheme="minorHAnsi" w:eastAsiaTheme="minorEastAsia" w:hAnsiTheme="minorHAnsi" w:cstheme="minorBidi"/>
          <w:szCs w:val="22"/>
        </w:rPr>
      </w:pPr>
      <w:r>
        <w:t>22.</w:t>
      </w:r>
      <w:r>
        <w:tab/>
        <w:t>Application for recognition of corresponding protection orders (s. 108(2)(a))</w:t>
      </w:r>
      <w:r>
        <w:tab/>
      </w:r>
      <w:r>
        <w:fldChar w:fldCharType="begin"/>
      </w:r>
      <w:r>
        <w:instrText xml:space="preserve"> PAGEREF _Toc384380021 \h </w:instrText>
      </w:r>
      <w:r>
        <w:fldChar w:fldCharType="separate"/>
      </w:r>
      <w:r>
        <w:t>13</w:t>
      </w:r>
      <w:r>
        <w:fldChar w:fldCharType="end"/>
      </w:r>
    </w:p>
    <w:p>
      <w:pPr>
        <w:pStyle w:val="TOC8"/>
        <w:rPr>
          <w:rFonts w:asciiTheme="minorHAnsi" w:eastAsiaTheme="minorEastAsia" w:hAnsiTheme="minorHAnsi" w:cstheme="minorBidi"/>
          <w:szCs w:val="22"/>
        </w:rPr>
      </w:pPr>
      <w:r>
        <w:t>23.</w:t>
      </w:r>
      <w:r>
        <w:tab/>
        <w:t>Recognition of corresponding protection orders (s. 108(2)(b))</w:t>
      </w:r>
      <w:r>
        <w:tab/>
      </w:r>
      <w:r>
        <w:fldChar w:fldCharType="begin"/>
      </w:r>
      <w:r>
        <w:instrText xml:space="preserve"> PAGEREF _Toc384380022 \h </w:instrText>
      </w:r>
      <w:r>
        <w:fldChar w:fldCharType="separate"/>
      </w:r>
      <w:r>
        <w:t>13</w:t>
      </w:r>
      <w:r>
        <w:fldChar w:fldCharType="end"/>
      </w:r>
    </w:p>
    <w:p>
      <w:pPr>
        <w:pStyle w:val="TOC8"/>
        <w:rPr>
          <w:rFonts w:asciiTheme="minorHAnsi" w:eastAsiaTheme="minorEastAsia" w:hAnsiTheme="minorHAnsi" w:cstheme="minorBidi"/>
          <w:szCs w:val="22"/>
        </w:rPr>
      </w:pPr>
      <w:r>
        <w:t>24.</w:t>
      </w:r>
      <w:r>
        <w:tab/>
        <w:t>Effect of recognition of corresponding protection orders (s. 108(2)(d))</w:t>
      </w:r>
      <w:r>
        <w:tab/>
      </w:r>
      <w:r>
        <w:fldChar w:fldCharType="begin"/>
      </w:r>
      <w:r>
        <w:instrText xml:space="preserve"> PAGEREF _Toc384380023 \h </w:instrText>
      </w:r>
      <w:r>
        <w:fldChar w:fldCharType="separate"/>
      </w:r>
      <w:r>
        <w:t>14</w:t>
      </w:r>
      <w:r>
        <w:fldChar w:fldCharType="end"/>
      </w:r>
    </w:p>
    <w:p>
      <w:pPr>
        <w:pStyle w:val="TOC8"/>
        <w:rPr>
          <w:rFonts w:asciiTheme="minorHAnsi" w:eastAsiaTheme="minorEastAsia" w:hAnsiTheme="minorHAnsi" w:cstheme="minorBidi"/>
          <w:szCs w:val="22"/>
        </w:rPr>
      </w:pPr>
      <w:r>
        <w:t>25.</w:t>
      </w:r>
      <w:r>
        <w:tab/>
        <w:t>Variation or revocation of recognised order in a foreign jurisdiction</w:t>
      </w:r>
      <w:r>
        <w:tab/>
      </w:r>
      <w:r>
        <w:fldChar w:fldCharType="begin"/>
      </w:r>
      <w:r>
        <w:instrText xml:space="preserve"> PAGEREF _Toc384380024 \h </w:instrText>
      </w:r>
      <w:r>
        <w:fldChar w:fldCharType="separate"/>
      </w:r>
      <w:r>
        <w:t>15</w:t>
      </w:r>
      <w:r>
        <w:fldChar w:fldCharType="end"/>
      </w:r>
    </w:p>
    <w:p>
      <w:pPr>
        <w:pStyle w:val="TOC8"/>
        <w:rPr>
          <w:rFonts w:asciiTheme="minorHAnsi" w:eastAsiaTheme="minorEastAsia" w:hAnsiTheme="minorHAnsi" w:cstheme="minorBidi"/>
          <w:szCs w:val="22"/>
        </w:rPr>
      </w:pPr>
      <w:r>
        <w:t>26A.</w:t>
      </w:r>
      <w:r>
        <w:tab/>
        <w:t>Authorisation of absences from assessment or treatment (s. 94A(5)(a))</w:t>
      </w:r>
      <w:r>
        <w:tab/>
      </w:r>
      <w:r>
        <w:fldChar w:fldCharType="begin"/>
      </w:r>
      <w:r>
        <w:instrText xml:space="preserve"> PAGEREF _Toc384380025 \h </w:instrText>
      </w:r>
      <w:r>
        <w:fldChar w:fldCharType="separate"/>
      </w:r>
      <w:r>
        <w:t>15</w:t>
      </w:r>
      <w:r>
        <w:fldChar w:fldCharType="end"/>
      </w:r>
    </w:p>
    <w:p>
      <w:pPr>
        <w:pStyle w:val="TOC8"/>
        <w:rPr>
          <w:rFonts w:asciiTheme="minorHAnsi" w:eastAsiaTheme="minorEastAsia" w:hAnsiTheme="minorHAnsi" w:cstheme="minorBidi"/>
          <w:szCs w:val="22"/>
        </w:rPr>
      </w:pPr>
      <w:r>
        <w:t>26B.</w:t>
      </w:r>
      <w:r>
        <w:tab/>
        <w:t>Reports by persons providing assessment or administering treatment (s. 94A(5)(c))</w:t>
      </w:r>
      <w:r>
        <w:tab/>
      </w:r>
      <w:r>
        <w:fldChar w:fldCharType="begin"/>
      </w:r>
      <w:r>
        <w:instrText xml:space="preserve"> PAGEREF _Toc384380026 \h </w:instrText>
      </w:r>
      <w:r>
        <w:fldChar w:fldCharType="separate"/>
      </w:r>
      <w:r>
        <w:t>17</w:t>
      </w:r>
      <w:r>
        <w:fldChar w:fldCharType="end"/>
      </w:r>
    </w:p>
    <w:p>
      <w:pPr>
        <w:pStyle w:val="TOC8"/>
        <w:rPr>
          <w:rFonts w:asciiTheme="minorHAnsi" w:eastAsiaTheme="minorEastAsia" w:hAnsiTheme="minorHAnsi" w:cstheme="minorBidi"/>
          <w:szCs w:val="22"/>
        </w:rPr>
      </w:pPr>
      <w:r>
        <w:t>26C.</w:t>
      </w:r>
      <w:r>
        <w:tab/>
        <w:t>Manner of making requirement to give a sample (s. 94B(8)(a))</w:t>
      </w:r>
      <w:r>
        <w:tab/>
      </w:r>
      <w:r>
        <w:fldChar w:fldCharType="begin"/>
      </w:r>
      <w:r>
        <w:instrText xml:space="preserve"> PAGEREF _Toc384380027 \h </w:instrText>
      </w:r>
      <w:r>
        <w:fldChar w:fldCharType="separate"/>
      </w:r>
      <w:r>
        <w:t>17</w:t>
      </w:r>
      <w:r>
        <w:fldChar w:fldCharType="end"/>
      </w:r>
    </w:p>
    <w:p>
      <w:pPr>
        <w:pStyle w:val="TOC8"/>
        <w:rPr>
          <w:rFonts w:asciiTheme="minorHAnsi" w:eastAsiaTheme="minorEastAsia" w:hAnsiTheme="minorHAnsi" w:cstheme="minorBidi"/>
          <w:szCs w:val="22"/>
        </w:rPr>
      </w:pPr>
      <w:r>
        <w:t>26D.</w:t>
      </w:r>
      <w:r>
        <w:tab/>
        <w:t>Manner of conducting breath test (s. 94B(8)(b))</w:t>
      </w:r>
      <w:r>
        <w:tab/>
      </w:r>
      <w:r>
        <w:fldChar w:fldCharType="begin"/>
      </w:r>
      <w:r>
        <w:instrText xml:space="preserve"> PAGEREF _Toc384380028 \h </w:instrText>
      </w:r>
      <w:r>
        <w:fldChar w:fldCharType="separate"/>
      </w:r>
      <w:r>
        <w:t>18</w:t>
      </w:r>
      <w:r>
        <w:fldChar w:fldCharType="end"/>
      </w:r>
    </w:p>
    <w:p>
      <w:pPr>
        <w:pStyle w:val="TOC8"/>
        <w:rPr>
          <w:rFonts w:asciiTheme="minorHAnsi" w:eastAsiaTheme="minorEastAsia" w:hAnsiTheme="minorHAnsi" w:cstheme="minorBidi"/>
          <w:szCs w:val="22"/>
        </w:rPr>
      </w:pPr>
      <w:r>
        <w:t>26E.</w:t>
      </w:r>
      <w:r>
        <w:tab/>
        <w:t>Authorised sample collectors to take or collect samples (s. 94B(8)(b))</w:t>
      </w:r>
      <w:r>
        <w:tab/>
      </w:r>
      <w:r>
        <w:fldChar w:fldCharType="begin"/>
      </w:r>
      <w:r>
        <w:instrText xml:space="preserve"> PAGEREF _Toc384380029 \h </w:instrText>
      </w:r>
      <w:r>
        <w:fldChar w:fldCharType="separate"/>
      </w:r>
      <w:r>
        <w:t>19</w:t>
      </w:r>
      <w:r>
        <w:fldChar w:fldCharType="end"/>
      </w:r>
    </w:p>
    <w:p>
      <w:pPr>
        <w:pStyle w:val="TOC8"/>
        <w:rPr>
          <w:rFonts w:asciiTheme="minorHAnsi" w:eastAsiaTheme="minorEastAsia" w:hAnsiTheme="minorHAnsi" w:cstheme="minorBidi"/>
          <w:szCs w:val="22"/>
        </w:rPr>
      </w:pPr>
      <w:r>
        <w:t>26F.</w:t>
      </w:r>
      <w:r>
        <w:tab/>
        <w:t>Manner of taking sample of blood or collecting sample of urine (s. 94B(8)(b))</w:t>
      </w:r>
      <w:r>
        <w:tab/>
      </w:r>
      <w:r>
        <w:fldChar w:fldCharType="begin"/>
      </w:r>
      <w:r>
        <w:instrText xml:space="preserve"> PAGEREF _Toc384380030 \h </w:instrText>
      </w:r>
      <w:r>
        <w:fldChar w:fldCharType="separate"/>
      </w:r>
      <w:r>
        <w:t>19</w:t>
      </w:r>
      <w:r>
        <w:fldChar w:fldCharType="end"/>
      </w:r>
    </w:p>
    <w:p>
      <w:pPr>
        <w:pStyle w:val="TOC8"/>
        <w:rPr>
          <w:rFonts w:asciiTheme="minorHAnsi" w:eastAsiaTheme="minorEastAsia" w:hAnsiTheme="minorHAnsi" w:cstheme="minorBidi"/>
          <w:szCs w:val="22"/>
        </w:rPr>
      </w:pPr>
      <w:r>
        <w:t>26G.</w:t>
      </w:r>
      <w:r>
        <w:tab/>
        <w:t>Collection of samples (s. 94B(8)(e))</w:t>
      </w:r>
      <w:r>
        <w:tab/>
      </w:r>
      <w:r>
        <w:fldChar w:fldCharType="begin"/>
      </w:r>
      <w:r>
        <w:instrText xml:space="preserve"> PAGEREF _Toc384380031 \h </w:instrText>
      </w:r>
      <w:r>
        <w:fldChar w:fldCharType="separate"/>
      </w:r>
      <w:r>
        <w:t>21</w:t>
      </w:r>
      <w:r>
        <w:fldChar w:fldCharType="end"/>
      </w:r>
    </w:p>
    <w:p>
      <w:pPr>
        <w:pStyle w:val="TOC8"/>
        <w:rPr>
          <w:rFonts w:asciiTheme="minorHAnsi" w:eastAsiaTheme="minorEastAsia" w:hAnsiTheme="minorHAnsi" w:cstheme="minorBidi"/>
          <w:szCs w:val="22"/>
        </w:rPr>
      </w:pPr>
      <w:r>
        <w:t>26H.</w:t>
      </w:r>
      <w:r>
        <w:tab/>
        <w:t>Authorisation of persons as analysts (s. 94B(8)(c))</w:t>
      </w:r>
      <w:r>
        <w:tab/>
      </w:r>
      <w:r>
        <w:fldChar w:fldCharType="begin"/>
      </w:r>
      <w:r>
        <w:instrText xml:space="preserve"> PAGEREF _Toc384380032 \h </w:instrText>
      </w:r>
      <w:r>
        <w:fldChar w:fldCharType="separate"/>
      </w:r>
      <w:r>
        <w:t>22</w:t>
      </w:r>
      <w:r>
        <w:fldChar w:fldCharType="end"/>
      </w:r>
    </w:p>
    <w:p>
      <w:pPr>
        <w:pStyle w:val="TOC8"/>
        <w:rPr>
          <w:rFonts w:asciiTheme="minorHAnsi" w:eastAsiaTheme="minorEastAsia" w:hAnsiTheme="minorHAnsi" w:cstheme="minorBidi"/>
          <w:szCs w:val="22"/>
        </w:rPr>
      </w:pPr>
      <w:r>
        <w:t>26I.</w:t>
      </w:r>
      <w:r>
        <w:tab/>
        <w:t>Reporting results of analysis (s. 94B(8)(d))</w:t>
      </w:r>
      <w:r>
        <w:tab/>
      </w:r>
      <w:r>
        <w:fldChar w:fldCharType="begin"/>
      </w:r>
      <w:r>
        <w:instrText xml:space="preserve"> PAGEREF _Toc384380033 \h </w:instrText>
      </w:r>
      <w:r>
        <w:fldChar w:fldCharType="separate"/>
      </w:r>
      <w:r>
        <w:t>23</w:t>
      </w:r>
      <w:r>
        <w:fldChar w:fldCharType="end"/>
      </w:r>
    </w:p>
    <w:p>
      <w:pPr>
        <w:pStyle w:val="TOC8"/>
        <w:rPr>
          <w:rFonts w:asciiTheme="minorHAnsi" w:eastAsiaTheme="minorEastAsia" w:hAnsiTheme="minorHAnsi" w:cstheme="minorBidi"/>
          <w:szCs w:val="22"/>
        </w:rPr>
      </w:pPr>
      <w:r>
        <w:t>26J.</w:t>
      </w:r>
      <w:r>
        <w:tab/>
        <w:t>Testing of equipment used in conducting breath tests (s. 94B(8)(g))</w:t>
      </w:r>
      <w:r>
        <w:tab/>
      </w:r>
      <w:r>
        <w:fldChar w:fldCharType="begin"/>
      </w:r>
      <w:r>
        <w:instrText xml:space="preserve"> PAGEREF _Toc384380034 \h </w:instrText>
      </w:r>
      <w:r>
        <w:fldChar w:fldCharType="separate"/>
      </w:r>
      <w:r>
        <w:t>23</w:t>
      </w:r>
      <w:r>
        <w:fldChar w:fldCharType="end"/>
      </w:r>
    </w:p>
    <w:p>
      <w:pPr>
        <w:pStyle w:val="TOC8"/>
        <w:rPr>
          <w:rFonts w:asciiTheme="minorHAnsi" w:eastAsiaTheme="minorEastAsia" w:hAnsiTheme="minorHAnsi" w:cstheme="minorBidi"/>
          <w:szCs w:val="22"/>
        </w:rPr>
      </w:pPr>
      <w:r>
        <w:t>26K.</w:t>
      </w:r>
      <w:r>
        <w:tab/>
        <w:t>Certificate evidence (s. 94B(8)(i))</w:t>
      </w:r>
      <w:r>
        <w:tab/>
      </w:r>
      <w:r>
        <w:fldChar w:fldCharType="begin"/>
      </w:r>
      <w:r>
        <w:instrText xml:space="preserve"> PAGEREF _Toc384380035 \h </w:instrText>
      </w:r>
      <w:r>
        <w:fldChar w:fldCharType="separate"/>
      </w:r>
      <w:r>
        <w:t>23</w:t>
      </w:r>
      <w:r>
        <w:fldChar w:fldCharType="end"/>
      </w:r>
    </w:p>
    <w:p>
      <w:pPr>
        <w:pStyle w:val="TOC8"/>
        <w:rPr>
          <w:rFonts w:asciiTheme="minorHAnsi" w:eastAsiaTheme="minorEastAsia" w:hAnsiTheme="minorHAnsi" w:cstheme="minorBidi"/>
          <w:szCs w:val="22"/>
        </w:rPr>
      </w:pPr>
      <w:r>
        <w:t>26.</w:t>
      </w:r>
      <w:r>
        <w:tab/>
        <w:t>Forms</w:t>
      </w:r>
      <w:r>
        <w:tab/>
      </w:r>
      <w:r>
        <w:fldChar w:fldCharType="begin"/>
      </w:r>
      <w:r>
        <w:instrText xml:space="preserve"> PAGEREF _Toc384380036 \h </w:instrText>
      </w:r>
      <w:r>
        <w:fldChar w:fldCharType="separate"/>
      </w:r>
      <w:r>
        <w:t>25</w:t>
      </w:r>
      <w:r>
        <w:fldChar w:fldCharType="end"/>
      </w:r>
    </w:p>
    <w:p>
      <w:pPr>
        <w:pStyle w:val="TOC2"/>
        <w:tabs>
          <w:tab w:val="right" w:leader="dot" w:pos="7086"/>
        </w:tabs>
        <w:rPr>
          <w:rFonts w:asciiTheme="minorHAnsi" w:eastAsiaTheme="minorEastAsia" w:hAnsiTheme="minorHAnsi" w:cstheme="minorBidi"/>
          <w:b w:val="0"/>
          <w:sz w:val="22"/>
          <w:szCs w:val="22"/>
        </w:rPr>
      </w:pPr>
      <w:r>
        <w:t>Schedule 1 — Forms</w:t>
      </w:r>
    </w:p>
    <w:p>
      <w:pPr>
        <w:pStyle w:val="TOC8"/>
        <w:rPr>
          <w:rFonts w:asciiTheme="minorHAnsi" w:eastAsiaTheme="minorEastAsia" w:hAnsiTheme="minorHAnsi" w:cstheme="minorBidi"/>
          <w:szCs w:val="22"/>
        </w:rPr>
      </w:pPr>
      <w:r>
        <w:t>1.</w:t>
      </w:r>
      <w:r>
        <w:tab/>
        <w:t>Summons: Application for order</w:t>
      </w:r>
      <w:r>
        <w:tab/>
      </w:r>
      <w:r>
        <w:fldChar w:fldCharType="begin"/>
      </w:r>
      <w:r>
        <w:instrText xml:space="preserve"> PAGEREF _Toc384380038 \h </w:instrText>
      </w:r>
      <w:r>
        <w:fldChar w:fldCharType="separate"/>
      </w:r>
      <w:r>
        <w:t>26</w:t>
      </w:r>
      <w:r>
        <w:fldChar w:fldCharType="end"/>
      </w:r>
    </w:p>
    <w:p>
      <w:pPr>
        <w:pStyle w:val="TOC8"/>
        <w:rPr>
          <w:rFonts w:asciiTheme="minorHAnsi" w:eastAsiaTheme="minorEastAsia" w:hAnsiTheme="minorHAnsi" w:cstheme="minorBidi"/>
          <w:szCs w:val="22"/>
        </w:rPr>
      </w:pPr>
      <w:r>
        <w:t>2.</w:t>
      </w:r>
      <w:r>
        <w:tab/>
        <w:t>Summons: Further hearing after interim order</w:t>
      </w:r>
      <w:r>
        <w:tab/>
      </w:r>
      <w:r>
        <w:fldChar w:fldCharType="begin"/>
      </w:r>
      <w:r>
        <w:instrText xml:space="preserve"> PAGEREF _Toc384380039 \h </w:instrText>
      </w:r>
      <w:r>
        <w:fldChar w:fldCharType="separate"/>
      </w:r>
      <w:r>
        <w:t>28</w:t>
      </w:r>
      <w:r>
        <w:fldChar w:fldCharType="end"/>
      </w:r>
    </w:p>
    <w:p>
      <w:pPr>
        <w:pStyle w:val="TOC8"/>
        <w:rPr>
          <w:rFonts w:asciiTheme="minorHAnsi" w:eastAsiaTheme="minorEastAsia" w:hAnsiTheme="minorHAnsi" w:cstheme="minorBidi"/>
          <w:szCs w:val="22"/>
        </w:rPr>
      </w:pPr>
      <w:r>
        <w:t>3.</w:t>
      </w:r>
      <w:r>
        <w:tab/>
        <w:t>Summons: Application to vary or revoke child protection order</w:t>
      </w:r>
      <w:r>
        <w:tab/>
      </w:r>
      <w:r>
        <w:fldChar w:fldCharType="begin"/>
      </w:r>
      <w:r>
        <w:instrText xml:space="preserve"> PAGEREF _Toc384380040 \h </w:instrText>
      </w:r>
      <w:r>
        <w:fldChar w:fldCharType="separate"/>
      </w:r>
      <w:r>
        <w:t>30</w:t>
      </w:r>
      <w:r>
        <w:fldChar w:fldCharType="end"/>
      </w:r>
    </w:p>
    <w:p>
      <w:pPr>
        <w:pStyle w:val="TOC8"/>
        <w:rPr>
          <w:rFonts w:asciiTheme="minorHAnsi" w:eastAsiaTheme="minorEastAsia" w:hAnsiTheme="minorHAnsi" w:cstheme="minorBidi"/>
          <w:szCs w:val="22"/>
        </w:rPr>
      </w:pPr>
      <w:r>
        <w:t>4.</w:t>
      </w:r>
      <w:r>
        <w:tab/>
        <w:t>Certificate of authorised breath tester (r. 26D(8))</w:t>
      </w:r>
      <w:r>
        <w:tab/>
      </w:r>
      <w:r>
        <w:fldChar w:fldCharType="begin"/>
      </w:r>
      <w:r>
        <w:instrText xml:space="preserve"> PAGEREF _Toc384380041 \h </w:instrText>
      </w:r>
      <w:r>
        <w:fldChar w:fldCharType="separate"/>
      </w:r>
      <w:r>
        <w:t>32</w:t>
      </w:r>
      <w:r>
        <w:fldChar w:fldCharType="end"/>
      </w:r>
    </w:p>
    <w:p>
      <w:pPr>
        <w:pStyle w:val="TOC8"/>
        <w:rPr>
          <w:rFonts w:asciiTheme="minorHAnsi" w:eastAsiaTheme="minorEastAsia" w:hAnsiTheme="minorHAnsi" w:cstheme="minorBidi"/>
          <w:szCs w:val="22"/>
        </w:rPr>
      </w:pPr>
      <w:r>
        <w:t>5.</w:t>
      </w:r>
      <w:r>
        <w:tab/>
        <w:t>Request to take sample of blood or urine (r. 26F(2))</w:t>
      </w:r>
      <w:r>
        <w:tab/>
      </w:r>
      <w:r>
        <w:fldChar w:fldCharType="begin"/>
      </w:r>
      <w:r>
        <w:instrText xml:space="preserve"> PAGEREF _Toc384380042 \h </w:instrText>
      </w:r>
      <w:r>
        <w:fldChar w:fldCharType="separate"/>
      </w:r>
      <w:r>
        <w:t>33</w:t>
      </w:r>
      <w:r>
        <w:fldChar w:fldCharType="end"/>
      </w:r>
    </w:p>
    <w:p>
      <w:pPr>
        <w:pStyle w:val="TOC8"/>
        <w:rPr>
          <w:rFonts w:asciiTheme="minorHAnsi" w:eastAsiaTheme="minorEastAsia" w:hAnsiTheme="minorHAnsi" w:cstheme="minorBidi"/>
          <w:szCs w:val="22"/>
        </w:rPr>
      </w:pPr>
      <w:r>
        <w:t>6.</w:t>
      </w:r>
      <w:r>
        <w:tab/>
        <w:t>Certificate of authorised sample collector (r. 26G(5))</w:t>
      </w:r>
      <w:r>
        <w:tab/>
      </w:r>
      <w:r>
        <w:fldChar w:fldCharType="begin"/>
      </w:r>
      <w:r>
        <w:instrText xml:space="preserve"> PAGEREF _Toc384380043 \h </w:instrText>
      </w:r>
      <w:r>
        <w:fldChar w:fldCharType="separate"/>
      </w:r>
      <w:r>
        <w:t>35</w:t>
      </w:r>
      <w:r>
        <w:fldChar w:fldCharType="end"/>
      </w:r>
    </w:p>
    <w:p>
      <w:pPr>
        <w:pStyle w:val="TOC8"/>
        <w:rPr>
          <w:rFonts w:asciiTheme="minorHAnsi" w:eastAsiaTheme="minorEastAsia" w:hAnsiTheme="minorHAnsi" w:cstheme="minorBidi"/>
          <w:szCs w:val="22"/>
        </w:rPr>
      </w:pPr>
      <w:r>
        <w:t>7.</w:t>
      </w:r>
      <w:r>
        <w:tab/>
        <w:t>Certificate of analyst (r. 26I(3))</w:t>
      </w:r>
      <w:r>
        <w:tab/>
      </w:r>
      <w:r>
        <w:fldChar w:fldCharType="begin"/>
      </w:r>
      <w:r>
        <w:instrText xml:space="preserve"> PAGEREF _Toc384380044 \h </w:instrText>
      </w:r>
      <w:r>
        <w:fldChar w:fldCharType="separate"/>
      </w:r>
      <w:r>
        <w:t>37</w:t>
      </w:r>
      <w:r>
        <w:fldChar w:fldCharType="end"/>
      </w:r>
    </w:p>
    <w:p>
      <w:pPr>
        <w:pStyle w:val="TOC2"/>
        <w:tabs>
          <w:tab w:val="right" w:leader="dot" w:pos="7086"/>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_Toc384380046 \h </w:instrText>
      </w:r>
      <w:r>
        <w:fldChar w:fldCharType="separate"/>
      </w:r>
      <w:r>
        <w:t>39</w:t>
      </w:r>
      <w:r>
        <w:fldChar w:fldCharType="end"/>
      </w:r>
    </w:p>
    <w:p>
      <w:pPr>
        <w:pStyle w:val="TOC2"/>
        <w:tabs>
          <w:tab w:val="right" w:leader="dot" w:pos="7086"/>
        </w:tabs>
        <w:rPr>
          <w:rFonts w:asciiTheme="minorHAnsi" w:eastAsiaTheme="minorEastAsia" w:hAnsiTheme="minorHAnsi" w:cstheme="minorBidi"/>
          <w:b w:val="0"/>
          <w:sz w:val="22"/>
          <w:szCs w:val="22"/>
        </w:rPr>
      </w:pPr>
      <w:r>
        <w:t>Defined terms</w:t>
      </w:r>
    </w:p>
    <w:p>
      <w:pPr>
        <w:pStyle w:val="TOC4"/>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8"/>
          <w:headerReference w:type="default" r:id="rId19"/>
          <w:footerReference w:type="even" r:id="rId20"/>
          <w:footerReference w:type="default" r:id="rId21"/>
          <w:footerReference w:type="first" r:id="rId22"/>
          <w:endnotePr>
            <w:numFmt w:val="decimal"/>
          </w:endnotePr>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r>
              <w:rPr>
                <w:noProof/>
              </w:rPr>
              <w:drawing>
                <wp:inline distT="0" distB="0" distL="0" distR="0">
                  <wp:extent cx="533400" cy="476250"/>
                  <wp:effectExtent l="0" t="0" r="0" b="0"/>
                  <wp:docPr id="6" name="Picture 6"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p>
        </w:tc>
        <w:tc>
          <w:tcPr>
            <w:tcW w:w="2434" w:type="dxa"/>
          </w:tcPr>
          <w:p>
            <w:r>
              <w:rPr>
                <w:b/>
                <w:sz w:val="22"/>
              </w:rPr>
              <w:t xml:space="preserve">Reprinted under the </w:t>
            </w:r>
            <w:r>
              <w:rPr>
                <w:b/>
                <w:i/>
                <w:sz w:val="22"/>
              </w:rPr>
              <w:t>Reprints Act 1984</w:t>
            </w:r>
            <w:r>
              <w:rPr>
                <w:b/>
                <w:sz w:val="22"/>
              </w:rPr>
              <w:t xml:space="preserve"> as</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 xml:space="preserve">at </w:t>
            </w:r>
            <w:r>
              <w:rPr>
                <w:b/>
                <w:sz w:val="22"/>
              </w:rPr>
              <w:fldChar w:fldCharType="begin"/>
            </w:r>
            <w:r>
              <w:rPr>
                <w:b/>
                <w:sz w:val="22"/>
              </w:rPr>
              <w:instrText xml:space="preserve"> DOCPROPERTY "ReprintedAsAt"  \@ </w:instrText>
            </w:r>
            <w:r>
              <w:rPr>
                <w:b/>
                <w:snapToGrid w:val="0"/>
                <w:sz w:val="22"/>
              </w:rPr>
              <w:instrText xml:space="preserve">"d MMMM yyyy" </w:instrText>
            </w:r>
            <w:r>
              <w:rPr>
                <w:b/>
                <w:sz w:val="22"/>
              </w:rPr>
              <w:instrText>\* MERGEFORMAT</w:instrText>
            </w:r>
            <w:r>
              <w:rPr>
                <w:b/>
                <w:sz w:val="22"/>
              </w:rPr>
              <w:fldChar w:fldCharType="separate"/>
            </w:r>
            <w:r>
              <w:rPr>
                <w:b/>
                <w:sz w:val="22"/>
              </w:rPr>
              <w:t>11</w:t>
            </w:r>
            <w:r>
              <w:rPr>
                <w:b/>
                <w:snapToGrid w:val="0"/>
                <w:sz w:val="22"/>
              </w:rPr>
              <w:t xml:space="preserve"> April 2014</w:t>
            </w:r>
            <w:r>
              <w:rPr>
                <w:b/>
                <w:sz w:val="22"/>
              </w:rPr>
              <w:fldChar w:fldCharType="end"/>
            </w:r>
          </w:p>
        </w:tc>
      </w:tr>
    </w:tbl>
    <w:p>
      <w:pPr>
        <w:pStyle w:val="WA"/>
        <w:spacing w:before="120"/>
      </w:pPr>
      <w:r>
        <w:t>Western Australia</w:t>
      </w:r>
    </w:p>
    <w:p>
      <w:pPr>
        <w:pStyle w:val="PrincipalActReg"/>
      </w:pPr>
      <w:r>
        <w:t>Community Protection (Offender Reporting) Act 2004</w:t>
      </w:r>
    </w:p>
    <w:p>
      <w:pPr>
        <w:pStyle w:val="NameofActReg"/>
      </w:pPr>
      <w:r>
        <w:t>Community Protection (Offender Reporting) Regulations 2004</w:t>
      </w:r>
    </w:p>
    <w:p>
      <w:pPr>
        <w:pStyle w:val="Heading5"/>
        <w:spacing w:before="240"/>
      </w:pPr>
      <w:bookmarkStart w:id="1" w:name="_Toc384379999"/>
      <w:r>
        <w:rPr>
          <w:rStyle w:val="CharSectno"/>
        </w:rPr>
        <w:t>1</w:t>
      </w:r>
      <w:r>
        <w:t>.</w:t>
      </w:r>
      <w:r>
        <w:tab/>
        <w:t>Citation</w:t>
      </w:r>
      <w:bookmarkEnd w:id="1"/>
    </w:p>
    <w:p>
      <w:pPr>
        <w:pStyle w:val="Subsection"/>
      </w:pPr>
      <w:r>
        <w:tab/>
      </w:r>
      <w:r>
        <w:tab/>
        <w:t xml:space="preserve">These regulations are the </w:t>
      </w:r>
      <w:r>
        <w:rPr>
          <w:i/>
        </w:rPr>
        <w:t>Community Protection (Offender Reporting) Regulations 2004</w:t>
      </w:r>
      <w:r>
        <w:rPr>
          <w:vertAlign w:val="superscript"/>
        </w:rPr>
        <w:t> 1</w:t>
      </w:r>
      <w:r>
        <w:t>.</w:t>
      </w:r>
    </w:p>
    <w:p>
      <w:pPr>
        <w:pStyle w:val="Heading5"/>
        <w:spacing w:before="240"/>
        <w:rPr>
          <w:spacing w:val="-2"/>
        </w:rPr>
      </w:pPr>
      <w:bookmarkStart w:id="2" w:name="_Toc384380000"/>
      <w:r>
        <w:rPr>
          <w:rStyle w:val="CharSectno"/>
        </w:rPr>
        <w:t>2</w:t>
      </w:r>
      <w:r>
        <w:rPr>
          <w:spacing w:val="-2"/>
        </w:rPr>
        <w:t>.</w:t>
      </w:r>
      <w:r>
        <w:rPr>
          <w:spacing w:val="-2"/>
        </w:rPr>
        <w:tab/>
        <w:t>Commencement</w:t>
      </w:r>
      <w:bookmarkEnd w:id="2"/>
    </w:p>
    <w:p>
      <w:pPr>
        <w:pStyle w:val="Subsection"/>
      </w:pPr>
      <w:r>
        <w:tab/>
      </w:r>
      <w:r>
        <w:tab/>
        <w:t>These regulations come into operation on 1 February 2005.</w:t>
      </w:r>
    </w:p>
    <w:p>
      <w:pPr>
        <w:pStyle w:val="Heading5"/>
        <w:spacing w:before="240"/>
      </w:pPr>
      <w:bookmarkStart w:id="3" w:name="_Toc384380001"/>
      <w:r>
        <w:rPr>
          <w:rStyle w:val="CharSectno"/>
        </w:rPr>
        <w:t>3</w:t>
      </w:r>
      <w:r>
        <w:t>.</w:t>
      </w:r>
      <w:r>
        <w:tab/>
        <w:t>Terms used</w:t>
      </w:r>
      <w:bookmarkEnd w:id="3"/>
    </w:p>
    <w:p>
      <w:pPr>
        <w:pStyle w:val="Subsection"/>
      </w:pPr>
      <w:r>
        <w:tab/>
      </w:r>
      <w:r>
        <w:tab/>
        <w:t xml:space="preserve">In these regulations — </w:t>
      </w:r>
    </w:p>
    <w:p>
      <w:pPr>
        <w:pStyle w:val="Defstart"/>
      </w:pPr>
      <w:r>
        <w:tab/>
      </w:r>
      <w:r>
        <w:rPr>
          <w:rStyle w:val="CharDefText"/>
        </w:rPr>
        <w:t>analyst</w:t>
      </w:r>
      <w:r>
        <w:t xml:space="preserve"> means a person authorised under regulation 26H(2);</w:t>
      </w:r>
    </w:p>
    <w:p>
      <w:pPr>
        <w:pStyle w:val="Defstart"/>
      </w:pPr>
      <w:r>
        <w:tab/>
      </w:r>
      <w:r>
        <w:rPr>
          <w:rStyle w:val="CharDefText"/>
        </w:rPr>
        <w:t>authorised breath tester</w:t>
      </w:r>
      <w:r>
        <w:t xml:space="preserve"> has the meaning given in regulation 26D(1);</w:t>
      </w:r>
    </w:p>
    <w:p>
      <w:pPr>
        <w:pStyle w:val="Defstart"/>
      </w:pPr>
      <w:r>
        <w:tab/>
      </w:r>
      <w:r>
        <w:rPr>
          <w:rStyle w:val="CharDefText"/>
        </w:rPr>
        <w:t>authorised sample collector</w:t>
      </w:r>
      <w:r>
        <w:t xml:space="preserve"> means a medical practitioner, a registered nurse or a phlebotomist;</w:t>
      </w:r>
    </w:p>
    <w:p>
      <w:pPr>
        <w:pStyle w:val="Defstart"/>
      </w:pPr>
      <w:r>
        <w:tab/>
      </w:r>
      <w:r>
        <w:rPr>
          <w:rStyle w:val="CharDefText"/>
        </w:rPr>
        <w:t>blood alcohol content</w:t>
      </w:r>
      <w:r>
        <w:t xml:space="preserve"> means the concentration of alcohol in a person’s blood, expressed in grams of alcohol per 100 ml of blood;</w:t>
      </w:r>
    </w:p>
    <w:p>
      <w:pPr>
        <w:pStyle w:val="Defstart"/>
      </w:pPr>
      <w:r>
        <w:tab/>
      </w:r>
      <w:r>
        <w:rPr>
          <w:rStyle w:val="CharDefText"/>
        </w:rPr>
        <w:t>blood sampling equipment</w:t>
      </w:r>
      <w:r>
        <w:t xml:space="preserve"> has the meaning given in regulation 26F(1);</w:t>
      </w:r>
    </w:p>
    <w:p>
      <w:pPr>
        <w:pStyle w:val="Defstart"/>
      </w:pPr>
      <w:r>
        <w:tab/>
      </w:r>
      <w:r>
        <w:rPr>
          <w:rStyle w:val="CharDefText"/>
        </w:rPr>
        <w:t>Breath Analysis Regulations</w:t>
      </w:r>
      <w:r>
        <w:t xml:space="preserve"> means the </w:t>
      </w:r>
      <w:r>
        <w:rPr>
          <w:i/>
        </w:rPr>
        <w:t>Road Traffic (Breath Analysis) Regulations 1975</w:t>
      </w:r>
      <w:r>
        <w:t>;</w:t>
      </w:r>
    </w:p>
    <w:p>
      <w:pPr>
        <w:pStyle w:val="Defstart"/>
      </w:pPr>
      <w:r>
        <w:tab/>
      </w:r>
      <w:r>
        <w:rPr>
          <w:rStyle w:val="CharDefText"/>
        </w:rPr>
        <w:t>breath test</w:t>
      </w:r>
      <w:r>
        <w:t xml:space="preserve"> means a test of a sample of a reportable offender’s breath under section 94B(2)(a) of the Act by means of breath testing equipment;</w:t>
      </w:r>
    </w:p>
    <w:p>
      <w:pPr>
        <w:pStyle w:val="Defstart"/>
      </w:pPr>
      <w:r>
        <w:tab/>
      </w:r>
      <w:r>
        <w:rPr>
          <w:rStyle w:val="CharDefText"/>
        </w:rPr>
        <w:t>breath testing equipment</w:t>
      </w:r>
      <w:r>
        <w:t xml:space="preserve"> </w:t>
      </w:r>
      <w:r>
        <w:rPr>
          <w:spacing w:val="-2"/>
        </w:rPr>
        <w:t xml:space="preserve">means a type of apparatus that is approved under the </w:t>
      </w:r>
      <w:r>
        <w:rPr>
          <w:i/>
          <w:spacing w:val="-2"/>
        </w:rPr>
        <w:t>Road Traffic Act 1974</w:t>
      </w:r>
      <w:r>
        <w:rPr>
          <w:spacing w:val="-2"/>
        </w:rPr>
        <w:t xml:space="preserve"> section 72(2)(a) or (b)</w:t>
      </w:r>
      <w:r>
        <w:t>;</w:t>
      </w:r>
    </w:p>
    <w:p>
      <w:pPr>
        <w:pStyle w:val="Defstart"/>
      </w:pPr>
      <w:r>
        <w:rPr>
          <w:b/>
        </w:rPr>
        <w:tab/>
      </w:r>
      <w:r>
        <w:rPr>
          <w:rStyle w:val="CharDefText"/>
        </w:rPr>
        <w:t>Department of Corrective Services</w:t>
      </w:r>
      <w:r>
        <w:t xml:space="preserve"> means the department of the Public Service principally assisting in the administration of the </w:t>
      </w:r>
      <w:r>
        <w:rPr>
          <w:i/>
          <w:iCs/>
        </w:rPr>
        <w:t>Prisons Act 1981</w:t>
      </w:r>
      <w:r>
        <w:t>;</w:t>
      </w:r>
    </w:p>
    <w:p>
      <w:pPr>
        <w:pStyle w:val="Defstart"/>
      </w:pPr>
      <w:r>
        <w:rPr>
          <w:b/>
        </w:rPr>
        <w:tab/>
      </w:r>
      <w:r>
        <w:rPr>
          <w:rStyle w:val="CharDefText"/>
        </w:rPr>
        <w:t>foreign court</w:t>
      </w:r>
      <w:r>
        <w:t xml:space="preserve"> means a court of a foreign jurisdiction;</w:t>
      </w:r>
    </w:p>
    <w:p>
      <w:pPr>
        <w:pStyle w:val="Defstart"/>
      </w:pPr>
      <w:r>
        <w:tab/>
      </w:r>
      <w:r>
        <w:rPr>
          <w:rStyle w:val="CharDefText"/>
        </w:rPr>
        <w:t>medical practitioner</w:t>
      </w:r>
      <w:r>
        <w:t xml:space="preserve"> means a person registered under the </w:t>
      </w:r>
      <w:r>
        <w:rPr>
          <w:i/>
        </w:rPr>
        <w:t>Health Practitioner Regulation National Law (Western Australia)</w:t>
      </w:r>
      <w:r>
        <w:t xml:space="preserve"> in the medical profession;</w:t>
      </w:r>
    </w:p>
    <w:p>
      <w:pPr>
        <w:pStyle w:val="Defstart"/>
      </w:pPr>
      <w:r>
        <w:tab/>
      </w:r>
      <w:r>
        <w:rPr>
          <w:rStyle w:val="CharDefText"/>
        </w:rPr>
        <w:t>phlebotomist</w:t>
      </w:r>
      <w:r>
        <w:t xml:space="preserve"> means the holder of a current certificate of competency in phlebotomy issued by an Australian public hospital or teaching facility;</w:t>
      </w:r>
    </w:p>
    <w:p>
      <w:pPr>
        <w:pStyle w:val="Defstart"/>
      </w:pPr>
      <w:r>
        <w:rPr>
          <w:b/>
        </w:rPr>
        <w:tab/>
      </w:r>
      <w:r>
        <w:rPr>
          <w:rStyle w:val="CharDefText"/>
        </w:rPr>
        <w:t>recognised order</w:t>
      </w:r>
      <w:r>
        <w:t xml:space="preserve"> means a corresponding protection order recognised under regulation 23(1);</w:t>
      </w:r>
    </w:p>
    <w:p>
      <w:pPr>
        <w:pStyle w:val="Defstart"/>
      </w:pPr>
      <w:r>
        <w:tab/>
      </w:r>
      <w:r>
        <w:rPr>
          <w:rStyle w:val="CharDefText"/>
        </w:rPr>
        <w:t>registered nurse</w:t>
      </w:r>
      <w:r>
        <w:t xml:space="preserve"> means a person registered under the </w:t>
      </w:r>
      <w:r>
        <w:rPr>
          <w:i/>
        </w:rPr>
        <w:t>Health Practitioner Regulation National Law (Western Australia)</w:t>
      </w:r>
      <w:r>
        <w:t xml:space="preserve"> in the nursing and midwifery profession whose name is entered on the Register of Nurses Division 1 kept under that Law as a registered nurse;</w:t>
      </w:r>
    </w:p>
    <w:p>
      <w:pPr>
        <w:pStyle w:val="Defstart"/>
        <w:keepNext/>
        <w:keepLines/>
      </w:pPr>
      <w:r>
        <w:rPr>
          <w:b/>
        </w:rPr>
        <w:tab/>
      </w:r>
      <w:r>
        <w:rPr>
          <w:rStyle w:val="CharDefText"/>
        </w:rPr>
        <w:t>registrar</w:t>
      </w:r>
      <w:r>
        <w:t xml:space="preserve"> has the same meaning as it has in — </w:t>
      </w:r>
    </w:p>
    <w:p>
      <w:pPr>
        <w:pStyle w:val="Defpara"/>
        <w:keepLines/>
      </w:pPr>
      <w:r>
        <w:tab/>
        <w:t>(a)</w:t>
      </w:r>
      <w:r>
        <w:tab/>
        <w:t xml:space="preserve">the </w:t>
      </w:r>
      <w:r>
        <w:rPr>
          <w:i/>
        </w:rPr>
        <w:t>Children’s Court of Western Australia Act 1988</w:t>
      </w:r>
      <w:r>
        <w:t>; or</w:t>
      </w:r>
    </w:p>
    <w:p>
      <w:pPr>
        <w:pStyle w:val="Defpara"/>
      </w:pPr>
      <w:r>
        <w:tab/>
        <w:t>(b)</w:t>
      </w:r>
      <w:r>
        <w:tab/>
        <w:t xml:space="preserve">the </w:t>
      </w:r>
      <w:r>
        <w:rPr>
          <w:i/>
        </w:rPr>
        <w:t>District Court of Western Australia Act 1969</w:t>
      </w:r>
      <w:r>
        <w:t>,</w:t>
      </w:r>
    </w:p>
    <w:p>
      <w:pPr>
        <w:pStyle w:val="Defstart"/>
      </w:pPr>
      <w:r>
        <w:tab/>
        <w:t>as the case requires;</w:t>
      </w:r>
    </w:p>
    <w:p>
      <w:pPr>
        <w:pStyle w:val="Defstart"/>
      </w:pPr>
      <w:r>
        <w:rPr>
          <w:b/>
        </w:rPr>
        <w:tab/>
      </w:r>
      <w:r>
        <w:rPr>
          <w:rStyle w:val="CharDefText"/>
        </w:rPr>
        <w:t>relevant court</w:t>
      </w:r>
      <w:r>
        <w:t xml:space="preserve">, in relation to a corresponding protection order, means — </w:t>
      </w:r>
    </w:p>
    <w:p>
      <w:pPr>
        <w:pStyle w:val="Defpara"/>
      </w:pPr>
      <w:r>
        <w:tab/>
        <w:t>(a)</w:t>
      </w:r>
      <w:r>
        <w:tab/>
        <w:t>if the order is made by a foreign court that corresponds to the Children’s Court — the Children’s Court;</w:t>
      </w:r>
    </w:p>
    <w:p>
      <w:pPr>
        <w:pStyle w:val="Defpara"/>
      </w:pPr>
      <w:r>
        <w:tab/>
        <w:t>(b)</w:t>
      </w:r>
      <w:r>
        <w:tab/>
        <w:t>otherwise, the District Court;</w:t>
      </w:r>
    </w:p>
    <w:p>
      <w:pPr>
        <w:pStyle w:val="Defstart"/>
      </w:pPr>
      <w:r>
        <w:tab/>
      </w:r>
      <w:r>
        <w:rPr>
          <w:rStyle w:val="CharDefText"/>
        </w:rPr>
        <w:t>self</w:t>
      </w:r>
      <w:r>
        <w:rPr>
          <w:rStyle w:val="CharDefText"/>
        </w:rPr>
        <w:noBreakHyphen/>
        <w:t>testing breath analysing equipment</w:t>
      </w:r>
      <w:r>
        <w:t xml:space="preserve"> means breath testing equipment of a type that is designated as self</w:t>
      </w:r>
      <w:r>
        <w:noBreakHyphen/>
        <w:t xml:space="preserve">testing apparatus under the </w:t>
      </w:r>
      <w:r>
        <w:rPr>
          <w:i/>
        </w:rPr>
        <w:t>Road Traffic Act 1974</w:t>
      </w:r>
      <w:r>
        <w:t xml:space="preserve"> section 72(2a);</w:t>
      </w:r>
    </w:p>
    <w:p>
      <w:pPr>
        <w:pStyle w:val="Defstart"/>
      </w:pPr>
      <w:r>
        <w:tab/>
      </w:r>
      <w:r>
        <w:rPr>
          <w:rStyle w:val="CharDefText"/>
        </w:rPr>
        <w:t>urine sampling equipment</w:t>
      </w:r>
      <w:r>
        <w:t xml:space="preserve"> has the meaning given in regulation 26F(1).</w:t>
      </w:r>
    </w:p>
    <w:p>
      <w:pPr>
        <w:pStyle w:val="Footnotesection"/>
        <w:spacing w:before="100"/>
      </w:pPr>
      <w:r>
        <w:tab/>
        <w:t>[Regulation 3 inserted in Gazette 1 Jun 2007 p. 2525</w:t>
      </w:r>
      <w:r>
        <w:noBreakHyphen/>
        <w:t>6; amended in Gazette 8 Nov 2013 p.</w:t>
      </w:r>
      <w:r>
        <w:rPr>
          <w:sz w:val="19"/>
        </w:rPr>
        <w:t> </w:t>
      </w:r>
      <w:r>
        <w:t>4995-7.]</w:t>
      </w:r>
    </w:p>
    <w:p>
      <w:pPr>
        <w:pStyle w:val="Heading5"/>
      </w:pPr>
      <w:bookmarkStart w:id="4" w:name="_Toc384380002"/>
      <w:r>
        <w:rPr>
          <w:rStyle w:val="CharSectno"/>
        </w:rPr>
        <w:t>4</w:t>
      </w:r>
      <w:r>
        <w:t>.</w:t>
      </w:r>
      <w:r>
        <w:tab/>
        <w:t>Authorised persons (s. 3)</w:t>
      </w:r>
      <w:bookmarkEnd w:id="4"/>
    </w:p>
    <w:p>
      <w:pPr>
        <w:pStyle w:val="Subsection"/>
      </w:pPr>
      <w:r>
        <w:tab/>
      </w:r>
      <w:r>
        <w:tab/>
        <w:t xml:space="preserve">A person is prescribed to be an authorised person for the purposes of the definition of that term in section 3 of the Act if the person is — </w:t>
      </w:r>
    </w:p>
    <w:p>
      <w:pPr>
        <w:pStyle w:val="Indenta"/>
        <w:spacing w:before="70"/>
      </w:pPr>
      <w:r>
        <w:tab/>
        <w:t>(a)</w:t>
      </w:r>
      <w:r>
        <w:tab/>
        <w:t>an employee of the Police Service (other than a police officer); and</w:t>
      </w:r>
    </w:p>
    <w:p>
      <w:pPr>
        <w:pStyle w:val="Indenta"/>
        <w:spacing w:before="70"/>
      </w:pPr>
      <w:r>
        <w:tab/>
        <w:t>(b)</w:t>
      </w:r>
      <w:r>
        <w:tab/>
        <w:t>authorised in writing by the Commissioner for the purposes of this regulation.</w:t>
      </w:r>
    </w:p>
    <w:p>
      <w:pPr>
        <w:pStyle w:val="Heading5"/>
      </w:pPr>
      <w:bookmarkStart w:id="5" w:name="_Toc384380003"/>
      <w:r>
        <w:rPr>
          <w:rStyle w:val="CharSectno"/>
        </w:rPr>
        <w:t>5</w:t>
      </w:r>
      <w:r>
        <w:t>.</w:t>
      </w:r>
      <w:r>
        <w:tab/>
        <w:t>Corresponding Acts (s. 3)</w:t>
      </w:r>
      <w:bookmarkEnd w:id="5"/>
    </w:p>
    <w:p>
      <w:pPr>
        <w:pStyle w:val="Subsection"/>
      </w:pPr>
      <w:r>
        <w:tab/>
      </w:r>
      <w:r>
        <w:tab/>
        <w:t xml:space="preserve">Each of the following laws is prescribed to be a corresponding Act for the purposes of the definition of that term in section 3 of the Act — </w:t>
      </w:r>
    </w:p>
    <w:p>
      <w:pPr>
        <w:pStyle w:val="Indenta"/>
        <w:spacing w:before="60"/>
      </w:pPr>
      <w:r>
        <w:tab/>
        <w:t>(a)</w:t>
      </w:r>
      <w:r>
        <w:tab/>
        <w:t xml:space="preserve">the </w:t>
      </w:r>
      <w:r>
        <w:rPr>
          <w:i/>
          <w:iCs/>
        </w:rPr>
        <w:t xml:space="preserve">Child Protection (Offenders Registration) Act 2000 </w:t>
      </w:r>
      <w:r>
        <w:t xml:space="preserve"> of New South Wales;</w:t>
      </w:r>
    </w:p>
    <w:p>
      <w:pPr>
        <w:pStyle w:val="Indenta"/>
        <w:spacing w:before="60"/>
      </w:pPr>
      <w:r>
        <w:tab/>
        <w:t>(b)</w:t>
      </w:r>
      <w:r>
        <w:tab/>
        <w:t xml:space="preserve">the </w:t>
      </w:r>
      <w:r>
        <w:rPr>
          <w:i/>
          <w:iCs/>
        </w:rPr>
        <w:t>Sex Offenders Registration Act 2004</w:t>
      </w:r>
      <w:r>
        <w:t xml:space="preserve"> of Victoria;</w:t>
      </w:r>
    </w:p>
    <w:p>
      <w:pPr>
        <w:pStyle w:val="Indenta"/>
        <w:spacing w:before="60"/>
      </w:pPr>
      <w:r>
        <w:tab/>
        <w:t>(c)</w:t>
      </w:r>
      <w:r>
        <w:tab/>
        <w:t xml:space="preserve">the </w:t>
      </w:r>
      <w:r>
        <w:rPr>
          <w:i/>
          <w:iCs/>
        </w:rPr>
        <w:t>Child Protection (Offender Reporting) Act 2004</w:t>
      </w:r>
      <w:r>
        <w:t xml:space="preserve"> of </w:t>
      </w:r>
      <w:smartTag w:uri="urn:schemas-microsoft-com:office:smarttags" w:element="place">
        <w:smartTag w:uri="urn:schemas-microsoft-com:office:smarttags" w:element="State">
          <w:r>
            <w:t>Queensland</w:t>
          </w:r>
        </w:smartTag>
      </w:smartTag>
      <w:r>
        <w:t>;</w:t>
      </w:r>
    </w:p>
    <w:p>
      <w:pPr>
        <w:pStyle w:val="Indenta"/>
        <w:keepNext/>
        <w:spacing w:before="60"/>
      </w:pPr>
      <w:r>
        <w:tab/>
        <w:t>(d)</w:t>
      </w:r>
      <w:r>
        <w:tab/>
        <w:t xml:space="preserve">the </w:t>
      </w:r>
      <w:r>
        <w:rPr>
          <w:i/>
          <w:iCs/>
        </w:rPr>
        <w:t xml:space="preserve">Child Protection (Offender Reporting and Registration) Act 2004 </w:t>
      </w:r>
      <w:r>
        <w:t xml:space="preserve">of the </w:t>
      </w:r>
      <w:smartTag w:uri="urn:schemas-microsoft-com:office:smarttags" w:element="place">
        <w:smartTag w:uri="urn:schemas-microsoft-com:office:smarttags" w:element="State">
          <w:r>
            <w:t>Northern Territory</w:t>
          </w:r>
        </w:smartTag>
      </w:smartTag>
      <w:r>
        <w:t>;</w:t>
      </w:r>
    </w:p>
    <w:p>
      <w:pPr>
        <w:pStyle w:val="Indenta"/>
        <w:spacing w:before="60"/>
      </w:pPr>
      <w:r>
        <w:tab/>
        <w:t>(e)</w:t>
      </w:r>
      <w:r>
        <w:tab/>
        <w:t xml:space="preserve">the </w:t>
      </w:r>
      <w:r>
        <w:rPr>
          <w:i/>
          <w:iCs/>
        </w:rPr>
        <w:t>Crimes (Child Sex Offenders) Act 2005</w:t>
      </w:r>
      <w:r>
        <w:t xml:space="preserve"> of the </w:t>
      </w:r>
      <w:smartTag w:uri="urn:schemas-microsoft-com:office:smarttags" w:element="place">
        <w:smartTag w:uri="urn:schemas-microsoft-com:office:smarttags" w:element="State">
          <w:r>
            <w:t>Australian Capital Territory</w:t>
          </w:r>
        </w:smartTag>
      </w:smartTag>
      <w:r>
        <w:t>;</w:t>
      </w:r>
    </w:p>
    <w:p>
      <w:pPr>
        <w:pStyle w:val="Indenta"/>
        <w:spacing w:before="60"/>
      </w:pPr>
      <w:r>
        <w:tab/>
        <w:t>(f)</w:t>
      </w:r>
      <w:r>
        <w:tab/>
        <w:t xml:space="preserve">the </w:t>
      </w:r>
      <w:r>
        <w:rPr>
          <w:i/>
          <w:iCs/>
        </w:rPr>
        <w:t>Community Protection (Offender Reporting) Act 2005</w:t>
      </w:r>
      <w:r>
        <w:t xml:space="preserve"> of </w:t>
      </w:r>
      <w:smartTag w:uri="urn:schemas-microsoft-com:office:smarttags" w:element="place">
        <w:smartTag w:uri="urn:schemas-microsoft-com:office:smarttags" w:element="State">
          <w:r>
            <w:t>Tasmania</w:t>
          </w:r>
        </w:smartTag>
      </w:smartTag>
      <w:r>
        <w:t>;</w:t>
      </w:r>
    </w:p>
    <w:p>
      <w:pPr>
        <w:pStyle w:val="Indenta"/>
        <w:spacing w:before="60"/>
      </w:pPr>
      <w:r>
        <w:tab/>
        <w:t>(g)</w:t>
      </w:r>
      <w:r>
        <w:tab/>
        <w:t xml:space="preserve">the </w:t>
      </w:r>
      <w:r>
        <w:rPr>
          <w:i/>
          <w:iCs/>
        </w:rPr>
        <w:t>Child Sex Offenders Registration Act 2006</w:t>
      </w:r>
      <w:r>
        <w:t xml:space="preserve"> of </w:t>
      </w:r>
      <w:smartTag w:uri="urn:schemas-microsoft-com:office:smarttags" w:element="place">
        <w:smartTag w:uri="urn:schemas-microsoft-com:office:smarttags" w:element="State">
          <w:r>
            <w:t>South Australia</w:t>
          </w:r>
        </w:smartTag>
      </w:smartTag>
      <w:r>
        <w:t>;</w:t>
      </w:r>
    </w:p>
    <w:p>
      <w:pPr>
        <w:pStyle w:val="Indenta"/>
      </w:pPr>
      <w:r>
        <w:tab/>
        <w:t>(h)</w:t>
      </w:r>
      <w:r>
        <w:tab/>
        <w:t xml:space="preserve">the </w:t>
      </w:r>
      <w:r>
        <w:rPr>
          <w:i/>
          <w:iCs/>
        </w:rPr>
        <w:t>Sexual Offences Act 2003</w:t>
      </w:r>
      <w:r>
        <w:t xml:space="preserve"> (</w:t>
      </w:r>
      <w:smartTag w:uri="urn:schemas-microsoft-com:office:smarttags" w:element="place">
        <w:smartTag w:uri="urn:schemas-microsoft-com:office:smarttags" w:element="country-region">
          <w:r>
            <w:t>United Kingdom</w:t>
          </w:r>
        </w:smartTag>
      </w:smartTag>
      <w:r>
        <w:t>);</w:t>
      </w:r>
    </w:p>
    <w:p>
      <w:pPr>
        <w:pStyle w:val="Indenta"/>
      </w:pPr>
      <w:r>
        <w:tab/>
        <w:t>(i)</w:t>
      </w:r>
      <w:r>
        <w:tab/>
        <w:t xml:space="preserve">the </w:t>
      </w:r>
      <w:r>
        <w:rPr>
          <w:i/>
          <w:iCs/>
        </w:rPr>
        <w:t xml:space="preserve">Sex Offender Information Registration Act </w:t>
      </w:r>
      <w:r>
        <w:t>(2004 c. 10) (</w:t>
      </w:r>
      <w:smartTag w:uri="urn:schemas-microsoft-com:office:smarttags" w:element="place">
        <w:smartTag w:uri="urn:schemas-microsoft-com:office:smarttags" w:element="country-region">
          <w:r>
            <w:t>Canada</w:t>
          </w:r>
        </w:smartTag>
      </w:smartTag>
      <w:r>
        <w:t>).</w:t>
      </w:r>
    </w:p>
    <w:p>
      <w:pPr>
        <w:pStyle w:val="Footnotesection"/>
      </w:pPr>
      <w:r>
        <w:tab/>
        <w:t>[Regulation 5 amended in Gazette 8 Sep 2006 p. 3641; 22 Jun 2007 p. 2862; 28 Mar 2008 p. 914; 25 Nov 2008 p. 4990; 20 Feb 2009 p. 354.]</w:t>
      </w:r>
    </w:p>
    <w:p>
      <w:pPr>
        <w:pStyle w:val="Heading5"/>
      </w:pPr>
      <w:bookmarkStart w:id="6" w:name="_Toc384380004"/>
      <w:r>
        <w:rPr>
          <w:rStyle w:val="CharSectno"/>
        </w:rPr>
        <w:t>6</w:t>
      </w:r>
      <w:r>
        <w:t>.</w:t>
      </w:r>
      <w:r>
        <w:tab/>
        <w:t>Corresponding offender reporting orders (s. 3)</w:t>
      </w:r>
      <w:bookmarkEnd w:id="6"/>
    </w:p>
    <w:p>
      <w:pPr>
        <w:pStyle w:val="Subsection"/>
      </w:pPr>
      <w:r>
        <w:tab/>
      </w:r>
      <w:r>
        <w:tab/>
        <w:t xml:space="preserve">Each of the following orders is prescribed to be a corresponding offender reporting order for the purposes of the definition of that term in section 3 of the Act — </w:t>
      </w:r>
    </w:p>
    <w:p>
      <w:pPr>
        <w:pStyle w:val="Indenta"/>
      </w:pPr>
      <w:r>
        <w:tab/>
        <w:t>(a)</w:t>
      </w:r>
      <w:r>
        <w:tab/>
        <w:t xml:space="preserve">a child protection registration order made under the </w:t>
      </w:r>
      <w:r>
        <w:rPr>
          <w:i/>
          <w:iCs/>
        </w:rPr>
        <w:t>Child Protection (Offenders Registration) Act 2000</w:t>
      </w:r>
      <w:r>
        <w:t xml:space="preserve"> of </w:t>
      </w:r>
      <w:smartTag w:uri="urn:schemas-microsoft-com:office:smarttags" w:element="place">
        <w:smartTag w:uri="urn:schemas-microsoft-com:office:smarttags" w:element="State">
          <w:r>
            <w:t>New South Wales</w:t>
          </w:r>
        </w:smartTag>
      </w:smartTag>
      <w:r>
        <w:t xml:space="preserve"> section 3D;</w:t>
      </w:r>
    </w:p>
    <w:p>
      <w:pPr>
        <w:pStyle w:val="Indenta"/>
      </w:pPr>
      <w:r>
        <w:tab/>
        <w:t>(b)</w:t>
      </w:r>
      <w:r>
        <w:tab/>
        <w:t xml:space="preserve">a sex offender registration order made under the </w:t>
      </w:r>
      <w:r>
        <w:rPr>
          <w:i/>
          <w:iCs/>
        </w:rPr>
        <w:t>Sex Offenders Registration Act 2004</w:t>
      </w:r>
      <w:r>
        <w:t xml:space="preserve"> of </w:t>
      </w:r>
      <w:smartTag w:uri="urn:schemas-microsoft-com:office:smarttags" w:element="place">
        <w:smartTag w:uri="urn:schemas-microsoft-com:office:smarttags" w:element="State">
          <w:r>
            <w:t>Victoria</w:t>
          </w:r>
        </w:smartTag>
      </w:smartTag>
      <w:r>
        <w:t xml:space="preserve"> section 11;</w:t>
      </w:r>
    </w:p>
    <w:p>
      <w:pPr>
        <w:pStyle w:val="Indenta"/>
      </w:pPr>
      <w:r>
        <w:tab/>
        <w:t>(c)</w:t>
      </w:r>
      <w:r>
        <w:tab/>
        <w:t xml:space="preserve">an offender reporting order made under the </w:t>
      </w:r>
      <w:r>
        <w:rPr>
          <w:i/>
          <w:iCs/>
        </w:rPr>
        <w:t>Child Protection (Offender Reporting) Act 2004</w:t>
      </w:r>
      <w:r>
        <w:t xml:space="preserve"> of Queensland Part 3;</w:t>
      </w:r>
    </w:p>
    <w:p>
      <w:pPr>
        <w:pStyle w:val="Indenta"/>
      </w:pPr>
      <w:r>
        <w:tab/>
        <w:t>(d)</w:t>
      </w:r>
      <w:r>
        <w:tab/>
        <w:t xml:space="preserve">an offender reporting order made under the </w:t>
      </w:r>
      <w:r>
        <w:rPr>
          <w:i/>
          <w:iCs/>
        </w:rPr>
        <w:t xml:space="preserve">Child Protection (Offender Reporting and Registration) Act 2004 </w:t>
      </w:r>
      <w:r>
        <w:t xml:space="preserve">of the </w:t>
      </w:r>
      <w:smartTag w:uri="urn:schemas-microsoft-com:office:smarttags" w:element="place">
        <w:smartTag w:uri="urn:schemas-microsoft-com:office:smarttags" w:element="State">
          <w:r>
            <w:t>Northern Territory</w:t>
          </w:r>
        </w:smartTag>
      </w:smartTag>
      <w:r>
        <w:t xml:space="preserve"> section 13;</w:t>
      </w:r>
    </w:p>
    <w:p>
      <w:pPr>
        <w:pStyle w:val="Indenta"/>
      </w:pPr>
      <w:r>
        <w:tab/>
        <w:t>(e)</w:t>
      </w:r>
      <w:r>
        <w:tab/>
        <w:t xml:space="preserve">a child sex offender registration order made under the </w:t>
      </w:r>
      <w:r>
        <w:rPr>
          <w:i/>
          <w:iCs/>
        </w:rPr>
        <w:t>Crimes (Child Sex Offenders) Act 2005</w:t>
      </w:r>
      <w:r>
        <w:t xml:space="preserve"> of the </w:t>
      </w:r>
      <w:smartTag w:uri="urn:schemas-microsoft-com:office:smarttags" w:element="place">
        <w:smartTag w:uri="urn:schemas-microsoft-com:office:smarttags" w:element="State">
          <w:r>
            <w:t>Australian Capital Territory</w:t>
          </w:r>
        </w:smartTag>
      </w:smartTag>
      <w:r>
        <w:t xml:space="preserve"> section 15;</w:t>
      </w:r>
    </w:p>
    <w:p>
      <w:pPr>
        <w:pStyle w:val="Indenta"/>
      </w:pPr>
      <w:r>
        <w:tab/>
        <w:t>(f)</w:t>
      </w:r>
      <w:r>
        <w:tab/>
        <w:t xml:space="preserve">an offender reporting order made under the </w:t>
      </w:r>
      <w:r>
        <w:rPr>
          <w:i/>
          <w:iCs/>
        </w:rPr>
        <w:t>Community Protection (Offender Reporting) Act 2005</w:t>
      </w:r>
      <w:r>
        <w:t xml:space="preserve"> of </w:t>
      </w:r>
      <w:smartTag w:uri="urn:schemas-microsoft-com:office:smarttags" w:element="place">
        <w:smartTag w:uri="urn:schemas-microsoft-com:office:smarttags" w:element="State">
          <w:r>
            <w:t>Tasmania</w:t>
          </w:r>
        </w:smartTag>
      </w:smartTag>
      <w:r>
        <w:t xml:space="preserve"> sections 6, 7 and 9;</w:t>
      </w:r>
    </w:p>
    <w:p>
      <w:pPr>
        <w:pStyle w:val="Indenta"/>
      </w:pPr>
      <w:r>
        <w:tab/>
        <w:t>(g)</w:t>
      </w:r>
      <w:r>
        <w:tab/>
        <w:t xml:space="preserve">a child sex offender registration order made under the </w:t>
      </w:r>
      <w:r>
        <w:rPr>
          <w:i/>
          <w:iCs/>
        </w:rPr>
        <w:t>Child Sex Offenders Registration Act 2006</w:t>
      </w:r>
      <w:r>
        <w:t xml:space="preserve"> of </w:t>
      </w:r>
      <w:smartTag w:uri="urn:schemas-microsoft-com:office:smarttags" w:element="place">
        <w:smartTag w:uri="urn:schemas-microsoft-com:office:smarttags" w:element="State">
          <w:r>
            <w:t>South Australia</w:t>
          </w:r>
        </w:smartTag>
      </w:smartTag>
      <w:r>
        <w:t xml:space="preserve"> section 9.</w:t>
      </w:r>
    </w:p>
    <w:p>
      <w:pPr>
        <w:pStyle w:val="Footnotesection"/>
      </w:pPr>
      <w:r>
        <w:tab/>
        <w:t>[Regulation 6 amended in Gazette 8 Sep 2006 p. 3642; 22 Jun 2007 p. 2862; 28 Mar 2008 p. 914.]</w:t>
      </w:r>
    </w:p>
    <w:p>
      <w:pPr>
        <w:pStyle w:val="Heading5"/>
      </w:pPr>
      <w:bookmarkStart w:id="7" w:name="_Toc384380005"/>
      <w:r>
        <w:rPr>
          <w:rStyle w:val="CharSectno"/>
        </w:rPr>
        <w:t>6A</w:t>
      </w:r>
      <w:r>
        <w:t>.</w:t>
      </w:r>
      <w:r>
        <w:tab/>
        <w:t>Sentences (s. 3)</w:t>
      </w:r>
      <w:bookmarkEnd w:id="7"/>
    </w:p>
    <w:p>
      <w:pPr>
        <w:pStyle w:val="Subsection"/>
      </w:pPr>
      <w:r>
        <w:tab/>
      </w:r>
      <w:r>
        <w:tab/>
        <w:t>A pre</w:t>
      </w:r>
      <w:r>
        <w:noBreakHyphen/>
        <w:t xml:space="preserve">sentence order made under the </w:t>
      </w:r>
      <w:r>
        <w:rPr>
          <w:i/>
          <w:iCs/>
        </w:rPr>
        <w:t>Sentencing Act 1995</w:t>
      </w:r>
      <w:r>
        <w:t xml:space="preserve"> Part 3A, in force on or after the commencement of this regulation, is prescribed to be a sentence for the purposes of the definition of that term in section 3 of the Act.</w:t>
      </w:r>
    </w:p>
    <w:p>
      <w:pPr>
        <w:pStyle w:val="Footnotesection"/>
      </w:pPr>
      <w:r>
        <w:tab/>
        <w:t>[Regulation 6A inserted in Gazette 1 Jun 2007 p. 2526.]</w:t>
      </w:r>
    </w:p>
    <w:p>
      <w:pPr>
        <w:pStyle w:val="Heading5"/>
      </w:pPr>
      <w:bookmarkStart w:id="8" w:name="_Toc384380006"/>
      <w:r>
        <w:rPr>
          <w:rStyle w:val="CharSectno"/>
        </w:rPr>
        <w:t>7</w:t>
      </w:r>
      <w:r>
        <w:t>.</w:t>
      </w:r>
      <w:r>
        <w:tab/>
        <w:t>Supervising authorities (s. 3)</w:t>
      </w:r>
      <w:bookmarkEnd w:id="8"/>
    </w:p>
    <w:p>
      <w:pPr>
        <w:pStyle w:val="Subsection"/>
      </w:pPr>
      <w:r>
        <w:tab/>
        <w:t>(1)</w:t>
      </w:r>
      <w:r>
        <w:tab/>
        <w:t xml:space="preserve">Except as stated in subregulation (2), the chief executive officer of the Department of Corrective Services is prescribed to be the supervising authority for the purposes of the definition of that term in section 3 of the Act in relation to a reportable offender who is — </w:t>
      </w:r>
    </w:p>
    <w:p>
      <w:pPr>
        <w:pStyle w:val="Indenta"/>
      </w:pPr>
      <w:r>
        <w:tab/>
        <w:t>(a)</w:t>
      </w:r>
      <w:r>
        <w:tab/>
        <w:t>in strict government custody; or</w:t>
      </w:r>
    </w:p>
    <w:p>
      <w:pPr>
        <w:pStyle w:val="Indenta"/>
      </w:pPr>
      <w:r>
        <w:tab/>
        <w:t>(b)</w:t>
      </w:r>
      <w:r>
        <w:tab/>
        <w:t>in government custody; or</w:t>
      </w:r>
    </w:p>
    <w:p>
      <w:pPr>
        <w:pStyle w:val="Indenta"/>
      </w:pPr>
      <w:r>
        <w:tab/>
        <w:t>(c)</w:t>
      </w:r>
      <w:r>
        <w:tab/>
        <w:t>subject to a community order; or</w:t>
      </w:r>
    </w:p>
    <w:p>
      <w:pPr>
        <w:pStyle w:val="Indenta"/>
      </w:pPr>
      <w:r>
        <w:tab/>
        <w:t>(d)</w:t>
      </w:r>
      <w:r>
        <w:tab/>
        <w:t>subject to supervision as a condition of parole; or</w:t>
      </w:r>
    </w:p>
    <w:p>
      <w:pPr>
        <w:pStyle w:val="Indenta"/>
      </w:pPr>
      <w:r>
        <w:tab/>
        <w:t>(e)</w:t>
      </w:r>
      <w:r>
        <w:tab/>
        <w:t>an existing licensee.</w:t>
      </w:r>
    </w:p>
    <w:p>
      <w:pPr>
        <w:pStyle w:val="Subsection"/>
      </w:pPr>
      <w:r>
        <w:tab/>
        <w:t>(2)</w:t>
      </w:r>
      <w:r>
        <w:tab/>
        <w:t xml:space="preserve">The chief executive officer of the Department of Health is prescribed to be the supervising authority for the purposes of the definition of that term in section 3 of the Act in relation to a reportable offender who is subject to a custody order made under the </w:t>
      </w:r>
      <w:r>
        <w:rPr>
          <w:i/>
        </w:rPr>
        <w:t>Criminal Law (Mentally Impaired Accused) Act 1996</w:t>
      </w:r>
      <w:r>
        <w:rPr>
          <w:vertAlign w:val="superscript"/>
        </w:rPr>
        <w:t> 2</w:t>
      </w:r>
      <w:r>
        <w:t xml:space="preserve"> Part 4 unless the offender — </w:t>
      </w:r>
    </w:p>
    <w:p>
      <w:pPr>
        <w:pStyle w:val="Indenta"/>
      </w:pPr>
      <w:r>
        <w:tab/>
        <w:t>(a)</w:t>
      </w:r>
      <w:r>
        <w:tab/>
        <w:t>is detained in a prison or detention centre; or</w:t>
      </w:r>
    </w:p>
    <w:p>
      <w:pPr>
        <w:pStyle w:val="Indenta"/>
      </w:pPr>
      <w:r>
        <w:tab/>
        <w:t>(b)</w:t>
      </w:r>
      <w:r>
        <w:tab/>
        <w:t>as a condition of being released under a release order, is subject to supervision by an officer of the Department of Corrective Services.</w:t>
      </w:r>
    </w:p>
    <w:p>
      <w:pPr>
        <w:pStyle w:val="Subsection"/>
      </w:pPr>
      <w:r>
        <w:tab/>
        <w:t>(3)</w:t>
      </w:r>
      <w:r>
        <w:tab/>
        <w:t xml:space="preserve">In subregulation (2) — </w:t>
      </w:r>
    </w:p>
    <w:p>
      <w:pPr>
        <w:pStyle w:val="Defstart"/>
      </w:pPr>
      <w:r>
        <w:rPr>
          <w:b/>
        </w:rPr>
        <w:tab/>
      </w:r>
      <w:r>
        <w:rPr>
          <w:rStyle w:val="CharDefText"/>
        </w:rPr>
        <w:t>Department of Health</w:t>
      </w:r>
      <w:r>
        <w:t xml:space="preserve"> means the department of the Public Service principally assisting in the administration of the </w:t>
      </w:r>
      <w:r>
        <w:rPr>
          <w:i/>
        </w:rPr>
        <w:t>Health Act 1911</w:t>
      </w:r>
      <w:r>
        <w:t>;</w:t>
      </w:r>
    </w:p>
    <w:p>
      <w:pPr>
        <w:pStyle w:val="Defstart"/>
      </w:pPr>
      <w:r>
        <w:rPr>
          <w:b/>
        </w:rPr>
        <w:tab/>
      </w:r>
      <w:r>
        <w:rPr>
          <w:rStyle w:val="CharDefText"/>
        </w:rPr>
        <w:t>detention centre</w:t>
      </w:r>
      <w:r>
        <w:t xml:space="preserve"> has the same meaning as it has in the </w:t>
      </w:r>
      <w:r>
        <w:rPr>
          <w:i/>
          <w:iCs/>
        </w:rPr>
        <w:t>Young Offenders Act 1994</w:t>
      </w:r>
      <w:r>
        <w:t xml:space="preserve"> section 3;</w:t>
      </w:r>
    </w:p>
    <w:p>
      <w:pPr>
        <w:pStyle w:val="Defstart"/>
      </w:pPr>
      <w:r>
        <w:rPr>
          <w:b/>
        </w:rPr>
        <w:tab/>
      </w:r>
      <w:r>
        <w:rPr>
          <w:rStyle w:val="CharDefText"/>
        </w:rPr>
        <w:t>prison</w:t>
      </w:r>
      <w:r>
        <w:t xml:space="preserve"> has the same meaning as it has in the </w:t>
      </w:r>
      <w:r>
        <w:rPr>
          <w:i/>
          <w:iCs/>
        </w:rPr>
        <w:t>Prisons Act 1981</w:t>
      </w:r>
      <w:r>
        <w:t xml:space="preserve"> section 3;</w:t>
      </w:r>
    </w:p>
    <w:p>
      <w:pPr>
        <w:pStyle w:val="Defstart"/>
      </w:pPr>
      <w:r>
        <w:rPr>
          <w:b/>
        </w:rPr>
        <w:tab/>
      </w:r>
      <w:r>
        <w:rPr>
          <w:rStyle w:val="CharDefText"/>
        </w:rPr>
        <w:t>release order</w:t>
      </w:r>
      <w:r>
        <w:t xml:space="preserve"> means an order made under the </w:t>
      </w:r>
      <w:r>
        <w:rPr>
          <w:i/>
          <w:iCs/>
        </w:rPr>
        <w:t>Criminal Law (Mentally Impaired Accused) Act 1996</w:t>
      </w:r>
      <w:r>
        <w:rPr>
          <w:snapToGrid/>
          <w:vertAlign w:val="superscript"/>
        </w:rPr>
        <w:t> 2</w:t>
      </w:r>
      <w:r>
        <w:t xml:space="preserve"> section 35.</w:t>
      </w:r>
    </w:p>
    <w:p>
      <w:pPr>
        <w:pStyle w:val="Footnotesection"/>
      </w:pPr>
      <w:r>
        <w:tab/>
        <w:t>[Regulation 7 amended in Gazette 1 Jun 2007 p. 2528.]</w:t>
      </w:r>
    </w:p>
    <w:p>
      <w:pPr>
        <w:pStyle w:val="Heading5"/>
      </w:pPr>
      <w:bookmarkStart w:id="9" w:name="_Toc384380007"/>
      <w:r>
        <w:rPr>
          <w:rStyle w:val="CharSectno"/>
        </w:rPr>
        <w:t>8</w:t>
      </w:r>
      <w:r>
        <w:t>.</w:t>
      </w:r>
      <w:r>
        <w:tab/>
        <w:t>Offences — relevance if committed by child (s. 6)</w:t>
      </w:r>
      <w:bookmarkEnd w:id="9"/>
    </w:p>
    <w:p>
      <w:pPr>
        <w:pStyle w:val="Subsection"/>
      </w:pPr>
      <w:r>
        <w:tab/>
      </w:r>
      <w:r>
        <w:tab/>
        <w:t xml:space="preserve">For the purposes of section 6(4) of the Act, the following offences are prescribed — </w:t>
      </w:r>
    </w:p>
    <w:p>
      <w:pPr>
        <w:pStyle w:val="Indenta"/>
      </w:pPr>
      <w:r>
        <w:tab/>
        <w:t>(aa)</w:t>
      </w:r>
      <w:r>
        <w:tab/>
        <w:t xml:space="preserve">an offence under </w:t>
      </w:r>
      <w:r>
        <w:rPr>
          <w:i/>
        </w:rPr>
        <w:t>The Criminal Code</w:t>
      </w:r>
      <w:r>
        <w:t xml:space="preserve"> section 218;</w:t>
      </w:r>
    </w:p>
    <w:p>
      <w:pPr>
        <w:pStyle w:val="Indenta"/>
      </w:pPr>
      <w:r>
        <w:tab/>
        <w:t>(ab)</w:t>
      </w:r>
      <w:r>
        <w:tab/>
        <w:t xml:space="preserve">an offence under </w:t>
      </w:r>
      <w:r>
        <w:rPr>
          <w:i/>
        </w:rPr>
        <w:t>The Criminal Code</w:t>
      </w:r>
      <w:r>
        <w:t xml:space="preserve"> section 219;</w:t>
      </w:r>
    </w:p>
    <w:p>
      <w:pPr>
        <w:pStyle w:val="Indenta"/>
      </w:pPr>
      <w:r>
        <w:tab/>
        <w:t>(ac)</w:t>
      </w:r>
      <w:r>
        <w:tab/>
        <w:t xml:space="preserve">an offence under </w:t>
      </w:r>
      <w:r>
        <w:rPr>
          <w:i/>
        </w:rPr>
        <w:t>The Criminal Code</w:t>
      </w:r>
      <w:r>
        <w:t xml:space="preserve"> section 220;</w:t>
      </w:r>
    </w:p>
    <w:p>
      <w:pPr>
        <w:pStyle w:val="Indenta"/>
      </w:pPr>
      <w:r>
        <w:tab/>
        <w:t>(a)</w:t>
      </w:r>
      <w:r>
        <w:tab/>
        <w:t xml:space="preserve">an offence under the </w:t>
      </w:r>
      <w:r>
        <w:rPr>
          <w:i/>
        </w:rPr>
        <w:t>Classification (Publications, Films and Computer Games) Enforcement Act 1996</w:t>
      </w:r>
      <w:r>
        <w:t> </w:t>
      </w:r>
      <w:r>
        <w:rPr>
          <w:vertAlign w:val="superscript"/>
        </w:rPr>
        <w:t>3</w:t>
      </w:r>
      <w:r>
        <w:t xml:space="preserve"> section 60 (deleted);</w:t>
      </w:r>
    </w:p>
    <w:p>
      <w:pPr>
        <w:pStyle w:val="Indenta"/>
      </w:pPr>
      <w:r>
        <w:tab/>
        <w:t>(b)</w:t>
      </w:r>
      <w:r>
        <w:tab/>
        <w:t xml:space="preserve">an offence under the </w:t>
      </w:r>
      <w:r>
        <w:rPr>
          <w:i/>
        </w:rPr>
        <w:t>Classification (Publications, Films and Computer Games) Enforcement Act 1996</w:t>
      </w:r>
      <w:r>
        <w:rPr>
          <w:vertAlign w:val="superscript"/>
        </w:rPr>
        <w:t> 3</w:t>
      </w:r>
      <w:r>
        <w:rPr>
          <w:i/>
        </w:rPr>
        <w:t xml:space="preserve"> </w:t>
      </w:r>
      <w:r>
        <w:t>section 101.</w:t>
      </w:r>
    </w:p>
    <w:p>
      <w:pPr>
        <w:pStyle w:val="Footnotesection"/>
      </w:pPr>
      <w:r>
        <w:tab/>
        <w:t>[Regulation 8 amended in Gazette 1 Jul 2011 p. 2746</w:t>
      </w:r>
      <w:r>
        <w:noBreakHyphen/>
        <w:t>7.]</w:t>
      </w:r>
    </w:p>
    <w:p>
      <w:pPr>
        <w:pStyle w:val="Heading5"/>
      </w:pPr>
      <w:bookmarkStart w:id="10" w:name="_Toc384380008"/>
      <w:r>
        <w:rPr>
          <w:rStyle w:val="CharSectno"/>
        </w:rPr>
        <w:t>9</w:t>
      </w:r>
      <w:r>
        <w:t>.</w:t>
      </w:r>
      <w:r>
        <w:tab/>
        <w:t>Foreign witness protection laws (s. 6 and 75)</w:t>
      </w:r>
      <w:bookmarkEnd w:id="10"/>
    </w:p>
    <w:p>
      <w:pPr>
        <w:pStyle w:val="Subsection"/>
      </w:pPr>
      <w:r>
        <w:tab/>
      </w:r>
      <w:r>
        <w:tab/>
        <w:t xml:space="preserve">For the purposes of sections 6(5) and 75(2) of the Act, the following foreign witness protection laws are specified — </w:t>
      </w:r>
    </w:p>
    <w:p>
      <w:pPr>
        <w:pStyle w:val="Indenta"/>
      </w:pPr>
      <w:r>
        <w:tab/>
        <w:t>(a)</w:t>
      </w:r>
      <w:r>
        <w:tab/>
        <w:t xml:space="preserve">the </w:t>
      </w:r>
      <w:r>
        <w:rPr>
          <w:i/>
          <w:iCs/>
        </w:rPr>
        <w:t>Witness Protection Act 1994</w:t>
      </w:r>
      <w:r>
        <w:t xml:space="preserve"> of the Commonwealth;</w:t>
      </w:r>
    </w:p>
    <w:p>
      <w:pPr>
        <w:pStyle w:val="Indenta"/>
      </w:pPr>
      <w:r>
        <w:tab/>
        <w:t>(b)</w:t>
      </w:r>
      <w:r>
        <w:tab/>
        <w:t xml:space="preserve">the </w:t>
      </w:r>
      <w:r>
        <w:rPr>
          <w:i/>
          <w:iCs/>
        </w:rPr>
        <w:t>Witness Protection Act 1995</w:t>
      </w:r>
      <w:r>
        <w:t xml:space="preserve"> of New South Wales;</w:t>
      </w:r>
    </w:p>
    <w:p>
      <w:pPr>
        <w:pStyle w:val="Indenta"/>
      </w:pPr>
      <w:r>
        <w:tab/>
        <w:t>(c)</w:t>
      </w:r>
      <w:r>
        <w:tab/>
        <w:t xml:space="preserve">the </w:t>
      </w:r>
      <w:r>
        <w:rPr>
          <w:i/>
          <w:iCs/>
        </w:rPr>
        <w:t>Witness Protection Act 1991</w:t>
      </w:r>
      <w:r>
        <w:t xml:space="preserve"> of Victoria;</w:t>
      </w:r>
    </w:p>
    <w:p>
      <w:pPr>
        <w:pStyle w:val="Indenta"/>
      </w:pPr>
      <w:r>
        <w:tab/>
        <w:t>(d)</w:t>
      </w:r>
      <w:r>
        <w:tab/>
        <w:t xml:space="preserve">the </w:t>
      </w:r>
      <w:r>
        <w:rPr>
          <w:i/>
          <w:iCs/>
        </w:rPr>
        <w:t>Witness Protection Act 2000</w:t>
      </w:r>
      <w:r>
        <w:t xml:space="preserve"> of Queensland;</w:t>
      </w:r>
    </w:p>
    <w:p>
      <w:pPr>
        <w:pStyle w:val="Indenta"/>
      </w:pPr>
      <w:r>
        <w:tab/>
        <w:t>(e)</w:t>
      </w:r>
      <w:r>
        <w:tab/>
        <w:t xml:space="preserve">the </w:t>
      </w:r>
      <w:r>
        <w:rPr>
          <w:i/>
          <w:iCs/>
        </w:rPr>
        <w:t>Witness Protection Act 1996</w:t>
      </w:r>
      <w:r>
        <w:t xml:space="preserve"> of South Australia;</w:t>
      </w:r>
    </w:p>
    <w:p>
      <w:pPr>
        <w:pStyle w:val="Indenta"/>
      </w:pPr>
      <w:r>
        <w:tab/>
        <w:t>(f)</w:t>
      </w:r>
      <w:r>
        <w:tab/>
        <w:t xml:space="preserve">the </w:t>
      </w:r>
      <w:r>
        <w:rPr>
          <w:i/>
          <w:iCs/>
        </w:rPr>
        <w:t>Witness Protection Act 2000</w:t>
      </w:r>
      <w:r>
        <w:t xml:space="preserve"> of Tasmania;</w:t>
      </w:r>
    </w:p>
    <w:p>
      <w:pPr>
        <w:pStyle w:val="Indenta"/>
      </w:pPr>
      <w:r>
        <w:tab/>
        <w:t>(g)</w:t>
      </w:r>
      <w:r>
        <w:tab/>
        <w:t xml:space="preserve">the </w:t>
      </w:r>
      <w:r>
        <w:rPr>
          <w:i/>
          <w:iCs/>
        </w:rPr>
        <w:t>Witness Protection (</w:t>
      </w:r>
      <w:smartTag w:uri="urn:schemas-microsoft-com:office:smarttags" w:element="State">
        <w:r>
          <w:rPr>
            <w:i/>
            <w:iCs/>
          </w:rPr>
          <w:t>Northern Territory</w:t>
        </w:r>
      </w:smartTag>
      <w:r>
        <w:rPr>
          <w:i/>
          <w:iCs/>
        </w:rPr>
        <w:t>) Act</w:t>
      </w:r>
      <w:r>
        <w:t xml:space="preserve"> of the Northern Territory;</w:t>
      </w:r>
    </w:p>
    <w:p>
      <w:pPr>
        <w:pStyle w:val="Indenta"/>
      </w:pPr>
      <w:r>
        <w:tab/>
        <w:t>(h)</w:t>
      </w:r>
      <w:r>
        <w:tab/>
        <w:t xml:space="preserve">the </w:t>
      </w:r>
      <w:r>
        <w:rPr>
          <w:i/>
          <w:iCs/>
        </w:rPr>
        <w:t>Witness Protection Act 1996</w:t>
      </w:r>
      <w:r>
        <w:t xml:space="preserve"> of the Australian Capital Territory.</w:t>
      </w:r>
    </w:p>
    <w:p>
      <w:pPr>
        <w:pStyle w:val="Heading5"/>
      </w:pPr>
      <w:bookmarkStart w:id="11" w:name="_Toc384380009"/>
      <w:r>
        <w:rPr>
          <w:rStyle w:val="CharSectno"/>
        </w:rPr>
        <w:t>10</w:t>
      </w:r>
      <w:r>
        <w:t>.</w:t>
      </w:r>
      <w:r>
        <w:tab/>
        <w:t xml:space="preserve">Specified date for determining </w:t>
      </w:r>
      <w:smartTag w:uri="urn:schemas-microsoft-com:office:smarttags" w:element="place">
        <w:smartTag w:uri="urn:schemas-microsoft-com:office:smarttags" w:element="State">
          <w:r>
            <w:t>New South Wales</w:t>
          </w:r>
        </w:smartTag>
      </w:smartTag>
      <w:r>
        <w:t xml:space="preserve"> reportable offenders (s. 8)</w:t>
      </w:r>
      <w:bookmarkEnd w:id="11"/>
    </w:p>
    <w:p>
      <w:pPr>
        <w:pStyle w:val="Subsection"/>
      </w:pPr>
      <w:r>
        <w:tab/>
      </w:r>
      <w:r>
        <w:tab/>
        <w:t>For the purposes of section 8 of the Act, 1 February 2005 is specified.</w:t>
      </w:r>
    </w:p>
    <w:p>
      <w:pPr>
        <w:pStyle w:val="Heading5"/>
      </w:pPr>
      <w:bookmarkStart w:id="12" w:name="_Toc384380010"/>
      <w:r>
        <w:rPr>
          <w:rStyle w:val="CharSectno"/>
        </w:rPr>
        <w:t>11A</w:t>
      </w:r>
      <w:r>
        <w:t>.</w:t>
      </w:r>
      <w:r>
        <w:tab/>
        <w:t>Class 1 offences (s. 10)</w:t>
      </w:r>
      <w:bookmarkEnd w:id="12"/>
    </w:p>
    <w:p>
      <w:pPr>
        <w:pStyle w:val="Subsection"/>
      </w:pPr>
      <w:r>
        <w:tab/>
      </w:r>
      <w:r>
        <w:tab/>
        <w:t xml:space="preserve">For the purposes of section 10(c) of the Act, the offences under the provisions of the </w:t>
      </w:r>
      <w:r>
        <w:rPr>
          <w:i/>
          <w:iCs/>
        </w:rPr>
        <w:t xml:space="preserve">Criminal Code </w:t>
      </w:r>
      <w:r>
        <w:t>(Commonwealth) listed in the Table are prescribed to be Class 1 offences.</w:t>
      </w:r>
    </w:p>
    <w:p>
      <w:pPr>
        <w:pStyle w:val="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85" w:type="dxa"/>
        </w:tblCellMar>
        <w:tblLook w:val="0000" w:firstRow="0" w:lastRow="0" w:firstColumn="0" w:lastColumn="0" w:noHBand="0" w:noVBand="0"/>
      </w:tblPr>
      <w:tblGrid>
        <w:gridCol w:w="1795"/>
        <w:gridCol w:w="1795"/>
        <w:gridCol w:w="1796"/>
      </w:tblGrid>
      <w:tr>
        <w:tc>
          <w:tcPr>
            <w:tcW w:w="1795" w:type="dxa"/>
          </w:tcPr>
          <w:p>
            <w:pPr>
              <w:pStyle w:val="TableNAm"/>
              <w:spacing w:before="100"/>
            </w:pPr>
            <w:r>
              <w:t>s. 272.8</w:t>
            </w:r>
          </w:p>
        </w:tc>
        <w:tc>
          <w:tcPr>
            <w:tcW w:w="1795" w:type="dxa"/>
          </w:tcPr>
          <w:p>
            <w:pPr>
              <w:pStyle w:val="TableNAm"/>
              <w:spacing w:before="100"/>
            </w:pPr>
            <w:r>
              <w:t>s. 272.10</w:t>
            </w:r>
          </w:p>
        </w:tc>
        <w:tc>
          <w:tcPr>
            <w:tcW w:w="1796" w:type="dxa"/>
          </w:tcPr>
          <w:p>
            <w:pPr>
              <w:pStyle w:val="TableNAm"/>
              <w:spacing w:before="100"/>
            </w:pPr>
            <w:r>
              <w:t>s. 272.11</w:t>
            </w:r>
          </w:p>
        </w:tc>
      </w:tr>
      <w:tr>
        <w:tc>
          <w:tcPr>
            <w:tcW w:w="1795" w:type="dxa"/>
          </w:tcPr>
          <w:p>
            <w:pPr>
              <w:pStyle w:val="TableNAm"/>
              <w:spacing w:before="100"/>
            </w:pPr>
            <w:r>
              <w:t>s. 272.12</w:t>
            </w:r>
          </w:p>
        </w:tc>
        <w:tc>
          <w:tcPr>
            <w:tcW w:w="1795" w:type="dxa"/>
          </w:tcPr>
          <w:p>
            <w:pPr>
              <w:pStyle w:val="TableNAm"/>
              <w:spacing w:before="100"/>
            </w:pPr>
            <w:r>
              <w:t>s. 273.7</w:t>
            </w:r>
          </w:p>
        </w:tc>
        <w:tc>
          <w:tcPr>
            <w:tcW w:w="1796" w:type="dxa"/>
          </w:tcPr>
          <w:p>
            <w:pPr>
              <w:pStyle w:val="TableNAm"/>
              <w:spacing w:before="100"/>
            </w:pPr>
            <w:r>
              <w:t>s. 471.22</w:t>
            </w:r>
          </w:p>
        </w:tc>
      </w:tr>
      <w:tr>
        <w:tc>
          <w:tcPr>
            <w:tcW w:w="1795" w:type="dxa"/>
          </w:tcPr>
          <w:p>
            <w:pPr>
              <w:pStyle w:val="TableNAm"/>
              <w:spacing w:before="100"/>
            </w:pPr>
            <w:r>
              <w:t>s. 474.24A</w:t>
            </w:r>
          </w:p>
        </w:tc>
        <w:tc>
          <w:tcPr>
            <w:tcW w:w="1795" w:type="dxa"/>
          </w:tcPr>
          <w:p>
            <w:pPr>
              <w:pStyle w:val="TableNAm"/>
              <w:spacing w:before="100"/>
            </w:pPr>
          </w:p>
        </w:tc>
        <w:tc>
          <w:tcPr>
            <w:tcW w:w="1796" w:type="dxa"/>
          </w:tcPr>
          <w:p>
            <w:pPr>
              <w:pStyle w:val="TableNAm"/>
              <w:spacing w:before="100"/>
            </w:pPr>
          </w:p>
        </w:tc>
      </w:tr>
    </w:tbl>
    <w:p>
      <w:pPr>
        <w:pStyle w:val="Footnotesection"/>
      </w:pPr>
      <w:r>
        <w:tab/>
        <w:t>[Regulation 11A inserted in Gazette 21 Jan 2011 p. 158.]</w:t>
      </w:r>
    </w:p>
    <w:p>
      <w:pPr>
        <w:pStyle w:val="Heading5"/>
      </w:pPr>
      <w:bookmarkStart w:id="13" w:name="_Toc384380011"/>
      <w:r>
        <w:rPr>
          <w:rStyle w:val="CharSectno"/>
        </w:rPr>
        <w:t>11</w:t>
      </w:r>
      <w:r>
        <w:t>.</w:t>
      </w:r>
      <w:r>
        <w:tab/>
        <w:t>Class 2 offences (s. 11)</w:t>
      </w:r>
      <w:bookmarkEnd w:id="13"/>
    </w:p>
    <w:p>
      <w:pPr>
        <w:pStyle w:val="Subsection"/>
      </w:pPr>
      <w:r>
        <w:tab/>
      </w:r>
      <w:r>
        <w:tab/>
        <w:t xml:space="preserve">For the purposes of section 11(c) of the Act, the offences under the provisions of the </w:t>
      </w:r>
      <w:r>
        <w:rPr>
          <w:i/>
          <w:iCs/>
        </w:rPr>
        <w:t>Criminal Code</w:t>
      </w:r>
      <w:r>
        <w:t xml:space="preserve"> (Commonwealth) listed in the Table are prescribed to be Class 2 offences.</w:t>
      </w:r>
    </w:p>
    <w:p>
      <w:pPr>
        <w:pStyle w:val="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85" w:type="dxa"/>
        </w:tblCellMar>
        <w:tblLook w:val="0000" w:firstRow="0" w:lastRow="0" w:firstColumn="0" w:lastColumn="0" w:noHBand="0" w:noVBand="0"/>
      </w:tblPr>
      <w:tblGrid>
        <w:gridCol w:w="1795"/>
        <w:gridCol w:w="1795"/>
        <w:gridCol w:w="1796"/>
      </w:tblGrid>
      <w:tr>
        <w:tc>
          <w:tcPr>
            <w:tcW w:w="1795" w:type="dxa"/>
          </w:tcPr>
          <w:p>
            <w:pPr>
              <w:pStyle w:val="TableNAm"/>
              <w:spacing w:before="100"/>
            </w:pPr>
            <w:r>
              <w:t>s. 271.4</w:t>
            </w:r>
          </w:p>
        </w:tc>
        <w:tc>
          <w:tcPr>
            <w:tcW w:w="1795" w:type="dxa"/>
          </w:tcPr>
          <w:p>
            <w:pPr>
              <w:pStyle w:val="TableNAm"/>
              <w:spacing w:before="100"/>
            </w:pPr>
            <w:r>
              <w:t>s. 271.7</w:t>
            </w:r>
          </w:p>
        </w:tc>
        <w:tc>
          <w:tcPr>
            <w:tcW w:w="1796" w:type="dxa"/>
          </w:tcPr>
          <w:p>
            <w:pPr>
              <w:pStyle w:val="TableNAm"/>
              <w:spacing w:before="100"/>
            </w:pPr>
            <w:r>
              <w:t>s. 272.9</w:t>
            </w:r>
          </w:p>
        </w:tc>
      </w:tr>
      <w:tr>
        <w:tc>
          <w:tcPr>
            <w:tcW w:w="1795" w:type="dxa"/>
          </w:tcPr>
          <w:p>
            <w:pPr>
              <w:pStyle w:val="TableNAm"/>
              <w:spacing w:before="100"/>
            </w:pPr>
            <w:r>
              <w:t>s. 272.13</w:t>
            </w:r>
          </w:p>
        </w:tc>
        <w:tc>
          <w:tcPr>
            <w:tcW w:w="1795" w:type="dxa"/>
          </w:tcPr>
          <w:p>
            <w:pPr>
              <w:pStyle w:val="TableNAm"/>
              <w:spacing w:before="100"/>
            </w:pPr>
            <w:r>
              <w:t>s. 272.14</w:t>
            </w:r>
          </w:p>
        </w:tc>
        <w:tc>
          <w:tcPr>
            <w:tcW w:w="1796" w:type="dxa"/>
          </w:tcPr>
          <w:p>
            <w:pPr>
              <w:pStyle w:val="TableNAm"/>
              <w:spacing w:before="100"/>
            </w:pPr>
            <w:r>
              <w:t>s. 272.15</w:t>
            </w:r>
          </w:p>
        </w:tc>
      </w:tr>
      <w:tr>
        <w:tc>
          <w:tcPr>
            <w:tcW w:w="1795" w:type="dxa"/>
          </w:tcPr>
          <w:p>
            <w:pPr>
              <w:pStyle w:val="TableNAm"/>
              <w:spacing w:before="100"/>
            </w:pPr>
            <w:r>
              <w:t>s. 272.18</w:t>
            </w:r>
          </w:p>
        </w:tc>
        <w:tc>
          <w:tcPr>
            <w:tcW w:w="1795" w:type="dxa"/>
          </w:tcPr>
          <w:p>
            <w:pPr>
              <w:pStyle w:val="TableNAm"/>
              <w:spacing w:before="100"/>
            </w:pPr>
            <w:r>
              <w:t>s. 272.19</w:t>
            </w:r>
          </w:p>
        </w:tc>
        <w:tc>
          <w:tcPr>
            <w:tcW w:w="1796" w:type="dxa"/>
          </w:tcPr>
          <w:p>
            <w:pPr>
              <w:pStyle w:val="TableNAm"/>
              <w:spacing w:before="100"/>
            </w:pPr>
            <w:r>
              <w:t>s. 272.20</w:t>
            </w:r>
          </w:p>
        </w:tc>
      </w:tr>
      <w:tr>
        <w:tc>
          <w:tcPr>
            <w:tcW w:w="1795" w:type="dxa"/>
          </w:tcPr>
          <w:p>
            <w:pPr>
              <w:pStyle w:val="TableNAm"/>
              <w:spacing w:before="100"/>
            </w:pPr>
            <w:r>
              <w:t>s. 273.5</w:t>
            </w:r>
          </w:p>
        </w:tc>
        <w:tc>
          <w:tcPr>
            <w:tcW w:w="1795" w:type="dxa"/>
          </w:tcPr>
          <w:p>
            <w:pPr>
              <w:pStyle w:val="TableNAm"/>
              <w:spacing w:before="100"/>
            </w:pPr>
            <w:r>
              <w:t>s. 273.6</w:t>
            </w:r>
          </w:p>
        </w:tc>
        <w:tc>
          <w:tcPr>
            <w:tcW w:w="1796" w:type="dxa"/>
          </w:tcPr>
          <w:p>
            <w:pPr>
              <w:pStyle w:val="TableNAm"/>
              <w:spacing w:before="100"/>
            </w:pPr>
            <w:r>
              <w:t>s. 471.16</w:t>
            </w:r>
          </w:p>
        </w:tc>
      </w:tr>
      <w:tr>
        <w:tc>
          <w:tcPr>
            <w:tcW w:w="1795" w:type="dxa"/>
          </w:tcPr>
          <w:p>
            <w:pPr>
              <w:pStyle w:val="TableNAm"/>
              <w:spacing w:before="100"/>
            </w:pPr>
            <w:r>
              <w:t>s. 471.17</w:t>
            </w:r>
          </w:p>
        </w:tc>
        <w:tc>
          <w:tcPr>
            <w:tcW w:w="1795" w:type="dxa"/>
          </w:tcPr>
          <w:p>
            <w:pPr>
              <w:pStyle w:val="TableNAm"/>
              <w:spacing w:before="100"/>
            </w:pPr>
            <w:r>
              <w:t>s. 471.19</w:t>
            </w:r>
          </w:p>
        </w:tc>
        <w:tc>
          <w:tcPr>
            <w:tcW w:w="1796" w:type="dxa"/>
          </w:tcPr>
          <w:p>
            <w:pPr>
              <w:pStyle w:val="TableNAm"/>
              <w:spacing w:before="100"/>
            </w:pPr>
            <w:r>
              <w:t>s. 471.20</w:t>
            </w:r>
          </w:p>
        </w:tc>
      </w:tr>
      <w:tr>
        <w:tc>
          <w:tcPr>
            <w:tcW w:w="1795" w:type="dxa"/>
          </w:tcPr>
          <w:p>
            <w:pPr>
              <w:pStyle w:val="TableNAm"/>
              <w:spacing w:before="100"/>
            </w:pPr>
            <w:r>
              <w:t>s. 471.24</w:t>
            </w:r>
          </w:p>
        </w:tc>
        <w:tc>
          <w:tcPr>
            <w:tcW w:w="1795" w:type="dxa"/>
          </w:tcPr>
          <w:p>
            <w:pPr>
              <w:pStyle w:val="TableNAm"/>
              <w:spacing w:before="100"/>
            </w:pPr>
            <w:r>
              <w:t>s. 471.25</w:t>
            </w:r>
          </w:p>
        </w:tc>
        <w:tc>
          <w:tcPr>
            <w:tcW w:w="1796" w:type="dxa"/>
          </w:tcPr>
          <w:p>
            <w:pPr>
              <w:pStyle w:val="TableNAm"/>
              <w:spacing w:before="100"/>
            </w:pPr>
            <w:r>
              <w:t>s. 471.26</w:t>
            </w:r>
          </w:p>
        </w:tc>
      </w:tr>
      <w:tr>
        <w:tc>
          <w:tcPr>
            <w:tcW w:w="1795" w:type="dxa"/>
          </w:tcPr>
          <w:p>
            <w:pPr>
              <w:pStyle w:val="TableNAm"/>
              <w:spacing w:before="100"/>
            </w:pPr>
            <w:r>
              <w:t>s. 474.19</w:t>
            </w:r>
          </w:p>
        </w:tc>
        <w:tc>
          <w:tcPr>
            <w:tcW w:w="1795" w:type="dxa"/>
          </w:tcPr>
          <w:p>
            <w:pPr>
              <w:pStyle w:val="TableNAm"/>
              <w:spacing w:before="100"/>
            </w:pPr>
            <w:r>
              <w:t>s. 474.20</w:t>
            </w:r>
          </w:p>
        </w:tc>
        <w:tc>
          <w:tcPr>
            <w:tcW w:w="1796" w:type="dxa"/>
          </w:tcPr>
          <w:p>
            <w:pPr>
              <w:pStyle w:val="TableNAm"/>
              <w:spacing w:before="100"/>
            </w:pPr>
            <w:r>
              <w:t>s. 474.22</w:t>
            </w:r>
          </w:p>
        </w:tc>
      </w:tr>
      <w:tr>
        <w:tc>
          <w:tcPr>
            <w:tcW w:w="1795" w:type="dxa"/>
          </w:tcPr>
          <w:p>
            <w:pPr>
              <w:pStyle w:val="TableNAm"/>
              <w:spacing w:before="100"/>
            </w:pPr>
            <w:r>
              <w:t>s. 474.23</w:t>
            </w:r>
          </w:p>
        </w:tc>
        <w:tc>
          <w:tcPr>
            <w:tcW w:w="1795" w:type="dxa"/>
          </w:tcPr>
          <w:p>
            <w:pPr>
              <w:pStyle w:val="TableNAm"/>
              <w:spacing w:before="100"/>
            </w:pPr>
            <w:r>
              <w:t>s. 474.25A</w:t>
            </w:r>
          </w:p>
        </w:tc>
        <w:tc>
          <w:tcPr>
            <w:tcW w:w="1796" w:type="dxa"/>
          </w:tcPr>
          <w:p>
            <w:pPr>
              <w:pStyle w:val="TableNAm"/>
              <w:spacing w:before="100"/>
            </w:pPr>
            <w:r>
              <w:t>s. 474.25B</w:t>
            </w:r>
          </w:p>
        </w:tc>
      </w:tr>
      <w:tr>
        <w:tc>
          <w:tcPr>
            <w:tcW w:w="1795" w:type="dxa"/>
          </w:tcPr>
          <w:p>
            <w:pPr>
              <w:pStyle w:val="TableNAm"/>
              <w:spacing w:before="100"/>
            </w:pPr>
            <w:r>
              <w:t>s. 474.26</w:t>
            </w:r>
          </w:p>
        </w:tc>
        <w:tc>
          <w:tcPr>
            <w:tcW w:w="1795" w:type="dxa"/>
          </w:tcPr>
          <w:p>
            <w:pPr>
              <w:pStyle w:val="TableNAm"/>
              <w:spacing w:before="100"/>
            </w:pPr>
            <w:r>
              <w:t>s. 474.27</w:t>
            </w:r>
          </w:p>
        </w:tc>
        <w:tc>
          <w:tcPr>
            <w:tcW w:w="1796" w:type="dxa"/>
          </w:tcPr>
          <w:p>
            <w:pPr>
              <w:pStyle w:val="TableNAm"/>
              <w:spacing w:before="100"/>
            </w:pPr>
            <w:r>
              <w:t>s. 474.27A</w:t>
            </w:r>
          </w:p>
        </w:tc>
      </w:tr>
    </w:tbl>
    <w:p>
      <w:pPr>
        <w:pStyle w:val="Footnotesection"/>
      </w:pPr>
      <w:r>
        <w:tab/>
        <w:t>[Regulation 11 inserted in Gazette 21 Jan 2011 p. 158.]</w:t>
      </w:r>
    </w:p>
    <w:p>
      <w:pPr>
        <w:pStyle w:val="Heading5"/>
      </w:pPr>
      <w:bookmarkStart w:id="14" w:name="_Toc384380012"/>
      <w:r>
        <w:rPr>
          <w:rStyle w:val="CharSectno"/>
        </w:rPr>
        <w:t>12</w:t>
      </w:r>
      <w:r>
        <w:t>.</w:t>
      </w:r>
      <w:r>
        <w:tab/>
        <w:t xml:space="preserve">Means of contacting authorised person for certain persons entering </w:t>
      </w:r>
      <w:smartTag w:uri="urn:schemas-microsoft-com:office:smarttags" w:element="place">
        <w:smartTag w:uri="urn:schemas-microsoft-com:office:smarttags" w:element="State">
          <w:r>
            <w:t>Western Australia</w:t>
          </w:r>
        </w:smartTag>
      </w:smartTag>
      <w:r>
        <w:t> (s. 27)</w:t>
      </w:r>
      <w:bookmarkEnd w:id="14"/>
    </w:p>
    <w:p>
      <w:pPr>
        <w:pStyle w:val="Subsection"/>
      </w:pPr>
      <w:r>
        <w:tab/>
        <w:t>(1)</w:t>
      </w:r>
      <w:r>
        <w:tab/>
        <w:t xml:space="preserve">For the purposes of section 27(2) of the Act, the following means of contacting an authorised person are prescribed — </w:t>
      </w:r>
    </w:p>
    <w:p>
      <w:pPr>
        <w:pStyle w:val="Indenta"/>
      </w:pPr>
      <w:r>
        <w:tab/>
        <w:t>(a)</w:t>
      </w:r>
      <w:r>
        <w:tab/>
        <w:t>by facsimile;</w:t>
      </w:r>
    </w:p>
    <w:p>
      <w:pPr>
        <w:pStyle w:val="Indenta"/>
      </w:pPr>
      <w:r>
        <w:tab/>
        <w:t>(b)</w:t>
      </w:r>
      <w:r>
        <w:tab/>
        <w:t>by email;</w:t>
      </w:r>
    </w:p>
    <w:p>
      <w:pPr>
        <w:pStyle w:val="Indenta"/>
      </w:pPr>
      <w:r>
        <w:tab/>
        <w:t>(c)</w:t>
      </w:r>
      <w:r>
        <w:tab/>
        <w:t>by mail.</w:t>
      </w:r>
    </w:p>
    <w:p>
      <w:pPr>
        <w:pStyle w:val="Subsection"/>
      </w:pPr>
      <w:r>
        <w:tab/>
        <w:t>(2)</w:t>
      </w:r>
      <w:r>
        <w:tab/>
        <w:t>The Commissioner is to nominate the relevant facsimile number, email address and postal address for the purposes of subregulation (1).</w:t>
      </w:r>
    </w:p>
    <w:p>
      <w:pPr>
        <w:pStyle w:val="Heading5"/>
      </w:pPr>
      <w:bookmarkStart w:id="15" w:name="_Toc384380013"/>
      <w:r>
        <w:rPr>
          <w:rStyle w:val="CharSectno"/>
        </w:rPr>
        <w:t>13</w:t>
      </w:r>
      <w:r>
        <w:t>.</w:t>
      </w:r>
      <w:r>
        <w:tab/>
        <w:t xml:space="preserve">Manner of reporting change of reportable offender’s travel plans while out of </w:t>
      </w:r>
      <w:smartTag w:uri="urn:schemas-microsoft-com:office:smarttags" w:element="place">
        <w:smartTag w:uri="urn:schemas-microsoft-com:office:smarttags" w:element="State">
          <w:r>
            <w:t>Western Australia</w:t>
          </w:r>
        </w:smartTag>
      </w:smartTag>
      <w:r>
        <w:t> (s. 31)</w:t>
      </w:r>
      <w:bookmarkEnd w:id="15"/>
    </w:p>
    <w:p>
      <w:pPr>
        <w:pStyle w:val="Subsection"/>
        <w:spacing w:before="180"/>
      </w:pPr>
      <w:r>
        <w:tab/>
      </w:r>
      <w:r>
        <w:tab/>
        <w:t>For the purposes of section 31(3)(b) of the Act, the reportable offender is permitted to make a report by mail to a postal address nominated by the Commissioner.</w:t>
      </w:r>
    </w:p>
    <w:p>
      <w:pPr>
        <w:pStyle w:val="Heading5"/>
        <w:spacing w:before="240"/>
      </w:pPr>
      <w:bookmarkStart w:id="16" w:name="_Toc384380014"/>
      <w:r>
        <w:rPr>
          <w:rStyle w:val="CharSectno"/>
        </w:rPr>
        <w:t>14</w:t>
      </w:r>
      <w:r>
        <w:t>.</w:t>
      </w:r>
      <w:r>
        <w:tab/>
        <w:t>Directions as to police station or approved place at which reportable offender must report (s. 34)</w:t>
      </w:r>
      <w:bookmarkEnd w:id="16"/>
    </w:p>
    <w:p>
      <w:pPr>
        <w:pStyle w:val="Subsection"/>
        <w:spacing w:before="180"/>
      </w:pPr>
      <w:r>
        <w:tab/>
      </w:r>
      <w:r>
        <w:tab/>
        <w:t>For the purposes of section 34(1)(c) of the Act, a direction as to the police station or approved place at which a report is to be made may be given by an approved person.</w:t>
      </w:r>
    </w:p>
    <w:p>
      <w:pPr>
        <w:pStyle w:val="Ednotesection"/>
      </w:pPr>
      <w:r>
        <w:t>[</w:t>
      </w:r>
      <w:r>
        <w:rPr>
          <w:b/>
        </w:rPr>
        <w:t>15.</w:t>
      </w:r>
      <w:r>
        <w:tab/>
        <w:t>Deleted in Gazette 8 Nov 2013 p.</w:t>
      </w:r>
      <w:r>
        <w:rPr>
          <w:sz w:val="19"/>
        </w:rPr>
        <w:t> </w:t>
      </w:r>
      <w:r>
        <w:t>4997.]</w:t>
      </w:r>
    </w:p>
    <w:p>
      <w:pPr>
        <w:pStyle w:val="Heading5"/>
      </w:pPr>
      <w:bookmarkStart w:id="17" w:name="_Toc384380015"/>
      <w:r>
        <w:rPr>
          <w:rStyle w:val="CharSectno"/>
        </w:rPr>
        <w:t>16</w:t>
      </w:r>
      <w:r>
        <w:t>.</w:t>
      </w:r>
      <w:r>
        <w:tab/>
        <w:t>Prescribed distance — reporting by remote offenders (s. 43)</w:t>
      </w:r>
      <w:bookmarkEnd w:id="17"/>
    </w:p>
    <w:p>
      <w:pPr>
        <w:pStyle w:val="Subsection"/>
      </w:pPr>
      <w:r>
        <w:tab/>
      </w:r>
      <w:r>
        <w:tab/>
        <w:t>For the purposes of section 43(1) of the Act, the prescribed distance is 100 km.</w:t>
      </w:r>
    </w:p>
    <w:p>
      <w:pPr>
        <w:pStyle w:val="Heading5"/>
      </w:pPr>
      <w:bookmarkStart w:id="18" w:name="_Toc384380016"/>
      <w:r>
        <w:rPr>
          <w:rStyle w:val="CharSectno"/>
        </w:rPr>
        <w:t>17</w:t>
      </w:r>
      <w:r>
        <w:t>.</w:t>
      </w:r>
      <w:r>
        <w:tab/>
        <w:t>Offences — approval by Commissioner of suspension of reporting obligations (s. 61)</w:t>
      </w:r>
      <w:bookmarkEnd w:id="18"/>
    </w:p>
    <w:p>
      <w:pPr>
        <w:pStyle w:val="Subsection"/>
      </w:pPr>
      <w:r>
        <w:tab/>
      </w:r>
      <w:r>
        <w:tab/>
        <w:t xml:space="preserve">For the purposes of section 61(1)(a) of the Act, the following offences are prescribed — </w:t>
      </w:r>
    </w:p>
    <w:p>
      <w:pPr>
        <w:pStyle w:val="Indenta"/>
      </w:pPr>
      <w:r>
        <w:tab/>
        <w:t>(a)</w:t>
      </w:r>
      <w:r>
        <w:tab/>
        <w:t xml:space="preserve">an offence under </w:t>
      </w:r>
      <w:r>
        <w:rPr>
          <w:i/>
          <w:iCs/>
        </w:rPr>
        <w:t xml:space="preserve">The Criminal Code </w:t>
      </w:r>
      <w:r>
        <w:t>section 186;</w:t>
      </w:r>
    </w:p>
    <w:p>
      <w:pPr>
        <w:pStyle w:val="Indenta"/>
      </w:pPr>
      <w:r>
        <w:tab/>
        <w:t>(ba)</w:t>
      </w:r>
      <w:r>
        <w:tab/>
        <w:t xml:space="preserve">an offence under </w:t>
      </w:r>
      <w:r>
        <w:rPr>
          <w:i/>
        </w:rPr>
        <w:t>The Criminal Code</w:t>
      </w:r>
      <w:r>
        <w:t xml:space="preserve"> section 218;</w:t>
      </w:r>
    </w:p>
    <w:p>
      <w:pPr>
        <w:pStyle w:val="Indenta"/>
      </w:pPr>
      <w:r>
        <w:tab/>
        <w:t>(bb)</w:t>
      </w:r>
      <w:r>
        <w:tab/>
        <w:t xml:space="preserve">an offence under </w:t>
      </w:r>
      <w:r>
        <w:rPr>
          <w:i/>
        </w:rPr>
        <w:t>The Criminal Code</w:t>
      </w:r>
      <w:r>
        <w:t xml:space="preserve"> section 219;</w:t>
      </w:r>
    </w:p>
    <w:p>
      <w:pPr>
        <w:pStyle w:val="Indenta"/>
      </w:pPr>
      <w:r>
        <w:tab/>
        <w:t>(bc)</w:t>
      </w:r>
      <w:r>
        <w:tab/>
        <w:t xml:space="preserve">an offence under </w:t>
      </w:r>
      <w:r>
        <w:rPr>
          <w:i/>
        </w:rPr>
        <w:t>The Criminal Code</w:t>
      </w:r>
      <w:r>
        <w:t xml:space="preserve"> section 220;</w:t>
      </w:r>
    </w:p>
    <w:p>
      <w:pPr>
        <w:pStyle w:val="Indenta"/>
      </w:pPr>
      <w:r>
        <w:tab/>
        <w:t>(bd)</w:t>
      </w:r>
      <w:r>
        <w:tab/>
        <w:t xml:space="preserve">an offence under </w:t>
      </w:r>
      <w:r>
        <w:rPr>
          <w:i/>
        </w:rPr>
        <w:t xml:space="preserve">The Criminal Code </w:t>
      </w:r>
      <w:r>
        <w:t>section 320(4);</w:t>
      </w:r>
    </w:p>
    <w:p>
      <w:pPr>
        <w:pStyle w:val="Indenta"/>
      </w:pPr>
      <w:r>
        <w:tab/>
        <w:t>(be)</w:t>
      </w:r>
      <w:r>
        <w:tab/>
        <w:t xml:space="preserve">an offence under </w:t>
      </w:r>
      <w:r>
        <w:rPr>
          <w:i/>
        </w:rPr>
        <w:t xml:space="preserve">The Criminal Code </w:t>
      </w:r>
      <w:r>
        <w:t>section 320(5);</w:t>
      </w:r>
    </w:p>
    <w:p>
      <w:pPr>
        <w:pStyle w:val="Indenta"/>
      </w:pPr>
      <w:r>
        <w:tab/>
        <w:t>(bf)</w:t>
      </w:r>
      <w:r>
        <w:tab/>
        <w:t xml:space="preserve">an offence under </w:t>
      </w:r>
      <w:r>
        <w:rPr>
          <w:i/>
        </w:rPr>
        <w:t xml:space="preserve">The Criminal Code </w:t>
      </w:r>
      <w:r>
        <w:t>section 320(6);</w:t>
      </w:r>
    </w:p>
    <w:p>
      <w:pPr>
        <w:pStyle w:val="Indenta"/>
      </w:pPr>
      <w:r>
        <w:tab/>
        <w:t>(b)</w:t>
      </w:r>
      <w:r>
        <w:tab/>
        <w:t xml:space="preserve">an offence under </w:t>
      </w:r>
      <w:r>
        <w:rPr>
          <w:i/>
          <w:iCs/>
        </w:rPr>
        <w:t xml:space="preserve">The Criminal Code </w:t>
      </w:r>
      <w:r>
        <w:t xml:space="preserve">section 321, but only if, when the offence was committed — </w:t>
      </w:r>
    </w:p>
    <w:p>
      <w:pPr>
        <w:pStyle w:val="Indenti"/>
      </w:pPr>
      <w:r>
        <w:tab/>
        <w:t>(i)</w:t>
      </w:r>
      <w:r>
        <w:tab/>
        <w:t>the offender was under the age of 18 years; and</w:t>
      </w:r>
    </w:p>
    <w:p>
      <w:pPr>
        <w:pStyle w:val="Indenti"/>
      </w:pPr>
      <w:r>
        <w:tab/>
        <w:t>(ii)</w:t>
      </w:r>
      <w:r>
        <w:tab/>
        <w:t>the child against whom the offence was committed was not under the care, supervision or authority of the offender;</w:t>
      </w:r>
    </w:p>
    <w:p>
      <w:pPr>
        <w:pStyle w:val="Indenta"/>
      </w:pPr>
      <w:r>
        <w:tab/>
        <w:t>(c)</w:t>
      </w:r>
      <w:r>
        <w:tab/>
        <w:t xml:space="preserve">an offence under </w:t>
      </w:r>
      <w:r>
        <w:rPr>
          <w:i/>
          <w:iCs/>
        </w:rPr>
        <w:t xml:space="preserve">The Criminal Code </w:t>
      </w:r>
      <w:r>
        <w:t>section 321A;</w:t>
      </w:r>
    </w:p>
    <w:p>
      <w:pPr>
        <w:pStyle w:val="Indenta"/>
      </w:pPr>
      <w:r>
        <w:tab/>
        <w:t>(d)</w:t>
      </w:r>
      <w:r>
        <w:tab/>
        <w:t xml:space="preserve">an offence under </w:t>
      </w:r>
      <w:r>
        <w:rPr>
          <w:i/>
          <w:iCs/>
        </w:rPr>
        <w:t xml:space="preserve">The Criminal Code </w:t>
      </w:r>
      <w:r>
        <w:t>section 323;</w:t>
      </w:r>
    </w:p>
    <w:p>
      <w:pPr>
        <w:pStyle w:val="Indenta"/>
      </w:pPr>
      <w:r>
        <w:tab/>
        <w:t>(e)</w:t>
      </w:r>
      <w:r>
        <w:tab/>
        <w:t xml:space="preserve">an offence under </w:t>
      </w:r>
      <w:r>
        <w:rPr>
          <w:i/>
          <w:iCs/>
        </w:rPr>
        <w:t xml:space="preserve">The Criminal Code </w:t>
      </w:r>
      <w:r>
        <w:t xml:space="preserve">section 324, but only if the </w:t>
      </w:r>
      <w:r>
        <w:rPr>
          <w:b/>
          <w:i/>
        </w:rPr>
        <w:t>circumstances of aggravation</w:t>
      </w:r>
      <w:r>
        <w:t xml:space="preserve">, as defined in </w:t>
      </w:r>
      <w:r>
        <w:rPr>
          <w:i/>
          <w:iCs/>
        </w:rPr>
        <w:t xml:space="preserve">The Criminal Code </w:t>
      </w:r>
      <w:r>
        <w:t>section 319(1), that applied to the offence were those circumstances described in paragraph (a)(ii) or (b) of that definition;</w:t>
      </w:r>
    </w:p>
    <w:p>
      <w:pPr>
        <w:pStyle w:val="Indenta"/>
      </w:pPr>
      <w:r>
        <w:tab/>
        <w:t>(f)</w:t>
      </w:r>
      <w:r>
        <w:tab/>
        <w:t xml:space="preserve">an offence under </w:t>
      </w:r>
      <w:r>
        <w:rPr>
          <w:i/>
          <w:iCs/>
        </w:rPr>
        <w:t xml:space="preserve">The Criminal Code </w:t>
      </w:r>
      <w:r>
        <w:t>section 329;</w:t>
      </w:r>
    </w:p>
    <w:p>
      <w:pPr>
        <w:pStyle w:val="Indenta"/>
        <w:rPr>
          <w:iCs/>
        </w:rPr>
      </w:pPr>
      <w:r>
        <w:tab/>
        <w:t>(g)</w:t>
      </w:r>
      <w:r>
        <w:tab/>
        <w:t xml:space="preserve">an offence under the </w:t>
      </w:r>
      <w:r>
        <w:rPr>
          <w:i/>
        </w:rPr>
        <w:t>Classification (Publications, Films and Computer Games) Enforcement Act 1996</w:t>
      </w:r>
      <w:r>
        <w:t xml:space="preserve"> </w:t>
      </w:r>
      <w:r>
        <w:rPr>
          <w:vertAlign w:val="superscript"/>
        </w:rPr>
        <w:t>3</w:t>
      </w:r>
      <w:r>
        <w:rPr>
          <w:i/>
          <w:iCs/>
        </w:rPr>
        <w:t xml:space="preserve"> </w:t>
      </w:r>
      <w:r>
        <w:t>section 60 (deleted);</w:t>
      </w:r>
    </w:p>
    <w:p>
      <w:pPr>
        <w:pStyle w:val="Indenta"/>
      </w:pPr>
      <w:r>
        <w:tab/>
        <w:t>(h)</w:t>
      </w:r>
      <w:r>
        <w:tab/>
        <w:t xml:space="preserve">an offence under the </w:t>
      </w:r>
      <w:r>
        <w:rPr>
          <w:i/>
        </w:rPr>
        <w:t>Classification (Publications, Films and Computer Games) Enforcement Act 1996</w:t>
      </w:r>
      <w:r>
        <w:rPr>
          <w:vertAlign w:val="superscript"/>
        </w:rPr>
        <w:t xml:space="preserve"> 3</w:t>
      </w:r>
      <w:r>
        <w:rPr>
          <w:i/>
          <w:iCs/>
        </w:rPr>
        <w:t xml:space="preserve"> </w:t>
      </w:r>
      <w:r>
        <w:t>section 101</w:t>
      </w:r>
      <w:r>
        <w:rPr>
          <w:iCs/>
        </w:rPr>
        <w:t>;</w:t>
      </w:r>
    </w:p>
    <w:p>
      <w:pPr>
        <w:pStyle w:val="Indenta"/>
      </w:pPr>
      <w:r>
        <w:tab/>
        <w:t>(i)</w:t>
      </w:r>
      <w:r>
        <w:tab/>
        <w:t xml:space="preserve">an offence under the </w:t>
      </w:r>
      <w:r>
        <w:rPr>
          <w:i/>
          <w:iCs/>
        </w:rPr>
        <w:t>Crimes Act 1914</w:t>
      </w:r>
      <w:r>
        <w:t xml:space="preserve"> of the Commonwealth section 50BA;</w:t>
      </w:r>
    </w:p>
    <w:p>
      <w:pPr>
        <w:pStyle w:val="Indenta"/>
      </w:pPr>
      <w:r>
        <w:tab/>
        <w:t>(j)</w:t>
      </w:r>
      <w:r>
        <w:tab/>
        <w:t xml:space="preserve">an offence under the </w:t>
      </w:r>
      <w:r>
        <w:rPr>
          <w:i/>
          <w:iCs/>
        </w:rPr>
        <w:t>Crimes Act 1914</w:t>
      </w:r>
      <w:r>
        <w:t xml:space="preserve"> of the Commonwealth section 50BC.</w:t>
      </w:r>
    </w:p>
    <w:p>
      <w:pPr>
        <w:pStyle w:val="Footnotesection"/>
      </w:pPr>
      <w:r>
        <w:tab/>
        <w:t>[Regulation 17 amended in Gazette 1 Jul 2011 p. 2747; 8 Nov 2013 p.</w:t>
      </w:r>
      <w:r>
        <w:rPr>
          <w:sz w:val="19"/>
        </w:rPr>
        <w:t> </w:t>
      </w:r>
      <w:r>
        <w:t>4997.]</w:t>
      </w:r>
    </w:p>
    <w:p>
      <w:pPr>
        <w:pStyle w:val="Heading5"/>
      </w:pPr>
      <w:bookmarkStart w:id="19" w:name="_Toc384380017"/>
      <w:r>
        <w:rPr>
          <w:rStyle w:val="CharSectno"/>
        </w:rPr>
        <w:t>18</w:t>
      </w:r>
      <w:r>
        <w:t>.</w:t>
      </w:r>
      <w:r>
        <w:tab/>
        <w:t>Sentences — approval by Commissioner of suspension of reporting obligations (s. 61)</w:t>
      </w:r>
      <w:bookmarkEnd w:id="19"/>
    </w:p>
    <w:p>
      <w:pPr>
        <w:pStyle w:val="Subsection"/>
      </w:pPr>
      <w:r>
        <w:tab/>
      </w:r>
      <w:r>
        <w:tab/>
        <w:t xml:space="preserve">For the purposes of section 61(1)(b) of the Act, the following sentences are prescribed — </w:t>
      </w:r>
    </w:p>
    <w:p>
      <w:pPr>
        <w:pStyle w:val="Indenta"/>
      </w:pPr>
      <w:r>
        <w:tab/>
        <w:t>(a)</w:t>
      </w:r>
      <w:r>
        <w:tab/>
        <w:t xml:space="preserve">an exercise of power under the </w:t>
      </w:r>
      <w:r>
        <w:rPr>
          <w:i/>
          <w:iCs/>
        </w:rPr>
        <w:t>Sentencing Act 1995</w:t>
      </w:r>
      <w:r>
        <w:t xml:space="preserve"> Part 6;</w:t>
      </w:r>
    </w:p>
    <w:p>
      <w:pPr>
        <w:pStyle w:val="Indenta"/>
      </w:pPr>
      <w:r>
        <w:tab/>
        <w:t>(b)</w:t>
      </w:r>
      <w:r>
        <w:tab/>
        <w:t xml:space="preserve">a conditional release order under the </w:t>
      </w:r>
      <w:r>
        <w:rPr>
          <w:i/>
          <w:iCs/>
        </w:rPr>
        <w:t>Sentencing Act 1995</w:t>
      </w:r>
      <w:r>
        <w:t xml:space="preserve"> Part 7;</w:t>
      </w:r>
    </w:p>
    <w:p>
      <w:pPr>
        <w:pStyle w:val="Indenta"/>
      </w:pPr>
      <w:r>
        <w:tab/>
        <w:t>(c)</w:t>
      </w:r>
      <w:r>
        <w:tab/>
        <w:t xml:space="preserve">a fine under the </w:t>
      </w:r>
      <w:r>
        <w:rPr>
          <w:i/>
          <w:iCs/>
        </w:rPr>
        <w:t>Sentencing Act 1995</w:t>
      </w:r>
      <w:r>
        <w:t xml:space="preserve"> Part 8;</w:t>
      </w:r>
    </w:p>
    <w:p>
      <w:pPr>
        <w:pStyle w:val="Indenta"/>
      </w:pPr>
      <w:r>
        <w:tab/>
        <w:t>(d)</w:t>
      </w:r>
      <w:r>
        <w:tab/>
        <w:t xml:space="preserve">a community based order under the </w:t>
      </w:r>
      <w:r>
        <w:rPr>
          <w:i/>
          <w:iCs/>
        </w:rPr>
        <w:t>Sentencing Act 1995</w:t>
      </w:r>
      <w:r>
        <w:t xml:space="preserve"> Part 9;</w:t>
      </w:r>
    </w:p>
    <w:p>
      <w:pPr>
        <w:pStyle w:val="Indenta"/>
      </w:pPr>
      <w:r>
        <w:tab/>
        <w:t>(e)</w:t>
      </w:r>
      <w:r>
        <w:tab/>
        <w:t xml:space="preserve">an exercise of power under the </w:t>
      </w:r>
      <w:r>
        <w:rPr>
          <w:i/>
          <w:iCs/>
        </w:rPr>
        <w:t>Young Offenders Act 1994</w:t>
      </w:r>
      <w:r>
        <w:t xml:space="preserve"> section 66, 67, 69 or 70;</w:t>
      </w:r>
    </w:p>
    <w:p>
      <w:pPr>
        <w:pStyle w:val="Indenta"/>
      </w:pPr>
      <w:r>
        <w:tab/>
        <w:t>(f)</w:t>
      </w:r>
      <w:r>
        <w:tab/>
        <w:t xml:space="preserve">a fine under the </w:t>
      </w:r>
      <w:r>
        <w:rPr>
          <w:i/>
          <w:iCs/>
        </w:rPr>
        <w:t>Young Offenders Act 1994</w:t>
      </w:r>
      <w:r>
        <w:t xml:space="preserve"> Part 7 Division 5;</w:t>
      </w:r>
    </w:p>
    <w:p>
      <w:pPr>
        <w:pStyle w:val="Indenta"/>
      </w:pPr>
      <w:r>
        <w:tab/>
        <w:t>(g)</w:t>
      </w:r>
      <w:r>
        <w:tab/>
        <w:t xml:space="preserve">a youth community based order under the </w:t>
      </w:r>
      <w:r>
        <w:rPr>
          <w:i/>
          <w:iCs/>
        </w:rPr>
        <w:t>Young Offenders Act 1994</w:t>
      </w:r>
      <w:r>
        <w:t xml:space="preserve"> Part 7 Division 6;</w:t>
      </w:r>
    </w:p>
    <w:p>
      <w:pPr>
        <w:pStyle w:val="Indenta"/>
      </w:pPr>
      <w:r>
        <w:tab/>
        <w:t>(h)</w:t>
      </w:r>
      <w:r>
        <w:tab/>
        <w:t xml:space="preserve">an intensive youth supervision order under the </w:t>
      </w:r>
      <w:r>
        <w:rPr>
          <w:i/>
        </w:rPr>
        <w:t xml:space="preserve">Young Offenders Act 1994 </w:t>
      </w:r>
      <w:r>
        <w:t>Part 7 Division 7 that is made without imposing on the offender a sentence of detention.</w:t>
      </w:r>
    </w:p>
    <w:p>
      <w:pPr>
        <w:pStyle w:val="Footnotesection"/>
      </w:pPr>
      <w:r>
        <w:tab/>
        <w:t>[Regulation 18 amended in Gazette 8 Nov 2013 p.</w:t>
      </w:r>
      <w:r>
        <w:rPr>
          <w:sz w:val="19"/>
        </w:rPr>
        <w:t> </w:t>
      </w:r>
      <w:r>
        <w:t>4998.]</w:t>
      </w:r>
    </w:p>
    <w:p>
      <w:pPr>
        <w:pStyle w:val="Heading5"/>
      </w:pPr>
      <w:bookmarkStart w:id="20" w:name="_Toc384380018"/>
      <w:r>
        <w:rPr>
          <w:rStyle w:val="CharSectno"/>
        </w:rPr>
        <w:t>19</w:t>
      </w:r>
      <w:r>
        <w:t>.</w:t>
      </w:r>
      <w:r>
        <w:tab/>
        <w:t>Persons required to give notice of reporting obligations etc. to reportable offenders (s. 67)</w:t>
      </w:r>
      <w:bookmarkEnd w:id="20"/>
    </w:p>
    <w:p>
      <w:pPr>
        <w:pStyle w:val="Subsection"/>
      </w:pPr>
      <w:r>
        <w:tab/>
      </w:r>
      <w:r>
        <w:tab/>
        <w:t xml:space="preserve">For the purposes of section 67(4) of the Act, the following persons are specified — </w:t>
      </w:r>
    </w:p>
    <w:p>
      <w:pPr>
        <w:pStyle w:val="Indenta"/>
      </w:pPr>
      <w:r>
        <w:tab/>
        <w:t>(a)</w:t>
      </w:r>
      <w:r>
        <w:tab/>
        <w:t>for a reportable offender who is sentenced for a reportable offence and enters government custody as a result of that sentence — an officer of the Department of Corrective Services, or other person, authorised in writing for the purposes of this paragraph by the chief executive officer of that department;</w:t>
      </w:r>
    </w:p>
    <w:p>
      <w:pPr>
        <w:pStyle w:val="Indenta"/>
      </w:pPr>
      <w:r>
        <w:tab/>
        <w:t>(b)</w:t>
      </w:r>
      <w:r>
        <w:tab/>
        <w:t>for a reportable offender who is present in court when sentenced for a reportable offence in the District Court and does not enter government custody as a result of that sentence — an officer of the District Court;</w:t>
      </w:r>
    </w:p>
    <w:p>
      <w:pPr>
        <w:pStyle w:val="Indenta"/>
      </w:pPr>
      <w:r>
        <w:tab/>
        <w:t>(c)</w:t>
      </w:r>
      <w:r>
        <w:tab/>
        <w:t>for a reportable offender who is not present in court when sentenced for a reportable offence in the District Court and does not enter government custody as a result of that sentence — the Commissioner;</w:t>
      </w:r>
    </w:p>
    <w:p>
      <w:pPr>
        <w:pStyle w:val="Indenta"/>
      </w:pPr>
      <w:r>
        <w:tab/>
        <w:t>(d)</w:t>
      </w:r>
      <w:r>
        <w:tab/>
        <w:t>for a reportable offender who is sentenced for a reportable offence in a court other than the District Court and does not enter government custody as a result of that sentence — the Commissioner;</w:t>
      </w:r>
    </w:p>
    <w:p>
      <w:pPr>
        <w:pStyle w:val="Indenta"/>
      </w:pPr>
      <w:r>
        <w:tab/>
        <w:t>(e)</w:t>
      </w:r>
      <w:r>
        <w:tab/>
        <w:t>for a reportable offender who is released from government custody (whether in government custody for a reportable offence or otherwise) — an officer of the Department of Corrective Services, or other person, authorised in writing for the purposes of this paragraph by the chief executive officer of that department;</w:t>
      </w:r>
    </w:p>
    <w:p>
      <w:pPr>
        <w:pStyle w:val="Indenta"/>
      </w:pPr>
      <w:r>
        <w:tab/>
        <w:t>(f)</w:t>
      </w:r>
      <w:r>
        <w:tab/>
        <w:t xml:space="preserve">for a reportable offender who enters </w:t>
      </w:r>
      <w:smartTag w:uri="urn:schemas-microsoft-com:office:smarttags" w:element="State">
        <w:r>
          <w:t>Western Australia</w:t>
        </w:r>
      </w:smartTag>
      <w:r>
        <w:t xml:space="preserve">, if he or she has not previously been given notice of his or her reporting obligations in </w:t>
      </w:r>
      <w:smartTag w:uri="urn:schemas-microsoft-com:office:smarttags" w:element="place">
        <w:smartTag w:uri="urn:schemas-microsoft-com:office:smarttags" w:element="State">
          <w:r>
            <w:t>Western Australia</w:t>
          </w:r>
        </w:smartTag>
      </w:smartTag>
      <w:r>
        <w:t> — the Commissioner;</w:t>
      </w:r>
    </w:p>
    <w:p>
      <w:pPr>
        <w:pStyle w:val="Indenta"/>
        <w:keepNext/>
      </w:pPr>
      <w:r>
        <w:tab/>
        <w:t>(g)</w:t>
      </w:r>
      <w:r>
        <w:tab/>
        <w:t xml:space="preserve">for a person who becomes a corresponding reportable offender, if he or she is in </w:t>
      </w:r>
      <w:smartTag w:uri="urn:schemas-microsoft-com:office:smarttags" w:element="place">
        <w:smartTag w:uri="urn:schemas-microsoft-com:office:smarttags" w:element="State">
          <w:r>
            <w:t>Western Australia</w:t>
          </w:r>
        </w:smartTag>
      </w:smartTag>
      <w:r>
        <w:t xml:space="preserve"> at that time — the Commissioner.</w:t>
      </w:r>
    </w:p>
    <w:p>
      <w:pPr>
        <w:pStyle w:val="Footnotesection"/>
      </w:pPr>
      <w:r>
        <w:tab/>
        <w:t>[Regulation 19 amended in Gazette 1 Jun 2007 p. 2528.]</w:t>
      </w:r>
    </w:p>
    <w:p>
      <w:pPr>
        <w:pStyle w:val="Heading5"/>
      </w:pPr>
      <w:bookmarkStart w:id="21" w:name="_Toc384380019"/>
      <w:r>
        <w:rPr>
          <w:rStyle w:val="CharSectno"/>
        </w:rPr>
        <w:t>20</w:t>
      </w:r>
      <w:r>
        <w:t>.</w:t>
      </w:r>
      <w:r>
        <w:tab/>
        <w:t>Details to be included in notice given by supervising authority to Commissioner (s. 70)</w:t>
      </w:r>
      <w:bookmarkEnd w:id="21"/>
    </w:p>
    <w:p>
      <w:pPr>
        <w:pStyle w:val="Subsection"/>
      </w:pPr>
      <w:r>
        <w:tab/>
      </w:r>
      <w:r>
        <w:tab/>
        <w:t xml:space="preserve">For the purposes of section 70(3) of the Act, the following details are prescribed — </w:t>
      </w:r>
    </w:p>
    <w:p>
      <w:pPr>
        <w:pStyle w:val="Indenta"/>
      </w:pPr>
      <w:r>
        <w:tab/>
        <w:t>(a)</w:t>
      </w:r>
      <w:r>
        <w:tab/>
        <w:t>the name of the reportable offender;</w:t>
      </w:r>
    </w:p>
    <w:p>
      <w:pPr>
        <w:pStyle w:val="Indenta"/>
        <w:keepNext/>
      </w:pPr>
      <w:r>
        <w:tab/>
        <w:t>(b)</w:t>
      </w:r>
      <w:r>
        <w:tab/>
        <w:t>the relevant event listed in section 70(1) of the Act that has occurred;</w:t>
      </w:r>
    </w:p>
    <w:p>
      <w:pPr>
        <w:pStyle w:val="Indenta"/>
      </w:pPr>
      <w:r>
        <w:tab/>
        <w:t>(c)</w:t>
      </w:r>
      <w:r>
        <w:tab/>
        <w:t>the date on which that event occurred;</w:t>
      </w:r>
    </w:p>
    <w:p>
      <w:pPr>
        <w:pStyle w:val="Indenta"/>
      </w:pPr>
      <w:r>
        <w:tab/>
        <w:t>(d)</w:t>
      </w:r>
      <w:r>
        <w:tab/>
        <w:t>the name, title and signature of the supervising authority who gives the notice;</w:t>
      </w:r>
    </w:p>
    <w:p>
      <w:pPr>
        <w:pStyle w:val="Indenta"/>
      </w:pPr>
      <w:r>
        <w:tab/>
        <w:t>(e)</w:t>
      </w:r>
      <w:r>
        <w:tab/>
        <w:t>the date on which the notice is given.</w:t>
      </w:r>
    </w:p>
    <w:p>
      <w:pPr>
        <w:pStyle w:val="Heading5"/>
      </w:pPr>
      <w:bookmarkStart w:id="22" w:name="_Toc384380020"/>
      <w:r>
        <w:rPr>
          <w:rStyle w:val="CharSectno"/>
        </w:rPr>
        <w:t>21</w:t>
      </w:r>
      <w:r>
        <w:t>.</w:t>
      </w:r>
      <w:r>
        <w:tab/>
        <w:t>Corresponding protection orders (s. 85)</w:t>
      </w:r>
      <w:bookmarkEnd w:id="22"/>
    </w:p>
    <w:p>
      <w:pPr>
        <w:pStyle w:val="Subsection"/>
      </w:pPr>
      <w:r>
        <w:tab/>
      </w:r>
      <w:r>
        <w:tab/>
        <w:t xml:space="preserve">Each of the following orders is prescribed to be a corresponding protection order for the purposes of the definition of that term in section 85 of the Act — </w:t>
      </w:r>
    </w:p>
    <w:p>
      <w:pPr>
        <w:pStyle w:val="Indenta"/>
      </w:pPr>
      <w:r>
        <w:tab/>
        <w:t>(aa)</w:t>
      </w:r>
      <w:r>
        <w:tab/>
        <w:t xml:space="preserve">a prohibition order made under the </w:t>
      </w:r>
      <w:r>
        <w:rPr>
          <w:i/>
        </w:rPr>
        <w:t>Crimes (Child Sex Offenders) Act 2005</w:t>
      </w:r>
      <w:r>
        <w:t xml:space="preserve"> (</w:t>
      </w:r>
      <w:smartTag w:uri="urn:schemas-microsoft-com:office:smarttags" w:element="place">
        <w:smartTag w:uri="urn:schemas-microsoft-com:office:smarttags" w:element="State">
          <w:r>
            <w:t>Australian Capital Territory</w:t>
          </w:r>
        </w:smartTag>
      </w:smartTag>
      <w:r>
        <w:t>) Part 5A.2;</w:t>
      </w:r>
    </w:p>
    <w:p>
      <w:pPr>
        <w:pStyle w:val="Indenta"/>
      </w:pPr>
      <w:r>
        <w:tab/>
        <w:t>(a)</w:t>
      </w:r>
      <w:r>
        <w:tab/>
        <w:t xml:space="preserve">an order made under the </w:t>
      </w:r>
      <w:r>
        <w:rPr>
          <w:i/>
          <w:iCs/>
        </w:rPr>
        <w:t>Child Protection (Offenders Prohibition Orders) Act 2004</w:t>
      </w:r>
      <w:r>
        <w:t xml:space="preserve"> of New South Wales Part 2;</w:t>
      </w:r>
    </w:p>
    <w:p>
      <w:pPr>
        <w:pStyle w:val="Indenta"/>
      </w:pPr>
      <w:r>
        <w:tab/>
        <w:t>(b)</w:t>
      </w:r>
      <w:r>
        <w:tab/>
        <w:t xml:space="preserve">a prohibition order made under the </w:t>
      </w:r>
      <w:r>
        <w:rPr>
          <w:i/>
          <w:iCs/>
        </w:rPr>
        <w:t>Child Protection (Offender Reporting and Registration) Act 2004</w:t>
      </w:r>
      <w:r>
        <w:t xml:space="preserve"> of the Northern Territory Part 5;</w:t>
      </w:r>
    </w:p>
    <w:p>
      <w:pPr>
        <w:pStyle w:val="Indenta"/>
      </w:pPr>
      <w:r>
        <w:tab/>
        <w:t>(c)</w:t>
      </w:r>
      <w:r>
        <w:tab/>
        <w:t xml:space="preserve">an offender prohibition order made under the </w:t>
      </w:r>
      <w:r>
        <w:rPr>
          <w:i/>
          <w:iCs/>
        </w:rPr>
        <w:t>Child Protection (Offender Prohibition Order) Act 2008</w:t>
      </w:r>
      <w:r>
        <w:t xml:space="preserve"> of Queensland Part 2, other than a temporary order made under Part 2 Division 2 of that Act;</w:t>
      </w:r>
    </w:p>
    <w:p>
      <w:pPr>
        <w:pStyle w:val="Indenta"/>
      </w:pPr>
      <w:r>
        <w:tab/>
        <w:t>(d)</w:t>
      </w:r>
      <w:r>
        <w:tab/>
        <w:t xml:space="preserve">a sexual offences prevention order made under the </w:t>
      </w:r>
      <w:r>
        <w:rPr>
          <w:i/>
          <w:iCs/>
        </w:rPr>
        <w:t>Sexual Offences Act 2003</w:t>
      </w:r>
      <w:r>
        <w:t xml:space="preserve"> (</w:t>
      </w:r>
      <w:smartTag w:uri="urn:schemas-microsoft-com:office:smarttags" w:element="place">
        <w:smartTag w:uri="urn:schemas-microsoft-com:office:smarttags" w:element="country-region">
          <w:r>
            <w:t>United Kingdom</w:t>
          </w:r>
        </w:smartTag>
      </w:smartTag>
      <w:r>
        <w:t>) section 104 or 105.</w:t>
      </w:r>
    </w:p>
    <w:p>
      <w:pPr>
        <w:pStyle w:val="Footnotesection"/>
      </w:pPr>
      <w:r>
        <w:tab/>
        <w:t>[Regulation 21 amended in Gazette 14 Nov 2008 p. 4878; 25 Nov 2008 p. 4990; 30 Nov 2012 p. 5802; 8 Nov 2013 p.</w:t>
      </w:r>
      <w:r>
        <w:rPr>
          <w:sz w:val="19"/>
        </w:rPr>
        <w:t> </w:t>
      </w:r>
      <w:r>
        <w:t>4998.]</w:t>
      </w:r>
    </w:p>
    <w:p>
      <w:pPr>
        <w:pStyle w:val="Heading5"/>
      </w:pPr>
      <w:bookmarkStart w:id="23" w:name="_Toc384380021"/>
      <w:r>
        <w:rPr>
          <w:rStyle w:val="CharSectno"/>
        </w:rPr>
        <w:t>22</w:t>
      </w:r>
      <w:r>
        <w:t>.</w:t>
      </w:r>
      <w:r>
        <w:tab/>
        <w:t>Application for recognition of corresponding protection orders (s. 108(2)(a))</w:t>
      </w:r>
      <w:bookmarkEnd w:id="23"/>
    </w:p>
    <w:p>
      <w:pPr>
        <w:pStyle w:val="Subsection"/>
      </w:pPr>
      <w:r>
        <w:tab/>
        <w:t>(1)</w:t>
      </w:r>
      <w:r>
        <w:tab/>
        <w:t xml:space="preserve">A police officer may, on behalf of the Commissioner, apply to the relevant court for the recognition in </w:t>
      </w:r>
      <w:smartTag w:uri="urn:schemas-microsoft-com:office:smarttags" w:element="place">
        <w:smartTag w:uri="urn:schemas-microsoft-com:office:smarttags" w:element="State">
          <w:r>
            <w:t>Western Australia</w:t>
          </w:r>
        </w:smartTag>
      </w:smartTag>
      <w:r>
        <w:t xml:space="preserve"> of a corresponding protection order.</w:t>
      </w:r>
    </w:p>
    <w:p>
      <w:pPr>
        <w:pStyle w:val="Subsection"/>
      </w:pPr>
      <w:r>
        <w:tab/>
        <w:t>(2)</w:t>
      </w:r>
      <w:r>
        <w:tab/>
        <w:t>An application does not need to be served on the person who is subject to the corresponding protection order.</w:t>
      </w:r>
    </w:p>
    <w:p>
      <w:pPr>
        <w:pStyle w:val="Footnotesection"/>
      </w:pPr>
      <w:r>
        <w:tab/>
        <w:t>[Regulation 22 inserted in Gazette 1 Jun 2007 p. 2526; amended in Gazette 8 Nov 2013 p.</w:t>
      </w:r>
      <w:r>
        <w:rPr>
          <w:sz w:val="19"/>
        </w:rPr>
        <w:t> </w:t>
      </w:r>
      <w:r>
        <w:t>4998.]</w:t>
      </w:r>
    </w:p>
    <w:p>
      <w:pPr>
        <w:pStyle w:val="Heading5"/>
      </w:pPr>
      <w:bookmarkStart w:id="24" w:name="_Toc384380022"/>
      <w:r>
        <w:rPr>
          <w:rStyle w:val="CharSectno"/>
        </w:rPr>
        <w:t>23</w:t>
      </w:r>
      <w:r>
        <w:t>.</w:t>
      </w:r>
      <w:r>
        <w:tab/>
        <w:t>Recognition of corresponding protection orders (s. 108(2)(b))</w:t>
      </w:r>
      <w:bookmarkEnd w:id="24"/>
    </w:p>
    <w:p>
      <w:pPr>
        <w:pStyle w:val="Subsection"/>
      </w:pPr>
      <w:r>
        <w:tab/>
        <w:t>(1)</w:t>
      </w:r>
      <w:r>
        <w:tab/>
        <w:t>If an application is made under regulation 22, the relevant court is to recognise the corresponding protection order that is the subject of the application.</w:t>
      </w:r>
    </w:p>
    <w:p>
      <w:pPr>
        <w:pStyle w:val="Subsection"/>
      </w:pPr>
      <w:r>
        <w:tab/>
        <w:t>(2)</w:t>
      </w:r>
      <w:r>
        <w:tab/>
        <w:t xml:space="preserve">When the relevant court recognises a corresponding protection order, the registrar is to — </w:t>
      </w:r>
    </w:p>
    <w:p>
      <w:pPr>
        <w:pStyle w:val="Indenta"/>
      </w:pPr>
      <w:r>
        <w:tab/>
        <w:t>(a)</w:t>
      </w:r>
      <w:r>
        <w:tab/>
        <w:t xml:space="preserve">notify — </w:t>
      </w:r>
    </w:p>
    <w:p>
      <w:pPr>
        <w:pStyle w:val="Indenti"/>
      </w:pPr>
      <w:r>
        <w:tab/>
        <w:t>(i)</w:t>
      </w:r>
      <w:r>
        <w:tab/>
        <w:t>the foreign court in which the recognised order was made; and</w:t>
      </w:r>
    </w:p>
    <w:p>
      <w:pPr>
        <w:pStyle w:val="Indenti"/>
      </w:pPr>
      <w:r>
        <w:tab/>
        <w:t>(ii)</w:t>
      </w:r>
      <w:r>
        <w:tab/>
        <w:t>the Commissioner; and</w:t>
      </w:r>
    </w:p>
    <w:p>
      <w:pPr>
        <w:pStyle w:val="Indenti"/>
      </w:pPr>
      <w:r>
        <w:tab/>
        <w:t>(iii)</w:t>
      </w:r>
      <w:r>
        <w:tab/>
        <w:t>the person who is subject to the recognised order,</w:t>
      </w:r>
    </w:p>
    <w:p>
      <w:pPr>
        <w:pStyle w:val="Indenta"/>
      </w:pPr>
      <w:r>
        <w:tab/>
      </w:r>
      <w:r>
        <w:tab/>
        <w:t>of that recognition; and</w:t>
      </w:r>
    </w:p>
    <w:p>
      <w:pPr>
        <w:pStyle w:val="Indenta"/>
      </w:pPr>
      <w:r>
        <w:tab/>
        <w:t>(b)</w:t>
      </w:r>
      <w:r>
        <w:tab/>
        <w:t>cause a copy of the recognised order to be delivered to the Commissioner.</w:t>
      </w:r>
    </w:p>
    <w:p>
      <w:pPr>
        <w:pStyle w:val="Footnotesection"/>
      </w:pPr>
      <w:r>
        <w:tab/>
        <w:t>[Regulation 23 inserted in Gazette 1 Jun 2007 p. 2526</w:t>
      </w:r>
      <w:r>
        <w:noBreakHyphen/>
        <w:t>7; amended in Gazette 8 Nov 2013 p.</w:t>
      </w:r>
      <w:r>
        <w:rPr>
          <w:sz w:val="19"/>
        </w:rPr>
        <w:t> </w:t>
      </w:r>
      <w:r>
        <w:t>4999.]</w:t>
      </w:r>
    </w:p>
    <w:p>
      <w:pPr>
        <w:pStyle w:val="Heading5"/>
      </w:pPr>
      <w:bookmarkStart w:id="25" w:name="_Toc384380023"/>
      <w:r>
        <w:rPr>
          <w:rStyle w:val="CharSectno"/>
        </w:rPr>
        <w:t>24</w:t>
      </w:r>
      <w:r>
        <w:t>.</w:t>
      </w:r>
      <w:r>
        <w:tab/>
        <w:t>Effect of recognition of corresponding protection orders (s. 108(2)(d))</w:t>
      </w:r>
      <w:bookmarkEnd w:id="25"/>
    </w:p>
    <w:p>
      <w:pPr>
        <w:pStyle w:val="Subsection"/>
      </w:pPr>
      <w:r>
        <w:tab/>
        <w:t>(1)</w:t>
      </w:r>
      <w:r>
        <w:tab/>
        <w:t xml:space="preserve">A recognised order operates in </w:t>
      </w:r>
      <w:smartTag w:uri="urn:schemas-microsoft-com:office:smarttags" w:element="place">
        <w:smartTag w:uri="urn:schemas-microsoft-com:office:smarttags" w:element="State">
          <w:r>
            <w:t>Western Australia</w:t>
          </w:r>
        </w:smartTag>
      </w:smartTag>
      <w:r>
        <w:t xml:space="preserve"> as if it were a child protection order made under Part 5 of the Act — </w:t>
      </w:r>
    </w:p>
    <w:p>
      <w:pPr>
        <w:pStyle w:val="Indenta"/>
      </w:pPr>
      <w:r>
        <w:tab/>
        <w:t>(a)</w:t>
      </w:r>
      <w:r>
        <w:tab/>
        <w:t>with the terms (including as to its duration) set out in the recognised order or applying to it under the law under which it was made; and</w:t>
      </w:r>
    </w:p>
    <w:p>
      <w:pPr>
        <w:pStyle w:val="Indenta"/>
        <w:keepNext/>
      </w:pPr>
      <w:r>
        <w:tab/>
        <w:t>(b)</w:t>
      </w:r>
      <w:r>
        <w:tab/>
        <w:t>from the day on which the recognition of the recognised order was notified to the person who is subject to it,</w:t>
      </w:r>
    </w:p>
    <w:p>
      <w:pPr>
        <w:pStyle w:val="Subsection"/>
      </w:pPr>
      <w:r>
        <w:tab/>
      </w:r>
      <w:r>
        <w:tab/>
        <w:t>and the provisions of the Act apply to the recognised order as if it were a child protection order.</w:t>
      </w:r>
    </w:p>
    <w:p>
      <w:pPr>
        <w:pStyle w:val="Subsection"/>
      </w:pPr>
      <w:r>
        <w:tab/>
        <w:t>(2)</w:t>
      </w:r>
      <w:r>
        <w:tab/>
        <w:t xml:space="preserve">Without limiting subregulation (1), for the purposes of applying Part 5 of the Act to a recognised order — </w:t>
      </w:r>
    </w:p>
    <w:p>
      <w:pPr>
        <w:pStyle w:val="Indenta"/>
        <w:spacing w:before="70"/>
      </w:pPr>
      <w:r>
        <w:tab/>
        <w:t>(a)</w:t>
      </w:r>
      <w:r>
        <w:tab/>
        <w:t>a reference in that Part to varying a child protection order is to be read as a reference to making an order varying the operation in Western Australia of the recognised order; and</w:t>
      </w:r>
    </w:p>
    <w:p>
      <w:pPr>
        <w:pStyle w:val="Indenta"/>
        <w:keepLines/>
        <w:spacing w:before="70"/>
      </w:pPr>
      <w:r>
        <w:tab/>
        <w:t>(b)</w:t>
      </w:r>
      <w:r>
        <w:tab/>
        <w:t>a reference in that Part to revoking a child protection order is to be read as a reference to making an order revoking the recognition of the recognised order.</w:t>
      </w:r>
    </w:p>
    <w:p>
      <w:pPr>
        <w:pStyle w:val="Subsection"/>
      </w:pPr>
      <w:r>
        <w:tab/>
        <w:t>(3)</w:t>
      </w:r>
      <w:r>
        <w:tab/>
        <w:t xml:space="preserve">In proceedings for failing to comply, in </w:t>
      </w:r>
      <w:smartTag w:uri="urn:schemas-microsoft-com:office:smarttags" w:element="place">
        <w:smartTag w:uri="urn:schemas-microsoft-com:office:smarttags" w:element="State">
          <w:r>
            <w:t>Western Australia</w:t>
          </w:r>
        </w:smartTag>
      </w:smartTag>
      <w:r>
        <w:t xml:space="preserve">, with a recognised order, no proof is required of — </w:t>
      </w:r>
    </w:p>
    <w:p>
      <w:pPr>
        <w:pStyle w:val="Indenta"/>
        <w:spacing w:before="70"/>
      </w:pPr>
      <w:r>
        <w:tab/>
        <w:t>(a)</w:t>
      </w:r>
      <w:r>
        <w:tab/>
        <w:t>the making of the recognised order or a variation of it that operates under regulation 25; or</w:t>
      </w:r>
    </w:p>
    <w:p>
      <w:pPr>
        <w:pStyle w:val="Indenta"/>
        <w:spacing w:before="70"/>
      </w:pPr>
      <w:r>
        <w:tab/>
        <w:t>(b)</w:t>
      </w:r>
      <w:r>
        <w:tab/>
        <w:t>the service of such an order or variation on the person who is subject to the order.</w:t>
      </w:r>
    </w:p>
    <w:p>
      <w:pPr>
        <w:pStyle w:val="Footnotesection"/>
      </w:pPr>
      <w:r>
        <w:tab/>
        <w:t>[Regulation 24 inserted in Gazette 1 Jun 2007 p. 2527; amended in Gazette 8 Nov 2013 p. 4999.]</w:t>
      </w:r>
    </w:p>
    <w:p>
      <w:pPr>
        <w:pStyle w:val="Heading5"/>
      </w:pPr>
      <w:bookmarkStart w:id="26" w:name="_Toc384380024"/>
      <w:r>
        <w:rPr>
          <w:rStyle w:val="CharSectno"/>
        </w:rPr>
        <w:t>25</w:t>
      </w:r>
      <w:r>
        <w:t>.</w:t>
      </w:r>
      <w:r>
        <w:tab/>
        <w:t>Variation or revocation of recognised order in a foreign jurisdiction</w:t>
      </w:r>
      <w:bookmarkEnd w:id="26"/>
    </w:p>
    <w:p>
      <w:pPr>
        <w:pStyle w:val="Subsection"/>
      </w:pPr>
      <w:r>
        <w:tab/>
        <w:t>(1)</w:t>
      </w:r>
      <w:r>
        <w:tab/>
        <w:t xml:space="preserve">If — </w:t>
      </w:r>
    </w:p>
    <w:p>
      <w:pPr>
        <w:pStyle w:val="Indenta"/>
      </w:pPr>
      <w:r>
        <w:tab/>
        <w:t>(a)</w:t>
      </w:r>
      <w:r>
        <w:tab/>
        <w:t>a recognised order is varied by a foreign court of the foreign jurisdiction in which the order was made; and</w:t>
      </w:r>
    </w:p>
    <w:p>
      <w:pPr>
        <w:pStyle w:val="Indenta"/>
      </w:pPr>
      <w:r>
        <w:tab/>
        <w:t>(b)</w:t>
      </w:r>
      <w:r>
        <w:tab/>
        <w:t>notice of the variation is given to the registrar of the relevant court by an officer of the foreign court,</w:t>
      </w:r>
    </w:p>
    <w:p>
      <w:pPr>
        <w:pStyle w:val="Subsection"/>
      </w:pPr>
      <w:r>
        <w:tab/>
      </w:r>
      <w:r>
        <w:tab/>
        <w:t>the variation operates in Western Australia as if the recognised order, as varied, was recognised under regulation 23 on the day on which the registrar received notice of the variation.</w:t>
      </w:r>
    </w:p>
    <w:p>
      <w:pPr>
        <w:pStyle w:val="Subsection"/>
        <w:keepNext/>
      </w:pPr>
      <w:r>
        <w:tab/>
        <w:t>(2)</w:t>
      </w:r>
      <w:r>
        <w:tab/>
        <w:t xml:space="preserve">If — </w:t>
      </w:r>
    </w:p>
    <w:p>
      <w:pPr>
        <w:pStyle w:val="Indenta"/>
      </w:pPr>
      <w:r>
        <w:tab/>
        <w:t>(a)</w:t>
      </w:r>
      <w:r>
        <w:tab/>
        <w:t>a recognised order is revoked by a foreign court of the foreign jurisdiction in which the order was made; and</w:t>
      </w:r>
    </w:p>
    <w:p>
      <w:pPr>
        <w:pStyle w:val="Indenta"/>
      </w:pPr>
      <w:r>
        <w:tab/>
        <w:t>(b)</w:t>
      </w:r>
      <w:r>
        <w:tab/>
        <w:t>notice of the revocation is given to the registrar of the relevant court by an officer of the foreign court,</w:t>
      </w:r>
    </w:p>
    <w:p>
      <w:pPr>
        <w:pStyle w:val="Subsection"/>
      </w:pPr>
      <w:r>
        <w:tab/>
      </w:r>
      <w:r>
        <w:tab/>
        <w:t xml:space="preserve">the recognition in </w:t>
      </w:r>
      <w:smartTag w:uri="urn:schemas-microsoft-com:office:smarttags" w:element="place">
        <w:smartTag w:uri="urn:schemas-microsoft-com:office:smarttags" w:element="State">
          <w:r>
            <w:t>Western Australia</w:t>
          </w:r>
        </w:smartTag>
      </w:smartTag>
      <w:r>
        <w:t xml:space="preserve"> of the recognised order is revoked from the day on which the registrar receives notice of the revocation.</w:t>
      </w:r>
    </w:p>
    <w:p>
      <w:pPr>
        <w:pStyle w:val="Subsection"/>
      </w:pPr>
      <w:r>
        <w:tab/>
        <w:t>(3)</w:t>
      </w:r>
      <w:r>
        <w:tab/>
        <w:t>A registrar who is given notice of the variation or revocation of a recognised order by a foreign court is to notify the Commissioner accordingly.</w:t>
      </w:r>
    </w:p>
    <w:p>
      <w:pPr>
        <w:pStyle w:val="Footnotesection"/>
      </w:pPr>
      <w:r>
        <w:tab/>
        <w:t>[Regulation 25 inserted in Gazette 1 Jun 2007 p. 2527</w:t>
      </w:r>
      <w:r>
        <w:noBreakHyphen/>
        <w:t>8.]</w:t>
      </w:r>
    </w:p>
    <w:p>
      <w:pPr>
        <w:pStyle w:val="Heading5"/>
      </w:pPr>
      <w:bookmarkStart w:id="27" w:name="_Toc384380025"/>
      <w:r>
        <w:rPr>
          <w:rStyle w:val="CharSectno"/>
        </w:rPr>
        <w:t>26A</w:t>
      </w:r>
      <w:r>
        <w:t>.</w:t>
      </w:r>
      <w:r>
        <w:tab/>
        <w:t>Authorisation of absences from assessment or treatment (s. 94A(5)(a))</w:t>
      </w:r>
      <w:bookmarkEnd w:id="27"/>
    </w:p>
    <w:p>
      <w:pPr>
        <w:pStyle w:val="Subsection"/>
      </w:pPr>
      <w:r>
        <w:tab/>
        <w:t>(1)</w:t>
      </w:r>
      <w:r>
        <w:tab/>
        <w:t xml:space="preserve">A reportable offender who is required by an order of the Commissioner to undergo assessment or treatment under section 94A(1) of the Act may request the Commissioner to authorise his or her absence from assessment or treatment if — </w:t>
      </w:r>
    </w:p>
    <w:p>
      <w:pPr>
        <w:pStyle w:val="Indenta"/>
      </w:pPr>
      <w:r>
        <w:tab/>
        <w:t>(a)</w:t>
      </w:r>
      <w:r>
        <w:tab/>
        <w:t>the reportable offender has an illness or an injury which prevents him or her from undergoing the assessment or treatment; or</w:t>
      </w:r>
    </w:p>
    <w:p>
      <w:pPr>
        <w:pStyle w:val="Indenta"/>
      </w:pPr>
      <w:r>
        <w:tab/>
        <w:t>(b)</w:t>
      </w:r>
      <w:r>
        <w:tab/>
        <w:t xml:space="preserve">the reportable offender is otherwise unable to attend the assessment or treatment. </w:t>
      </w:r>
    </w:p>
    <w:p>
      <w:pPr>
        <w:pStyle w:val="Subsection"/>
      </w:pPr>
      <w:r>
        <w:tab/>
        <w:t>(2)</w:t>
      </w:r>
      <w:r>
        <w:tab/>
        <w:t xml:space="preserve">The Commissioner may authorise an absence in accordance with a request under subregulation (1)(a) if — </w:t>
      </w:r>
    </w:p>
    <w:p>
      <w:pPr>
        <w:pStyle w:val="Indenta"/>
        <w:spacing w:before="70"/>
      </w:pPr>
      <w:r>
        <w:tab/>
        <w:t>(a)</w:t>
      </w:r>
      <w:r>
        <w:tab/>
        <w:t xml:space="preserve">the reportable offender provides the Commissioner with a medical certificate from a medical practitioner — </w:t>
      </w:r>
    </w:p>
    <w:p>
      <w:pPr>
        <w:pStyle w:val="Indenti"/>
        <w:spacing w:before="70"/>
      </w:pPr>
      <w:r>
        <w:tab/>
        <w:t>(i)</w:t>
      </w:r>
      <w:r>
        <w:tab/>
        <w:t>describing the reportable offender’s illness or injury; and</w:t>
      </w:r>
    </w:p>
    <w:p>
      <w:pPr>
        <w:pStyle w:val="Indenti"/>
        <w:spacing w:before="70"/>
      </w:pPr>
      <w:r>
        <w:tab/>
        <w:t>(ii)</w:t>
      </w:r>
      <w:r>
        <w:tab/>
        <w:t>stating the period of time in which the reportable offender is expected to be ill or injured;</w:t>
      </w:r>
    </w:p>
    <w:p>
      <w:pPr>
        <w:pStyle w:val="Indenta"/>
        <w:spacing w:before="70"/>
      </w:pPr>
      <w:r>
        <w:tab/>
      </w:r>
      <w:r>
        <w:tab/>
        <w:t>and</w:t>
      </w:r>
    </w:p>
    <w:p>
      <w:pPr>
        <w:pStyle w:val="Indenta"/>
        <w:spacing w:before="70"/>
      </w:pPr>
      <w:r>
        <w:tab/>
        <w:t>(b)</w:t>
      </w:r>
      <w:r>
        <w:tab/>
        <w:t>the Commissioner is satisfied that the reportable offender is ill or injured; and</w:t>
      </w:r>
    </w:p>
    <w:p>
      <w:pPr>
        <w:pStyle w:val="Indenta"/>
        <w:spacing w:before="70"/>
      </w:pPr>
      <w:r>
        <w:tab/>
        <w:t>(c)</w:t>
      </w:r>
      <w:r>
        <w:tab/>
        <w:t>the Commissioner is satisfied that the illness or injury prevents the reportable offender from undergoing the assessment or treatment.</w:t>
      </w:r>
    </w:p>
    <w:p>
      <w:pPr>
        <w:pStyle w:val="Subsection"/>
      </w:pPr>
      <w:r>
        <w:tab/>
        <w:t>(3)</w:t>
      </w:r>
      <w:r>
        <w:tab/>
        <w:t>The Commissioner may authorise an absence in accordance with a request under subregulation (1)(b) if the Commissioner is satisfied that there are reasonable grounds for the absence.</w:t>
      </w:r>
    </w:p>
    <w:p>
      <w:pPr>
        <w:pStyle w:val="Subsection"/>
      </w:pPr>
      <w:r>
        <w:tab/>
        <w:t>(4)</w:t>
      </w:r>
      <w:r>
        <w:tab/>
        <w:t>A request made under subregulation (1) and an authorisation given under subregulation (2) or (3) must be in writing.</w:t>
      </w:r>
    </w:p>
    <w:p>
      <w:pPr>
        <w:pStyle w:val="Subsection"/>
      </w:pPr>
      <w:r>
        <w:tab/>
        <w:t>(5)</w:t>
      </w:r>
      <w:r>
        <w:tab/>
        <w:t>The Commissioner may authorise an absence under this regulation for the whole period of the assessment or treatment or for part of the period of assessment or treatment.</w:t>
      </w:r>
    </w:p>
    <w:p>
      <w:pPr>
        <w:pStyle w:val="Subsection"/>
      </w:pPr>
      <w:r>
        <w:tab/>
        <w:t>(6)</w:t>
      </w:r>
      <w:r>
        <w:tab/>
        <w:t>If required by the Commissioner to do so, a reportable offender making a request under this regulation must provide the Commissioner with further information in relation to the request.</w:t>
      </w:r>
    </w:p>
    <w:p>
      <w:pPr>
        <w:pStyle w:val="Subsection"/>
      </w:pPr>
      <w:r>
        <w:tab/>
        <w:t>(7)</w:t>
      </w:r>
      <w:r>
        <w:tab/>
        <w:t>The Commissioner may, by written notice given to the reportable offender, withdraw an authorisation given under subregulation (2) or (3).</w:t>
      </w:r>
    </w:p>
    <w:p>
      <w:pPr>
        <w:pStyle w:val="Footnotesection"/>
      </w:pPr>
      <w:r>
        <w:tab/>
        <w:t>[Regulation 26A inserted in Gazette 8 Nov 2013 p.</w:t>
      </w:r>
      <w:r>
        <w:rPr>
          <w:sz w:val="19"/>
        </w:rPr>
        <w:t> </w:t>
      </w:r>
      <w:r>
        <w:t>4999</w:t>
      </w:r>
      <w:r>
        <w:noBreakHyphen/>
        <w:t>5001.]</w:t>
      </w:r>
    </w:p>
    <w:p>
      <w:pPr>
        <w:pStyle w:val="Heading5"/>
      </w:pPr>
      <w:bookmarkStart w:id="28" w:name="_Toc384380026"/>
      <w:r>
        <w:rPr>
          <w:rStyle w:val="CharSectno"/>
        </w:rPr>
        <w:t>26B</w:t>
      </w:r>
      <w:r>
        <w:t>.</w:t>
      </w:r>
      <w:r>
        <w:tab/>
        <w:t>Reports by persons providing assessment or administering treatment (s. 94A(5)(c))</w:t>
      </w:r>
      <w:bookmarkEnd w:id="28"/>
    </w:p>
    <w:p>
      <w:pPr>
        <w:pStyle w:val="Subsection"/>
      </w:pPr>
      <w:r>
        <w:tab/>
        <w:t>(1)</w:t>
      </w:r>
      <w:r>
        <w:tab/>
        <w:t xml:space="preserve">A person providing assessment for the purposes of a protection order under section 94A of the Act must report to the Commissioner — </w:t>
      </w:r>
    </w:p>
    <w:p>
      <w:pPr>
        <w:pStyle w:val="Indenta"/>
      </w:pPr>
      <w:r>
        <w:tab/>
        <w:t>(a)</w:t>
      </w:r>
      <w:r>
        <w:tab/>
        <w:t>if treatment is recommended for the reportable offender, the type of treatment recommended; and</w:t>
      </w:r>
    </w:p>
    <w:p>
      <w:pPr>
        <w:pStyle w:val="Indenta"/>
      </w:pPr>
      <w:r>
        <w:tab/>
        <w:t>(b)</w:t>
      </w:r>
      <w:r>
        <w:tab/>
        <w:t>the reason why the recommended treatment is, or may be, appropriate.</w:t>
      </w:r>
    </w:p>
    <w:p>
      <w:pPr>
        <w:pStyle w:val="Subsection"/>
      </w:pPr>
      <w:r>
        <w:tab/>
        <w:t>(2)</w:t>
      </w:r>
      <w:r>
        <w:tab/>
        <w:t>A person providing a report to the Commissioner under subregulation (1) must provide the report as soon as reasonably practicable after making the assessment.</w:t>
      </w:r>
    </w:p>
    <w:p>
      <w:pPr>
        <w:pStyle w:val="Subsection"/>
      </w:pPr>
      <w:r>
        <w:tab/>
        <w:t>(3)</w:t>
      </w:r>
      <w:r>
        <w:tab/>
        <w:t xml:space="preserve">A person administering treatment for the purposes of a protection order under section 94A of the Act must report to the Commissioner — </w:t>
      </w:r>
    </w:p>
    <w:p>
      <w:pPr>
        <w:pStyle w:val="Indenta"/>
      </w:pPr>
      <w:r>
        <w:tab/>
        <w:t>(a)</w:t>
      </w:r>
      <w:r>
        <w:tab/>
        <w:t>the type of treatment being administered; and</w:t>
      </w:r>
    </w:p>
    <w:p>
      <w:pPr>
        <w:pStyle w:val="Indenta"/>
      </w:pPr>
      <w:r>
        <w:tab/>
        <w:t>(b)</w:t>
      </w:r>
      <w:r>
        <w:tab/>
        <w:t>whether the intended outcome of the treatment is being, or has been, achieved.</w:t>
      </w:r>
    </w:p>
    <w:p>
      <w:pPr>
        <w:pStyle w:val="Subsection"/>
      </w:pPr>
      <w:r>
        <w:tab/>
        <w:t>(4)</w:t>
      </w:r>
      <w:r>
        <w:tab/>
        <w:t xml:space="preserve">A person providing a report to the Commissioner under subregulation (3) must provide the report as soon as reasonably practicable — </w:t>
      </w:r>
    </w:p>
    <w:p>
      <w:pPr>
        <w:pStyle w:val="Indenta"/>
      </w:pPr>
      <w:r>
        <w:tab/>
        <w:t>(a)</w:t>
      </w:r>
      <w:r>
        <w:tab/>
        <w:t>after receiving a request for the report from the Commissioner; or</w:t>
      </w:r>
    </w:p>
    <w:p>
      <w:pPr>
        <w:pStyle w:val="Indenta"/>
      </w:pPr>
      <w:r>
        <w:tab/>
        <w:t>(b)</w:t>
      </w:r>
      <w:r>
        <w:tab/>
        <w:t>after the completion of the course of treatment.</w:t>
      </w:r>
    </w:p>
    <w:p>
      <w:pPr>
        <w:pStyle w:val="Subsection"/>
      </w:pPr>
      <w:r>
        <w:tab/>
        <w:t>(5)</w:t>
      </w:r>
      <w:r>
        <w:tab/>
        <w:t>A report provided under this regulation must be in writing.</w:t>
      </w:r>
    </w:p>
    <w:p>
      <w:pPr>
        <w:pStyle w:val="Footnotesection"/>
      </w:pPr>
      <w:r>
        <w:tab/>
        <w:t>[Regulation 26B inserted in Gazette 8 Nov 2013 p.</w:t>
      </w:r>
      <w:r>
        <w:rPr>
          <w:sz w:val="19"/>
        </w:rPr>
        <w:t> </w:t>
      </w:r>
      <w:r>
        <w:t>5001.]</w:t>
      </w:r>
    </w:p>
    <w:p>
      <w:pPr>
        <w:pStyle w:val="Heading5"/>
      </w:pPr>
      <w:bookmarkStart w:id="29" w:name="_Toc384380027"/>
      <w:r>
        <w:rPr>
          <w:rStyle w:val="CharSectno"/>
        </w:rPr>
        <w:t>26C</w:t>
      </w:r>
      <w:r>
        <w:t>.</w:t>
      </w:r>
      <w:r>
        <w:tab/>
        <w:t>Manner of making requirement to give a sample (s. 94B(8)(a))</w:t>
      </w:r>
      <w:bookmarkEnd w:id="29"/>
    </w:p>
    <w:p>
      <w:pPr>
        <w:pStyle w:val="Subsection"/>
      </w:pPr>
      <w:r>
        <w:tab/>
        <w:t>(1)</w:t>
      </w:r>
      <w:r>
        <w:tab/>
        <w:t xml:space="preserve">In this regulation — </w:t>
      </w:r>
    </w:p>
    <w:p>
      <w:pPr>
        <w:pStyle w:val="Defstart"/>
      </w:pPr>
      <w:r>
        <w:tab/>
      </w:r>
      <w:r>
        <w:rPr>
          <w:rStyle w:val="CharDefText"/>
        </w:rPr>
        <w:t>approved form</w:t>
      </w:r>
      <w:r>
        <w:t xml:space="preserve"> means a form approved by the Commissioner.</w:t>
      </w:r>
    </w:p>
    <w:p>
      <w:pPr>
        <w:pStyle w:val="Subsection"/>
      </w:pPr>
      <w:r>
        <w:tab/>
        <w:t>(2)</w:t>
      </w:r>
      <w:r>
        <w:tab/>
        <w:t>A requirement under section 94B(2)(a) of the Act in relation to a breath test may be made by an authorised police officer verbally directing the reportable offender to give a sample of his or her breath for the purposes of the breath test.</w:t>
      </w:r>
    </w:p>
    <w:p>
      <w:pPr>
        <w:pStyle w:val="Subsection"/>
        <w:spacing w:before="120"/>
      </w:pPr>
      <w:r>
        <w:tab/>
        <w:t>(3)</w:t>
      </w:r>
      <w:r>
        <w:tab/>
        <w:t xml:space="preserve">Without limiting section 94B(3) of the Act, a requirement under section 94B(2)(b) of the Act in relation to blood or urine analysis may be made — </w:t>
      </w:r>
    </w:p>
    <w:p>
      <w:pPr>
        <w:pStyle w:val="Indenta"/>
      </w:pPr>
      <w:r>
        <w:tab/>
        <w:t>(a)</w:t>
      </w:r>
      <w:r>
        <w:tab/>
        <w:t>by an authorised police officer verbally directing the reportable offender to give a sample of his or her blood or urine for the purposes of the analysis; or</w:t>
      </w:r>
    </w:p>
    <w:p>
      <w:pPr>
        <w:pStyle w:val="Indenta"/>
      </w:pPr>
      <w:r>
        <w:tab/>
        <w:t>(b)</w:t>
      </w:r>
      <w:r>
        <w:tab/>
        <w:t>by an authorised police officer giving a notice in the approved form to the reportable offender.</w:t>
      </w:r>
    </w:p>
    <w:p>
      <w:pPr>
        <w:pStyle w:val="Footnotesection"/>
        <w:spacing w:before="100"/>
      </w:pPr>
      <w:r>
        <w:tab/>
        <w:t>[Regulation 26C inserted in Gazette 8 Nov 2013 p.</w:t>
      </w:r>
      <w:r>
        <w:rPr>
          <w:sz w:val="19"/>
        </w:rPr>
        <w:t> </w:t>
      </w:r>
      <w:r>
        <w:t>5002.]</w:t>
      </w:r>
    </w:p>
    <w:p>
      <w:pPr>
        <w:pStyle w:val="Heading5"/>
      </w:pPr>
      <w:bookmarkStart w:id="30" w:name="_Toc384380028"/>
      <w:r>
        <w:rPr>
          <w:rStyle w:val="CharSectno"/>
        </w:rPr>
        <w:t>26D</w:t>
      </w:r>
      <w:r>
        <w:t>.</w:t>
      </w:r>
      <w:r>
        <w:tab/>
        <w:t>Manner of conducting breath test (s. 94B(8)(b))</w:t>
      </w:r>
      <w:bookmarkEnd w:id="30"/>
    </w:p>
    <w:p>
      <w:pPr>
        <w:pStyle w:val="Subsection"/>
        <w:spacing w:before="120"/>
      </w:pPr>
      <w:r>
        <w:tab/>
        <w:t>(1)</w:t>
      </w:r>
      <w:r>
        <w:tab/>
        <w:t xml:space="preserve">In this regulation — </w:t>
      </w:r>
    </w:p>
    <w:p>
      <w:pPr>
        <w:pStyle w:val="Defstart"/>
        <w:spacing w:before="60"/>
      </w:pPr>
      <w:r>
        <w:tab/>
      </w:r>
      <w:r>
        <w:rPr>
          <w:rStyle w:val="CharDefText"/>
        </w:rPr>
        <w:t>authorised breath tester</w:t>
      </w:r>
      <w:r>
        <w:t xml:space="preserve"> means a person certified under a written law by the chief executive officer of the Chemistry Centre (WA) as being competent to operate all types of breath testing equipment.</w:t>
      </w:r>
    </w:p>
    <w:p>
      <w:pPr>
        <w:pStyle w:val="Subsection"/>
        <w:spacing w:before="120"/>
      </w:pPr>
      <w:r>
        <w:tab/>
        <w:t>(2)</w:t>
      </w:r>
      <w:r>
        <w:tab/>
        <w:t>A breath test may be conducted only by an authorised breath tester in the presence of an authorised police officer.</w:t>
      </w:r>
    </w:p>
    <w:p>
      <w:pPr>
        <w:pStyle w:val="Subsection"/>
        <w:spacing w:before="120"/>
      </w:pPr>
      <w:r>
        <w:tab/>
        <w:t>(3)</w:t>
      </w:r>
      <w:r>
        <w:tab/>
        <w:t xml:space="preserve">A sample of a reportable offender’s breath may only be tested for the purposes of a breath test — </w:t>
      </w:r>
    </w:p>
    <w:p>
      <w:pPr>
        <w:pStyle w:val="Indenta"/>
        <w:spacing w:before="60"/>
      </w:pPr>
      <w:r>
        <w:tab/>
        <w:t>(a)</w:t>
      </w:r>
      <w:r>
        <w:tab/>
        <w:t>by breath testing equipment, other than self</w:t>
      </w:r>
      <w:r>
        <w:noBreakHyphen/>
        <w:t>testing breath analysing equipment, that is operated in accordance with the instructions set out in the Breath Analysis Regulations Second Schedule Part 1; or</w:t>
      </w:r>
    </w:p>
    <w:p>
      <w:pPr>
        <w:pStyle w:val="Indenta"/>
        <w:spacing w:before="60"/>
      </w:pPr>
      <w:r>
        <w:tab/>
        <w:t>(b)</w:t>
      </w:r>
      <w:r>
        <w:tab/>
        <w:t>by self</w:t>
      </w:r>
      <w:r>
        <w:noBreakHyphen/>
        <w:t>testing breath analysing equipment that is operated in accordance with the instructions set out in the Breath Analysis Regulations Second Schedule Part 3.</w:t>
      </w:r>
    </w:p>
    <w:p>
      <w:pPr>
        <w:pStyle w:val="Subsection"/>
        <w:spacing w:before="120"/>
      </w:pPr>
      <w:r>
        <w:tab/>
        <w:t>(4)</w:t>
      </w:r>
      <w:r>
        <w:tab/>
        <w:t>A reportable offender who is directed under regulation 26C(2) to give a sample of breath for a breath test must comply with the directions of an authorised breath tester in relation to the giving of the sample.</w:t>
      </w:r>
    </w:p>
    <w:p>
      <w:pPr>
        <w:pStyle w:val="Subsection"/>
      </w:pPr>
      <w:r>
        <w:tab/>
        <w:t>(5)</w:t>
      </w:r>
      <w:r>
        <w:tab/>
        <w:t>A person who fails to comply with subregulation (4) commits an offence.</w:t>
      </w:r>
    </w:p>
    <w:p>
      <w:pPr>
        <w:pStyle w:val="Penstart"/>
      </w:pPr>
      <w:r>
        <w:tab/>
        <w:t>Penalty: a fine of $2 000.</w:t>
      </w:r>
    </w:p>
    <w:p>
      <w:pPr>
        <w:pStyle w:val="Subsection"/>
      </w:pPr>
      <w:r>
        <w:tab/>
        <w:t>(6)</w:t>
      </w:r>
      <w:r>
        <w:tab/>
        <w:t>As soon as is practicable after conducting a breath test, an authorised breath tester must give a written certificate of the result of the breath test to the reportable offender to whom the result relates.</w:t>
      </w:r>
    </w:p>
    <w:p>
      <w:pPr>
        <w:pStyle w:val="Subsection"/>
      </w:pPr>
      <w:r>
        <w:tab/>
        <w:t>(7)</w:t>
      </w:r>
      <w:r>
        <w:tab/>
        <w:t>Subregulation (6) does not apply to a breath test conducted by self</w:t>
      </w:r>
      <w:r>
        <w:noBreakHyphen/>
        <w:t>testing breath analysing equipment.</w:t>
      </w:r>
    </w:p>
    <w:p>
      <w:pPr>
        <w:pStyle w:val="Subsection"/>
      </w:pPr>
      <w:r>
        <w:tab/>
        <w:t>(8)</w:t>
      </w:r>
      <w:r>
        <w:tab/>
        <w:t>A certificate given under subregulation (6) must be in the form of Schedule 1 Form 4.</w:t>
      </w:r>
    </w:p>
    <w:p>
      <w:pPr>
        <w:pStyle w:val="Footnotesection"/>
      </w:pPr>
      <w:r>
        <w:tab/>
        <w:t>[Regulation 26D inserted in Gazette 8 Nov 2013 p.</w:t>
      </w:r>
      <w:r>
        <w:rPr>
          <w:sz w:val="19"/>
        </w:rPr>
        <w:t> </w:t>
      </w:r>
      <w:r>
        <w:t>5002</w:t>
      </w:r>
      <w:r>
        <w:noBreakHyphen/>
        <w:t>3.]</w:t>
      </w:r>
    </w:p>
    <w:p>
      <w:pPr>
        <w:pStyle w:val="Heading5"/>
      </w:pPr>
      <w:bookmarkStart w:id="31" w:name="_Toc384380029"/>
      <w:r>
        <w:rPr>
          <w:rStyle w:val="CharSectno"/>
        </w:rPr>
        <w:t>26E</w:t>
      </w:r>
      <w:r>
        <w:t>.</w:t>
      </w:r>
      <w:r>
        <w:tab/>
        <w:t>Authorised sample collectors to take or collect samples (s. 94B(8)(b))</w:t>
      </w:r>
      <w:bookmarkEnd w:id="31"/>
    </w:p>
    <w:p>
      <w:pPr>
        <w:pStyle w:val="Subsection"/>
      </w:pPr>
      <w:r>
        <w:tab/>
        <w:t>(1)</w:t>
      </w:r>
      <w:r>
        <w:tab/>
        <w:t>If a reportable offender is required under section 94B(2)(b) of the Act to give a sample of his or her blood or urine for analysis, the sample may be taken or collected only by an authorised sample collector.</w:t>
      </w:r>
    </w:p>
    <w:p>
      <w:pPr>
        <w:pStyle w:val="Subsection"/>
      </w:pPr>
      <w:r>
        <w:tab/>
        <w:t>(2)</w:t>
      </w:r>
      <w:r>
        <w:tab/>
        <w:t>The taking or collecting of a sample under section 94B(2)(b) of the Act must be done by the least painful method that is known or available to the person taking or collecting the sample.</w:t>
      </w:r>
    </w:p>
    <w:p>
      <w:pPr>
        <w:pStyle w:val="Footnotesection"/>
      </w:pPr>
      <w:r>
        <w:tab/>
        <w:t>[Regulation 26E inserted in Gazette 8 Nov 2013 p.</w:t>
      </w:r>
      <w:r>
        <w:rPr>
          <w:sz w:val="19"/>
        </w:rPr>
        <w:t> </w:t>
      </w:r>
      <w:r>
        <w:t>5003</w:t>
      </w:r>
      <w:r>
        <w:noBreakHyphen/>
        <w:t>4.]</w:t>
      </w:r>
    </w:p>
    <w:p>
      <w:pPr>
        <w:pStyle w:val="Heading5"/>
      </w:pPr>
      <w:bookmarkStart w:id="32" w:name="_Toc384380030"/>
      <w:r>
        <w:rPr>
          <w:rStyle w:val="CharSectno"/>
        </w:rPr>
        <w:t>26F</w:t>
      </w:r>
      <w:r>
        <w:t>.</w:t>
      </w:r>
      <w:r>
        <w:tab/>
        <w:t>Manner of taking sample of blood or collecting sample of urine (s. 94B(8)(b))</w:t>
      </w:r>
      <w:bookmarkEnd w:id="32"/>
    </w:p>
    <w:p>
      <w:pPr>
        <w:pStyle w:val="Subsection"/>
      </w:pPr>
      <w:r>
        <w:tab/>
        <w:t>(1)</w:t>
      </w:r>
      <w:r>
        <w:tab/>
        <w:t xml:space="preserve">In this regulation — </w:t>
      </w:r>
    </w:p>
    <w:p>
      <w:pPr>
        <w:pStyle w:val="Defstart"/>
      </w:pPr>
      <w:r>
        <w:tab/>
      </w:r>
      <w:r>
        <w:rPr>
          <w:rStyle w:val="CharDefText"/>
        </w:rPr>
        <w:t>blood sampling equipment</w:t>
      </w:r>
      <w:r>
        <w:t xml:space="preserve"> means — </w:t>
      </w:r>
    </w:p>
    <w:p>
      <w:pPr>
        <w:pStyle w:val="Defpara"/>
      </w:pPr>
      <w:r>
        <w:tab/>
        <w:t>(a)</w:t>
      </w:r>
      <w:r>
        <w:tab/>
        <w:t>a sterile syringe with a capacity of approximately 30 ml; and</w:t>
      </w:r>
    </w:p>
    <w:p>
      <w:pPr>
        <w:pStyle w:val="Defpara"/>
      </w:pPr>
      <w:r>
        <w:tab/>
        <w:t>(b)</w:t>
      </w:r>
      <w:r>
        <w:tab/>
        <w:t>a sterile needle to be attached to the syringe; and</w:t>
      </w:r>
    </w:p>
    <w:p>
      <w:pPr>
        <w:pStyle w:val="Defpara"/>
      </w:pPr>
      <w:r>
        <w:tab/>
        <w:t>(c)</w:t>
      </w:r>
      <w:r>
        <w:tab/>
        <w:t xml:space="preserve">2 sterile bottles, each of which — </w:t>
      </w:r>
    </w:p>
    <w:p>
      <w:pPr>
        <w:pStyle w:val="Defsubpara"/>
      </w:pPr>
      <w:r>
        <w:tab/>
        <w:t>(i)</w:t>
      </w:r>
      <w:r>
        <w:tab/>
        <w:t>is numbered with the serial number of the package referred to in regulation 26G(2)(c); and</w:t>
      </w:r>
    </w:p>
    <w:p>
      <w:pPr>
        <w:pStyle w:val="Defsubpara"/>
      </w:pPr>
      <w:r>
        <w:tab/>
        <w:t>(ii)</w:t>
      </w:r>
      <w:r>
        <w:tab/>
        <w:t>contains approximately 25 mg of potassium oxalate and 10 mg of sodium fluoride; and</w:t>
      </w:r>
    </w:p>
    <w:p>
      <w:pPr>
        <w:pStyle w:val="Defsubpara"/>
      </w:pPr>
      <w:r>
        <w:tab/>
        <w:t>(iii)</w:t>
      </w:r>
      <w:r>
        <w:tab/>
        <w:t>is closed with a cap fitted with a rubber disk;</w:t>
      </w:r>
    </w:p>
    <w:p>
      <w:pPr>
        <w:pStyle w:val="Indenta"/>
      </w:pPr>
      <w:r>
        <w:tab/>
      </w:r>
      <w:r>
        <w:tab/>
        <w:t>and</w:t>
      </w:r>
    </w:p>
    <w:p>
      <w:pPr>
        <w:pStyle w:val="Defpara"/>
      </w:pPr>
      <w:r>
        <w:tab/>
        <w:t>(d)</w:t>
      </w:r>
      <w:r>
        <w:tab/>
        <w:t>a container containing a solution of one part mercury bichloride to 1 000 parts distilled water; and</w:t>
      </w:r>
    </w:p>
    <w:p>
      <w:pPr>
        <w:pStyle w:val="Defpara"/>
      </w:pPr>
      <w:r>
        <w:tab/>
        <w:t>(e)</w:t>
      </w:r>
      <w:r>
        <w:tab/>
        <w:t>2 swabs of cotton wool; and</w:t>
      </w:r>
    </w:p>
    <w:p>
      <w:pPr>
        <w:pStyle w:val="Defpara"/>
      </w:pPr>
      <w:r>
        <w:tab/>
        <w:t>(f)</w:t>
      </w:r>
      <w:r>
        <w:tab/>
        <w:t>a pair of disposable gloves;</w:t>
      </w:r>
    </w:p>
    <w:p>
      <w:pPr>
        <w:pStyle w:val="Defstart"/>
      </w:pPr>
      <w:r>
        <w:tab/>
      </w:r>
      <w:r>
        <w:rPr>
          <w:rStyle w:val="CharDefText"/>
        </w:rPr>
        <w:t>sample</w:t>
      </w:r>
      <w:r>
        <w:t xml:space="preserve"> means a sample of blood or urine;</w:t>
      </w:r>
    </w:p>
    <w:p>
      <w:pPr>
        <w:pStyle w:val="Defstart"/>
        <w:keepNext/>
      </w:pPr>
      <w:r>
        <w:tab/>
      </w:r>
      <w:r>
        <w:rPr>
          <w:rStyle w:val="CharDefText"/>
        </w:rPr>
        <w:t>urine sampling equipment</w:t>
      </w:r>
      <w:r>
        <w:t xml:space="preserve"> means — </w:t>
      </w:r>
    </w:p>
    <w:p>
      <w:pPr>
        <w:pStyle w:val="Defpara"/>
      </w:pPr>
      <w:r>
        <w:tab/>
        <w:t>(a)</w:t>
      </w:r>
      <w:r>
        <w:tab/>
        <w:t>one container for collecting urine; and</w:t>
      </w:r>
    </w:p>
    <w:p>
      <w:pPr>
        <w:pStyle w:val="Defpara"/>
      </w:pPr>
      <w:r>
        <w:tab/>
        <w:t>(b)</w:t>
      </w:r>
      <w:r>
        <w:tab/>
        <w:t>2 specimen containers; and</w:t>
      </w:r>
    </w:p>
    <w:p>
      <w:pPr>
        <w:pStyle w:val="Defpara"/>
      </w:pPr>
      <w:r>
        <w:tab/>
        <w:t>(c)</w:t>
      </w:r>
      <w:r>
        <w:tab/>
        <w:t>one pair of disposable gloves.</w:t>
      </w:r>
    </w:p>
    <w:p>
      <w:pPr>
        <w:pStyle w:val="Subsection"/>
      </w:pPr>
      <w:r>
        <w:tab/>
        <w:t>(2)</w:t>
      </w:r>
      <w:r>
        <w:tab/>
        <w:t>An authorised sample collector may take or collect a sample under section 94B(2)(b) of the Act only if the authorised police officer who requires the reportable offender to give the sample has given the authorised sample collector a request in the form of Schedule 1 Form 5.</w:t>
      </w:r>
    </w:p>
    <w:p>
      <w:pPr>
        <w:pStyle w:val="Subsection"/>
      </w:pPr>
      <w:r>
        <w:tab/>
        <w:t>(3)</w:t>
      </w:r>
      <w:r>
        <w:tab/>
        <w:t>A reportable offender who is required to give a sample must comply with the directions of an authorised sample collector in relation to the taking or collecting of the sample.</w:t>
      </w:r>
    </w:p>
    <w:p>
      <w:pPr>
        <w:pStyle w:val="Subsection"/>
      </w:pPr>
      <w:r>
        <w:tab/>
        <w:t>(4)</w:t>
      </w:r>
      <w:r>
        <w:tab/>
        <w:t>A person who fails to comply with subregulation (3) commits an offence.</w:t>
      </w:r>
    </w:p>
    <w:p>
      <w:pPr>
        <w:pStyle w:val="Penstart"/>
      </w:pPr>
      <w:r>
        <w:tab/>
        <w:t>Penalty: a fine of $2 000.</w:t>
      </w:r>
    </w:p>
    <w:p>
      <w:pPr>
        <w:pStyle w:val="Subsection"/>
        <w:keepNext/>
      </w:pPr>
      <w:r>
        <w:tab/>
        <w:t>(5)</w:t>
      </w:r>
      <w:r>
        <w:tab/>
        <w:t xml:space="preserve">The authorised sample collector must take or collect a sufficient quantity of a sample from the reportable offender to enable — </w:t>
      </w:r>
    </w:p>
    <w:p>
      <w:pPr>
        <w:pStyle w:val="Indenta"/>
      </w:pPr>
      <w:r>
        <w:tab/>
        <w:t>(a)</w:t>
      </w:r>
      <w:r>
        <w:tab/>
        <w:t>approximately one half of the sample to be given to the reportable offender; and</w:t>
      </w:r>
    </w:p>
    <w:p>
      <w:pPr>
        <w:pStyle w:val="Indenta"/>
      </w:pPr>
      <w:r>
        <w:tab/>
        <w:t>(b)</w:t>
      </w:r>
      <w:r>
        <w:tab/>
        <w:t>approximately one half of the sample to be given to an authorised police officer; and</w:t>
      </w:r>
    </w:p>
    <w:p>
      <w:pPr>
        <w:pStyle w:val="Indenta"/>
      </w:pPr>
      <w:r>
        <w:tab/>
        <w:t>(c)</w:t>
      </w:r>
      <w:r>
        <w:tab/>
        <w:t>an analysis of the samples referred to in paragraphs (a) and (b) to be made.</w:t>
      </w:r>
    </w:p>
    <w:p>
      <w:pPr>
        <w:pStyle w:val="Subsection"/>
      </w:pPr>
      <w:r>
        <w:tab/>
        <w:t>(6)</w:t>
      </w:r>
      <w:r>
        <w:tab/>
        <w:t>A sample of blood may be taken only by means of blood sampling equipment.</w:t>
      </w:r>
    </w:p>
    <w:p>
      <w:pPr>
        <w:pStyle w:val="Subsection"/>
      </w:pPr>
      <w:r>
        <w:tab/>
        <w:t>(7)</w:t>
      </w:r>
      <w:r>
        <w:tab/>
        <w:t>A sample of urine may be collected only by means of urine sampling equipment.</w:t>
      </w:r>
    </w:p>
    <w:p>
      <w:pPr>
        <w:pStyle w:val="Footnotesection"/>
      </w:pPr>
      <w:r>
        <w:tab/>
        <w:t>[Regulation 26F inserted in Gazette 8 Nov 2013 p.</w:t>
      </w:r>
      <w:r>
        <w:rPr>
          <w:sz w:val="19"/>
        </w:rPr>
        <w:t> </w:t>
      </w:r>
      <w:r>
        <w:t>5004</w:t>
      </w:r>
      <w:r>
        <w:noBreakHyphen/>
        <w:t>6.]</w:t>
      </w:r>
    </w:p>
    <w:p>
      <w:pPr>
        <w:pStyle w:val="Heading5"/>
      </w:pPr>
      <w:bookmarkStart w:id="33" w:name="_Toc384380031"/>
      <w:r>
        <w:rPr>
          <w:rStyle w:val="CharSectno"/>
        </w:rPr>
        <w:t>26G</w:t>
      </w:r>
      <w:r>
        <w:t>.</w:t>
      </w:r>
      <w:r>
        <w:tab/>
        <w:t>Collection of samples (s. 94B(8)(e))</w:t>
      </w:r>
      <w:bookmarkEnd w:id="33"/>
    </w:p>
    <w:p>
      <w:pPr>
        <w:pStyle w:val="Subsection"/>
      </w:pPr>
      <w:r>
        <w:tab/>
        <w:t>(1)</w:t>
      </w:r>
      <w:r>
        <w:tab/>
        <w:t>This regulation applies to a sample of blood or urine taken or collected in accordance with regulation 26F.</w:t>
      </w:r>
    </w:p>
    <w:p>
      <w:pPr>
        <w:pStyle w:val="Subsection"/>
      </w:pPr>
      <w:r>
        <w:tab/>
        <w:t>(2)</w:t>
      </w:r>
      <w:r>
        <w:tab/>
        <w:t>If the sample taken is blood, the authorised sample collector must —</w:t>
      </w:r>
    </w:p>
    <w:p>
      <w:pPr>
        <w:pStyle w:val="Indenta"/>
      </w:pPr>
      <w:r>
        <w:tab/>
        <w:t>(a)</w:t>
      </w:r>
      <w:r>
        <w:tab/>
        <w:t>discharge approximately one half of the blood into one of the 2 sterile bottles in the blood sampling equipment and the balance of the blood into the second of those bottles; and</w:t>
      </w:r>
    </w:p>
    <w:p>
      <w:pPr>
        <w:pStyle w:val="Indenta"/>
      </w:pPr>
      <w:r>
        <w:tab/>
        <w:t>(b)</w:t>
      </w:r>
      <w:r>
        <w:tab/>
        <w:t>seal each of the sterile bottles; and</w:t>
      </w:r>
    </w:p>
    <w:p>
      <w:pPr>
        <w:pStyle w:val="Indenta"/>
      </w:pPr>
      <w:r>
        <w:tab/>
        <w:t>(c)</w:t>
      </w:r>
      <w:r>
        <w:tab/>
        <w:t>place each sterile bottle into its own serially numbered package.</w:t>
      </w:r>
    </w:p>
    <w:p>
      <w:pPr>
        <w:pStyle w:val="Subsection"/>
      </w:pPr>
      <w:r>
        <w:tab/>
        <w:t>(3)</w:t>
      </w:r>
      <w:r>
        <w:tab/>
        <w:t xml:space="preserve">If the sample collected is urine, the authorised sample collector must — </w:t>
      </w:r>
    </w:p>
    <w:p>
      <w:pPr>
        <w:pStyle w:val="Indenta"/>
      </w:pPr>
      <w:r>
        <w:tab/>
        <w:t>(a)</w:t>
      </w:r>
      <w:r>
        <w:tab/>
        <w:t>pour approximately one half of the urine into one of the specimen containers and the balance of the urine into the other specimen container; and</w:t>
      </w:r>
    </w:p>
    <w:p>
      <w:pPr>
        <w:pStyle w:val="Indenta"/>
      </w:pPr>
      <w:r>
        <w:tab/>
        <w:t>(b)</w:t>
      </w:r>
      <w:r>
        <w:tab/>
        <w:t>seal each of the specimen containers; and</w:t>
      </w:r>
    </w:p>
    <w:p>
      <w:pPr>
        <w:pStyle w:val="Indenta"/>
      </w:pPr>
      <w:r>
        <w:tab/>
        <w:t>(c)</w:t>
      </w:r>
      <w:r>
        <w:tab/>
        <w:t>place each specimen container into its own serially numbered package.</w:t>
      </w:r>
    </w:p>
    <w:p>
      <w:pPr>
        <w:pStyle w:val="Subsection"/>
      </w:pPr>
      <w:r>
        <w:tab/>
        <w:t>(4)</w:t>
      </w:r>
      <w:r>
        <w:tab/>
        <w:t xml:space="preserve">The authorised sample collector must — </w:t>
      </w:r>
    </w:p>
    <w:p>
      <w:pPr>
        <w:pStyle w:val="Indenta"/>
      </w:pPr>
      <w:r>
        <w:tab/>
        <w:t>(a)</w:t>
      </w:r>
      <w:r>
        <w:tab/>
        <w:t>seal each of the serially numbered packages by fixing a certificate, completed and signed by the authorised sample collector, over the opening of each package; and</w:t>
      </w:r>
    </w:p>
    <w:p>
      <w:pPr>
        <w:pStyle w:val="Indenta"/>
      </w:pPr>
      <w:r>
        <w:tab/>
        <w:t>(b)</w:t>
      </w:r>
      <w:r>
        <w:tab/>
        <w:t>give one of the sealed serially numbered packages referred to in paragraph (a) to the reportable offender from whom the sample was taken; and</w:t>
      </w:r>
    </w:p>
    <w:p>
      <w:pPr>
        <w:pStyle w:val="Indenta"/>
      </w:pPr>
      <w:r>
        <w:tab/>
        <w:t>(c)</w:t>
      </w:r>
      <w:r>
        <w:tab/>
        <w:t>give the other sealed serially numbered package to an authorised police officer.</w:t>
      </w:r>
    </w:p>
    <w:p>
      <w:pPr>
        <w:pStyle w:val="Subsection"/>
        <w:keepNext/>
      </w:pPr>
      <w:r>
        <w:tab/>
        <w:t>(5)</w:t>
      </w:r>
      <w:r>
        <w:tab/>
        <w:t>The certificate of the authorised sample collector referred to in subregulation (4)(a) must be in the form of Schedule 1 Form 6.</w:t>
      </w:r>
    </w:p>
    <w:p>
      <w:pPr>
        <w:pStyle w:val="Footnotesection"/>
      </w:pPr>
      <w:r>
        <w:tab/>
        <w:t>[Regulation 26G inserted in Gazette 8 Nov 2013 p.</w:t>
      </w:r>
      <w:r>
        <w:rPr>
          <w:sz w:val="19"/>
        </w:rPr>
        <w:t> </w:t>
      </w:r>
      <w:r>
        <w:t>5006</w:t>
      </w:r>
      <w:r>
        <w:noBreakHyphen/>
        <w:t>7.]</w:t>
      </w:r>
    </w:p>
    <w:p>
      <w:pPr>
        <w:pStyle w:val="Heading5"/>
      </w:pPr>
      <w:bookmarkStart w:id="34" w:name="_Toc384380032"/>
      <w:r>
        <w:rPr>
          <w:rStyle w:val="CharSectno"/>
        </w:rPr>
        <w:t>26H</w:t>
      </w:r>
      <w:r>
        <w:t>.</w:t>
      </w:r>
      <w:r>
        <w:tab/>
        <w:t>Authorisation of persons as analysts (s. 94B(8)(c))</w:t>
      </w:r>
      <w:bookmarkEnd w:id="34"/>
    </w:p>
    <w:p>
      <w:pPr>
        <w:pStyle w:val="Subsection"/>
      </w:pPr>
      <w:r>
        <w:tab/>
        <w:t>(1)</w:t>
      </w:r>
      <w:r>
        <w:tab/>
        <w:t xml:space="preserve">This regulation applies to — </w:t>
      </w:r>
    </w:p>
    <w:p>
      <w:pPr>
        <w:pStyle w:val="Indenta"/>
      </w:pPr>
      <w:r>
        <w:tab/>
        <w:t>(a)</w:t>
      </w:r>
      <w:r>
        <w:tab/>
        <w:t xml:space="preserve">in relation to the determination of the blood alcohol content in a sample of blood taken in accordance with regulation 26F, a person who has been certified by the chief executive officer of the Chemistry Centre (WA) as an analyst under the </w:t>
      </w:r>
      <w:r>
        <w:rPr>
          <w:i/>
        </w:rPr>
        <w:t>Road Traffic Act 1974</w:t>
      </w:r>
      <w:r>
        <w:t xml:space="preserve"> section 65; or</w:t>
      </w:r>
    </w:p>
    <w:p>
      <w:pPr>
        <w:pStyle w:val="Indenta"/>
      </w:pPr>
      <w:r>
        <w:tab/>
        <w:t>(b)</w:t>
      </w:r>
      <w:r>
        <w:tab/>
        <w:t xml:space="preserve">in relation to the determination of whether drugs are present in a sample of blood or urine taken or collected in accordance with regulation 26F, a person who has been certified by the chief executive officer of the Chemistry Centre (WA) as a drugs analyst under the </w:t>
      </w:r>
      <w:r>
        <w:rPr>
          <w:i/>
        </w:rPr>
        <w:t>Road Traffic Act 1974</w:t>
      </w:r>
      <w:r>
        <w:t xml:space="preserve"> section 65.</w:t>
      </w:r>
    </w:p>
    <w:p>
      <w:pPr>
        <w:pStyle w:val="Subsection"/>
      </w:pPr>
      <w:r>
        <w:tab/>
        <w:t>(2)</w:t>
      </w:r>
      <w:r>
        <w:tab/>
        <w:t>A person to whom this regulation applies is authorised as an analyst for the purposes of section 94B of the Act.</w:t>
      </w:r>
    </w:p>
    <w:p>
      <w:pPr>
        <w:pStyle w:val="Footnotesection"/>
      </w:pPr>
      <w:r>
        <w:tab/>
        <w:t>[Regulation 26H inserted in Gazette 8 Nov 2013 p.</w:t>
      </w:r>
      <w:r>
        <w:rPr>
          <w:sz w:val="19"/>
        </w:rPr>
        <w:t> </w:t>
      </w:r>
      <w:r>
        <w:t>5007.]</w:t>
      </w:r>
    </w:p>
    <w:p>
      <w:pPr>
        <w:pStyle w:val="Heading5"/>
      </w:pPr>
      <w:bookmarkStart w:id="35" w:name="_Toc384380033"/>
      <w:r>
        <w:rPr>
          <w:rStyle w:val="CharSectno"/>
        </w:rPr>
        <w:t>26I</w:t>
      </w:r>
      <w:r>
        <w:t>.</w:t>
      </w:r>
      <w:r>
        <w:tab/>
        <w:t>Reporting results of analysis (s. 94B(8)(d))</w:t>
      </w:r>
      <w:bookmarkEnd w:id="35"/>
    </w:p>
    <w:p>
      <w:pPr>
        <w:pStyle w:val="Subsection"/>
      </w:pPr>
      <w:r>
        <w:tab/>
        <w:t>(1)</w:t>
      </w:r>
      <w:r>
        <w:tab/>
        <w:t>This regulation applies to a sample of blood or urine taken or collected in accordance with regulation 26F.</w:t>
      </w:r>
    </w:p>
    <w:p>
      <w:pPr>
        <w:pStyle w:val="Subsection"/>
      </w:pPr>
      <w:r>
        <w:tab/>
        <w:t>(2)</w:t>
      </w:r>
      <w:r>
        <w:tab/>
        <w:t xml:space="preserve">When a sample of blood or urine has been analysed by an analyst to determine the blood alcohol content or the presence of drugs, the analyst must give a written certificate of the result of the analysis to — </w:t>
      </w:r>
    </w:p>
    <w:p>
      <w:pPr>
        <w:pStyle w:val="Indenta"/>
      </w:pPr>
      <w:r>
        <w:tab/>
        <w:t>(a)</w:t>
      </w:r>
      <w:r>
        <w:tab/>
        <w:t>the reportable offender to whom the result relates; and</w:t>
      </w:r>
    </w:p>
    <w:p>
      <w:pPr>
        <w:pStyle w:val="Indenta"/>
      </w:pPr>
      <w:r>
        <w:tab/>
        <w:t>(b)</w:t>
      </w:r>
      <w:r>
        <w:tab/>
        <w:t>the Commissioner.</w:t>
      </w:r>
    </w:p>
    <w:p>
      <w:pPr>
        <w:pStyle w:val="Subsection"/>
        <w:keepNext/>
      </w:pPr>
      <w:r>
        <w:tab/>
        <w:t>(3)</w:t>
      </w:r>
      <w:r>
        <w:tab/>
        <w:t>A certificate given under subregulation (2) must be in the form of Schedule 1 Form 7.</w:t>
      </w:r>
    </w:p>
    <w:p>
      <w:pPr>
        <w:pStyle w:val="Footnotesection"/>
      </w:pPr>
      <w:r>
        <w:tab/>
        <w:t>[Regulation 26I inserted in Gazette 8 Nov 2013 p.</w:t>
      </w:r>
      <w:r>
        <w:rPr>
          <w:sz w:val="19"/>
        </w:rPr>
        <w:t> </w:t>
      </w:r>
      <w:r>
        <w:t>5007</w:t>
      </w:r>
      <w:r>
        <w:noBreakHyphen/>
        <w:t>8.]</w:t>
      </w:r>
    </w:p>
    <w:p>
      <w:pPr>
        <w:pStyle w:val="Heading5"/>
      </w:pPr>
      <w:bookmarkStart w:id="36" w:name="_Toc384380034"/>
      <w:r>
        <w:rPr>
          <w:rStyle w:val="CharSectno"/>
        </w:rPr>
        <w:t>26J</w:t>
      </w:r>
      <w:r>
        <w:t>.</w:t>
      </w:r>
      <w:r>
        <w:tab/>
        <w:t>Testing of equipment used in conducting breath tests (s. 94B(8)(g))</w:t>
      </w:r>
      <w:bookmarkEnd w:id="36"/>
    </w:p>
    <w:p>
      <w:pPr>
        <w:pStyle w:val="Subsection"/>
      </w:pPr>
      <w:r>
        <w:tab/>
      </w:r>
      <w:r>
        <w:tab/>
        <w:t>Breath testing equipment, other than self</w:t>
      </w:r>
      <w:r>
        <w:noBreakHyphen/>
        <w:t>testing breath analysing equipment, is to be taken to be in proper working order if the breath testing equipment is in proper working order in accordance with the Breath Analysis Regulations regulation 6.</w:t>
      </w:r>
    </w:p>
    <w:p>
      <w:pPr>
        <w:pStyle w:val="Footnotesection"/>
      </w:pPr>
      <w:r>
        <w:tab/>
        <w:t>[Regulation 26J inserted in Gazette 8 Nov 2013 p.</w:t>
      </w:r>
      <w:r>
        <w:rPr>
          <w:sz w:val="19"/>
        </w:rPr>
        <w:t> </w:t>
      </w:r>
      <w:r>
        <w:t>5008.]</w:t>
      </w:r>
    </w:p>
    <w:p>
      <w:pPr>
        <w:pStyle w:val="Heading5"/>
      </w:pPr>
      <w:bookmarkStart w:id="37" w:name="_Toc384380035"/>
      <w:r>
        <w:rPr>
          <w:rStyle w:val="CharSectno"/>
        </w:rPr>
        <w:t>26K</w:t>
      </w:r>
      <w:r>
        <w:t>.</w:t>
      </w:r>
      <w:r>
        <w:tab/>
        <w:t>Certificate evidence (s. 94B(8)(i))</w:t>
      </w:r>
      <w:bookmarkEnd w:id="37"/>
    </w:p>
    <w:p>
      <w:pPr>
        <w:pStyle w:val="Subsection"/>
      </w:pPr>
      <w:r>
        <w:tab/>
      </w:r>
      <w:r>
        <w:tab/>
        <w:t xml:space="preserve">In a proceeding for an offence against section 101 of the Act, and in the absence of proof to the contrary, any of the following certificates is evidence of the matters certified in it — </w:t>
      </w:r>
    </w:p>
    <w:p>
      <w:pPr>
        <w:pStyle w:val="Indenta"/>
      </w:pPr>
      <w:r>
        <w:tab/>
        <w:t>(a)</w:t>
      </w:r>
      <w:r>
        <w:tab/>
        <w:t>a certificate purporting to be signed by the chief executive officer of the Chemistry Centre (WA) certifying that a named person is, or was at a particular time, an authorised breath tester;</w:t>
      </w:r>
    </w:p>
    <w:p>
      <w:pPr>
        <w:pStyle w:val="Indenta"/>
      </w:pPr>
      <w:r>
        <w:tab/>
        <w:t>(b)</w:t>
      </w:r>
      <w:r>
        <w:tab/>
        <w:t>a certificate purporting to be signed by the chief executive officer of the Chemistry Centre (WA) certifying that a named person is, or was at a particular time, an analyst;</w:t>
      </w:r>
    </w:p>
    <w:p>
      <w:pPr>
        <w:pStyle w:val="Indenta"/>
      </w:pPr>
      <w:r>
        <w:tab/>
        <w:t>(c)</w:t>
      </w:r>
      <w:r>
        <w:tab/>
        <w:t xml:space="preserve">a certificate purporting to be signed by an authorised breath tester certifying — </w:t>
      </w:r>
    </w:p>
    <w:p>
      <w:pPr>
        <w:pStyle w:val="Indenti"/>
      </w:pPr>
      <w:r>
        <w:tab/>
        <w:t>(i)</w:t>
      </w:r>
      <w:r>
        <w:tab/>
        <w:t>that a sample of breath was given by a named person; and</w:t>
      </w:r>
    </w:p>
    <w:p>
      <w:pPr>
        <w:pStyle w:val="Indenti"/>
      </w:pPr>
      <w:r>
        <w:tab/>
        <w:t>(ii)</w:t>
      </w:r>
      <w:r>
        <w:tab/>
        <w:t>that the sample was given at a specified date and time; and</w:t>
      </w:r>
    </w:p>
    <w:p>
      <w:pPr>
        <w:pStyle w:val="Indenti"/>
      </w:pPr>
      <w:r>
        <w:tab/>
        <w:t>(iii)</w:t>
      </w:r>
      <w:r>
        <w:tab/>
        <w:t>that the sample was tested in accordance with regulation 26D; and</w:t>
      </w:r>
    </w:p>
    <w:p>
      <w:pPr>
        <w:pStyle w:val="Indenti"/>
      </w:pPr>
      <w:r>
        <w:tab/>
        <w:t>(iv)</w:t>
      </w:r>
      <w:r>
        <w:tab/>
        <w:t>the result obtained from the test;</w:t>
      </w:r>
    </w:p>
    <w:p>
      <w:pPr>
        <w:pStyle w:val="Indenta"/>
        <w:keepNext/>
      </w:pPr>
      <w:r>
        <w:tab/>
        <w:t>(d)</w:t>
      </w:r>
      <w:r>
        <w:tab/>
        <w:t xml:space="preserve">a certificate purporting to be signed by an authorised sample collector certifying that a sample of blood or urine — </w:t>
      </w:r>
    </w:p>
    <w:p>
      <w:pPr>
        <w:pStyle w:val="Indenti"/>
      </w:pPr>
      <w:r>
        <w:tab/>
        <w:t>(i)</w:t>
      </w:r>
      <w:r>
        <w:tab/>
        <w:t>was taken or collected from a named person; and</w:t>
      </w:r>
    </w:p>
    <w:p>
      <w:pPr>
        <w:pStyle w:val="Indenti"/>
      </w:pPr>
      <w:r>
        <w:tab/>
        <w:t>(ii)</w:t>
      </w:r>
      <w:r>
        <w:tab/>
        <w:t>was taken or collected at a specified date and time; and</w:t>
      </w:r>
    </w:p>
    <w:p>
      <w:pPr>
        <w:pStyle w:val="Indenti"/>
      </w:pPr>
      <w:r>
        <w:tab/>
        <w:t>(iii)</w:t>
      </w:r>
      <w:r>
        <w:tab/>
        <w:t>was taken or collected in accordance with regulation 26F; and</w:t>
      </w:r>
    </w:p>
    <w:p>
      <w:pPr>
        <w:pStyle w:val="Indenti"/>
      </w:pPr>
      <w:r>
        <w:tab/>
        <w:t>(iv)</w:t>
      </w:r>
      <w:r>
        <w:tab/>
        <w:t>was sealed in a package with a specified serial number in accordance with regulation 26G;</w:t>
      </w:r>
    </w:p>
    <w:p>
      <w:pPr>
        <w:pStyle w:val="Indenta"/>
      </w:pPr>
      <w:r>
        <w:tab/>
        <w:t>(e)</w:t>
      </w:r>
      <w:r>
        <w:tab/>
        <w:t xml:space="preserve">a certificate purporting to be signed by an analyst certifying — </w:t>
      </w:r>
    </w:p>
    <w:p>
      <w:pPr>
        <w:pStyle w:val="Indenti"/>
      </w:pPr>
      <w:r>
        <w:tab/>
        <w:t>(i)</w:t>
      </w:r>
      <w:r>
        <w:tab/>
        <w:t>the name of the analyst who analysed the sample of blood or urine; and</w:t>
      </w:r>
    </w:p>
    <w:p>
      <w:pPr>
        <w:pStyle w:val="Indenti"/>
      </w:pPr>
      <w:r>
        <w:tab/>
        <w:t>(ii)</w:t>
      </w:r>
      <w:r>
        <w:tab/>
        <w:t>the kind of sample that was analysed; and</w:t>
      </w:r>
    </w:p>
    <w:p>
      <w:pPr>
        <w:pStyle w:val="Indenti"/>
      </w:pPr>
      <w:r>
        <w:tab/>
        <w:t>(iii)</w:t>
      </w:r>
      <w:r>
        <w:tab/>
        <w:t>the result obtained from the analysis of the sample.</w:t>
      </w:r>
    </w:p>
    <w:p>
      <w:pPr>
        <w:pStyle w:val="Footnotesection"/>
      </w:pPr>
      <w:r>
        <w:tab/>
        <w:t>[Regulation 26K inserted in Gazette 8 Nov 2013 p.</w:t>
      </w:r>
      <w:r>
        <w:rPr>
          <w:sz w:val="19"/>
        </w:rPr>
        <w:t> </w:t>
      </w:r>
      <w:r>
        <w:t>5008</w:t>
      </w:r>
      <w:r>
        <w:noBreakHyphen/>
        <w:t>9.]</w:t>
      </w:r>
    </w:p>
    <w:p>
      <w:pPr>
        <w:pStyle w:val="Heading5"/>
        <w:spacing w:before="800"/>
      </w:pPr>
      <w:bookmarkStart w:id="38" w:name="_Toc384380036"/>
      <w:r>
        <w:rPr>
          <w:rStyle w:val="CharSectno"/>
        </w:rPr>
        <w:t>26</w:t>
      </w:r>
      <w:r>
        <w:t>.</w:t>
      </w:r>
      <w:r>
        <w:tab/>
        <w:t>Forms</w:t>
      </w:r>
      <w:bookmarkEnd w:id="38"/>
    </w:p>
    <w:p>
      <w:pPr>
        <w:pStyle w:val="Subsection"/>
      </w:pPr>
      <w:r>
        <w:tab/>
      </w:r>
      <w:r>
        <w:tab/>
        <w:t>The forms set out in Schedule 1 are prescribed in relation to the matters specified in those forms.</w:t>
      </w:r>
    </w:p>
    <w:p>
      <w:pPr>
        <w:pStyle w:val="Footnotesection"/>
      </w:pPr>
      <w:r>
        <w:tab/>
        <w:t>[Regulation 26 inserted in Gazette 1 Jun 2007 p. 2528.]</w:t>
      </w:r>
    </w:p>
    <w:p>
      <w:pPr>
        <w:sectPr>
          <w:headerReference w:type="even" r:id="rId24"/>
          <w:headerReference w:type="default" r:id="rId25"/>
          <w:footerReference w:type="even" r:id="rId26"/>
          <w:footerReference w:type="default" r:id="rId27"/>
          <w:headerReference w:type="first" r:id="rId28"/>
          <w:footerReference w:type="first" r:id="rId29"/>
          <w:endnotePr>
            <w:numFmt w:val="decimal"/>
          </w:endnotePr>
          <w:pgSz w:w="11906" w:h="16838" w:code="9"/>
          <w:pgMar w:top="2376" w:right="2405" w:bottom="3542" w:left="2405" w:header="706" w:footer="3380" w:gutter="0"/>
          <w:pgNumType w:start="1"/>
          <w:cols w:space="720"/>
          <w:noEndnote/>
          <w:titlePg/>
          <w:docGrid w:linePitch="326"/>
        </w:sectPr>
      </w:pPr>
    </w:p>
    <w:p>
      <w:pPr>
        <w:pStyle w:val="yScheduleHeading"/>
      </w:pPr>
      <w:bookmarkStart w:id="39" w:name="_Toc384380037"/>
      <w:r>
        <w:rPr>
          <w:rStyle w:val="CharSchNo"/>
        </w:rPr>
        <w:t>Schedule 1</w:t>
      </w:r>
      <w:r>
        <w:rPr>
          <w:rStyle w:val="CharSDivNo"/>
        </w:rPr>
        <w:t> </w:t>
      </w:r>
      <w:r>
        <w:t>—</w:t>
      </w:r>
      <w:r>
        <w:rPr>
          <w:rStyle w:val="CharSDivText"/>
        </w:rPr>
        <w:t> </w:t>
      </w:r>
      <w:r>
        <w:rPr>
          <w:rStyle w:val="CharSchText"/>
        </w:rPr>
        <w:t>Forms</w:t>
      </w:r>
      <w:bookmarkEnd w:id="39"/>
    </w:p>
    <w:p>
      <w:pPr>
        <w:pStyle w:val="yShoulderClause"/>
      </w:pPr>
      <w:r>
        <w:t>[r. 26]</w:t>
      </w:r>
    </w:p>
    <w:p>
      <w:pPr>
        <w:pStyle w:val="yFootnotesection"/>
      </w:pPr>
      <w:r>
        <w:tab/>
        <w:t>[Heading inserted in Gazette 9 Dec 2005 p. 5888; amended in Gazette 1 Jun 2007 p. 2528.]</w:t>
      </w:r>
    </w:p>
    <w:p>
      <w:pPr>
        <w:pStyle w:val="yHeading5"/>
        <w:spacing w:after="80"/>
      </w:pPr>
      <w:bookmarkStart w:id="40" w:name="_Toc384380038"/>
      <w:r>
        <w:rPr>
          <w:rStyle w:val="CharSClsNo"/>
        </w:rPr>
        <w:t>1</w:t>
      </w:r>
      <w:r>
        <w:t>.</w:t>
      </w:r>
      <w:r>
        <w:tab/>
        <w:t>Summons: Application for order</w:t>
      </w:r>
      <w:bookmarkEnd w:id="40"/>
    </w:p>
    <w:tbl>
      <w:tblPr>
        <w:tblW w:w="7080"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57" w:type="dxa"/>
          <w:bottom w:w="28" w:type="dxa"/>
          <w:right w:w="57" w:type="dxa"/>
        </w:tblCellMar>
        <w:tblLook w:val="0000" w:firstRow="0" w:lastRow="0" w:firstColumn="0" w:lastColumn="0" w:noHBand="0" w:noVBand="0"/>
      </w:tblPr>
      <w:tblGrid>
        <w:gridCol w:w="1200"/>
        <w:gridCol w:w="309"/>
        <w:gridCol w:w="3402"/>
        <w:gridCol w:w="2169"/>
      </w:tblGrid>
      <w:tr>
        <w:trPr>
          <w:cantSplit/>
        </w:trPr>
        <w:tc>
          <w:tcPr>
            <w:tcW w:w="4911" w:type="dxa"/>
            <w:gridSpan w:val="3"/>
            <w:vMerge w:val="restart"/>
            <w:shd w:val="clear" w:color="auto" w:fill="E6E6E6"/>
          </w:tcPr>
          <w:p>
            <w:pPr>
              <w:pStyle w:val="yTableNAm"/>
              <w:spacing w:before="60"/>
              <w:jc w:val="center"/>
              <w:rPr>
                <w:iCs/>
                <w:sz w:val="20"/>
              </w:rPr>
            </w:pPr>
            <w:r>
              <w:rPr>
                <w:i/>
                <w:iCs/>
                <w:sz w:val="20"/>
              </w:rPr>
              <w:t>Community Protection (Offender Reporting) Act 2004</w:t>
            </w:r>
          </w:p>
          <w:p>
            <w:pPr>
              <w:pStyle w:val="yTableNAm"/>
              <w:spacing w:before="60"/>
              <w:jc w:val="center"/>
              <w:rPr>
                <w:b/>
                <w:bCs/>
                <w:sz w:val="28"/>
              </w:rPr>
            </w:pPr>
            <w:r>
              <w:rPr>
                <w:b/>
                <w:bCs/>
                <w:sz w:val="28"/>
              </w:rPr>
              <w:t>Summons</w:t>
            </w:r>
          </w:p>
          <w:p>
            <w:pPr>
              <w:pStyle w:val="yTableNAm"/>
              <w:spacing w:before="60"/>
              <w:jc w:val="center"/>
              <w:rPr>
                <w:b/>
                <w:bCs/>
                <w:sz w:val="20"/>
              </w:rPr>
            </w:pPr>
            <w:r>
              <w:rPr>
                <w:b/>
                <w:bCs/>
                <w:sz w:val="28"/>
              </w:rPr>
              <w:t>Application for order</w:t>
            </w:r>
          </w:p>
        </w:tc>
        <w:tc>
          <w:tcPr>
            <w:tcW w:w="2169" w:type="dxa"/>
          </w:tcPr>
          <w:p>
            <w:pPr>
              <w:pStyle w:val="yTableNAm"/>
              <w:tabs>
                <w:tab w:val="clear" w:pos="567"/>
                <w:tab w:val="left" w:pos="432"/>
              </w:tabs>
              <w:spacing w:before="60"/>
              <w:rPr>
                <w:sz w:val="20"/>
              </w:rPr>
            </w:pPr>
            <w:r>
              <w:rPr>
                <w:sz w:val="20"/>
              </w:rPr>
              <w:sym w:font="Monotype Sorts" w:char="F06F"/>
            </w:r>
            <w:r>
              <w:rPr>
                <w:sz w:val="20"/>
              </w:rPr>
              <w:tab/>
              <w:t>Children’s Court</w:t>
            </w:r>
          </w:p>
          <w:p>
            <w:pPr>
              <w:pStyle w:val="yTableNAm"/>
              <w:tabs>
                <w:tab w:val="clear" w:pos="567"/>
                <w:tab w:val="left" w:pos="432"/>
              </w:tabs>
              <w:spacing w:before="60"/>
              <w:rPr>
                <w:sz w:val="20"/>
              </w:rPr>
            </w:pPr>
            <w:r>
              <w:rPr>
                <w:sz w:val="20"/>
              </w:rPr>
              <w:sym w:font="Monotype Sorts" w:char="F06F"/>
            </w:r>
            <w:r>
              <w:rPr>
                <w:sz w:val="20"/>
              </w:rPr>
              <w:tab/>
              <w:t>District Court</w:t>
            </w:r>
          </w:p>
        </w:tc>
      </w:tr>
      <w:tr>
        <w:trPr>
          <w:cantSplit/>
        </w:trPr>
        <w:tc>
          <w:tcPr>
            <w:tcW w:w="4911" w:type="dxa"/>
            <w:gridSpan w:val="3"/>
            <w:vMerge/>
            <w:shd w:val="clear" w:color="auto" w:fill="E6E6E6"/>
          </w:tcPr>
          <w:p>
            <w:pPr>
              <w:pStyle w:val="yTableNAm"/>
              <w:spacing w:before="60"/>
              <w:rPr>
                <w:sz w:val="20"/>
              </w:rPr>
            </w:pPr>
          </w:p>
        </w:tc>
        <w:tc>
          <w:tcPr>
            <w:tcW w:w="2169" w:type="dxa"/>
          </w:tcPr>
          <w:p>
            <w:pPr>
              <w:pStyle w:val="yTableNAm"/>
              <w:spacing w:before="60"/>
              <w:rPr>
                <w:sz w:val="20"/>
              </w:rPr>
            </w:pPr>
            <w:r>
              <w:rPr>
                <w:sz w:val="20"/>
              </w:rPr>
              <w:t>Location</w:t>
            </w:r>
          </w:p>
        </w:tc>
      </w:tr>
      <w:tr>
        <w:trPr>
          <w:cantSplit/>
        </w:trPr>
        <w:tc>
          <w:tcPr>
            <w:tcW w:w="4911" w:type="dxa"/>
            <w:gridSpan w:val="3"/>
            <w:vMerge/>
            <w:shd w:val="clear" w:color="auto" w:fill="E6E6E6"/>
          </w:tcPr>
          <w:p>
            <w:pPr>
              <w:pStyle w:val="yTableNAm"/>
              <w:spacing w:before="60"/>
              <w:rPr>
                <w:sz w:val="20"/>
              </w:rPr>
            </w:pPr>
          </w:p>
        </w:tc>
        <w:tc>
          <w:tcPr>
            <w:tcW w:w="2169" w:type="dxa"/>
          </w:tcPr>
          <w:p>
            <w:pPr>
              <w:pStyle w:val="yTableNAm"/>
              <w:spacing w:before="60"/>
              <w:rPr>
                <w:sz w:val="20"/>
              </w:rPr>
            </w:pPr>
            <w:r>
              <w:rPr>
                <w:sz w:val="20"/>
              </w:rPr>
              <w:t>Number</w:t>
            </w:r>
          </w:p>
        </w:tc>
      </w:tr>
      <w:tr>
        <w:trPr>
          <w:cantSplit/>
        </w:trPr>
        <w:tc>
          <w:tcPr>
            <w:tcW w:w="1509" w:type="dxa"/>
            <w:gridSpan w:val="2"/>
            <w:vMerge w:val="restart"/>
            <w:shd w:val="clear" w:color="auto" w:fill="E6E6E6"/>
          </w:tcPr>
          <w:p>
            <w:pPr>
              <w:pStyle w:val="yTableNAm"/>
              <w:spacing w:before="60"/>
              <w:rPr>
                <w:sz w:val="20"/>
              </w:rPr>
            </w:pPr>
            <w:r>
              <w:rPr>
                <w:b/>
                <w:bCs/>
                <w:sz w:val="20"/>
              </w:rPr>
              <w:t>Respondent</w:t>
            </w:r>
          </w:p>
        </w:tc>
        <w:tc>
          <w:tcPr>
            <w:tcW w:w="5571" w:type="dxa"/>
            <w:gridSpan w:val="2"/>
          </w:tcPr>
          <w:p>
            <w:pPr>
              <w:pStyle w:val="yTableNAm"/>
              <w:tabs>
                <w:tab w:val="clear" w:pos="567"/>
                <w:tab w:val="left" w:pos="3234"/>
              </w:tabs>
              <w:spacing w:before="60"/>
              <w:rPr>
                <w:sz w:val="20"/>
              </w:rPr>
            </w:pPr>
            <w:r>
              <w:rPr>
                <w:sz w:val="20"/>
              </w:rPr>
              <w:t>Name</w:t>
            </w:r>
            <w:r>
              <w:rPr>
                <w:sz w:val="20"/>
              </w:rPr>
              <w:tab/>
              <w:t>Date of birth ___/___/___</w:t>
            </w:r>
          </w:p>
        </w:tc>
      </w:tr>
      <w:tr>
        <w:trPr>
          <w:cantSplit/>
        </w:trPr>
        <w:tc>
          <w:tcPr>
            <w:tcW w:w="1509" w:type="dxa"/>
            <w:gridSpan w:val="2"/>
            <w:vMerge/>
            <w:shd w:val="clear" w:color="auto" w:fill="E6E6E6"/>
          </w:tcPr>
          <w:p>
            <w:pPr>
              <w:pStyle w:val="yTableNAm"/>
              <w:spacing w:before="60"/>
              <w:rPr>
                <w:sz w:val="20"/>
              </w:rPr>
            </w:pPr>
          </w:p>
        </w:tc>
        <w:tc>
          <w:tcPr>
            <w:tcW w:w="5571" w:type="dxa"/>
            <w:gridSpan w:val="2"/>
          </w:tcPr>
          <w:p>
            <w:pPr>
              <w:pStyle w:val="yTableNAm"/>
              <w:spacing w:before="60"/>
              <w:rPr>
                <w:sz w:val="20"/>
              </w:rPr>
            </w:pPr>
            <w:r>
              <w:rPr>
                <w:sz w:val="20"/>
              </w:rPr>
              <w:t>Address _______________________________________________</w:t>
            </w:r>
          </w:p>
          <w:p>
            <w:pPr>
              <w:pStyle w:val="yTableNAm"/>
              <w:tabs>
                <w:tab w:val="left" w:pos="3834"/>
              </w:tabs>
              <w:spacing w:before="60"/>
              <w:rPr>
                <w:sz w:val="20"/>
              </w:rPr>
            </w:pPr>
            <w:r>
              <w:rPr>
                <w:sz w:val="20"/>
              </w:rPr>
              <w:tab/>
            </w:r>
            <w:r>
              <w:rPr>
                <w:sz w:val="20"/>
              </w:rPr>
              <w:tab/>
              <w:t>Postcode</w:t>
            </w:r>
          </w:p>
        </w:tc>
      </w:tr>
      <w:tr>
        <w:trPr>
          <w:cantSplit/>
        </w:trPr>
        <w:tc>
          <w:tcPr>
            <w:tcW w:w="1509" w:type="dxa"/>
            <w:gridSpan w:val="2"/>
            <w:vMerge/>
            <w:shd w:val="clear" w:color="auto" w:fill="E6E6E6"/>
          </w:tcPr>
          <w:p>
            <w:pPr>
              <w:pStyle w:val="yTableNAm"/>
              <w:spacing w:before="60"/>
              <w:rPr>
                <w:sz w:val="20"/>
              </w:rPr>
            </w:pPr>
          </w:p>
        </w:tc>
        <w:tc>
          <w:tcPr>
            <w:tcW w:w="5571" w:type="dxa"/>
            <w:gridSpan w:val="2"/>
          </w:tcPr>
          <w:p>
            <w:pPr>
              <w:pStyle w:val="yTableNAm"/>
              <w:spacing w:before="60"/>
              <w:rPr>
                <w:sz w:val="20"/>
              </w:rPr>
            </w:pPr>
            <w:r>
              <w:rPr>
                <w:sz w:val="20"/>
              </w:rPr>
              <w:t xml:space="preserve">Phone no. </w:t>
            </w:r>
          </w:p>
        </w:tc>
      </w:tr>
      <w:tr>
        <w:trPr>
          <w:cantSplit/>
        </w:trPr>
        <w:tc>
          <w:tcPr>
            <w:tcW w:w="1509" w:type="dxa"/>
            <w:gridSpan w:val="2"/>
            <w:shd w:val="clear" w:color="auto" w:fill="E6E6E6"/>
          </w:tcPr>
          <w:p>
            <w:pPr>
              <w:pStyle w:val="yTableNAm"/>
              <w:spacing w:before="60"/>
              <w:rPr>
                <w:sz w:val="20"/>
              </w:rPr>
            </w:pPr>
            <w:r>
              <w:rPr>
                <w:b/>
                <w:bCs/>
                <w:sz w:val="20"/>
              </w:rPr>
              <w:t>Order sought</w:t>
            </w:r>
          </w:p>
        </w:tc>
        <w:tc>
          <w:tcPr>
            <w:tcW w:w="5571" w:type="dxa"/>
            <w:gridSpan w:val="2"/>
          </w:tcPr>
          <w:p>
            <w:pPr>
              <w:pStyle w:val="yTableNAm"/>
              <w:spacing w:before="60"/>
              <w:rPr>
                <w:sz w:val="20"/>
              </w:rPr>
            </w:pPr>
            <w:r>
              <w:rPr>
                <w:sz w:val="20"/>
              </w:rPr>
              <w:t xml:space="preserve">The Commissioner of Police has applied to the court for the following order to be made in respect of you — </w:t>
            </w:r>
          </w:p>
          <w:p>
            <w:pPr>
              <w:pStyle w:val="yTableNAm"/>
              <w:spacing w:before="60"/>
              <w:rPr>
                <w:b/>
                <w:bCs/>
                <w:sz w:val="20"/>
              </w:rPr>
            </w:pPr>
            <w:r>
              <w:rPr>
                <w:rFonts w:eastAsia="MS Mincho" w:hint="eastAsia"/>
                <w:sz w:val="20"/>
              </w:rPr>
              <w:t>❑</w:t>
            </w:r>
            <w:r>
              <w:rPr>
                <w:sz w:val="20"/>
              </w:rPr>
              <w:tab/>
            </w:r>
            <w:r>
              <w:rPr>
                <w:b/>
                <w:bCs/>
                <w:sz w:val="20"/>
              </w:rPr>
              <w:t xml:space="preserve">Past offender reporting order </w:t>
            </w:r>
            <w:r>
              <w:rPr>
                <w:sz w:val="20"/>
              </w:rPr>
              <w:t xml:space="preserve">(s. 19 of Act) </w:t>
            </w:r>
          </w:p>
          <w:p>
            <w:pPr>
              <w:pStyle w:val="yTableNAm"/>
              <w:spacing w:before="60"/>
              <w:rPr>
                <w:b/>
                <w:bCs/>
                <w:sz w:val="20"/>
              </w:rPr>
            </w:pPr>
            <w:r>
              <w:rPr>
                <w:rFonts w:eastAsia="MS Mincho" w:hint="eastAsia"/>
                <w:sz w:val="20"/>
              </w:rPr>
              <w:t>❑</w:t>
            </w:r>
            <w:r>
              <w:rPr>
                <w:sz w:val="20"/>
              </w:rPr>
              <w:tab/>
            </w:r>
            <w:r>
              <w:rPr>
                <w:b/>
                <w:bCs/>
                <w:sz w:val="20"/>
              </w:rPr>
              <w:t xml:space="preserve">Child protection order </w:t>
            </w:r>
            <w:r>
              <w:rPr>
                <w:sz w:val="20"/>
              </w:rPr>
              <w:t>(s. 90 of Act)</w:t>
            </w:r>
          </w:p>
          <w:p>
            <w:pPr>
              <w:pStyle w:val="yTableNAm"/>
              <w:spacing w:before="60"/>
              <w:rPr>
                <w:b/>
                <w:bCs/>
                <w:sz w:val="20"/>
              </w:rPr>
            </w:pPr>
            <w:r>
              <w:rPr>
                <w:rFonts w:eastAsia="MS Mincho" w:hint="eastAsia"/>
                <w:sz w:val="20"/>
              </w:rPr>
              <w:t>❑</w:t>
            </w:r>
            <w:r>
              <w:rPr>
                <w:sz w:val="20"/>
              </w:rPr>
              <w:tab/>
            </w:r>
            <w:r>
              <w:rPr>
                <w:b/>
                <w:bCs/>
                <w:sz w:val="20"/>
              </w:rPr>
              <w:t xml:space="preserve">Interim protection order </w:t>
            </w:r>
            <w:r>
              <w:rPr>
                <w:sz w:val="20"/>
              </w:rPr>
              <w:t>(s. 92 of Act)</w:t>
            </w:r>
          </w:p>
        </w:tc>
      </w:tr>
      <w:tr>
        <w:trPr>
          <w:cantSplit/>
        </w:trPr>
        <w:tc>
          <w:tcPr>
            <w:tcW w:w="1509" w:type="dxa"/>
            <w:gridSpan w:val="2"/>
            <w:vMerge w:val="restart"/>
            <w:shd w:val="clear" w:color="auto" w:fill="E6E6E6"/>
          </w:tcPr>
          <w:p>
            <w:pPr>
              <w:pStyle w:val="yTableNAm"/>
              <w:spacing w:before="60"/>
              <w:rPr>
                <w:sz w:val="20"/>
              </w:rPr>
            </w:pPr>
            <w:r>
              <w:rPr>
                <w:b/>
                <w:bCs/>
                <w:sz w:val="20"/>
              </w:rPr>
              <w:t>Hearing</w:t>
            </w:r>
          </w:p>
        </w:tc>
        <w:tc>
          <w:tcPr>
            <w:tcW w:w="5571" w:type="dxa"/>
            <w:gridSpan w:val="2"/>
          </w:tcPr>
          <w:p>
            <w:pPr>
              <w:pStyle w:val="yTableNAm"/>
              <w:spacing w:before="60"/>
              <w:rPr>
                <w:sz w:val="20"/>
              </w:rPr>
            </w:pPr>
            <w:r>
              <w:rPr>
                <w:b/>
                <w:bCs/>
                <w:sz w:val="20"/>
              </w:rPr>
              <w:t xml:space="preserve">You must attend the hearing </w:t>
            </w:r>
            <w:r>
              <w:rPr>
                <w:sz w:val="20"/>
              </w:rPr>
              <w:t xml:space="preserve">at the day, time and place set </w:t>
            </w:r>
            <w:r>
              <w:rPr>
                <w:sz w:val="20"/>
              </w:rPr>
              <w:br/>
              <w:t xml:space="preserve">out below.  If you do not attend, the application may be heard </w:t>
            </w:r>
            <w:r>
              <w:rPr>
                <w:sz w:val="20"/>
              </w:rPr>
              <w:br/>
              <w:t>in your absence.</w:t>
            </w:r>
          </w:p>
        </w:tc>
      </w:tr>
      <w:tr>
        <w:trPr>
          <w:cantSplit/>
        </w:trPr>
        <w:tc>
          <w:tcPr>
            <w:tcW w:w="1509" w:type="dxa"/>
            <w:gridSpan w:val="2"/>
            <w:vMerge/>
            <w:shd w:val="clear" w:color="auto" w:fill="E6E6E6"/>
          </w:tcPr>
          <w:p>
            <w:pPr>
              <w:pStyle w:val="yTableNAm"/>
              <w:spacing w:before="60"/>
              <w:rPr>
                <w:b/>
                <w:bCs/>
                <w:sz w:val="20"/>
              </w:rPr>
            </w:pPr>
          </w:p>
        </w:tc>
        <w:tc>
          <w:tcPr>
            <w:tcW w:w="5571" w:type="dxa"/>
            <w:gridSpan w:val="2"/>
          </w:tcPr>
          <w:p>
            <w:pPr>
              <w:pStyle w:val="yTableNAm"/>
              <w:spacing w:before="60"/>
              <w:rPr>
                <w:sz w:val="20"/>
              </w:rPr>
            </w:pPr>
            <w:r>
              <w:rPr>
                <w:sz w:val="20"/>
              </w:rPr>
              <w:t>Place</w:t>
            </w:r>
          </w:p>
        </w:tc>
      </w:tr>
      <w:tr>
        <w:trPr>
          <w:cantSplit/>
        </w:trPr>
        <w:tc>
          <w:tcPr>
            <w:tcW w:w="1509" w:type="dxa"/>
            <w:gridSpan w:val="2"/>
            <w:vMerge/>
            <w:shd w:val="clear" w:color="auto" w:fill="E6E6E6"/>
          </w:tcPr>
          <w:p>
            <w:pPr>
              <w:pStyle w:val="yTableNAm"/>
              <w:spacing w:before="60"/>
              <w:rPr>
                <w:sz w:val="20"/>
              </w:rPr>
            </w:pPr>
          </w:p>
        </w:tc>
        <w:tc>
          <w:tcPr>
            <w:tcW w:w="5571" w:type="dxa"/>
            <w:gridSpan w:val="2"/>
          </w:tcPr>
          <w:p>
            <w:pPr>
              <w:pStyle w:val="yTableNAm"/>
              <w:tabs>
                <w:tab w:val="left" w:pos="3254"/>
              </w:tabs>
              <w:spacing w:before="60"/>
              <w:rPr>
                <w:sz w:val="20"/>
              </w:rPr>
            </w:pPr>
            <w:r>
              <w:rPr>
                <w:sz w:val="20"/>
              </w:rPr>
              <w:t>Date _____/_____/20____</w:t>
            </w:r>
            <w:r>
              <w:rPr>
                <w:sz w:val="20"/>
              </w:rPr>
              <w:tab/>
              <w:t>Time _____a.m./p.m.</w:t>
            </w:r>
          </w:p>
        </w:tc>
      </w:tr>
      <w:tr>
        <w:trPr>
          <w:cantSplit/>
        </w:trPr>
        <w:tc>
          <w:tcPr>
            <w:tcW w:w="1509" w:type="dxa"/>
            <w:gridSpan w:val="2"/>
            <w:tcBorders>
              <w:bottom w:val="single" w:sz="4" w:space="0" w:color="auto"/>
            </w:tcBorders>
            <w:shd w:val="clear" w:color="auto" w:fill="E6E6E6"/>
          </w:tcPr>
          <w:p>
            <w:pPr>
              <w:pStyle w:val="yTableNAm"/>
              <w:spacing w:before="60"/>
              <w:rPr>
                <w:sz w:val="20"/>
              </w:rPr>
            </w:pPr>
            <w:r>
              <w:rPr>
                <w:b/>
                <w:bCs/>
                <w:sz w:val="20"/>
              </w:rPr>
              <w:t>Issue of summons</w:t>
            </w:r>
          </w:p>
        </w:tc>
        <w:tc>
          <w:tcPr>
            <w:tcW w:w="5571" w:type="dxa"/>
            <w:gridSpan w:val="2"/>
            <w:tcBorders>
              <w:bottom w:val="single" w:sz="4" w:space="0" w:color="auto"/>
            </w:tcBorders>
          </w:tcPr>
          <w:p>
            <w:pPr>
              <w:pStyle w:val="yTableNAm"/>
              <w:tabs>
                <w:tab w:val="left" w:pos="3114"/>
              </w:tabs>
              <w:spacing w:before="60"/>
              <w:rPr>
                <w:sz w:val="20"/>
              </w:rPr>
            </w:pPr>
            <w:r>
              <w:rPr>
                <w:sz w:val="20"/>
              </w:rPr>
              <w:t>___________________________________</w:t>
            </w:r>
          </w:p>
          <w:p>
            <w:pPr>
              <w:pStyle w:val="yTableNAm"/>
              <w:tabs>
                <w:tab w:val="left" w:pos="3254"/>
              </w:tabs>
              <w:spacing w:before="60"/>
              <w:rPr>
                <w:sz w:val="20"/>
              </w:rPr>
            </w:pPr>
            <w:r>
              <w:rPr>
                <w:i/>
                <w:sz w:val="16"/>
              </w:rPr>
              <w:t xml:space="preserve">[Signature of Registrar] </w:t>
            </w:r>
            <w:r>
              <w:rPr>
                <w:sz w:val="20"/>
              </w:rPr>
              <w:tab/>
              <w:t>Date _____/_____/20____</w:t>
            </w:r>
          </w:p>
        </w:tc>
      </w:tr>
      <w:tr>
        <w:trPr>
          <w:cantSplit/>
        </w:trPr>
        <w:tc>
          <w:tcPr>
            <w:tcW w:w="1509" w:type="dxa"/>
            <w:gridSpan w:val="2"/>
            <w:vMerge w:val="restart"/>
            <w:shd w:val="clear" w:color="auto" w:fill="E6E6E6"/>
          </w:tcPr>
          <w:p>
            <w:pPr>
              <w:pStyle w:val="yTableNAm"/>
              <w:spacing w:before="60"/>
              <w:rPr>
                <w:sz w:val="20"/>
              </w:rPr>
            </w:pPr>
            <w:r>
              <w:rPr>
                <w:b/>
                <w:bCs/>
                <w:sz w:val="20"/>
              </w:rPr>
              <w:t>For more information</w:t>
            </w:r>
          </w:p>
        </w:tc>
        <w:tc>
          <w:tcPr>
            <w:tcW w:w="5571" w:type="dxa"/>
            <w:gridSpan w:val="2"/>
          </w:tcPr>
          <w:p>
            <w:pPr>
              <w:pStyle w:val="yTableNAm"/>
              <w:tabs>
                <w:tab w:val="left" w:pos="3114"/>
              </w:tabs>
              <w:spacing w:before="60"/>
              <w:rPr>
                <w:sz w:val="20"/>
              </w:rPr>
            </w:pPr>
            <w:r>
              <w:rPr>
                <w:sz w:val="20"/>
              </w:rPr>
              <w:t xml:space="preserve">For more information about this matter contact: </w:t>
            </w:r>
          </w:p>
        </w:tc>
      </w:tr>
      <w:tr>
        <w:trPr>
          <w:cantSplit/>
        </w:trPr>
        <w:tc>
          <w:tcPr>
            <w:tcW w:w="1509" w:type="dxa"/>
            <w:gridSpan w:val="2"/>
            <w:vMerge/>
            <w:shd w:val="clear" w:color="auto" w:fill="E6E6E6"/>
          </w:tcPr>
          <w:p>
            <w:pPr>
              <w:pStyle w:val="yTableNAm"/>
              <w:spacing w:before="60"/>
              <w:rPr>
                <w:b/>
                <w:bCs/>
                <w:sz w:val="20"/>
              </w:rPr>
            </w:pPr>
          </w:p>
        </w:tc>
        <w:tc>
          <w:tcPr>
            <w:tcW w:w="5571" w:type="dxa"/>
            <w:gridSpan w:val="2"/>
          </w:tcPr>
          <w:p>
            <w:pPr>
              <w:pStyle w:val="yTableNAm"/>
              <w:tabs>
                <w:tab w:val="left" w:pos="3114"/>
              </w:tabs>
              <w:spacing w:before="60"/>
              <w:rPr>
                <w:sz w:val="20"/>
              </w:rPr>
            </w:pPr>
            <w:r>
              <w:rPr>
                <w:sz w:val="20"/>
              </w:rPr>
              <w:t>Name</w:t>
            </w:r>
          </w:p>
        </w:tc>
      </w:tr>
      <w:tr>
        <w:trPr>
          <w:cantSplit/>
        </w:trPr>
        <w:tc>
          <w:tcPr>
            <w:tcW w:w="1509" w:type="dxa"/>
            <w:gridSpan w:val="2"/>
            <w:vMerge/>
            <w:shd w:val="clear" w:color="auto" w:fill="E6E6E6"/>
          </w:tcPr>
          <w:p>
            <w:pPr>
              <w:pStyle w:val="yTableNAm"/>
              <w:spacing w:before="60"/>
              <w:rPr>
                <w:b/>
                <w:bCs/>
                <w:sz w:val="20"/>
              </w:rPr>
            </w:pPr>
          </w:p>
        </w:tc>
        <w:tc>
          <w:tcPr>
            <w:tcW w:w="5571" w:type="dxa"/>
            <w:gridSpan w:val="2"/>
          </w:tcPr>
          <w:p>
            <w:pPr>
              <w:pStyle w:val="yTableNAm"/>
              <w:tabs>
                <w:tab w:val="left" w:pos="3114"/>
              </w:tabs>
              <w:spacing w:before="60"/>
              <w:rPr>
                <w:sz w:val="20"/>
              </w:rPr>
            </w:pPr>
            <w:r>
              <w:rPr>
                <w:sz w:val="20"/>
              </w:rPr>
              <w:t>Position</w:t>
            </w:r>
          </w:p>
        </w:tc>
      </w:tr>
      <w:tr>
        <w:trPr>
          <w:cantSplit/>
        </w:trPr>
        <w:tc>
          <w:tcPr>
            <w:tcW w:w="1509" w:type="dxa"/>
            <w:gridSpan w:val="2"/>
            <w:vMerge/>
            <w:tcBorders>
              <w:bottom w:val="single" w:sz="4" w:space="0" w:color="auto"/>
            </w:tcBorders>
            <w:shd w:val="clear" w:color="auto" w:fill="E6E6E6"/>
          </w:tcPr>
          <w:p>
            <w:pPr>
              <w:pStyle w:val="yTableNAm"/>
              <w:spacing w:before="60"/>
              <w:rPr>
                <w:b/>
                <w:bCs/>
                <w:sz w:val="20"/>
              </w:rPr>
            </w:pPr>
          </w:p>
        </w:tc>
        <w:tc>
          <w:tcPr>
            <w:tcW w:w="5571" w:type="dxa"/>
            <w:gridSpan w:val="2"/>
            <w:tcBorders>
              <w:bottom w:val="single" w:sz="4" w:space="0" w:color="auto"/>
            </w:tcBorders>
          </w:tcPr>
          <w:p>
            <w:pPr>
              <w:pStyle w:val="yTableNAm"/>
              <w:tabs>
                <w:tab w:val="left" w:pos="3114"/>
              </w:tabs>
              <w:spacing w:before="60"/>
              <w:rPr>
                <w:sz w:val="20"/>
              </w:rPr>
            </w:pPr>
            <w:r>
              <w:rPr>
                <w:sz w:val="20"/>
              </w:rPr>
              <w:t xml:space="preserve">Phone no. </w:t>
            </w:r>
            <w:r>
              <w:rPr>
                <w:sz w:val="20"/>
              </w:rPr>
              <w:tab/>
              <w:t xml:space="preserve">Ref no. </w:t>
            </w:r>
          </w:p>
        </w:tc>
      </w:tr>
      <w:tr>
        <w:trPr>
          <w:cantSplit/>
        </w:trPr>
        <w:tc>
          <w:tcPr>
            <w:tcW w:w="7080" w:type="dxa"/>
            <w:gridSpan w:val="4"/>
            <w:tcBorders>
              <w:top w:val="single" w:sz="4" w:space="0" w:color="auto"/>
              <w:left w:val="nil"/>
              <w:bottom w:val="nil"/>
              <w:right w:val="nil"/>
            </w:tcBorders>
            <w:tcMar>
              <w:top w:w="0" w:type="dxa"/>
              <w:bottom w:w="0" w:type="dxa"/>
            </w:tcMar>
          </w:tcPr>
          <w:p>
            <w:pPr>
              <w:pStyle w:val="yTableNAm"/>
              <w:spacing w:before="60"/>
              <w:rPr>
                <w:sz w:val="20"/>
              </w:rPr>
            </w:pPr>
          </w:p>
        </w:tc>
      </w:tr>
      <w:tr>
        <w:trPr>
          <w:cantSplit/>
        </w:trPr>
        <w:tc>
          <w:tcPr>
            <w:tcW w:w="7080" w:type="dxa"/>
            <w:gridSpan w:val="4"/>
            <w:tcBorders>
              <w:top w:val="single" w:sz="4" w:space="0" w:color="auto"/>
            </w:tcBorders>
            <w:shd w:val="clear" w:color="auto" w:fill="E6E6E6"/>
          </w:tcPr>
          <w:p>
            <w:pPr>
              <w:pStyle w:val="yTableNAm"/>
              <w:keepNext/>
              <w:spacing w:before="60"/>
              <w:jc w:val="center"/>
              <w:rPr>
                <w:sz w:val="20"/>
              </w:rPr>
            </w:pPr>
            <w:r>
              <w:rPr>
                <w:b/>
                <w:bCs/>
                <w:sz w:val="20"/>
              </w:rPr>
              <w:t>Service certificate</w:t>
            </w:r>
          </w:p>
        </w:tc>
      </w:tr>
      <w:tr>
        <w:trPr>
          <w:cantSplit/>
        </w:trPr>
        <w:tc>
          <w:tcPr>
            <w:tcW w:w="1200" w:type="dxa"/>
            <w:vMerge w:val="restart"/>
            <w:shd w:val="clear" w:color="auto" w:fill="E6E6E6"/>
          </w:tcPr>
          <w:p>
            <w:pPr>
              <w:pStyle w:val="yTableNAm"/>
              <w:spacing w:before="60"/>
              <w:rPr>
                <w:sz w:val="20"/>
              </w:rPr>
            </w:pPr>
            <w:r>
              <w:rPr>
                <w:b/>
                <w:bCs/>
                <w:sz w:val="20"/>
              </w:rPr>
              <w:t>Person serving summons</w:t>
            </w:r>
          </w:p>
        </w:tc>
        <w:tc>
          <w:tcPr>
            <w:tcW w:w="5880" w:type="dxa"/>
            <w:gridSpan w:val="3"/>
          </w:tcPr>
          <w:p>
            <w:pPr>
              <w:pStyle w:val="yTableNAm"/>
              <w:spacing w:before="60"/>
              <w:rPr>
                <w:sz w:val="20"/>
              </w:rPr>
            </w:pPr>
            <w:r>
              <w:rPr>
                <w:sz w:val="20"/>
              </w:rPr>
              <w:t>Name</w:t>
            </w:r>
          </w:p>
        </w:tc>
      </w:tr>
      <w:tr>
        <w:trPr>
          <w:cantSplit/>
        </w:trPr>
        <w:tc>
          <w:tcPr>
            <w:tcW w:w="1200" w:type="dxa"/>
            <w:vMerge/>
            <w:shd w:val="clear" w:color="auto" w:fill="E6E6E6"/>
          </w:tcPr>
          <w:p>
            <w:pPr>
              <w:pStyle w:val="yTableNAm"/>
              <w:spacing w:before="60"/>
              <w:rPr>
                <w:sz w:val="20"/>
              </w:rPr>
            </w:pPr>
          </w:p>
        </w:tc>
        <w:tc>
          <w:tcPr>
            <w:tcW w:w="5880" w:type="dxa"/>
            <w:gridSpan w:val="3"/>
          </w:tcPr>
          <w:p>
            <w:pPr>
              <w:pStyle w:val="yTableNAm"/>
              <w:spacing w:before="60"/>
              <w:rPr>
                <w:sz w:val="20"/>
              </w:rPr>
            </w:pPr>
            <w:r>
              <w:rPr>
                <w:sz w:val="20"/>
              </w:rPr>
              <w:t>Address __________________________________________________</w:t>
            </w:r>
          </w:p>
          <w:p>
            <w:pPr>
              <w:pStyle w:val="yTableNAm"/>
              <w:tabs>
                <w:tab w:val="left" w:pos="4143"/>
              </w:tabs>
              <w:spacing w:before="60"/>
              <w:rPr>
                <w:sz w:val="20"/>
              </w:rPr>
            </w:pPr>
            <w:r>
              <w:rPr>
                <w:sz w:val="20"/>
              </w:rPr>
              <w:tab/>
            </w:r>
            <w:r>
              <w:rPr>
                <w:sz w:val="20"/>
              </w:rPr>
              <w:tab/>
              <w:t>Postcode</w:t>
            </w:r>
          </w:p>
        </w:tc>
      </w:tr>
      <w:tr>
        <w:trPr>
          <w:cantSplit/>
        </w:trPr>
        <w:tc>
          <w:tcPr>
            <w:tcW w:w="1200" w:type="dxa"/>
            <w:vMerge w:val="restart"/>
            <w:shd w:val="clear" w:color="auto" w:fill="E6E6E6"/>
          </w:tcPr>
          <w:p>
            <w:pPr>
              <w:pStyle w:val="yTableNAm"/>
              <w:spacing w:before="60"/>
              <w:rPr>
                <w:sz w:val="20"/>
              </w:rPr>
            </w:pPr>
            <w:r>
              <w:rPr>
                <w:b/>
                <w:bCs/>
                <w:sz w:val="20"/>
              </w:rPr>
              <w:t>Service</w:t>
            </w:r>
          </w:p>
        </w:tc>
        <w:tc>
          <w:tcPr>
            <w:tcW w:w="5880" w:type="dxa"/>
            <w:gridSpan w:val="3"/>
          </w:tcPr>
          <w:p>
            <w:pPr>
              <w:pStyle w:val="yTableNAm"/>
              <w:tabs>
                <w:tab w:val="clear" w:pos="567"/>
                <w:tab w:val="left" w:pos="834"/>
                <w:tab w:val="left" w:pos="1314"/>
              </w:tabs>
              <w:spacing w:before="60"/>
              <w:rPr>
                <w:sz w:val="20"/>
              </w:rPr>
            </w:pPr>
            <w:r>
              <w:rPr>
                <w:sz w:val="20"/>
              </w:rPr>
              <w:t>Method</w:t>
            </w:r>
            <w:r>
              <w:rPr>
                <w:sz w:val="20"/>
              </w:rPr>
              <w:tab/>
            </w:r>
            <w:r>
              <w:rPr>
                <w:rFonts w:eastAsia="MS Mincho" w:hint="eastAsia"/>
                <w:sz w:val="20"/>
              </w:rPr>
              <w:t>❑</w:t>
            </w:r>
            <w:r>
              <w:rPr>
                <w:sz w:val="20"/>
              </w:rPr>
              <w:tab/>
              <w:t>Handed to respondent in person</w:t>
            </w:r>
          </w:p>
          <w:p>
            <w:pPr>
              <w:pStyle w:val="yTableNAm"/>
              <w:tabs>
                <w:tab w:val="clear" w:pos="567"/>
                <w:tab w:val="left" w:pos="834"/>
                <w:tab w:val="left" w:pos="1314"/>
              </w:tabs>
              <w:spacing w:before="60"/>
              <w:rPr>
                <w:sz w:val="20"/>
              </w:rPr>
            </w:pPr>
            <w:r>
              <w:rPr>
                <w:sz w:val="20"/>
              </w:rPr>
              <w:tab/>
            </w:r>
            <w:r>
              <w:rPr>
                <w:rFonts w:eastAsia="MS Mincho" w:hint="eastAsia"/>
                <w:sz w:val="20"/>
              </w:rPr>
              <w:t>❑</w:t>
            </w:r>
            <w:r>
              <w:rPr>
                <w:sz w:val="20"/>
              </w:rPr>
              <w:tab/>
              <w:t>Posted to respondent’s last known address</w:t>
            </w:r>
          </w:p>
          <w:p>
            <w:pPr>
              <w:pStyle w:val="yTableNAm"/>
              <w:tabs>
                <w:tab w:val="clear" w:pos="567"/>
                <w:tab w:val="left" w:pos="834"/>
                <w:tab w:val="left" w:pos="1314"/>
              </w:tabs>
              <w:spacing w:before="60"/>
              <w:rPr>
                <w:sz w:val="20"/>
              </w:rPr>
            </w:pPr>
            <w:r>
              <w:rPr>
                <w:sz w:val="20"/>
              </w:rPr>
              <w:tab/>
            </w:r>
            <w:r>
              <w:rPr>
                <w:rFonts w:eastAsia="MS Mincho" w:hint="eastAsia"/>
                <w:sz w:val="20"/>
              </w:rPr>
              <w:t>❑</w:t>
            </w:r>
            <w:r>
              <w:rPr>
                <w:sz w:val="20"/>
              </w:rPr>
              <w:tab/>
              <w:t>Left at respondent’s last known address</w:t>
            </w:r>
          </w:p>
        </w:tc>
      </w:tr>
      <w:tr>
        <w:trPr>
          <w:cantSplit/>
        </w:trPr>
        <w:tc>
          <w:tcPr>
            <w:tcW w:w="1200" w:type="dxa"/>
            <w:vMerge/>
            <w:shd w:val="clear" w:color="auto" w:fill="E6E6E6"/>
          </w:tcPr>
          <w:p>
            <w:pPr>
              <w:pStyle w:val="yTableNAm"/>
              <w:spacing w:before="60"/>
              <w:rPr>
                <w:b/>
                <w:bCs/>
                <w:sz w:val="20"/>
              </w:rPr>
            </w:pPr>
          </w:p>
        </w:tc>
        <w:tc>
          <w:tcPr>
            <w:tcW w:w="5880" w:type="dxa"/>
            <w:gridSpan w:val="3"/>
          </w:tcPr>
          <w:p>
            <w:pPr>
              <w:pStyle w:val="yTableNAm"/>
              <w:spacing w:before="60"/>
              <w:rPr>
                <w:sz w:val="20"/>
              </w:rPr>
            </w:pPr>
            <w:r>
              <w:rPr>
                <w:sz w:val="20"/>
              </w:rPr>
              <w:t xml:space="preserve">Place </w:t>
            </w:r>
            <w:r>
              <w:rPr>
                <w:i/>
                <w:sz w:val="16"/>
              </w:rPr>
              <w:t>[if applicable]</w:t>
            </w:r>
          </w:p>
        </w:tc>
      </w:tr>
      <w:tr>
        <w:trPr>
          <w:cantSplit/>
        </w:trPr>
        <w:tc>
          <w:tcPr>
            <w:tcW w:w="1200" w:type="dxa"/>
            <w:vMerge/>
            <w:shd w:val="clear" w:color="auto" w:fill="E6E6E6"/>
          </w:tcPr>
          <w:p>
            <w:pPr>
              <w:pStyle w:val="yTableNAm"/>
              <w:spacing w:before="60"/>
              <w:rPr>
                <w:sz w:val="20"/>
              </w:rPr>
            </w:pPr>
          </w:p>
        </w:tc>
        <w:tc>
          <w:tcPr>
            <w:tcW w:w="5880" w:type="dxa"/>
            <w:gridSpan w:val="3"/>
          </w:tcPr>
          <w:p>
            <w:pPr>
              <w:pStyle w:val="yTableNAm"/>
              <w:tabs>
                <w:tab w:val="left" w:pos="3563"/>
              </w:tabs>
              <w:spacing w:before="60"/>
              <w:rPr>
                <w:sz w:val="20"/>
              </w:rPr>
            </w:pPr>
            <w:r>
              <w:rPr>
                <w:sz w:val="20"/>
              </w:rPr>
              <w:t>Date _____/_____/20____</w:t>
            </w:r>
            <w:r>
              <w:rPr>
                <w:sz w:val="20"/>
              </w:rPr>
              <w:tab/>
              <w:t>Time _____a.m./p.m.</w:t>
            </w:r>
          </w:p>
        </w:tc>
      </w:tr>
      <w:tr>
        <w:trPr>
          <w:cantSplit/>
        </w:trPr>
        <w:tc>
          <w:tcPr>
            <w:tcW w:w="1200" w:type="dxa"/>
            <w:vMerge w:val="restart"/>
            <w:shd w:val="clear" w:color="auto" w:fill="E6E6E6"/>
          </w:tcPr>
          <w:p>
            <w:pPr>
              <w:pStyle w:val="yTableNAm"/>
              <w:spacing w:before="60"/>
              <w:rPr>
                <w:sz w:val="20"/>
              </w:rPr>
            </w:pPr>
            <w:r>
              <w:rPr>
                <w:b/>
                <w:bCs/>
                <w:sz w:val="20"/>
              </w:rPr>
              <w:t>Certificate</w:t>
            </w:r>
          </w:p>
        </w:tc>
        <w:tc>
          <w:tcPr>
            <w:tcW w:w="5880" w:type="dxa"/>
            <w:gridSpan w:val="3"/>
          </w:tcPr>
          <w:p>
            <w:pPr>
              <w:pStyle w:val="yTableNAm"/>
              <w:tabs>
                <w:tab w:val="left" w:pos="3114"/>
              </w:tabs>
              <w:spacing w:before="60"/>
              <w:rPr>
                <w:sz w:val="20"/>
              </w:rPr>
            </w:pPr>
            <w:r>
              <w:rPr>
                <w:sz w:val="20"/>
              </w:rPr>
              <w:t xml:space="preserve">I certify that I served this summons on the respondent in the manner described above. </w:t>
            </w:r>
          </w:p>
        </w:tc>
      </w:tr>
      <w:tr>
        <w:trPr>
          <w:cantSplit/>
        </w:trPr>
        <w:tc>
          <w:tcPr>
            <w:tcW w:w="1200" w:type="dxa"/>
            <w:vMerge/>
            <w:shd w:val="clear" w:color="auto" w:fill="E6E6E6"/>
          </w:tcPr>
          <w:p>
            <w:pPr>
              <w:pStyle w:val="yTableNAm"/>
              <w:spacing w:before="60"/>
              <w:rPr>
                <w:sz w:val="20"/>
              </w:rPr>
            </w:pPr>
          </w:p>
        </w:tc>
        <w:tc>
          <w:tcPr>
            <w:tcW w:w="5880" w:type="dxa"/>
            <w:gridSpan w:val="3"/>
          </w:tcPr>
          <w:p>
            <w:pPr>
              <w:pStyle w:val="yTableNAm"/>
              <w:tabs>
                <w:tab w:val="left" w:pos="3114"/>
              </w:tabs>
              <w:spacing w:before="60"/>
              <w:rPr>
                <w:sz w:val="20"/>
              </w:rPr>
            </w:pPr>
            <w:r>
              <w:rPr>
                <w:sz w:val="20"/>
              </w:rPr>
              <w:t>___________________________________</w:t>
            </w:r>
          </w:p>
          <w:p>
            <w:pPr>
              <w:pStyle w:val="yTableNAm"/>
              <w:tabs>
                <w:tab w:val="left" w:pos="3563"/>
              </w:tabs>
              <w:spacing w:before="60"/>
              <w:rPr>
                <w:iCs/>
                <w:sz w:val="20"/>
              </w:rPr>
            </w:pPr>
            <w:r>
              <w:rPr>
                <w:i/>
                <w:sz w:val="16"/>
              </w:rPr>
              <w:t>[Signature]</w:t>
            </w:r>
            <w:r>
              <w:rPr>
                <w:sz w:val="20"/>
              </w:rPr>
              <w:t xml:space="preserve"> </w:t>
            </w:r>
            <w:r>
              <w:rPr>
                <w:sz w:val="20"/>
              </w:rPr>
              <w:tab/>
              <w:t>Date ____/_____/20____</w:t>
            </w:r>
          </w:p>
        </w:tc>
      </w:tr>
    </w:tbl>
    <w:p>
      <w:pPr>
        <w:pStyle w:val="yFootnotesection"/>
      </w:pPr>
      <w:r>
        <w:tab/>
        <w:t>[Form 1 inserted in Gazette 9 Dec 2005 p. 5888</w:t>
      </w:r>
      <w:r>
        <w:noBreakHyphen/>
        <w:t>9; amended in Gazette 8 Nov 2013 p. 5010.]</w:t>
      </w:r>
    </w:p>
    <w:p>
      <w:pPr>
        <w:pStyle w:val="yHeading5"/>
        <w:pageBreakBefore/>
        <w:spacing w:after="80"/>
      </w:pPr>
      <w:bookmarkStart w:id="41" w:name="_Toc384380039"/>
      <w:r>
        <w:rPr>
          <w:rStyle w:val="CharSClsNo"/>
        </w:rPr>
        <w:t>2</w:t>
      </w:r>
      <w:r>
        <w:t>.</w:t>
      </w:r>
      <w:r>
        <w:tab/>
        <w:t>Summons: Further hearing after interim order</w:t>
      </w:r>
      <w:bookmarkEnd w:id="41"/>
    </w:p>
    <w:tbl>
      <w:tblPr>
        <w:tblW w:w="7080"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57" w:type="dxa"/>
          <w:bottom w:w="28" w:type="dxa"/>
          <w:right w:w="57" w:type="dxa"/>
        </w:tblCellMar>
        <w:tblLook w:val="0000" w:firstRow="0" w:lastRow="0" w:firstColumn="0" w:lastColumn="0" w:noHBand="0" w:noVBand="0"/>
      </w:tblPr>
      <w:tblGrid>
        <w:gridCol w:w="1200"/>
        <w:gridCol w:w="3711"/>
        <w:gridCol w:w="2169"/>
      </w:tblGrid>
      <w:tr>
        <w:trPr>
          <w:cantSplit/>
        </w:trPr>
        <w:tc>
          <w:tcPr>
            <w:tcW w:w="4911" w:type="dxa"/>
            <w:gridSpan w:val="2"/>
            <w:vMerge w:val="restart"/>
            <w:shd w:val="clear" w:color="auto" w:fill="E6E6E6"/>
          </w:tcPr>
          <w:p>
            <w:pPr>
              <w:pStyle w:val="yTableNAm"/>
              <w:spacing w:before="60"/>
              <w:jc w:val="center"/>
              <w:rPr>
                <w:iCs/>
                <w:sz w:val="20"/>
              </w:rPr>
            </w:pPr>
            <w:r>
              <w:rPr>
                <w:i/>
                <w:iCs/>
                <w:sz w:val="20"/>
              </w:rPr>
              <w:t>Community Protection (Offender Reporting) Act 2004</w:t>
            </w:r>
          </w:p>
          <w:p>
            <w:pPr>
              <w:pStyle w:val="yTableNAm"/>
              <w:spacing w:before="60"/>
              <w:jc w:val="center"/>
              <w:rPr>
                <w:b/>
                <w:bCs/>
                <w:sz w:val="28"/>
              </w:rPr>
            </w:pPr>
            <w:r>
              <w:rPr>
                <w:b/>
                <w:bCs/>
                <w:sz w:val="28"/>
              </w:rPr>
              <w:t>Summons</w:t>
            </w:r>
          </w:p>
          <w:p>
            <w:pPr>
              <w:pStyle w:val="yTableNAm"/>
              <w:spacing w:before="60"/>
              <w:jc w:val="center"/>
              <w:rPr>
                <w:b/>
                <w:bCs/>
                <w:sz w:val="20"/>
              </w:rPr>
            </w:pPr>
            <w:r>
              <w:rPr>
                <w:b/>
                <w:bCs/>
                <w:sz w:val="28"/>
              </w:rPr>
              <w:t>Further hearing after interim order</w:t>
            </w:r>
          </w:p>
        </w:tc>
        <w:tc>
          <w:tcPr>
            <w:tcW w:w="2169" w:type="dxa"/>
          </w:tcPr>
          <w:p>
            <w:pPr>
              <w:pStyle w:val="yTableNAm"/>
              <w:tabs>
                <w:tab w:val="clear" w:pos="567"/>
                <w:tab w:val="left" w:pos="432"/>
              </w:tabs>
              <w:spacing w:before="60"/>
              <w:rPr>
                <w:sz w:val="20"/>
              </w:rPr>
            </w:pPr>
            <w:r>
              <w:rPr>
                <w:sz w:val="20"/>
              </w:rPr>
              <w:sym w:font="Monotype Sorts" w:char="F06F"/>
            </w:r>
            <w:r>
              <w:rPr>
                <w:sz w:val="20"/>
              </w:rPr>
              <w:tab/>
              <w:t>Children’s Court</w:t>
            </w:r>
          </w:p>
          <w:p>
            <w:pPr>
              <w:pStyle w:val="yTableNAm"/>
              <w:tabs>
                <w:tab w:val="clear" w:pos="567"/>
                <w:tab w:val="left" w:pos="432"/>
              </w:tabs>
              <w:spacing w:before="60"/>
              <w:rPr>
                <w:sz w:val="20"/>
              </w:rPr>
            </w:pPr>
            <w:r>
              <w:rPr>
                <w:sz w:val="20"/>
              </w:rPr>
              <w:sym w:font="Monotype Sorts" w:char="F06F"/>
            </w:r>
            <w:r>
              <w:rPr>
                <w:sz w:val="20"/>
              </w:rPr>
              <w:tab/>
              <w:t>District Court</w:t>
            </w:r>
          </w:p>
        </w:tc>
      </w:tr>
      <w:tr>
        <w:trPr>
          <w:cantSplit/>
        </w:trPr>
        <w:tc>
          <w:tcPr>
            <w:tcW w:w="4911" w:type="dxa"/>
            <w:gridSpan w:val="2"/>
            <w:vMerge/>
            <w:shd w:val="clear" w:color="auto" w:fill="E6E6E6"/>
          </w:tcPr>
          <w:p>
            <w:pPr>
              <w:pStyle w:val="yTableNAm"/>
              <w:spacing w:before="60"/>
              <w:rPr>
                <w:sz w:val="20"/>
              </w:rPr>
            </w:pPr>
          </w:p>
        </w:tc>
        <w:tc>
          <w:tcPr>
            <w:tcW w:w="2169" w:type="dxa"/>
          </w:tcPr>
          <w:p>
            <w:pPr>
              <w:pStyle w:val="yTableNAm"/>
              <w:spacing w:before="60"/>
              <w:rPr>
                <w:sz w:val="20"/>
              </w:rPr>
            </w:pPr>
            <w:r>
              <w:rPr>
                <w:sz w:val="20"/>
              </w:rPr>
              <w:t>Location</w:t>
            </w:r>
          </w:p>
        </w:tc>
      </w:tr>
      <w:tr>
        <w:trPr>
          <w:cantSplit/>
        </w:trPr>
        <w:tc>
          <w:tcPr>
            <w:tcW w:w="4911" w:type="dxa"/>
            <w:gridSpan w:val="2"/>
            <w:vMerge/>
            <w:shd w:val="clear" w:color="auto" w:fill="E6E6E6"/>
          </w:tcPr>
          <w:p>
            <w:pPr>
              <w:pStyle w:val="yTableNAm"/>
              <w:spacing w:before="60"/>
              <w:rPr>
                <w:sz w:val="20"/>
              </w:rPr>
            </w:pPr>
          </w:p>
        </w:tc>
        <w:tc>
          <w:tcPr>
            <w:tcW w:w="2169" w:type="dxa"/>
          </w:tcPr>
          <w:p>
            <w:pPr>
              <w:pStyle w:val="yTableNAm"/>
              <w:spacing w:before="60"/>
              <w:rPr>
                <w:sz w:val="20"/>
              </w:rPr>
            </w:pPr>
            <w:r>
              <w:rPr>
                <w:sz w:val="20"/>
              </w:rPr>
              <w:t>Number</w:t>
            </w:r>
          </w:p>
        </w:tc>
      </w:tr>
      <w:tr>
        <w:trPr>
          <w:cantSplit/>
        </w:trPr>
        <w:tc>
          <w:tcPr>
            <w:tcW w:w="1200" w:type="dxa"/>
            <w:vMerge w:val="restart"/>
            <w:shd w:val="clear" w:color="auto" w:fill="E6E6E6"/>
          </w:tcPr>
          <w:p>
            <w:pPr>
              <w:pStyle w:val="yTableNAm"/>
              <w:spacing w:before="60"/>
              <w:rPr>
                <w:sz w:val="20"/>
              </w:rPr>
            </w:pPr>
            <w:r>
              <w:rPr>
                <w:b/>
                <w:bCs/>
                <w:sz w:val="20"/>
              </w:rPr>
              <w:t>Respondent</w:t>
            </w:r>
          </w:p>
        </w:tc>
        <w:tc>
          <w:tcPr>
            <w:tcW w:w="5880" w:type="dxa"/>
            <w:gridSpan w:val="2"/>
          </w:tcPr>
          <w:p>
            <w:pPr>
              <w:pStyle w:val="yTableNAm"/>
              <w:tabs>
                <w:tab w:val="left" w:pos="3543"/>
              </w:tabs>
              <w:spacing w:before="60"/>
              <w:rPr>
                <w:sz w:val="20"/>
              </w:rPr>
            </w:pPr>
            <w:r>
              <w:rPr>
                <w:sz w:val="20"/>
              </w:rPr>
              <w:t xml:space="preserve">Name </w:t>
            </w:r>
            <w:r>
              <w:rPr>
                <w:sz w:val="20"/>
              </w:rPr>
              <w:tab/>
            </w:r>
            <w:r>
              <w:rPr>
                <w:sz w:val="20"/>
              </w:rPr>
              <w:tab/>
              <w:t>Date of birth ___/___/___</w:t>
            </w:r>
          </w:p>
        </w:tc>
      </w:tr>
      <w:tr>
        <w:trPr>
          <w:cantSplit/>
        </w:trPr>
        <w:tc>
          <w:tcPr>
            <w:tcW w:w="1200" w:type="dxa"/>
            <w:vMerge/>
            <w:shd w:val="clear" w:color="auto" w:fill="E6E6E6"/>
          </w:tcPr>
          <w:p>
            <w:pPr>
              <w:pStyle w:val="yTableNAm"/>
              <w:spacing w:before="60"/>
              <w:rPr>
                <w:sz w:val="20"/>
              </w:rPr>
            </w:pPr>
          </w:p>
        </w:tc>
        <w:tc>
          <w:tcPr>
            <w:tcW w:w="5880" w:type="dxa"/>
            <w:gridSpan w:val="2"/>
          </w:tcPr>
          <w:p>
            <w:pPr>
              <w:pStyle w:val="yTableNAm"/>
              <w:tabs>
                <w:tab w:val="left" w:pos="3354"/>
              </w:tabs>
              <w:spacing w:before="60"/>
              <w:rPr>
                <w:sz w:val="20"/>
              </w:rPr>
            </w:pPr>
            <w:r>
              <w:rPr>
                <w:sz w:val="20"/>
              </w:rPr>
              <w:t>Address __________________________________________________</w:t>
            </w:r>
          </w:p>
          <w:p>
            <w:pPr>
              <w:pStyle w:val="yTableNAm"/>
              <w:tabs>
                <w:tab w:val="left" w:pos="4143"/>
              </w:tabs>
              <w:spacing w:before="60"/>
              <w:rPr>
                <w:sz w:val="20"/>
              </w:rPr>
            </w:pPr>
            <w:r>
              <w:rPr>
                <w:sz w:val="20"/>
              </w:rPr>
              <w:tab/>
            </w:r>
            <w:r>
              <w:rPr>
                <w:sz w:val="20"/>
              </w:rPr>
              <w:tab/>
              <w:t>Postcode</w:t>
            </w:r>
          </w:p>
        </w:tc>
      </w:tr>
      <w:tr>
        <w:trPr>
          <w:cantSplit/>
        </w:trPr>
        <w:tc>
          <w:tcPr>
            <w:tcW w:w="1200" w:type="dxa"/>
            <w:vMerge/>
            <w:shd w:val="clear" w:color="auto" w:fill="E6E6E6"/>
          </w:tcPr>
          <w:p>
            <w:pPr>
              <w:pStyle w:val="yTableNAm"/>
              <w:spacing w:before="60"/>
              <w:rPr>
                <w:sz w:val="20"/>
              </w:rPr>
            </w:pPr>
          </w:p>
        </w:tc>
        <w:tc>
          <w:tcPr>
            <w:tcW w:w="5880" w:type="dxa"/>
            <w:gridSpan w:val="2"/>
          </w:tcPr>
          <w:p>
            <w:pPr>
              <w:pStyle w:val="yTableNAm"/>
              <w:tabs>
                <w:tab w:val="left" w:pos="3354"/>
              </w:tabs>
              <w:spacing w:before="60"/>
              <w:rPr>
                <w:sz w:val="20"/>
              </w:rPr>
            </w:pPr>
            <w:r>
              <w:rPr>
                <w:sz w:val="20"/>
              </w:rPr>
              <w:t>Phone no.</w:t>
            </w:r>
          </w:p>
        </w:tc>
      </w:tr>
      <w:tr>
        <w:trPr>
          <w:cantSplit/>
        </w:trPr>
        <w:tc>
          <w:tcPr>
            <w:tcW w:w="1200" w:type="dxa"/>
            <w:shd w:val="clear" w:color="auto" w:fill="E6E6E6"/>
          </w:tcPr>
          <w:p>
            <w:pPr>
              <w:pStyle w:val="yTableNAm"/>
              <w:spacing w:before="60"/>
              <w:rPr>
                <w:sz w:val="20"/>
              </w:rPr>
            </w:pPr>
            <w:r>
              <w:rPr>
                <w:b/>
                <w:bCs/>
                <w:sz w:val="20"/>
              </w:rPr>
              <w:t>Order sought</w:t>
            </w:r>
          </w:p>
        </w:tc>
        <w:tc>
          <w:tcPr>
            <w:tcW w:w="5880" w:type="dxa"/>
            <w:gridSpan w:val="2"/>
          </w:tcPr>
          <w:p>
            <w:pPr>
              <w:pStyle w:val="yTableNAm"/>
              <w:spacing w:before="60"/>
              <w:rPr>
                <w:sz w:val="20"/>
              </w:rPr>
            </w:pPr>
            <w:r>
              <w:rPr>
                <w:sz w:val="20"/>
              </w:rPr>
              <w:t xml:space="preserve">The Commissioner of Police has applied to the court for a child protection order to be made in respect of you.  </w:t>
            </w:r>
          </w:p>
          <w:p>
            <w:pPr>
              <w:pStyle w:val="yTableNAm"/>
              <w:spacing w:before="60"/>
              <w:rPr>
                <w:sz w:val="20"/>
              </w:rPr>
            </w:pPr>
            <w:r>
              <w:rPr>
                <w:sz w:val="20"/>
              </w:rPr>
              <w:t>An interim protection order was made on ___/____/20___.</w:t>
            </w:r>
          </w:p>
          <w:p>
            <w:pPr>
              <w:pStyle w:val="yTableNAm"/>
              <w:spacing w:before="60"/>
              <w:rPr>
                <w:b/>
                <w:bCs/>
                <w:sz w:val="20"/>
              </w:rPr>
            </w:pPr>
            <w:r>
              <w:rPr>
                <w:b/>
                <w:bCs/>
                <w:sz w:val="20"/>
              </w:rPr>
              <w:t>A further hearing will now be held at which the court will decide whether to make a child protection order</w:t>
            </w:r>
            <w:r>
              <w:rPr>
                <w:sz w:val="20"/>
              </w:rPr>
              <w:t>.</w:t>
            </w:r>
          </w:p>
        </w:tc>
      </w:tr>
      <w:tr>
        <w:trPr>
          <w:cantSplit/>
        </w:trPr>
        <w:tc>
          <w:tcPr>
            <w:tcW w:w="1200" w:type="dxa"/>
            <w:vMerge w:val="restart"/>
            <w:shd w:val="clear" w:color="auto" w:fill="E6E6E6"/>
          </w:tcPr>
          <w:p>
            <w:pPr>
              <w:pStyle w:val="yTableNAm"/>
              <w:spacing w:before="60"/>
              <w:rPr>
                <w:sz w:val="20"/>
              </w:rPr>
            </w:pPr>
            <w:r>
              <w:rPr>
                <w:b/>
                <w:bCs/>
                <w:sz w:val="20"/>
              </w:rPr>
              <w:t>Hearing</w:t>
            </w:r>
          </w:p>
        </w:tc>
        <w:tc>
          <w:tcPr>
            <w:tcW w:w="5880" w:type="dxa"/>
            <w:gridSpan w:val="2"/>
          </w:tcPr>
          <w:p>
            <w:pPr>
              <w:pStyle w:val="yTableNAm"/>
              <w:spacing w:before="60"/>
              <w:rPr>
                <w:sz w:val="20"/>
              </w:rPr>
            </w:pPr>
            <w:r>
              <w:rPr>
                <w:b/>
                <w:bCs/>
                <w:sz w:val="20"/>
              </w:rPr>
              <w:t xml:space="preserve">You must attend the hearing </w:t>
            </w:r>
            <w:r>
              <w:rPr>
                <w:sz w:val="20"/>
              </w:rPr>
              <w:t xml:space="preserve">at the day, time and place set </w:t>
            </w:r>
            <w:r>
              <w:rPr>
                <w:sz w:val="20"/>
              </w:rPr>
              <w:br/>
              <w:t xml:space="preserve">out below.  If you do not attend, the application may be heard </w:t>
            </w:r>
            <w:r>
              <w:rPr>
                <w:sz w:val="20"/>
              </w:rPr>
              <w:br/>
              <w:t>in your absence.</w:t>
            </w:r>
          </w:p>
        </w:tc>
      </w:tr>
      <w:tr>
        <w:trPr>
          <w:cantSplit/>
        </w:trPr>
        <w:tc>
          <w:tcPr>
            <w:tcW w:w="1200" w:type="dxa"/>
            <w:vMerge/>
            <w:shd w:val="clear" w:color="auto" w:fill="E6E6E6"/>
          </w:tcPr>
          <w:p>
            <w:pPr>
              <w:pStyle w:val="yTableNAm"/>
              <w:spacing w:before="60"/>
              <w:rPr>
                <w:b/>
                <w:bCs/>
                <w:sz w:val="20"/>
              </w:rPr>
            </w:pPr>
          </w:p>
        </w:tc>
        <w:tc>
          <w:tcPr>
            <w:tcW w:w="5880" w:type="dxa"/>
            <w:gridSpan w:val="2"/>
          </w:tcPr>
          <w:p>
            <w:pPr>
              <w:pStyle w:val="yTableNAm"/>
              <w:spacing w:before="60"/>
              <w:rPr>
                <w:sz w:val="20"/>
              </w:rPr>
            </w:pPr>
            <w:r>
              <w:rPr>
                <w:sz w:val="20"/>
              </w:rPr>
              <w:t>Place</w:t>
            </w:r>
          </w:p>
        </w:tc>
      </w:tr>
      <w:tr>
        <w:trPr>
          <w:cantSplit/>
        </w:trPr>
        <w:tc>
          <w:tcPr>
            <w:tcW w:w="1200" w:type="dxa"/>
            <w:vMerge/>
            <w:tcBorders>
              <w:bottom w:val="single" w:sz="4" w:space="0" w:color="auto"/>
            </w:tcBorders>
            <w:shd w:val="clear" w:color="auto" w:fill="E6E6E6"/>
          </w:tcPr>
          <w:p>
            <w:pPr>
              <w:pStyle w:val="yTableNAm"/>
              <w:spacing w:before="60"/>
              <w:rPr>
                <w:sz w:val="20"/>
              </w:rPr>
            </w:pPr>
          </w:p>
        </w:tc>
        <w:tc>
          <w:tcPr>
            <w:tcW w:w="5880" w:type="dxa"/>
            <w:gridSpan w:val="2"/>
            <w:tcBorders>
              <w:bottom w:val="single" w:sz="4" w:space="0" w:color="auto"/>
            </w:tcBorders>
          </w:tcPr>
          <w:p>
            <w:pPr>
              <w:pStyle w:val="yTableNAm"/>
              <w:tabs>
                <w:tab w:val="left" w:pos="3563"/>
              </w:tabs>
              <w:spacing w:before="60"/>
              <w:rPr>
                <w:sz w:val="20"/>
              </w:rPr>
            </w:pPr>
            <w:r>
              <w:rPr>
                <w:sz w:val="20"/>
              </w:rPr>
              <w:t>Date _____/_____/20____</w:t>
            </w:r>
            <w:r>
              <w:rPr>
                <w:sz w:val="20"/>
              </w:rPr>
              <w:tab/>
              <w:t>Time _____a.m./p.m.</w:t>
            </w:r>
          </w:p>
        </w:tc>
      </w:tr>
      <w:tr>
        <w:trPr>
          <w:cantSplit/>
        </w:trPr>
        <w:tc>
          <w:tcPr>
            <w:tcW w:w="1200" w:type="dxa"/>
            <w:tcBorders>
              <w:bottom w:val="single" w:sz="4" w:space="0" w:color="auto"/>
            </w:tcBorders>
            <w:shd w:val="clear" w:color="auto" w:fill="E6E6E6"/>
          </w:tcPr>
          <w:p>
            <w:pPr>
              <w:pStyle w:val="yTableNAm"/>
              <w:spacing w:before="60"/>
              <w:rPr>
                <w:sz w:val="20"/>
              </w:rPr>
            </w:pPr>
            <w:r>
              <w:rPr>
                <w:b/>
                <w:bCs/>
                <w:sz w:val="20"/>
              </w:rPr>
              <w:t>Issue of summons</w:t>
            </w:r>
          </w:p>
        </w:tc>
        <w:tc>
          <w:tcPr>
            <w:tcW w:w="5880" w:type="dxa"/>
            <w:gridSpan w:val="2"/>
            <w:tcBorders>
              <w:bottom w:val="single" w:sz="4" w:space="0" w:color="auto"/>
            </w:tcBorders>
          </w:tcPr>
          <w:p>
            <w:pPr>
              <w:pStyle w:val="yTableNAm"/>
              <w:tabs>
                <w:tab w:val="left" w:pos="3114"/>
              </w:tabs>
              <w:spacing w:before="60"/>
              <w:rPr>
                <w:sz w:val="20"/>
              </w:rPr>
            </w:pPr>
            <w:r>
              <w:rPr>
                <w:sz w:val="20"/>
              </w:rPr>
              <w:t>___________________________________</w:t>
            </w:r>
          </w:p>
          <w:p>
            <w:pPr>
              <w:pStyle w:val="yTableNAm"/>
              <w:tabs>
                <w:tab w:val="left" w:pos="3563"/>
              </w:tabs>
              <w:spacing w:before="60"/>
              <w:rPr>
                <w:sz w:val="20"/>
              </w:rPr>
            </w:pPr>
            <w:r>
              <w:rPr>
                <w:i/>
                <w:iCs/>
                <w:sz w:val="16"/>
              </w:rPr>
              <w:t xml:space="preserve">[Signature of Registrar] </w:t>
            </w:r>
            <w:r>
              <w:rPr>
                <w:sz w:val="20"/>
              </w:rPr>
              <w:tab/>
              <w:t>Date _____/_____/20____</w:t>
            </w:r>
          </w:p>
        </w:tc>
      </w:tr>
      <w:tr>
        <w:trPr>
          <w:cantSplit/>
        </w:trPr>
        <w:tc>
          <w:tcPr>
            <w:tcW w:w="1200" w:type="dxa"/>
            <w:vMerge w:val="restart"/>
            <w:shd w:val="clear" w:color="auto" w:fill="E6E6E6"/>
          </w:tcPr>
          <w:p>
            <w:pPr>
              <w:pStyle w:val="yTableNAm"/>
              <w:spacing w:before="60"/>
              <w:rPr>
                <w:sz w:val="20"/>
              </w:rPr>
            </w:pPr>
            <w:r>
              <w:rPr>
                <w:b/>
                <w:bCs/>
                <w:sz w:val="20"/>
              </w:rPr>
              <w:t>For more information</w:t>
            </w:r>
          </w:p>
        </w:tc>
        <w:tc>
          <w:tcPr>
            <w:tcW w:w="5880" w:type="dxa"/>
            <w:gridSpan w:val="2"/>
          </w:tcPr>
          <w:p>
            <w:pPr>
              <w:pStyle w:val="yTableNAm"/>
              <w:tabs>
                <w:tab w:val="left" w:pos="3114"/>
              </w:tabs>
              <w:spacing w:before="60"/>
              <w:rPr>
                <w:sz w:val="20"/>
              </w:rPr>
            </w:pPr>
            <w:r>
              <w:rPr>
                <w:sz w:val="20"/>
              </w:rPr>
              <w:t xml:space="preserve">For more information about this matter contact: </w:t>
            </w:r>
          </w:p>
        </w:tc>
      </w:tr>
      <w:tr>
        <w:trPr>
          <w:cantSplit/>
        </w:trPr>
        <w:tc>
          <w:tcPr>
            <w:tcW w:w="1200" w:type="dxa"/>
            <w:vMerge/>
            <w:shd w:val="clear" w:color="auto" w:fill="E6E6E6"/>
          </w:tcPr>
          <w:p>
            <w:pPr>
              <w:pStyle w:val="yTableNAm"/>
              <w:spacing w:before="60"/>
              <w:rPr>
                <w:b/>
                <w:bCs/>
                <w:sz w:val="20"/>
              </w:rPr>
            </w:pPr>
          </w:p>
        </w:tc>
        <w:tc>
          <w:tcPr>
            <w:tcW w:w="5880" w:type="dxa"/>
            <w:gridSpan w:val="2"/>
          </w:tcPr>
          <w:p>
            <w:pPr>
              <w:pStyle w:val="yTableNAm"/>
              <w:tabs>
                <w:tab w:val="left" w:pos="3114"/>
              </w:tabs>
              <w:spacing w:before="60"/>
              <w:rPr>
                <w:sz w:val="20"/>
              </w:rPr>
            </w:pPr>
            <w:r>
              <w:rPr>
                <w:sz w:val="20"/>
              </w:rPr>
              <w:t>Name</w:t>
            </w:r>
          </w:p>
        </w:tc>
      </w:tr>
      <w:tr>
        <w:trPr>
          <w:cantSplit/>
        </w:trPr>
        <w:tc>
          <w:tcPr>
            <w:tcW w:w="1200" w:type="dxa"/>
            <w:vMerge/>
            <w:shd w:val="clear" w:color="auto" w:fill="E6E6E6"/>
          </w:tcPr>
          <w:p>
            <w:pPr>
              <w:pStyle w:val="yTableNAm"/>
              <w:spacing w:before="60"/>
              <w:rPr>
                <w:b/>
                <w:bCs/>
                <w:sz w:val="20"/>
              </w:rPr>
            </w:pPr>
          </w:p>
        </w:tc>
        <w:tc>
          <w:tcPr>
            <w:tcW w:w="5880" w:type="dxa"/>
            <w:gridSpan w:val="2"/>
          </w:tcPr>
          <w:p>
            <w:pPr>
              <w:pStyle w:val="yTableNAm"/>
              <w:tabs>
                <w:tab w:val="left" w:pos="3114"/>
              </w:tabs>
              <w:spacing w:before="60"/>
              <w:rPr>
                <w:sz w:val="20"/>
              </w:rPr>
            </w:pPr>
            <w:r>
              <w:rPr>
                <w:sz w:val="20"/>
              </w:rPr>
              <w:t>Position</w:t>
            </w:r>
          </w:p>
        </w:tc>
      </w:tr>
      <w:tr>
        <w:trPr>
          <w:cantSplit/>
        </w:trPr>
        <w:tc>
          <w:tcPr>
            <w:tcW w:w="1200" w:type="dxa"/>
            <w:vMerge/>
            <w:shd w:val="clear" w:color="auto" w:fill="E6E6E6"/>
          </w:tcPr>
          <w:p>
            <w:pPr>
              <w:pStyle w:val="yTableNAm"/>
              <w:spacing w:before="60"/>
              <w:rPr>
                <w:b/>
                <w:bCs/>
                <w:sz w:val="20"/>
              </w:rPr>
            </w:pPr>
          </w:p>
        </w:tc>
        <w:tc>
          <w:tcPr>
            <w:tcW w:w="5880" w:type="dxa"/>
            <w:gridSpan w:val="2"/>
          </w:tcPr>
          <w:p>
            <w:pPr>
              <w:pStyle w:val="yTableNAm"/>
              <w:tabs>
                <w:tab w:val="left" w:pos="3114"/>
              </w:tabs>
              <w:spacing w:before="60"/>
              <w:rPr>
                <w:sz w:val="20"/>
              </w:rPr>
            </w:pPr>
            <w:r>
              <w:rPr>
                <w:sz w:val="20"/>
              </w:rPr>
              <w:t xml:space="preserve">Phone no. </w:t>
            </w:r>
            <w:r>
              <w:rPr>
                <w:sz w:val="20"/>
              </w:rPr>
              <w:tab/>
              <w:t xml:space="preserve">Ref no. </w:t>
            </w:r>
          </w:p>
        </w:tc>
      </w:tr>
      <w:tr>
        <w:trPr>
          <w:cantSplit/>
        </w:trPr>
        <w:tc>
          <w:tcPr>
            <w:tcW w:w="7080" w:type="dxa"/>
            <w:gridSpan w:val="3"/>
            <w:tcBorders>
              <w:top w:val="single" w:sz="4" w:space="0" w:color="auto"/>
              <w:left w:val="nil"/>
              <w:bottom w:val="single" w:sz="4" w:space="0" w:color="auto"/>
              <w:right w:val="nil"/>
            </w:tcBorders>
            <w:tcMar>
              <w:top w:w="0" w:type="dxa"/>
              <w:bottom w:w="0" w:type="dxa"/>
            </w:tcMar>
          </w:tcPr>
          <w:p>
            <w:pPr>
              <w:pStyle w:val="yTableNAm"/>
              <w:spacing w:before="60"/>
              <w:rPr>
                <w:sz w:val="20"/>
              </w:rPr>
            </w:pPr>
          </w:p>
        </w:tc>
      </w:tr>
      <w:tr>
        <w:trPr>
          <w:cantSplit/>
        </w:trPr>
        <w:tc>
          <w:tcPr>
            <w:tcW w:w="7080" w:type="dxa"/>
            <w:gridSpan w:val="3"/>
            <w:shd w:val="clear" w:color="auto" w:fill="E6E6E6"/>
          </w:tcPr>
          <w:p>
            <w:pPr>
              <w:pStyle w:val="yTableNAm"/>
              <w:spacing w:before="60"/>
              <w:jc w:val="center"/>
              <w:rPr>
                <w:sz w:val="20"/>
              </w:rPr>
            </w:pPr>
            <w:r>
              <w:rPr>
                <w:b/>
                <w:bCs/>
                <w:sz w:val="20"/>
              </w:rPr>
              <w:t>Service certificate</w:t>
            </w:r>
          </w:p>
        </w:tc>
      </w:tr>
      <w:tr>
        <w:trPr>
          <w:cantSplit/>
        </w:trPr>
        <w:tc>
          <w:tcPr>
            <w:tcW w:w="1200" w:type="dxa"/>
            <w:vMerge w:val="restart"/>
            <w:shd w:val="clear" w:color="auto" w:fill="E6E6E6"/>
          </w:tcPr>
          <w:p>
            <w:pPr>
              <w:pStyle w:val="yTableNAm"/>
              <w:spacing w:before="60"/>
              <w:rPr>
                <w:sz w:val="20"/>
              </w:rPr>
            </w:pPr>
            <w:r>
              <w:rPr>
                <w:b/>
                <w:bCs/>
                <w:sz w:val="20"/>
              </w:rPr>
              <w:t>Person serving summons</w:t>
            </w:r>
          </w:p>
        </w:tc>
        <w:tc>
          <w:tcPr>
            <w:tcW w:w="5880" w:type="dxa"/>
            <w:gridSpan w:val="2"/>
          </w:tcPr>
          <w:p>
            <w:pPr>
              <w:pStyle w:val="yTableNAm"/>
              <w:spacing w:before="60"/>
              <w:rPr>
                <w:sz w:val="20"/>
              </w:rPr>
            </w:pPr>
            <w:r>
              <w:rPr>
                <w:sz w:val="20"/>
              </w:rPr>
              <w:t>Name</w:t>
            </w:r>
          </w:p>
        </w:tc>
      </w:tr>
      <w:tr>
        <w:trPr>
          <w:cantSplit/>
        </w:trPr>
        <w:tc>
          <w:tcPr>
            <w:tcW w:w="1200" w:type="dxa"/>
            <w:vMerge/>
            <w:shd w:val="clear" w:color="auto" w:fill="E6E6E6"/>
          </w:tcPr>
          <w:p>
            <w:pPr>
              <w:pStyle w:val="yTableNAm"/>
              <w:spacing w:before="60"/>
              <w:rPr>
                <w:sz w:val="20"/>
              </w:rPr>
            </w:pPr>
          </w:p>
        </w:tc>
        <w:tc>
          <w:tcPr>
            <w:tcW w:w="5880" w:type="dxa"/>
            <w:gridSpan w:val="2"/>
          </w:tcPr>
          <w:p>
            <w:pPr>
              <w:pStyle w:val="yTableNAm"/>
              <w:spacing w:before="60"/>
              <w:rPr>
                <w:sz w:val="20"/>
              </w:rPr>
            </w:pPr>
            <w:r>
              <w:rPr>
                <w:sz w:val="20"/>
              </w:rPr>
              <w:t>Address __________________________________________________</w:t>
            </w:r>
          </w:p>
          <w:p>
            <w:pPr>
              <w:pStyle w:val="yTableNAm"/>
              <w:tabs>
                <w:tab w:val="left" w:pos="4143"/>
              </w:tabs>
              <w:spacing w:before="60"/>
              <w:rPr>
                <w:sz w:val="20"/>
              </w:rPr>
            </w:pPr>
            <w:r>
              <w:rPr>
                <w:sz w:val="20"/>
              </w:rPr>
              <w:tab/>
            </w:r>
            <w:r>
              <w:rPr>
                <w:sz w:val="20"/>
              </w:rPr>
              <w:tab/>
              <w:t>Postcode</w:t>
            </w:r>
          </w:p>
        </w:tc>
      </w:tr>
      <w:tr>
        <w:trPr>
          <w:cantSplit/>
        </w:trPr>
        <w:tc>
          <w:tcPr>
            <w:tcW w:w="1200" w:type="dxa"/>
            <w:vMerge w:val="restart"/>
            <w:shd w:val="clear" w:color="auto" w:fill="E6E6E6"/>
          </w:tcPr>
          <w:p>
            <w:pPr>
              <w:pStyle w:val="yTableNAm"/>
              <w:spacing w:before="60"/>
              <w:rPr>
                <w:sz w:val="20"/>
              </w:rPr>
            </w:pPr>
            <w:r>
              <w:rPr>
                <w:b/>
                <w:bCs/>
                <w:sz w:val="20"/>
              </w:rPr>
              <w:t>Service</w:t>
            </w:r>
          </w:p>
        </w:tc>
        <w:tc>
          <w:tcPr>
            <w:tcW w:w="5880" w:type="dxa"/>
            <w:gridSpan w:val="2"/>
          </w:tcPr>
          <w:p>
            <w:pPr>
              <w:pStyle w:val="yTableNAm"/>
              <w:tabs>
                <w:tab w:val="clear" w:pos="567"/>
                <w:tab w:val="left" w:pos="870"/>
                <w:tab w:val="left" w:pos="1295"/>
              </w:tabs>
              <w:spacing w:before="60"/>
              <w:rPr>
                <w:sz w:val="20"/>
              </w:rPr>
            </w:pPr>
            <w:r>
              <w:rPr>
                <w:sz w:val="20"/>
              </w:rPr>
              <w:t>Method</w:t>
            </w:r>
            <w:r>
              <w:rPr>
                <w:sz w:val="20"/>
              </w:rPr>
              <w:tab/>
            </w:r>
            <w:r>
              <w:rPr>
                <w:sz w:val="20"/>
              </w:rPr>
              <w:sym w:font="Monotype Sorts" w:char="F06F"/>
            </w:r>
            <w:r>
              <w:rPr>
                <w:sz w:val="20"/>
              </w:rPr>
              <w:tab/>
              <w:t>Handed to respondent in person</w:t>
            </w:r>
          </w:p>
          <w:p>
            <w:pPr>
              <w:pStyle w:val="yTableNAm"/>
              <w:tabs>
                <w:tab w:val="clear" w:pos="567"/>
                <w:tab w:val="left" w:pos="870"/>
                <w:tab w:val="left" w:pos="1295"/>
              </w:tabs>
              <w:spacing w:before="20"/>
              <w:rPr>
                <w:sz w:val="20"/>
              </w:rPr>
            </w:pPr>
            <w:r>
              <w:rPr>
                <w:sz w:val="20"/>
              </w:rPr>
              <w:tab/>
            </w:r>
            <w:r>
              <w:rPr>
                <w:sz w:val="20"/>
              </w:rPr>
              <w:sym w:font="Monotype Sorts" w:char="F06F"/>
            </w:r>
            <w:r>
              <w:rPr>
                <w:sz w:val="20"/>
              </w:rPr>
              <w:tab/>
              <w:t>Posted to respondent’s last known address</w:t>
            </w:r>
          </w:p>
          <w:p>
            <w:pPr>
              <w:pStyle w:val="yTableNAm"/>
              <w:tabs>
                <w:tab w:val="clear" w:pos="567"/>
                <w:tab w:val="left" w:pos="870"/>
                <w:tab w:val="left" w:pos="1295"/>
              </w:tabs>
              <w:spacing w:before="20"/>
              <w:rPr>
                <w:sz w:val="20"/>
              </w:rPr>
            </w:pPr>
            <w:r>
              <w:rPr>
                <w:sz w:val="20"/>
              </w:rPr>
              <w:tab/>
            </w:r>
            <w:r>
              <w:rPr>
                <w:sz w:val="20"/>
              </w:rPr>
              <w:sym w:font="Monotype Sorts" w:char="F06F"/>
            </w:r>
            <w:r>
              <w:rPr>
                <w:sz w:val="20"/>
              </w:rPr>
              <w:tab/>
              <w:t>Left at respondent’s last known address</w:t>
            </w:r>
          </w:p>
        </w:tc>
      </w:tr>
      <w:tr>
        <w:trPr>
          <w:cantSplit/>
        </w:trPr>
        <w:tc>
          <w:tcPr>
            <w:tcW w:w="1200" w:type="dxa"/>
            <w:vMerge/>
            <w:shd w:val="clear" w:color="auto" w:fill="E6E6E6"/>
          </w:tcPr>
          <w:p>
            <w:pPr>
              <w:pStyle w:val="yTableNAm"/>
              <w:spacing w:before="60"/>
              <w:rPr>
                <w:b/>
                <w:bCs/>
                <w:sz w:val="20"/>
              </w:rPr>
            </w:pPr>
          </w:p>
        </w:tc>
        <w:tc>
          <w:tcPr>
            <w:tcW w:w="5880" w:type="dxa"/>
            <w:gridSpan w:val="2"/>
          </w:tcPr>
          <w:p>
            <w:pPr>
              <w:pStyle w:val="yTableNAm"/>
              <w:spacing w:before="60"/>
              <w:rPr>
                <w:sz w:val="20"/>
              </w:rPr>
            </w:pPr>
            <w:r>
              <w:rPr>
                <w:iCs/>
                <w:sz w:val="20"/>
              </w:rPr>
              <w:t>Place</w:t>
            </w:r>
            <w:r>
              <w:rPr>
                <w:i/>
                <w:sz w:val="16"/>
              </w:rPr>
              <w:t xml:space="preserve"> [if applicable]</w:t>
            </w:r>
          </w:p>
        </w:tc>
      </w:tr>
      <w:tr>
        <w:trPr>
          <w:cantSplit/>
        </w:trPr>
        <w:tc>
          <w:tcPr>
            <w:tcW w:w="1200" w:type="dxa"/>
            <w:vMerge/>
            <w:shd w:val="clear" w:color="auto" w:fill="E6E6E6"/>
          </w:tcPr>
          <w:p>
            <w:pPr>
              <w:pStyle w:val="yTableNAm"/>
              <w:spacing w:before="60"/>
              <w:rPr>
                <w:sz w:val="20"/>
              </w:rPr>
            </w:pPr>
          </w:p>
        </w:tc>
        <w:tc>
          <w:tcPr>
            <w:tcW w:w="5880" w:type="dxa"/>
            <w:gridSpan w:val="2"/>
          </w:tcPr>
          <w:p>
            <w:pPr>
              <w:pStyle w:val="yTableNAm"/>
              <w:tabs>
                <w:tab w:val="left" w:pos="3563"/>
              </w:tabs>
              <w:spacing w:before="60"/>
              <w:rPr>
                <w:sz w:val="20"/>
              </w:rPr>
            </w:pPr>
            <w:r>
              <w:rPr>
                <w:sz w:val="20"/>
              </w:rPr>
              <w:t>Date _____/_____/20____</w:t>
            </w:r>
            <w:r>
              <w:rPr>
                <w:sz w:val="20"/>
              </w:rPr>
              <w:tab/>
              <w:t>Time _____a.m./p.m.</w:t>
            </w:r>
          </w:p>
        </w:tc>
      </w:tr>
      <w:tr>
        <w:trPr>
          <w:cantSplit/>
        </w:trPr>
        <w:tc>
          <w:tcPr>
            <w:tcW w:w="1200" w:type="dxa"/>
            <w:vMerge w:val="restart"/>
            <w:shd w:val="clear" w:color="auto" w:fill="E6E6E6"/>
          </w:tcPr>
          <w:p>
            <w:pPr>
              <w:pStyle w:val="yTableNAm"/>
              <w:spacing w:before="60"/>
              <w:rPr>
                <w:sz w:val="20"/>
              </w:rPr>
            </w:pPr>
            <w:r>
              <w:rPr>
                <w:b/>
                <w:bCs/>
                <w:sz w:val="20"/>
              </w:rPr>
              <w:t>Certificate</w:t>
            </w:r>
          </w:p>
        </w:tc>
        <w:tc>
          <w:tcPr>
            <w:tcW w:w="5880" w:type="dxa"/>
            <w:gridSpan w:val="2"/>
          </w:tcPr>
          <w:p>
            <w:pPr>
              <w:pStyle w:val="yTableNAm"/>
              <w:tabs>
                <w:tab w:val="left" w:pos="3114"/>
              </w:tabs>
              <w:spacing w:before="60"/>
              <w:rPr>
                <w:sz w:val="20"/>
              </w:rPr>
            </w:pPr>
            <w:r>
              <w:rPr>
                <w:sz w:val="20"/>
              </w:rPr>
              <w:t xml:space="preserve">I certify that I served this summons on the respondent in the manner described above. </w:t>
            </w:r>
          </w:p>
        </w:tc>
      </w:tr>
      <w:tr>
        <w:trPr>
          <w:cantSplit/>
        </w:trPr>
        <w:tc>
          <w:tcPr>
            <w:tcW w:w="1200" w:type="dxa"/>
            <w:vMerge/>
            <w:shd w:val="clear" w:color="auto" w:fill="E6E6E6"/>
          </w:tcPr>
          <w:p>
            <w:pPr>
              <w:pStyle w:val="yTableNAm"/>
              <w:spacing w:before="60"/>
              <w:rPr>
                <w:sz w:val="20"/>
              </w:rPr>
            </w:pPr>
          </w:p>
        </w:tc>
        <w:tc>
          <w:tcPr>
            <w:tcW w:w="5880" w:type="dxa"/>
            <w:gridSpan w:val="2"/>
          </w:tcPr>
          <w:p>
            <w:pPr>
              <w:pStyle w:val="yTableNAm"/>
              <w:tabs>
                <w:tab w:val="left" w:pos="3114"/>
              </w:tabs>
              <w:spacing w:before="60"/>
              <w:rPr>
                <w:sz w:val="20"/>
              </w:rPr>
            </w:pPr>
            <w:r>
              <w:rPr>
                <w:sz w:val="20"/>
              </w:rPr>
              <w:t>___________________________________</w:t>
            </w:r>
          </w:p>
          <w:p>
            <w:pPr>
              <w:pStyle w:val="yTableNAm"/>
              <w:tabs>
                <w:tab w:val="left" w:pos="3563"/>
              </w:tabs>
              <w:spacing w:before="60"/>
              <w:rPr>
                <w:iCs/>
                <w:sz w:val="20"/>
              </w:rPr>
            </w:pPr>
            <w:r>
              <w:rPr>
                <w:i/>
                <w:sz w:val="16"/>
              </w:rPr>
              <w:t>[Signature]</w:t>
            </w:r>
            <w:r>
              <w:rPr>
                <w:sz w:val="20"/>
              </w:rPr>
              <w:tab/>
              <w:t>Date ____/_____/20____</w:t>
            </w:r>
          </w:p>
        </w:tc>
      </w:tr>
    </w:tbl>
    <w:p>
      <w:pPr>
        <w:pStyle w:val="yFootnotesection"/>
      </w:pPr>
      <w:r>
        <w:tab/>
        <w:t>[Form 2 inserted in Gazette 9 Dec 2005 p. 5889</w:t>
      </w:r>
      <w:r>
        <w:noBreakHyphen/>
        <w:t xml:space="preserve">90; amended in Gazette </w:t>
      </w:r>
      <w:r>
        <w:rPr>
          <w:szCs w:val="22"/>
        </w:rPr>
        <w:t>8 Nov 2013 p. </w:t>
      </w:r>
      <w:r>
        <w:t>5010.]</w:t>
      </w:r>
    </w:p>
    <w:p>
      <w:pPr>
        <w:pStyle w:val="yHeading5"/>
        <w:pageBreakBefore/>
        <w:spacing w:after="80"/>
      </w:pPr>
      <w:bookmarkStart w:id="42" w:name="_Toc384380040"/>
      <w:r>
        <w:rPr>
          <w:rStyle w:val="CharSClsNo"/>
        </w:rPr>
        <w:t>3</w:t>
      </w:r>
      <w:r>
        <w:t>.</w:t>
      </w:r>
      <w:r>
        <w:tab/>
        <w:t>Summons: Application to vary or revoke child protection order</w:t>
      </w:r>
      <w:bookmarkEnd w:id="42"/>
    </w:p>
    <w:tbl>
      <w:tblPr>
        <w:tblW w:w="7080"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57" w:type="dxa"/>
          <w:bottom w:w="28" w:type="dxa"/>
          <w:right w:w="57" w:type="dxa"/>
        </w:tblCellMar>
        <w:tblLook w:val="0000" w:firstRow="0" w:lastRow="0" w:firstColumn="0" w:lastColumn="0" w:noHBand="0" w:noVBand="0"/>
      </w:tblPr>
      <w:tblGrid>
        <w:gridCol w:w="1509"/>
        <w:gridCol w:w="3402"/>
        <w:gridCol w:w="2169"/>
      </w:tblGrid>
      <w:tr>
        <w:trPr>
          <w:cantSplit/>
        </w:trPr>
        <w:tc>
          <w:tcPr>
            <w:tcW w:w="4911" w:type="dxa"/>
            <w:gridSpan w:val="2"/>
            <w:vMerge w:val="restart"/>
            <w:shd w:val="clear" w:color="auto" w:fill="E6E6E6"/>
          </w:tcPr>
          <w:p>
            <w:pPr>
              <w:pStyle w:val="yTableNAm"/>
              <w:spacing w:before="60"/>
              <w:jc w:val="center"/>
              <w:rPr>
                <w:iCs/>
                <w:sz w:val="20"/>
              </w:rPr>
            </w:pPr>
            <w:r>
              <w:rPr>
                <w:i/>
                <w:iCs/>
                <w:sz w:val="20"/>
              </w:rPr>
              <w:t>Community Protection (Offender Reporting) Act 2004</w:t>
            </w:r>
          </w:p>
          <w:p>
            <w:pPr>
              <w:pStyle w:val="yTableNAm"/>
              <w:spacing w:before="0"/>
              <w:jc w:val="center"/>
              <w:rPr>
                <w:b/>
                <w:bCs/>
                <w:sz w:val="28"/>
              </w:rPr>
            </w:pPr>
            <w:r>
              <w:rPr>
                <w:b/>
                <w:bCs/>
                <w:sz w:val="28"/>
              </w:rPr>
              <w:t>Summons</w:t>
            </w:r>
          </w:p>
          <w:p>
            <w:pPr>
              <w:pStyle w:val="yTableNAm"/>
              <w:spacing w:before="0"/>
              <w:jc w:val="center"/>
              <w:rPr>
                <w:b/>
                <w:bCs/>
              </w:rPr>
            </w:pPr>
            <w:r>
              <w:rPr>
                <w:b/>
                <w:bCs/>
                <w:sz w:val="28"/>
              </w:rPr>
              <w:t>Application to vary or revoke child protection order</w:t>
            </w:r>
          </w:p>
        </w:tc>
        <w:tc>
          <w:tcPr>
            <w:tcW w:w="2169" w:type="dxa"/>
          </w:tcPr>
          <w:p>
            <w:pPr>
              <w:pStyle w:val="yTableNAm"/>
              <w:tabs>
                <w:tab w:val="clear" w:pos="567"/>
                <w:tab w:val="left" w:pos="312"/>
              </w:tabs>
              <w:spacing w:before="60"/>
              <w:rPr>
                <w:sz w:val="20"/>
              </w:rPr>
            </w:pPr>
            <w:r>
              <w:rPr>
                <w:sz w:val="20"/>
              </w:rPr>
              <w:sym w:font="Monotype Sorts" w:char="F06F"/>
            </w:r>
            <w:r>
              <w:rPr>
                <w:sz w:val="20"/>
              </w:rPr>
              <w:tab/>
              <w:t>Children’s Court</w:t>
            </w:r>
          </w:p>
          <w:p>
            <w:pPr>
              <w:pStyle w:val="yTableNAm"/>
              <w:tabs>
                <w:tab w:val="clear" w:pos="567"/>
                <w:tab w:val="left" w:pos="312"/>
              </w:tabs>
              <w:spacing w:before="60"/>
              <w:rPr>
                <w:sz w:val="20"/>
              </w:rPr>
            </w:pPr>
            <w:r>
              <w:rPr>
                <w:sz w:val="20"/>
              </w:rPr>
              <w:sym w:font="Monotype Sorts" w:char="F06F"/>
            </w:r>
            <w:r>
              <w:rPr>
                <w:sz w:val="20"/>
              </w:rPr>
              <w:tab/>
              <w:t>District Court</w:t>
            </w:r>
          </w:p>
        </w:tc>
      </w:tr>
      <w:tr>
        <w:trPr>
          <w:cantSplit/>
        </w:trPr>
        <w:tc>
          <w:tcPr>
            <w:tcW w:w="4911" w:type="dxa"/>
            <w:gridSpan w:val="2"/>
            <w:vMerge/>
            <w:shd w:val="clear" w:color="auto" w:fill="E6E6E6"/>
          </w:tcPr>
          <w:p>
            <w:pPr>
              <w:pStyle w:val="yTableNAm"/>
              <w:spacing w:before="60"/>
            </w:pPr>
          </w:p>
        </w:tc>
        <w:tc>
          <w:tcPr>
            <w:tcW w:w="2169" w:type="dxa"/>
          </w:tcPr>
          <w:p>
            <w:pPr>
              <w:pStyle w:val="yTableNAm"/>
              <w:spacing w:before="60"/>
              <w:rPr>
                <w:sz w:val="20"/>
              </w:rPr>
            </w:pPr>
            <w:r>
              <w:rPr>
                <w:sz w:val="20"/>
              </w:rPr>
              <w:t>Location</w:t>
            </w:r>
          </w:p>
        </w:tc>
      </w:tr>
      <w:tr>
        <w:trPr>
          <w:cantSplit/>
        </w:trPr>
        <w:tc>
          <w:tcPr>
            <w:tcW w:w="4911" w:type="dxa"/>
            <w:gridSpan w:val="2"/>
            <w:vMerge/>
            <w:shd w:val="clear" w:color="auto" w:fill="E6E6E6"/>
          </w:tcPr>
          <w:p>
            <w:pPr>
              <w:pStyle w:val="yTableNAm"/>
              <w:spacing w:before="60"/>
            </w:pPr>
          </w:p>
        </w:tc>
        <w:tc>
          <w:tcPr>
            <w:tcW w:w="2169" w:type="dxa"/>
          </w:tcPr>
          <w:p>
            <w:pPr>
              <w:pStyle w:val="yTableNAm"/>
              <w:spacing w:before="60"/>
              <w:rPr>
                <w:sz w:val="20"/>
              </w:rPr>
            </w:pPr>
            <w:r>
              <w:rPr>
                <w:sz w:val="20"/>
              </w:rPr>
              <w:t>Number</w:t>
            </w:r>
          </w:p>
        </w:tc>
      </w:tr>
      <w:tr>
        <w:trPr>
          <w:cantSplit/>
          <w:trHeight w:val="183"/>
        </w:trPr>
        <w:tc>
          <w:tcPr>
            <w:tcW w:w="1509" w:type="dxa"/>
            <w:vMerge w:val="restart"/>
            <w:shd w:val="clear" w:color="auto" w:fill="E6E6E6"/>
          </w:tcPr>
          <w:p>
            <w:pPr>
              <w:pStyle w:val="yTableNAm"/>
              <w:spacing w:before="60"/>
              <w:rPr>
                <w:sz w:val="20"/>
              </w:rPr>
            </w:pPr>
            <w:r>
              <w:rPr>
                <w:b/>
                <w:bCs/>
                <w:sz w:val="20"/>
              </w:rPr>
              <w:t xml:space="preserve">Order </w:t>
            </w:r>
          </w:p>
        </w:tc>
        <w:tc>
          <w:tcPr>
            <w:tcW w:w="5571" w:type="dxa"/>
            <w:gridSpan w:val="2"/>
          </w:tcPr>
          <w:p>
            <w:pPr>
              <w:pStyle w:val="yTableNAm"/>
              <w:spacing w:before="0"/>
              <w:rPr>
                <w:sz w:val="20"/>
              </w:rPr>
            </w:pPr>
            <w:r>
              <w:rPr>
                <w:sz w:val="20"/>
              </w:rPr>
              <w:t>Person subject to order</w:t>
            </w:r>
          </w:p>
        </w:tc>
      </w:tr>
      <w:tr>
        <w:trPr>
          <w:cantSplit/>
          <w:trHeight w:val="183"/>
        </w:trPr>
        <w:tc>
          <w:tcPr>
            <w:tcW w:w="1509" w:type="dxa"/>
            <w:vMerge/>
            <w:shd w:val="clear" w:color="auto" w:fill="E6E6E6"/>
          </w:tcPr>
          <w:p>
            <w:pPr>
              <w:pStyle w:val="yTableNAm"/>
              <w:spacing w:before="60"/>
              <w:rPr>
                <w:b/>
                <w:bCs/>
                <w:sz w:val="20"/>
              </w:rPr>
            </w:pPr>
          </w:p>
        </w:tc>
        <w:tc>
          <w:tcPr>
            <w:tcW w:w="5571" w:type="dxa"/>
            <w:gridSpan w:val="2"/>
          </w:tcPr>
          <w:p>
            <w:pPr>
              <w:pStyle w:val="yTableNAm"/>
              <w:spacing w:before="0"/>
              <w:rPr>
                <w:sz w:val="20"/>
              </w:rPr>
            </w:pPr>
            <w:r>
              <w:rPr>
                <w:sz w:val="20"/>
              </w:rPr>
              <w:t>Date made</w:t>
            </w:r>
            <w:r>
              <w:rPr>
                <w:sz w:val="20"/>
              </w:rPr>
              <w:tab/>
              <w:t>_____/_____/20____</w:t>
            </w:r>
          </w:p>
        </w:tc>
      </w:tr>
      <w:tr>
        <w:trPr>
          <w:cantSplit/>
          <w:trHeight w:val="182"/>
        </w:trPr>
        <w:tc>
          <w:tcPr>
            <w:tcW w:w="1509" w:type="dxa"/>
            <w:vMerge/>
            <w:shd w:val="clear" w:color="auto" w:fill="E6E6E6"/>
          </w:tcPr>
          <w:p>
            <w:pPr>
              <w:pStyle w:val="yTableNAm"/>
              <w:spacing w:before="60"/>
              <w:rPr>
                <w:b/>
                <w:bCs/>
                <w:sz w:val="20"/>
              </w:rPr>
            </w:pPr>
          </w:p>
        </w:tc>
        <w:tc>
          <w:tcPr>
            <w:tcW w:w="5571" w:type="dxa"/>
            <w:gridSpan w:val="2"/>
          </w:tcPr>
          <w:p>
            <w:pPr>
              <w:pStyle w:val="yTableNAm"/>
              <w:spacing w:before="0"/>
              <w:rPr>
                <w:sz w:val="20"/>
              </w:rPr>
            </w:pPr>
            <w:r>
              <w:rPr>
                <w:sz w:val="20"/>
              </w:rPr>
              <w:t>Expiry date</w:t>
            </w:r>
            <w:r>
              <w:rPr>
                <w:sz w:val="20"/>
              </w:rPr>
              <w:tab/>
              <w:t>_____/_____/20____</w:t>
            </w:r>
          </w:p>
        </w:tc>
      </w:tr>
      <w:tr>
        <w:trPr>
          <w:cantSplit/>
        </w:trPr>
        <w:tc>
          <w:tcPr>
            <w:tcW w:w="1509" w:type="dxa"/>
            <w:shd w:val="clear" w:color="auto" w:fill="E6E6E6"/>
          </w:tcPr>
          <w:p>
            <w:pPr>
              <w:pStyle w:val="yTableNAm"/>
              <w:spacing w:before="60"/>
              <w:rPr>
                <w:sz w:val="20"/>
              </w:rPr>
            </w:pPr>
            <w:r>
              <w:rPr>
                <w:b/>
                <w:bCs/>
                <w:sz w:val="20"/>
              </w:rPr>
              <w:t xml:space="preserve">Applicant </w:t>
            </w:r>
          </w:p>
        </w:tc>
        <w:tc>
          <w:tcPr>
            <w:tcW w:w="5571" w:type="dxa"/>
            <w:gridSpan w:val="2"/>
          </w:tcPr>
          <w:p>
            <w:pPr>
              <w:pStyle w:val="yTableNAm"/>
              <w:tabs>
                <w:tab w:val="left" w:pos="3234"/>
              </w:tabs>
              <w:spacing w:before="0"/>
              <w:rPr>
                <w:sz w:val="20"/>
              </w:rPr>
            </w:pPr>
            <w:r>
              <w:rPr>
                <w:sz w:val="20"/>
              </w:rPr>
              <w:sym w:font="Monotype Sorts" w:char="F06F"/>
            </w:r>
            <w:r>
              <w:rPr>
                <w:sz w:val="20"/>
              </w:rPr>
              <w:tab/>
              <w:t xml:space="preserve">Commissioner of Police </w:t>
            </w:r>
          </w:p>
          <w:p>
            <w:pPr>
              <w:pStyle w:val="yTableNAm"/>
              <w:tabs>
                <w:tab w:val="left" w:pos="3234"/>
              </w:tabs>
              <w:spacing w:before="0"/>
              <w:rPr>
                <w:sz w:val="20"/>
              </w:rPr>
            </w:pPr>
            <w:r>
              <w:rPr>
                <w:sz w:val="20"/>
              </w:rPr>
              <w:sym w:font="Monotype Sorts" w:char="F06F"/>
            </w:r>
            <w:r>
              <w:rPr>
                <w:sz w:val="20"/>
              </w:rPr>
              <w:tab/>
              <w:t xml:space="preserve">Person subject to order </w:t>
            </w:r>
          </w:p>
          <w:p>
            <w:pPr>
              <w:pStyle w:val="yTableNAm"/>
              <w:tabs>
                <w:tab w:val="left" w:pos="3234"/>
              </w:tabs>
              <w:spacing w:before="0"/>
              <w:rPr>
                <w:sz w:val="20"/>
              </w:rPr>
            </w:pPr>
            <w:r>
              <w:rPr>
                <w:sz w:val="20"/>
              </w:rPr>
              <w:t>Leave to apply granted _____/_____/20____</w:t>
            </w:r>
          </w:p>
          <w:p>
            <w:pPr>
              <w:pStyle w:val="yTableNAm"/>
              <w:tabs>
                <w:tab w:val="clear" w:pos="567"/>
                <w:tab w:val="left" w:pos="5394"/>
              </w:tabs>
              <w:spacing w:before="0"/>
              <w:rPr>
                <w:sz w:val="20"/>
              </w:rPr>
            </w:pPr>
            <w:r>
              <w:rPr>
                <w:sz w:val="20"/>
              </w:rPr>
              <w:t xml:space="preserve">Address </w:t>
            </w:r>
            <w:r>
              <w:rPr>
                <w:sz w:val="20"/>
                <w:u w:val="single"/>
              </w:rPr>
              <w:tab/>
            </w:r>
          </w:p>
          <w:p>
            <w:pPr>
              <w:pStyle w:val="yTableNAm"/>
              <w:tabs>
                <w:tab w:val="left" w:pos="3834"/>
              </w:tabs>
              <w:spacing w:before="0"/>
              <w:rPr>
                <w:b/>
                <w:bCs/>
                <w:sz w:val="20"/>
              </w:rPr>
            </w:pPr>
            <w:r>
              <w:rPr>
                <w:sz w:val="20"/>
              </w:rPr>
              <w:tab/>
            </w:r>
            <w:r>
              <w:rPr>
                <w:sz w:val="20"/>
              </w:rPr>
              <w:tab/>
              <w:t>Postcode</w:t>
            </w:r>
          </w:p>
        </w:tc>
      </w:tr>
      <w:tr>
        <w:trPr>
          <w:cantSplit/>
        </w:trPr>
        <w:tc>
          <w:tcPr>
            <w:tcW w:w="1509" w:type="dxa"/>
            <w:shd w:val="clear" w:color="auto" w:fill="E6E6E6"/>
          </w:tcPr>
          <w:p>
            <w:pPr>
              <w:pStyle w:val="yTableNAm"/>
              <w:spacing w:before="60"/>
              <w:rPr>
                <w:sz w:val="20"/>
              </w:rPr>
            </w:pPr>
            <w:r>
              <w:rPr>
                <w:b/>
                <w:bCs/>
                <w:sz w:val="20"/>
              </w:rPr>
              <w:t xml:space="preserve">Application </w:t>
            </w:r>
          </w:p>
        </w:tc>
        <w:tc>
          <w:tcPr>
            <w:tcW w:w="5571" w:type="dxa"/>
            <w:gridSpan w:val="2"/>
          </w:tcPr>
          <w:p>
            <w:pPr>
              <w:pStyle w:val="yTableNAm"/>
              <w:tabs>
                <w:tab w:val="left" w:pos="3234"/>
              </w:tabs>
              <w:spacing w:before="0"/>
              <w:rPr>
                <w:sz w:val="20"/>
              </w:rPr>
            </w:pPr>
            <w:r>
              <w:rPr>
                <w:sz w:val="20"/>
              </w:rPr>
              <w:sym w:font="Monotype Sorts" w:char="F06F"/>
            </w:r>
            <w:r>
              <w:rPr>
                <w:sz w:val="20"/>
              </w:rPr>
              <w:tab/>
              <w:t xml:space="preserve">To revoke order </w:t>
            </w:r>
          </w:p>
          <w:p>
            <w:pPr>
              <w:pStyle w:val="yTableNAm"/>
              <w:tabs>
                <w:tab w:val="left" w:pos="3234"/>
              </w:tabs>
              <w:spacing w:before="0"/>
              <w:rPr>
                <w:sz w:val="20"/>
              </w:rPr>
            </w:pPr>
            <w:r>
              <w:rPr>
                <w:sz w:val="20"/>
              </w:rPr>
              <w:sym w:font="Monotype Sorts" w:char="F06F"/>
            </w:r>
            <w:r>
              <w:rPr>
                <w:sz w:val="20"/>
              </w:rPr>
              <w:tab/>
              <w:t xml:space="preserve">To vary order to </w:t>
            </w:r>
            <w:r>
              <w:rPr>
                <w:i/>
                <w:sz w:val="16"/>
              </w:rPr>
              <w:t>[details of variation sought]</w:t>
            </w:r>
            <w:r>
              <w:rPr>
                <w:sz w:val="20"/>
              </w:rPr>
              <w:t xml:space="preserve"> ________________</w:t>
            </w:r>
          </w:p>
          <w:p>
            <w:pPr>
              <w:pStyle w:val="yTableNAm"/>
              <w:tabs>
                <w:tab w:val="left" w:pos="3234"/>
              </w:tabs>
              <w:spacing w:before="0"/>
              <w:rPr>
                <w:sz w:val="20"/>
              </w:rPr>
            </w:pPr>
            <w:r>
              <w:rPr>
                <w:sz w:val="20"/>
              </w:rPr>
              <w:t>______________________________________________________</w:t>
            </w:r>
          </w:p>
          <w:p>
            <w:pPr>
              <w:pStyle w:val="yTableNAm"/>
              <w:tabs>
                <w:tab w:val="left" w:pos="3234"/>
              </w:tabs>
              <w:spacing w:before="0"/>
              <w:rPr>
                <w:b/>
                <w:bCs/>
                <w:sz w:val="20"/>
              </w:rPr>
            </w:pPr>
          </w:p>
        </w:tc>
      </w:tr>
      <w:tr>
        <w:trPr>
          <w:cantSplit/>
        </w:trPr>
        <w:tc>
          <w:tcPr>
            <w:tcW w:w="1509" w:type="dxa"/>
            <w:vMerge w:val="restart"/>
            <w:shd w:val="clear" w:color="auto" w:fill="E6E6E6"/>
          </w:tcPr>
          <w:p>
            <w:pPr>
              <w:pStyle w:val="yTableNAm"/>
              <w:spacing w:before="60"/>
              <w:rPr>
                <w:sz w:val="20"/>
              </w:rPr>
            </w:pPr>
            <w:r>
              <w:rPr>
                <w:b/>
                <w:bCs/>
                <w:sz w:val="20"/>
              </w:rPr>
              <w:t>Respondent</w:t>
            </w:r>
          </w:p>
        </w:tc>
        <w:tc>
          <w:tcPr>
            <w:tcW w:w="5571" w:type="dxa"/>
            <w:gridSpan w:val="2"/>
          </w:tcPr>
          <w:p>
            <w:pPr>
              <w:pStyle w:val="yTableNAm"/>
              <w:tabs>
                <w:tab w:val="left" w:pos="3234"/>
              </w:tabs>
              <w:spacing w:before="0"/>
              <w:rPr>
                <w:sz w:val="20"/>
              </w:rPr>
            </w:pPr>
            <w:r>
              <w:rPr>
                <w:sz w:val="20"/>
              </w:rPr>
              <w:sym w:font="Monotype Sorts" w:char="F06F"/>
            </w:r>
            <w:r>
              <w:rPr>
                <w:sz w:val="20"/>
              </w:rPr>
              <w:tab/>
              <w:t>Person subject to order</w:t>
            </w:r>
          </w:p>
          <w:p>
            <w:pPr>
              <w:pStyle w:val="yTableNAm"/>
              <w:tabs>
                <w:tab w:val="left" w:pos="3234"/>
              </w:tabs>
              <w:spacing w:before="0"/>
              <w:rPr>
                <w:sz w:val="20"/>
              </w:rPr>
            </w:pPr>
            <w:r>
              <w:rPr>
                <w:sz w:val="20"/>
              </w:rPr>
              <w:sym w:font="Monotype Sorts" w:char="F06F"/>
            </w:r>
            <w:r>
              <w:rPr>
                <w:sz w:val="20"/>
              </w:rPr>
              <w:tab/>
              <w:t>Commissioner of Police</w:t>
            </w:r>
          </w:p>
        </w:tc>
      </w:tr>
      <w:tr>
        <w:trPr>
          <w:cantSplit/>
        </w:trPr>
        <w:tc>
          <w:tcPr>
            <w:tcW w:w="1509" w:type="dxa"/>
            <w:vMerge/>
            <w:shd w:val="clear" w:color="auto" w:fill="E6E6E6"/>
          </w:tcPr>
          <w:p>
            <w:pPr>
              <w:pStyle w:val="yTableNAm"/>
              <w:spacing w:before="60"/>
              <w:rPr>
                <w:sz w:val="20"/>
              </w:rPr>
            </w:pPr>
          </w:p>
        </w:tc>
        <w:tc>
          <w:tcPr>
            <w:tcW w:w="5571" w:type="dxa"/>
            <w:gridSpan w:val="2"/>
          </w:tcPr>
          <w:p>
            <w:pPr>
              <w:pStyle w:val="yTableNAm"/>
              <w:tabs>
                <w:tab w:val="left" w:pos="3234"/>
              </w:tabs>
              <w:spacing w:before="0"/>
              <w:rPr>
                <w:sz w:val="20"/>
              </w:rPr>
            </w:pPr>
            <w:r>
              <w:rPr>
                <w:sz w:val="20"/>
              </w:rPr>
              <w:t>Address _______________________________________________</w:t>
            </w:r>
          </w:p>
          <w:p>
            <w:pPr>
              <w:pStyle w:val="yTableNAm"/>
              <w:tabs>
                <w:tab w:val="clear" w:pos="567"/>
                <w:tab w:val="left" w:pos="3834"/>
              </w:tabs>
              <w:spacing w:before="0"/>
              <w:rPr>
                <w:sz w:val="20"/>
              </w:rPr>
            </w:pPr>
            <w:r>
              <w:rPr>
                <w:sz w:val="20"/>
              </w:rPr>
              <w:tab/>
              <w:t>Postcode</w:t>
            </w:r>
          </w:p>
        </w:tc>
      </w:tr>
      <w:tr>
        <w:trPr>
          <w:cantSplit/>
        </w:trPr>
        <w:tc>
          <w:tcPr>
            <w:tcW w:w="1509" w:type="dxa"/>
            <w:vMerge/>
            <w:shd w:val="clear" w:color="auto" w:fill="E6E6E6"/>
          </w:tcPr>
          <w:p>
            <w:pPr>
              <w:pStyle w:val="yTableNAm"/>
              <w:spacing w:before="60"/>
              <w:rPr>
                <w:sz w:val="20"/>
              </w:rPr>
            </w:pPr>
          </w:p>
        </w:tc>
        <w:tc>
          <w:tcPr>
            <w:tcW w:w="5571" w:type="dxa"/>
            <w:gridSpan w:val="2"/>
          </w:tcPr>
          <w:p>
            <w:pPr>
              <w:pStyle w:val="yTableNAm"/>
              <w:tabs>
                <w:tab w:val="left" w:pos="3234"/>
              </w:tabs>
              <w:spacing w:before="0"/>
              <w:rPr>
                <w:sz w:val="20"/>
              </w:rPr>
            </w:pPr>
            <w:r>
              <w:rPr>
                <w:sz w:val="20"/>
              </w:rPr>
              <w:t>Phone no.</w:t>
            </w:r>
          </w:p>
        </w:tc>
      </w:tr>
      <w:tr>
        <w:trPr>
          <w:cantSplit/>
        </w:trPr>
        <w:tc>
          <w:tcPr>
            <w:tcW w:w="1509" w:type="dxa"/>
            <w:vMerge w:val="restart"/>
            <w:shd w:val="clear" w:color="auto" w:fill="E6E6E6"/>
          </w:tcPr>
          <w:p>
            <w:pPr>
              <w:pStyle w:val="yTableNAm"/>
              <w:spacing w:before="60"/>
              <w:rPr>
                <w:sz w:val="20"/>
              </w:rPr>
            </w:pPr>
            <w:r>
              <w:rPr>
                <w:b/>
                <w:bCs/>
                <w:sz w:val="20"/>
              </w:rPr>
              <w:t>Hearing</w:t>
            </w:r>
          </w:p>
        </w:tc>
        <w:tc>
          <w:tcPr>
            <w:tcW w:w="5571" w:type="dxa"/>
            <w:gridSpan w:val="2"/>
          </w:tcPr>
          <w:p>
            <w:pPr>
              <w:pStyle w:val="yTableNAm"/>
              <w:tabs>
                <w:tab w:val="left" w:pos="3234"/>
              </w:tabs>
              <w:spacing w:before="0"/>
              <w:rPr>
                <w:sz w:val="20"/>
              </w:rPr>
            </w:pPr>
            <w:r>
              <w:rPr>
                <w:b/>
                <w:bCs/>
                <w:sz w:val="20"/>
              </w:rPr>
              <w:t xml:space="preserve">You must attend the hearing </w:t>
            </w:r>
            <w:r>
              <w:rPr>
                <w:sz w:val="20"/>
              </w:rPr>
              <w:t xml:space="preserve">at the day, time and place set </w:t>
            </w:r>
            <w:r>
              <w:rPr>
                <w:sz w:val="20"/>
              </w:rPr>
              <w:br/>
              <w:t xml:space="preserve">out below.  If you do not attend, the application may be heard </w:t>
            </w:r>
            <w:r>
              <w:rPr>
                <w:sz w:val="20"/>
              </w:rPr>
              <w:br/>
              <w:t>in your absence.</w:t>
            </w:r>
          </w:p>
        </w:tc>
      </w:tr>
      <w:tr>
        <w:trPr>
          <w:cantSplit/>
        </w:trPr>
        <w:tc>
          <w:tcPr>
            <w:tcW w:w="1509" w:type="dxa"/>
            <w:vMerge/>
            <w:shd w:val="clear" w:color="auto" w:fill="E6E6E6"/>
          </w:tcPr>
          <w:p>
            <w:pPr>
              <w:pStyle w:val="yTableNAm"/>
              <w:spacing w:before="60"/>
              <w:rPr>
                <w:b/>
                <w:bCs/>
                <w:sz w:val="20"/>
              </w:rPr>
            </w:pPr>
          </w:p>
        </w:tc>
        <w:tc>
          <w:tcPr>
            <w:tcW w:w="5571" w:type="dxa"/>
            <w:gridSpan w:val="2"/>
          </w:tcPr>
          <w:p>
            <w:pPr>
              <w:pStyle w:val="yTableNAm"/>
              <w:tabs>
                <w:tab w:val="left" w:pos="3234"/>
              </w:tabs>
              <w:spacing w:before="0"/>
              <w:rPr>
                <w:sz w:val="20"/>
              </w:rPr>
            </w:pPr>
            <w:r>
              <w:rPr>
                <w:sz w:val="20"/>
              </w:rPr>
              <w:t>Place</w:t>
            </w:r>
          </w:p>
        </w:tc>
      </w:tr>
      <w:tr>
        <w:trPr>
          <w:cantSplit/>
        </w:trPr>
        <w:tc>
          <w:tcPr>
            <w:tcW w:w="1509" w:type="dxa"/>
            <w:vMerge/>
            <w:shd w:val="clear" w:color="auto" w:fill="E6E6E6"/>
          </w:tcPr>
          <w:p>
            <w:pPr>
              <w:pStyle w:val="yTableNAm"/>
              <w:spacing w:before="60"/>
              <w:rPr>
                <w:sz w:val="20"/>
              </w:rPr>
            </w:pPr>
          </w:p>
        </w:tc>
        <w:tc>
          <w:tcPr>
            <w:tcW w:w="5571" w:type="dxa"/>
            <w:gridSpan w:val="2"/>
          </w:tcPr>
          <w:p>
            <w:pPr>
              <w:pStyle w:val="yTableNAm"/>
              <w:tabs>
                <w:tab w:val="left" w:pos="3254"/>
              </w:tabs>
              <w:spacing w:before="0"/>
              <w:rPr>
                <w:sz w:val="20"/>
              </w:rPr>
            </w:pPr>
            <w:r>
              <w:rPr>
                <w:sz w:val="20"/>
              </w:rPr>
              <w:t>Date _____/_____/20____</w:t>
            </w:r>
            <w:r>
              <w:rPr>
                <w:sz w:val="20"/>
              </w:rPr>
              <w:tab/>
              <w:t>Time _____a.m./p.m.</w:t>
            </w:r>
          </w:p>
        </w:tc>
      </w:tr>
      <w:tr>
        <w:trPr>
          <w:cantSplit/>
        </w:trPr>
        <w:tc>
          <w:tcPr>
            <w:tcW w:w="1509" w:type="dxa"/>
            <w:tcBorders>
              <w:bottom w:val="single" w:sz="4" w:space="0" w:color="auto"/>
            </w:tcBorders>
            <w:shd w:val="clear" w:color="auto" w:fill="E6E6E6"/>
          </w:tcPr>
          <w:p>
            <w:pPr>
              <w:pStyle w:val="yTableNAm"/>
              <w:spacing w:before="60"/>
              <w:rPr>
                <w:sz w:val="20"/>
              </w:rPr>
            </w:pPr>
            <w:r>
              <w:rPr>
                <w:b/>
                <w:bCs/>
                <w:sz w:val="20"/>
              </w:rPr>
              <w:t>Issue of summons</w:t>
            </w:r>
          </w:p>
        </w:tc>
        <w:tc>
          <w:tcPr>
            <w:tcW w:w="5571" w:type="dxa"/>
            <w:gridSpan w:val="2"/>
            <w:tcBorders>
              <w:bottom w:val="single" w:sz="4" w:space="0" w:color="auto"/>
            </w:tcBorders>
          </w:tcPr>
          <w:p>
            <w:pPr>
              <w:pStyle w:val="yTableNAm"/>
              <w:tabs>
                <w:tab w:val="left" w:pos="2994"/>
              </w:tabs>
              <w:spacing w:before="0"/>
              <w:rPr>
                <w:sz w:val="20"/>
              </w:rPr>
            </w:pPr>
            <w:r>
              <w:rPr>
                <w:sz w:val="20"/>
              </w:rPr>
              <w:t>___________________________________</w:t>
            </w:r>
          </w:p>
          <w:p>
            <w:pPr>
              <w:pStyle w:val="yTableNAm"/>
              <w:tabs>
                <w:tab w:val="left" w:pos="3254"/>
              </w:tabs>
              <w:spacing w:before="0"/>
              <w:rPr>
                <w:sz w:val="20"/>
              </w:rPr>
            </w:pPr>
            <w:r>
              <w:rPr>
                <w:i/>
                <w:sz w:val="16"/>
              </w:rPr>
              <w:t>[Signature of Registrar]</w:t>
            </w:r>
            <w:r>
              <w:rPr>
                <w:sz w:val="20"/>
              </w:rPr>
              <w:tab/>
              <w:t>Date _____/_____/20____</w:t>
            </w:r>
          </w:p>
        </w:tc>
      </w:tr>
      <w:tr>
        <w:trPr>
          <w:cantSplit/>
        </w:trPr>
        <w:tc>
          <w:tcPr>
            <w:tcW w:w="1509" w:type="dxa"/>
            <w:vMerge w:val="restart"/>
            <w:shd w:val="clear" w:color="auto" w:fill="E6E6E6"/>
          </w:tcPr>
          <w:p>
            <w:pPr>
              <w:pStyle w:val="yTableNAm"/>
              <w:spacing w:before="60"/>
              <w:rPr>
                <w:sz w:val="20"/>
              </w:rPr>
            </w:pPr>
            <w:r>
              <w:rPr>
                <w:b/>
                <w:bCs/>
                <w:sz w:val="20"/>
              </w:rPr>
              <w:t>For more information</w:t>
            </w:r>
          </w:p>
        </w:tc>
        <w:tc>
          <w:tcPr>
            <w:tcW w:w="5571" w:type="dxa"/>
            <w:gridSpan w:val="2"/>
          </w:tcPr>
          <w:p>
            <w:pPr>
              <w:pStyle w:val="yTableNAm"/>
              <w:tabs>
                <w:tab w:val="left" w:pos="2994"/>
              </w:tabs>
              <w:spacing w:before="0"/>
              <w:rPr>
                <w:sz w:val="20"/>
              </w:rPr>
            </w:pPr>
            <w:r>
              <w:rPr>
                <w:sz w:val="20"/>
              </w:rPr>
              <w:t xml:space="preserve">For more information about this matter contact: </w:t>
            </w:r>
          </w:p>
        </w:tc>
      </w:tr>
      <w:tr>
        <w:trPr>
          <w:cantSplit/>
        </w:trPr>
        <w:tc>
          <w:tcPr>
            <w:tcW w:w="1509" w:type="dxa"/>
            <w:vMerge/>
            <w:shd w:val="clear" w:color="auto" w:fill="E6E6E6"/>
          </w:tcPr>
          <w:p>
            <w:pPr>
              <w:pStyle w:val="yTableNAm"/>
              <w:spacing w:before="60"/>
              <w:rPr>
                <w:b/>
                <w:bCs/>
                <w:sz w:val="20"/>
              </w:rPr>
            </w:pPr>
          </w:p>
        </w:tc>
        <w:tc>
          <w:tcPr>
            <w:tcW w:w="5571" w:type="dxa"/>
            <w:gridSpan w:val="2"/>
          </w:tcPr>
          <w:p>
            <w:pPr>
              <w:pStyle w:val="yTableNAm"/>
              <w:tabs>
                <w:tab w:val="left" w:pos="2994"/>
              </w:tabs>
              <w:spacing w:before="0"/>
              <w:rPr>
                <w:sz w:val="20"/>
              </w:rPr>
            </w:pPr>
            <w:r>
              <w:rPr>
                <w:sz w:val="20"/>
              </w:rPr>
              <w:t>Name</w:t>
            </w:r>
          </w:p>
        </w:tc>
      </w:tr>
      <w:tr>
        <w:trPr>
          <w:cantSplit/>
        </w:trPr>
        <w:tc>
          <w:tcPr>
            <w:tcW w:w="1509" w:type="dxa"/>
            <w:vMerge/>
            <w:shd w:val="clear" w:color="auto" w:fill="E6E6E6"/>
          </w:tcPr>
          <w:p>
            <w:pPr>
              <w:pStyle w:val="yTableNAm"/>
              <w:spacing w:before="60"/>
              <w:rPr>
                <w:b/>
                <w:bCs/>
                <w:sz w:val="20"/>
              </w:rPr>
            </w:pPr>
          </w:p>
        </w:tc>
        <w:tc>
          <w:tcPr>
            <w:tcW w:w="5571" w:type="dxa"/>
            <w:gridSpan w:val="2"/>
          </w:tcPr>
          <w:p>
            <w:pPr>
              <w:pStyle w:val="yTableNAm"/>
              <w:tabs>
                <w:tab w:val="left" w:pos="2994"/>
              </w:tabs>
              <w:spacing w:before="0"/>
              <w:rPr>
                <w:sz w:val="20"/>
              </w:rPr>
            </w:pPr>
            <w:r>
              <w:rPr>
                <w:sz w:val="20"/>
              </w:rPr>
              <w:t>Position</w:t>
            </w:r>
          </w:p>
        </w:tc>
      </w:tr>
      <w:tr>
        <w:trPr>
          <w:cantSplit/>
        </w:trPr>
        <w:tc>
          <w:tcPr>
            <w:tcW w:w="1509" w:type="dxa"/>
            <w:vMerge/>
            <w:tcBorders>
              <w:bottom w:val="single" w:sz="4" w:space="0" w:color="auto"/>
            </w:tcBorders>
            <w:shd w:val="clear" w:color="auto" w:fill="E6E6E6"/>
          </w:tcPr>
          <w:p>
            <w:pPr>
              <w:pStyle w:val="yTableNAm"/>
              <w:spacing w:before="60"/>
              <w:rPr>
                <w:b/>
                <w:bCs/>
                <w:sz w:val="20"/>
              </w:rPr>
            </w:pPr>
          </w:p>
        </w:tc>
        <w:tc>
          <w:tcPr>
            <w:tcW w:w="5571" w:type="dxa"/>
            <w:gridSpan w:val="2"/>
            <w:tcBorders>
              <w:bottom w:val="single" w:sz="4" w:space="0" w:color="auto"/>
            </w:tcBorders>
          </w:tcPr>
          <w:p>
            <w:pPr>
              <w:pStyle w:val="yTableNAm"/>
              <w:tabs>
                <w:tab w:val="left" w:pos="2994"/>
              </w:tabs>
              <w:spacing w:before="0"/>
              <w:rPr>
                <w:sz w:val="20"/>
              </w:rPr>
            </w:pPr>
            <w:r>
              <w:rPr>
                <w:sz w:val="20"/>
              </w:rPr>
              <w:t xml:space="preserve">Phone no. </w:t>
            </w:r>
            <w:r>
              <w:rPr>
                <w:sz w:val="20"/>
              </w:rPr>
              <w:tab/>
              <w:t xml:space="preserve">Ref no. </w:t>
            </w:r>
          </w:p>
        </w:tc>
      </w:tr>
      <w:tr>
        <w:trPr>
          <w:cantSplit/>
        </w:trPr>
        <w:tc>
          <w:tcPr>
            <w:tcW w:w="7080" w:type="dxa"/>
            <w:gridSpan w:val="3"/>
            <w:tcBorders>
              <w:left w:val="nil"/>
              <w:bottom w:val="nil"/>
              <w:right w:val="nil"/>
            </w:tcBorders>
            <w:tcMar>
              <w:top w:w="0" w:type="dxa"/>
              <w:bottom w:w="0" w:type="dxa"/>
            </w:tcMar>
          </w:tcPr>
          <w:p>
            <w:pPr>
              <w:pStyle w:val="yTableNAm"/>
              <w:tabs>
                <w:tab w:val="left" w:pos="2994"/>
              </w:tabs>
              <w:spacing w:before="0"/>
              <w:rPr>
                <w:sz w:val="20"/>
              </w:rPr>
            </w:pPr>
          </w:p>
        </w:tc>
      </w:tr>
    </w:tbl>
    <w:p/>
    <w:tbl>
      <w:tblPr>
        <w:tblW w:w="7080"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57" w:type="dxa"/>
          <w:bottom w:w="28" w:type="dxa"/>
          <w:right w:w="57" w:type="dxa"/>
        </w:tblCellMar>
        <w:tblLook w:val="0000" w:firstRow="0" w:lastRow="0" w:firstColumn="0" w:lastColumn="0" w:noHBand="0" w:noVBand="0"/>
      </w:tblPr>
      <w:tblGrid>
        <w:gridCol w:w="1320"/>
        <w:gridCol w:w="5760"/>
      </w:tblGrid>
      <w:tr>
        <w:trPr>
          <w:cantSplit/>
        </w:trPr>
        <w:tc>
          <w:tcPr>
            <w:tcW w:w="7080" w:type="dxa"/>
            <w:gridSpan w:val="2"/>
            <w:tcBorders>
              <w:top w:val="single" w:sz="4" w:space="0" w:color="auto"/>
            </w:tcBorders>
            <w:shd w:val="clear" w:color="auto" w:fill="E6E6E6"/>
          </w:tcPr>
          <w:p>
            <w:pPr>
              <w:pStyle w:val="yTableNAm"/>
              <w:keepNext/>
              <w:tabs>
                <w:tab w:val="left" w:pos="2994"/>
              </w:tabs>
              <w:spacing w:before="0"/>
              <w:jc w:val="center"/>
              <w:rPr>
                <w:sz w:val="20"/>
              </w:rPr>
            </w:pPr>
            <w:r>
              <w:rPr>
                <w:b/>
                <w:bCs/>
                <w:sz w:val="20"/>
              </w:rPr>
              <w:t>Service certificate</w:t>
            </w:r>
          </w:p>
        </w:tc>
      </w:tr>
      <w:tr>
        <w:trPr>
          <w:cantSplit/>
        </w:trPr>
        <w:tc>
          <w:tcPr>
            <w:tcW w:w="1320" w:type="dxa"/>
            <w:vMerge w:val="restart"/>
            <w:shd w:val="clear" w:color="auto" w:fill="E6E6E6"/>
          </w:tcPr>
          <w:p>
            <w:pPr>
              <w:pStyle w:val="yTableNAm"/>
              <w:spacing w:before="60"/>
              <w:rPr>
                <w:sz w:val="20"/>
              </w:rPr>
            </w:pPr>
            <w:r>
              <w:rPr>
                <w:b/>
                <w:bCs/>
                <w:sz w:val="20"/>
              </w:rPr>
              <w:t>Person serving summons</w:t>
            </w:r>
          </w:p>
        </w:tc>
        <w:tc>
          <w:tcPr>
            <w:tcW w:w="5760" w:type="dxa"/>
          </w:tcPr>
          <w:p>
            <w:pPr>
              <w:pStyle w:val="yTableNAm"/>
              <w:tabs>
                <w:tab w:val="left" w:pos="2994"/>
              </w:tabs>
              <w:spacing w:before="0"/>
              <w:rPr>
                <w:sz w:val="20"/>
              </w:rPr>
            </w:pPr>
            <w:r>
              <w:rPr>
                <w:sz w:val="20"/>
              </w:rPr>
              <w:t>Name</w:t>
            </w:r>
          </w:p>
        </w:tc>
      </w:tr>
      <w:tr>
        <w:trPr>
          <w:cantSplit/>
        </w:trPr>
        <w:tc>
          <w:tcPr>
            <w:tcW w:w="1320" w:type="dxa"/>
            <w:vMerge/>
            <w:shd w:val="clear" w:color="auto" w:fill="E6E6E6"/>
          </w:tcPr>
          <w:p>
            <w:pPr>
              <w:pStyle w:val="yTableNAm"/>
              <w:spacing w:before="60"/>
              <w:rPr>
                <w:sz w:val="20"/>
              </w:rPr>
            </w:pPr>
          </w:p>
        </w:tc>
        <w:tc>
          <w:tcPr>
            <w:tcW w:w="5760" w:type="dxa"/>
          </w:tcPr>
          <w:p>
            <w:pPr>
              <w:pStyle w:val="yTableNAm"/>
              <w:tabs>
                <w:tab w:val="left" w:pos="2994"/>
              </w:tabs>
              <w:spacing w:before="0"/>
              <w:rPr>
                <w:sz w:val="20"/>
              </w:rPr>
            </w:pPr>
            <w:r>
              <w:rPr>
                <w:sz w:val="20"/>
              </w:rPr>
              <w:t>Address _________________________________________________</w:t>
            </w:r>
          </w:p>
          <w:p>
            <w:pPr>
              <w:pStyle w:val="yTableNAm"/>
              <w:tabs>
                <w:tab w:val="left" w:pos="4023"/>
              </w:tabs>
              <w:spacing w:before="0"/>
              <w:rPr>
                <w:sz w:val="20"/>
              </w:rPr>
            </w:pPr>
            <w:r>
              <w:rPr>
                <w:sz w:val="20"/>
              </w:rPr>
              <w:tab/>
            </w:r>
            <w:r>
              <w:rPr>
                <w:sz w:val="20"/>
              </w:rPr>
              <w:tab/>
              <w:t>Postcode</w:t>
            </w:r>
          </w:p>
        </w:tc>
      </w:tr>
      <w:tr>
        <w:trPr>
          <w:cantSplit/>
        </w:trPr>
        <w:tc>
          <w:tcPr>
            <w:tcW w:w="1320" w:type="dxa"/>
            <w:vMerge w:val="restart"/>
            <w:shd w:val="clear" w:color="auto" w:fill="E6E6E6"/>
          </w:tcPr>
          <w:p>
            <w:pPr>
              <w:pStyle w:val="yTableNAm"/>
              <w:spacing w:before="60"/>
              <w:rPr>
                <w:sz w:val="20"/>
              </w:rPr>
            </w:pPr>
            <w:r>
              <w:rPr>
                <w:b/>
                <w:bCs/>
                <w:sz w:val="20"/>
              </w:rPr>
              <w:t>Service</w:t>
            </w:r>
          </w:p>
        </w:tc>
        <w:tc>
          <w:tcPr>
            <w:tcW w:w="5760" w:type="dxa"/>
          </w:tcPr>
          <w:p>
            <w:pPr>
              <w:pStyle w:val="yTableNAm"/>
              <w:tabs>
                <w:tab w:val="clear" w:pos="567"/>
                <w:tab w:val="left" w:pos="891"/>
                <w:tab w:val="left" w:pos="1314"/>
                <w:tab w:val="left" w:pos="2994"/>
              </w:tabs>
              <w:spacing w:before="0"/>
              <w:rPr>
                <w:sz w:val="20"/>
              </w:rPr>
            </w:pPr>
            <w:r>
              <w:rPr>
                <w:sz w:val="20"/>
              </w:rPr>
              <w:t>Method</w:t>
            </w:r>
            <w:r>
              <w:rPr>
                <w:sz w:val="20"/>
              </w:rPr>
              <w:tab/>
            </w:r>
            <w:r>
              <w:rPr>
                <w:sz w:val="20"/>
              </w:rPr>
              <w:sym w:font="Monotype Sorts" w:char="F06F"/>
            </w:r>
            <w:r>
              <w:rPr>
                <w:sz w:val="20"/>
              </w:rPr>
              <w:tab/>
              <w:t>Handed to respondent in person</w:t>
            </w:r>
          </w:p>
          <w:p>
            <w:pPr>
              <w:pStyle w:val="yTableNAm"/>
              <w:tabs>
                <w:tab w:val="clear" w:pos="567"/>
                <w:tab w:val="left" w:pos="891"/>
                <w:tab w:val="left" w:pos="1314"/>
                <w:tab w:val="left" w:pos="2994"/>
              </w:tabs>
              <w:spacing w:before="0"/>
              <w:rPr>
                <w:sz w:val="20"/>
              </w:rPr>
            </w:pPr>
            <w:r>
              <w:rPr>
                <w:sz w:val="20"/>
              </w:rPr>
              <w:tab/>
            </w:r>
            <w:r>
              <w:rPr>
                <w:sz w:val="20"/>
              </w:rPr>
              <w:sym w:font="Monotype Sorts" w:char="F06F"/>
            </w:r>
            <w:r>
              <w:rPr>
                <w:sz w:val="20"/>
              </w:rPr>
              <w:tab/>
              <w:t>Posted to respondent’s last known address</w:t>
            </w:r>
          </w:p>
          <w:p>
            <w:pPr>
              <w:pStyle w:val="yTableNAm"/>
              <w:tabs>
                <w:tab w:val="clear" w:pos="567"/>
                <w:tab w:val="left" w:pos="891"/>
                <w:tab w:val="left" w:pos="1314"/>
                <w:tab w:val="left" w:pos="2994"/>
              </w:tabs>
              <w:spacing w:before="0"/>
              <w:rPr>
                <w:sz w:val="20"/>
              </w:rPr>
            </w:pPr>
            <w:r>
              <w:rPr>
                <w:sz w:val="20"/>
              </w:rPr>
              <w:tab/>
            </w:r>
            <w:r>
              <w:rPr>
                <w:sz w:val="20"/>
              </w:rPr>
              <w:sym w:font="Monotype Sorts" w:char="F06F"/>
            </w:r>
            <w:r>
              <w:rPr>
                <w:sz w:val="20"/>
              </w:rPr>
              <w:tab/>
              <w:t>Left at respondent’s last known address</w:t>
            </w:r>
          </w:p>
        </w:tc>
      </w:tr>
      <w:tr>
        <w:trPr>
          <w:cantSplit/>
        </w:trPr>
        <w:tc>
          <w:tcPr>
            <w:tcW w:w="1320" w:type="dxa"/>
            <w:vMerge/>
            <w:shd w:val="clear" w:color="auto" w:fill="E6E6E6"/>
          </w:tcPr>
          <w:p>
            <w:pPr>
              <w:pStyle w:val="yTableNAm"/>
              <w:spacing w:before="60"/>
              <w:rPr>
                <w:b/>
                <w:bCs/>
                <w:sz w:val="20"/>
              </w:rPr>
            </w:pPr>
          </w:p>
        </w:tc>
        <w:tc>
          <w:tcPr>
            <w:tcW w:w="5760" w:type="dxa"/>
          </w:tcPr>
          <w:p>
            <w:pPr>
              <w:pStyle w:val="yTableNAm"/>
              <w:tabs>
                <w:tab w:val="left" w:pos="2994"/>
              </w:tabs>
              <w:spacing w:before="0"/>
              <w:rPr>
                <w:sz w:val="20"/>
              </w:rPr>
            </w:pPr>
            <w:r>
              <w:rPr>
                <w:sz w:val="20"/>
              </w:rPr>
              <w:t xml:space="preserve">Place </w:t>
            </w:r>
            <w:r>
              <w:rPr>
                <w:i/>
                <w:sz w:val="16"/>
              </w:rPr>
              <w:t>[if applicable]</w:t>
            </w:r>
          </w:p>
        </w:tc>
      </w:tr>
      <w:tr>
        <w:trPr>
          <w:cantSplit/>
        </w:trPr>
        <w:tc>
          <w:tcPr>
            <w:tcW w:w="1320" w:type="dxa"/>
            <w:vMerge/>
            <w:shd w:val="clear" w:color="auto" w:fill="E6E6E6"/>
          </w:tcPr>
          <w:p>
            <w:pPr>
              <w:pStyle w:val="yTableNAm"/>
              <w:spacing w:before="60"/>
              <w:rPr>
                <w:sz w:val="20"/>
              </w:rPr>
            </w:pPr>
          </w:p>
        </w:tc>
        <w:tc>
          <w:tcPr>
            <w:tcW w:w="5760" w:type="dxa"/>
          </w:tcPr>
          <w:p>
            <w:pPr>
              <w:pStyle w:val="yTableNAm"/>
              <w:tabs>
                <w:tab w:val="left" w:pos="3443"/>
              </w:tabs>
              <w:spacing w:before="0"/>
              <w:rPr>
                <w:sz w:val="20"/>
              </w:rPr>
            </w:pPr>
            <w:r>
              <w:rPr>
                <w:sz w:val="20"/>
              </w:rPr>
              <w:t>Date _____/_____/20____</w:t>
            </w:r>
            <w:r>
              <w:rPr>
                <w:sz w:val="20"/>
              </w:rPr>
              <w:tab/>
              <w:t>Time _____a.m./p.m.</w:t>
            </w:r>
          </w:p>
        </w:tc>
      </w:tr>
      <w:tr>
        <w:trPr>
          <w:cantSplit/>
        </w:trPr>
        <w:tc>
          <w:tcPr>
            <w:tcW w:w="1320" w:type="dxa"/>
            <w:vMerge w:val="restart"/>
            <w:shd w:val="clear" w:color="auto" w:fill="E6E6E6"/>
          </w:tcPr>
          <w:p>
            <w:pPr>
              <w:pStyle w:val="yTableNAm"/>
              <w:spacing w:before="60"/>
              <w:rPr>
                <w:sz w:val="20"/>
              </w:rPr>
            </w:pPr>
            <w:r>
              <w:rPr>
                <w:b/>
                <w:bCs/>
                <w:sz w:val="20"/>
              </w:rPr>
              <w:t>Certificate</w:t>
            </w:r>
          </w:p>
        </w:tc>
        <w:tc>
          <w:tcPr>
            <w:tcW w:w="5760" w:type="dxa"/>
          </w:tcPr>
          <w:p>
            <w:pPr>
              <w:pStyle w:val="yTableNAm"/>
              <w:tabs>
                <w:tab w:val="left" w:pos="2994"/>
              </w:tabs>
              <w:spacing w:before="0"/>
              <w:rPr>
                <w:sz w:val="20"/>
              </w:rPr>
            </w:pPr>
            <w:r>
              <w:rPr>
                <w:sz w:val="20"/>
              </w:rPr>
              <w:t xml:space="preserve">I certify that I served this summons on the respondent in the manner described above. </w:t>
            </w:r>
          </w:p>
        </w:tc>
      </w:tr>
      <w:tr>
        <w:trPr>
          <w:cantSplit/>
        </w:trPr>
        <w:tc>
          <w:tcPr>
            <w:tcW w:w="1320" w:type="dxa"/>
            <w:vMerge/>
            <w:shd w:val="clear" w:color="auto" w:fill="E6E6E6"/>
          </w:tcPr>
          <w:p>
            <w:pPr>
              <w:pStyle w:val="yTableNAm"/>
              <w:spacing w:before="60"/>
              <w:rPr>
                <w:sz w:val="20"/>
              </w:rPr>
            </w:pPr>
          </w:p>
        </w:tc>
        <w:tc>
          <w:tcPr>
            <w:tcW w:w="5760" w:type="dxa"/>
          </w:tcPr>
          <w:p>
            <w:pPr>
              <w:pStyle w:val="yTableNAm"/>
              <w:tabs>
                <w:tab w:val="left" w:pos="2994"/>
              </w:tabs>
              <w:spacing w:before="0"/>
              <w:rPr>
                <w:sz w:val="20"/>
              </w:rPr>
            </w:pPr>
            <w:r>
              <w:rPr>
                <w:sz w:val="20"/>
              </w:rPr>
              <w:t>___________________________________</w:t>
            </w:r>
          </w:p>
          <w:p>
            <w:pPr>
              <w:pStyle w:val="yTableNAm"/>
              <w:tabs>
                <w:tab w:val="left" w:pos="3443"/>
              </w:tabs>
              <w:spacing w:before="0"/>
              <w:rPr>
                <w:iCs/>
                <w:sz w:val="20"/>
              </w:rPr>
            </w:pPr>
            <w:r>
              <w:rPr>
                <w:i/>
                <w:sz w:val="16"/>
              </w:rPr>
              <w:t>[Signature]</w:t>
            </w:r>
            <w:r>
              <w:rPr>
                <w:sz w:val="20"/>
              </w:rPr>
              <w:t xml:space="preserve"> </w:t>
            </w:r>
            <w:r>
              <w:rPr>
                <w:sz w:val="20"/>
              </w:rPr>
              <w:tab/>
              <w:t>Date ____/_____/20____</w:t>
            </w:r>
          </w:p>
        </w:tc>
      </w:tr>
    </w:tbl>
    <w:p>
      <w:pPr>
        <w:pStyle w:val="yFootnotesection"/>
      </w:pPr>
      <w:r>
        <w:tab/>
        <w:t>[Form 3 inserted in Gazette 9 Dec 2005 p. 5890</w:t>
      </w:r>
      <w:r>
        <w:noBreakHyphen/>
        <w:t xml:space="preserve">1; amended in Gazette </w:t>
      </w:r>
      <w:r>
        <w:rPr>
          <w:szCs w:val="22"/>
        </w:rPr>
        <w:t>8 Nov 2013 p</w:t>
      </w:r>
      <w:r>
        <w:rPr>
          <w:sz w:val="24"/>
        </w:rPr>
        <w:t>.</w:t>
      </w:r>
      <w:r>
        <w:rPr>
          <w:sz w:val="19"/>
        </w:rPr>
        <w:t> </w:t>
      </w:r>
      <w:r>
        <w:t>5010.]</w:t>
      </w:r>
    </w:p>
    <w:p>
      <w:pPr>
        <w:pStyle w:val="yHeading5"/>
        <w:pageBreakBefore/>
      </w:pPr>
      <w:bookmarkStart w:id="43" w:name="_Toc384380041"/>
      <w:r>
        <w:rPr>
          <w:rStyle w:val="CharSClsNo"/>
        </w:rPr>
        <w:t>4</w:t>
      </w:r>
      <w:r>
        <w:t>.</w:t>
      </w:r>
      <w:r>
        <w:tab/>
        <w:t>Certificate of authorised breath tester (r. 26D(8))</w:t>
      </w:r>
      <w:bookmarkEnd w:id="43"/>
    </w:p>
    <w:p>
      <w:pPr>
        <w:pStyle w:val="yMiscellaneousHeading"/>
      </w:pPr>
      <w:r>
        <w:rPr>
          <w:i/>
        </w:rPr>
        <w:t>Community Protection (Offender Reporting) Act 2004</w:t>
      </w:r>
    </w:p>
    <w:p>
      <w:pPr>
        <w:pStyle w:val="yMiscellaneousHeading"/>
        <w:rPr>
          <w:b/>
        </w:rPr>
      </w:pPr>
      <w:r>
        <w:rPr>
          <w:b/>
        </w:rPr>
        <w:t>Certificate of authorised breath tester</w:t>
      </w:r>
    </w:p>
    <w:p>
      <w:pPr>
        <w:pStyle w:val="yMiscellaneousBody"/>
        <w:rPr>
          <w:snapToGrid w:val="0"/>
        </w:rPr>
      </w:pPr>
      <w:r>
        <w:rPr>
          <w:snapToGrid w:val="0"/>
        </w:rPr>
        <w:t xml:space="preserve">I, ....................................................................................................., an authorised breath tester, as defined in the </w:t>
      </w:r>
      <w:r>
        <w:rPr>
          <w:i/>
          <w:snapToGrid w:val="0"/>
        </w:rPr>
        <w:t>Community Protection (Offender Reporting) Regulations 2004</w:t>
      </w:r>
      <w:r>
        <w:rPr>
          <w:snapToGrid w:val="0"/>
        </w:rPr>
        <w:t xml:space="preserve"> regulation 26D(1) certify that — </w:t>
      </w:r>
    </w:p>
    <w:p>
      <w:pPr>
        <w:pStyle w:val="yMiscellaneousBody"/>
        <w:tabs>
          <w:tab w:val="left" w:pos="567"/>
        </w:tabs>
        <w:ind w:left="567" w:hanging="567"/>
        <w:rPr>
          <w:snapToGrid w:val="0"/>
          <w:szCs w:val="22"/>
        </w:rPr>
      </w:pPr>
      <w:r>
        <w:rPr>
          <w:snapToGrid w:val="0"/>
        </w:rPr>
        <w:t>1.</w:t>
      </w:r>
      <w:r>
        <w:rPr>
          <w:snapToGrid w:val="0"/>
        </w:rPr>
        <w:tab/>
        <w:t>................................................................................................... provided a</w:t>
      </w:r>
      <w:r>
        <w:rPr>
          <w:snapToGrid w:val="0"/>
        </w:rPr>
        <w:br/>
      </w:r>
      <w:r>
        <w:rPr>
          <w:snapToGrid w:val="0"/>
          <w:sz w:val="20"/>
        </w:rPr>
        <w:t>[</w:t>
      </w:r>
      <w:r>
        <w:rPr>
          <w:i/>
          <w:snapToGrid w:val="0"/>
          <w:sz w:val="20"/>
        </w:rPr>
        <w:t>Name of person from whom sample was taken</w:t>
      </w:r>
      <w:r>
        <w:rPr>
          <w:snapToGrid w:val="0"/>
          <w:sz w:val="20"/>
        </w:rPr>
        <w:t>]</w:t>
      </w:r>
    </w:p>
    <w:p>
      <w:pPr>
        <w:pStyle w:val="yMiscellaneousBody"/>
        <w:tabs>
          <w:tab w:val="left" w:pos="567"/>
        </w:tabs>
        <w:ind w:left="567" w:hanging="567"/>
        <w:rPr>
          <w:snapToGrid w:val="0"/>
        </w:rPr>
      </w:pPr>
      <w:r>
        <w:rPr>
          <w:snapToGrid w:val="0"/>
        </w:rPr>
        <w:tab/>
        <w:t>sample of breath on ............................................. at ....................................</w:t>
      </w:r>
      <w:r>
        <w:rPr>
          <w:snapToGrid w:val="0"/>
        </w:rPr>
        <w:br/>
      </w:r>
      <w:r>
        <w:rPr>
          <w:snapToGrid w:val="0"/>
          <w:sz w:val="20"/>
        </w:rPr>
        <w:tab/>
      </w:r>
      <w:r>
        <w:rPr>
          <w:snapToGrid w:val="0"/>
          <w:sz w:val="20"/>
        </w:rPr>
        <w:tab/>
      </w:r>
      <w:r>
        <w:rPr>
          <w:snapToGrid w:val="0"/>
          <w:sz w:val="20"/>
        </w:rPr>
        <w:tab/>
        <w:t>[</w:t>
      </w:r>
      <w:r>
        <w:rPr>
          <w:i/>
          <w:snapToGrid w:val="0"/>
          <w:sz w:val="20"/>
        </w:rPr>
        <w:t>date</w:t>
      </w:r>
      <w:r>
        <w:rPr>
          <w:snapToGrid w:val="0"/>
          <w:sz w:val="20"/>
        </w:rPr>
        <w:t>]</w:t>
      </w:r>
      <w:r>
        <w:rPr>
          <w:snapToGrid w:val="0"/>
        </w:rPr>
        <w:tab/>
        <w:t xml:space="preserve">                       </w:t>
      </w:r>
      <w:r>
        <w:rPr>
          <w:snapToGrid w:val="0"/>
          <w:sz w:val="20"/>
        </w:rPr>
        <w:t>[</w:t>
      </w:r>
      <w:r>
        <w:rPr>
          <w:i/>
          <w:snapToGrid w:val="0"/>
          <w:sz w:val="20"/>
        </w:rPr>
        <w:t>time</w:t>
      </w:r>
      <w:r>
        <w:rPr>
          <w:snapToGrid w:val="0"/>
          <w:sz w:val="20"/>
        </w:rPr>
        <w:t>]</w:t>
      </w:r>
    </w:p>
    <w:p>
      <w:pPr>
        <w:pStyle w:val="yMiscellaneousBody"/>
        <w:tabs>
          <w:tab w:val="left" w:pos="567"/>
        </w:tabs>
        <w:ind w:left="567" w:hanging="567"/>
        <w:rPr>
          <w:snapToGrid w:val="0"/>
        </w:rPr>
      </w:pPr>
      <w:r>
        <w:rPr>
          <w:snapToGrid w:val="0"/>
        </w:rPr>
        <w:t>2.</w:t>
      </w:r>
      <w:r>
        <w:rPr>
          <w:snapToGrid w:val="0"/>
        </w:rPr>
        <w:tab/>
        <w:t>I was at the material time an authorised breath tester.</w:t>
      </w:r>
    </w:p>
    <w:p>
      <w:pPr>
        <w:pStyle w:val="yMiscellaneousBody"/>
        <w:tabs>
          <w:tab w:val="left" w:pos="567"/>
        </w:tabs>
        <w:ind w:left="567" w:hanging="567"/>
        <w:rPr>
          <w:snapToGrid w:val="0"/>
        </w:rPr>
      </w:pPr>
      <w:r>
        <w:rPr>
          <w:snapToGrid w:val="0"/>
        </w:rPr>
        <w:t>3.</w:t>
      </w:r>
      <w:r>
        <w:rPr>
          <w:snapToGrid w:val="0"/>
        </w:rPr>
        <w:tab/>
        <w:t xml:space="preserve">The sample of breath given was tested by apparatus that I operated and that apparatus was breath testing equipment as defined in the </w:t>
      </w:r>
      <w:r>
        <w:rPr>
          <w:i/>
          <w:snapToGrid w:val="0"/>
        </w:rPr>
        <w:t>Community Protection (Offender Reporting) Regulations 2004</w:t>
      </w:r>
      <w:r>
        <w:rPr>
          <w:snapToGrid w:val="0"/>
        </w:rPr>
        <w:t xml:space="preserve"> regulation 3.</w:t>
      </w:r>
    </w:p>
    <w:p>
      <w:pPr>
        <w:pStyle w:val="yMiscellaneousBody"/>
        <w:tabs>
          <w:tab w:val="left" w:pos="567"/>
        </w:tabs>
        <w:ind w:left="567" w:hanging="567"/>
        <w:rPr>
          <w:snapToGrid w:val="0"/>
        </w:rPr>
      </w:pPr>
      <w:r>
        <w:rPr>
          <w:snapToGrid w:val="0"/>
        </w:rPr>
        <w:t>4.</w:t>
      </w:r>
      <w:r>
        <w:rPr>
          <w:snapToGrid w:val="0"/>
        </w:rPr>
        <w:tab/>
        <w:t>I operated the breath testing equipment in the manner prescribed in regulation 26D and the regulations relating to the use of breath testing equipment of the relevant type were complied with.</w:t>
      </w:r>
    </w:p>
    <w:p>
      <w:pPr>
        <w:pStyle w:val="yMiscellaneousBody"/>
        <w:tabs>
          <w:tab w:val="left" w:pos="567"/>
        </w:tabs>
        <w:ind w:left="567" w:hanging="567"/>
        <w:rPr>
          <w:snapToGrid w:val="0"/>
        </w:rPr>
      </w:pPr>
      <w:r>
        <w:rPr>
          <w:snapToGrid w:val="0"/>
        </w:rPr>
        <w:t>5.</w:t>
      </w:r>
      <w:r>
        <w:rPr>
          <w:snapToGrid w:val="0"/>
        </w:rPr>
        <w:tab/>
        <w:t>The breath testing equipment indicated a result at the conclusion of the test.</w:t>
      </w:r>
    </w:p>
    <w:p>
      <w:pPr>
        <w:pStyle w:val="yMiscellaneousBody"/>
        <w:tabs>
          <w:tab w:val="left" w:pos="567"/>
        </w:tabs>
        <w:ind w:left="567" w:hanging="567"/>
        <w:rPr>
          <w:snapToGrid w:val="0"/>
        </w:rPr>
      </w:pPr>
      <w:r>
        <w:rPr>
          <w:snapToGrid w:val="0"/>
        </w:rPr>
        <w:t>6.</w:t>
      </w:r>
      <w:r>
        <w:rPr>
          <w:snapToGrid w:val="0"/>
        </w:rPr>
        <w:tab/>
        <w:t>I completed, signed and handed to the person named above a copy of this certificate.</w:t>
      </w:r>
    </w:p>
    <w:p>
      <w:pPr>
        <w:pStyle w:val="yMiscellaneousBody"/>
        <w:tabs>
          <w:tab w:val="left" w:pos="567"/>
        </w:tabs>
        <w:ind w:left="567" w:hanging="567"/>
        <w:rPr>
          <w:snapToGrid w:val="0"/>
        </w:rPr>
      </w:pPr>
      <w:r>
        <w:rPr>
          <w:snapToGrid w:val="0"/>
        </w:rPr>
        <w:t>7.</w:t>
      </w:r>
      <w:r>
        <w:rPr>
          <w:snapToGrid w:val="0"/>
        </w:rPr>
        <w:tab/>
        <w:t>The test result obtained from the test referred to in this certificate was ......................................................................................................................</w:t>
      </w:r>
    </w:p>
    <w:p>
      <w:pPr>
        <w:pStyle w:val="yMiscellaneousBody"/>
        <w:tabs>
          <w:tab w:val="left" w:pos="993"/>
        </w:tabs>
        <w:rPr>
          <w:snapToGrid w:val="0"/>
        </w:rPr>
      </w:pPr>
    </w:p>
    <w:p>
      <w:pPr>
        <w:pStyle w:val="yMiscellaneousBody"/>
        <w:jc w:val="right"/>
        <w:rPr>
          <w:snapToGrid w:val="0"/>
          <w:sz w:val="20"/>
        </w:rPr>
      </w:pPr>
      <w:r>
        <w:rPr>
          <w:snapToGrid w:val="0"/>
        </w:rPr>
        <w:t>..............................................................</w:t>
      </w:r>
      <w:r>
        <w:rPr>
          <w:snapToGrid w:val="0"/>
        </w:rPr>
        <w:br/>
      </w:r>
      <w:r>
        <w:rPr>
          <w:snapToGrid w:val="0"/>
          <w:sz w:val="20"/>
        </w:rPr>
        <w:t>[</w:t>
      </w:r>
      <w:r>
        <w:rPr>
          <w:i/>
          <w:snapToGrid w:val="0"/>
          <w:sz w:val="20"/>
        </w:rPr>
        <w:t>Signature of authorised breath tester</w:t>
      </w:r>
      <w:r>
        <w:rPr>
          <w:snapToGrid w:val="0"/>
          <w:sz w:val="20"/>
        </w:rPr>
        <w:t>]</w:t>
      </w:r>
    </w:p>
    <w:p>
      <w:pPr>
        <w:pStyle w:val="yMiscellaneousBody"/>
        <w:jc w:val="right"/>
        <w:rPr>
          <w:snapToGrid w:val="0"/>
          <w:sz w:val="20"/>
        </w:rPr>
      </w:pPr>
      <w:r>
        <w:rPr>
          <w:snapToGrid w:val="0"/>
        </w:rPr>
        <w:t>..............................................................</w:t>
      </w:r>
      <w:r>
        <w:rPr>
          <w:snapToGrid w:val="0"/>
        </w:rPr>
        <w:br/>
      </w:r>
      <w:r>
        <w:rPr>
          <w:snapToGrid w:val="0"/>
          <w:sz w:val="20"/>
        </w:rPr>
        <w:t>[</w:t>
      </w:r>
      <w:r>
        <w:rPr>
          <w:i/>
          <w:snapToGrid w:val="0"/>
          <w:sz w:val="20"/>
        </w:rPr>
        <w:t>Date</w:t>
      </w:r>
      <w:r>
        <w:rPr>
          <w:snapToGrid w:val="0"/>
          <w:sz w:val="20"/>
        </w:rPr>
        <w:t>]</w:t>
      </w:r>
    </w:p>
    <w:p>
      <w:pPr>
        <w:pStyle w:val="yFootnotesection"/>
      </w:pPr>
      <w:r>
        <w:tab/>
        <w:t xml:space="preserve">[Form 4 inserted in Gazette </w:t>
      </w:r>
      <w:r>
        <w:rPr>
          <w:szCs w:val="22"/>
        </w:rPr>
        <w:t>8 Nov 2013 p</w:t>
      </w:r>
      <w:r>
        <w:t>. 5010</w:t>
      </w:r>
      <w:r>
        <w:noBreakHyphen/>
        <w:t>11.]</w:t>
      </w:r>
    </w:p>
    <w:p>
      <w:pPr>
        <w:pStyle w:val="yHeading5"/>
        <w:spacing w:after="80"/>
      </w:pPr>
      <w:bookmarkStart w:id="44" w:name="_Toc384380042"/>
      <w:r>
        <w:rPr>
          <w:rStyle w:val="CharSClsNo"/>
        </w:rPr>
        <w:t>5</w:t>
      </w:r>
      <w:r>
        <w:t>.</w:t>
      </w:r>
      <w:r>
        <w:tab/>
        <w:t>Request to take sample of blood or urine (r. 26F(2))</w:t>
      </w:r>
      <w:bookmarkEnd w:id="44"/>
    </w:p>
    <w:tbl>
      <w:tblPr>
        <w:tblW w:w="7088"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57" w:type="dxa"/>
          <w:bottom w:w="28" w:type="dxa"/>
          <w:right w:w="57" w:type="dxa"/>
        </w:tblCellMar>
        <w:tblLook w:val="0000" w:firstRow="0" w:lastRow="0" w:firstColumn="0" w:lastColumn="0" w:noHBand="0" w:noVBand="0"/>
      </w:tblPr>
      <w:tblGrid>
        <w:gridCol w:w="1509"/>
        <w:gridCol w:w="5579"/>
      </w:tblGrid>
      <w:tr>
        <w:trPr>
          <w:trHeight w:val="567"/>
        </w:trPr>
        <w:tc>
          <w:tcPr>
            <w:tcW w:w="7088" w:type="dxa"/>
            <w:gridSpan w:val="2"/>
            <w:shd w:val="clear" w:color="auto" w:fill="E6E6E6"/>
          </w:tcPr>
          <w:p>
            <w:pPr>
              <w:pStyle w:val="yTableNAm"/>
              <w:spacing w:before="60"/>
              <w:jc w:val="center"/>
            </w:pPr>
            <w:r>
              <w:rPr>
                <w:i/>
              </w:rPr>
              <w:t>Community Protection (Offender Reporting) Act 2004</w:t>
            </w:r>
          </w:p>
          <w:p>
            <w:pPr>
              <w:pStyle w:val="yTableNAm"/>
              <w:widowControl w:val="0"/>
              <w:jc w:val="center"/>
            </w:pPr>
            <w:r>
              <w:rPr>
                <w:b/>
                <w:bCs/>
                <w:sz w:val="28"/>
              </w:rPr>
              <w:t>Request to take sample of blood or urine</w:t>
            </w:r>
          </w:p>
        </w:tc>
      </w:tr>
      <w:tr>
        <w:trPr>
          <w:trHeight w:val="807"/>
        </w:trPr>
        <w:tc>
          <w:tcPr>
            <w:tcW w:w="1509" w:type="dxa"/>
            <w:shd w:val="clear" w:color="auto" w:fill="E6E6E6"/>
          </w:tcPr>
          <w:p>
            <w:pPr>
              <w:pStyle w:val="yTableNAm"/>
            </w:pPr>
            <w:r>
              <w:rPr>
                <w:b/>
                <w:bCs/>
              </w:rPr>
              <w:t xml:space="preserve">To </w:t>
            </w:r>
          </w:p>
        </w:tc>
        <w:tc>
          <w:tcPr>
            <w:tcW w:w="5579" w:type="dxa"/>
          </w:tcPr>
          <w:p>
            <w:pPr>
              <w:pStyle w:val="yTableNAm"/>
              <w:rPr>
                <w:sz w:val="20"/>
              </w:rPr>
            </w:pPr>
            <w:r>
              <w:br/>
            </w:r>
            <w:r>
              <w:br/>
            </w:r>
            <w:r>
              <w:rPr>
                <w:sz w:val="20"/>
              </w:rPr>
              <w:t>[</w:t>
            </w:r>
            <w:r>
              <w:rPr>
                <w:i/>
                <w:sz w:val="20"/>
              </w:rPr>
              <w:t>Name of medical practitioner, registered nurse or phlebotomist</w:t>
            </w:r>
            <w:r>
              <w:rPr>
                <w:sz w:val="20"/>
              </w:rPr>
              <w:t>]</w:t>
            </w:r>
          </w:p>
        </w:tc>
      </w:tr>
      <w:tr>
        <w:tc>
          <w:tcPr>
            <w:tcW w:w="1509" w:type="dxa"/>
            <w:shd w:val="clear" w:color="auto" w:fill="E6E6E6"/>
          </w:tcPr>
          <w:p>
            <w:pPr>
              <w:pStyle w:val="yTableNAm"/>
            </w:pPr>
            <w:r>
              <w:rPr>
                <w:b/>
                <w:bCs/>
              </w:rPr>
              <w:t>Place where sample is to be taken</w:t>
            </w:r>
          </w:p>
        </w:tc>
        <w:tc>
          <w:tcPr>
            <w:tcW w:w="5579" w:type="dxa"/>
          </w:tcPr>
          <w:p>
            <w:pPr>
              <w:pStyle w:val="yTableNAm"/>
              <w:rPr>
                <w:snapToGrid w:val="0"/>
                <w:sz w:val="20"/>
              </w:rPr>
            </w:pPr>
            <w:r>
              <w:rPr>
                <w:b/>
                <w:bCs/>
              </w:rPr>
              <w:br/>
            </w:r>
            <w:r>
              <w:rPr>
                <w:b/>
                <w:bCs/>
              </w:rPr>
              <w:br/>
            </w:r>
            <w:r>
              <w:rPr>
                <w:b/>
                <w:bCs/>
              </w:rPr>
              <w:br/>
            </w:r>
            <w:r>
              <w:rPr>
                <w:snapToGrid w:val="0"/>
                <w:sz w:val="20"/>
              </w:rPr>
              <w:t>[</w:t>
            </w:r>
            <w:r>
              <w:rPr>
                <w:i/>
                <w:snapToGrid w:val="0"/>
                <w:sz w:val="20"/>
              </w:rPr>
              <w:t>Name of hospital/medical centre/place</w:t>
            </w:r>
            <w:r>
              <w:rPr>
                <w:snapToGrid w:val="0"/>
                <w:sz w:val="20"/>
              </w:rPr>
              <w:t>]</w:t>
            </w:r>
          </w:p>
        </w:tc>
      </w:tr>
      <w:tr>
        <w:tc>
          <w:tcPr>
            <w:tcW w:w="1509" w:type="dxa"/>
            <w:shd w:val="clear" w:color="auto" w:fill="E6E6E6"/>
          </w:tcPr>
          <w:p>
            <w:pPr>
              <w:pStyle w:val="yTableNAm"/>
              <w:rPr>
                <w:b/>
                <w:bCs/>
              </w:rPr>
            </w:pPr>
            <w:r>
              <w:rPr>
                <w:b/>
                <w:bCs/>
              </w:rPr>
              <w:t>Date and time sample is to be taken</w:t>
            </w:r>
          </w:p>
        </w:tc>
        <w:tc>
          <w:tcPr>
            <w:tcW w:w="5579" w:type="dxa"/>
          </w:tcPr>
          <w:p>
            <w:pPr>
              <w:pStyle w:val="yTableNAm"/>
              <w:rPr>
                <w:snapToGrid w:val="0"/>
              </w:rPr>
            </w:pPr>
          </w:p>
        </w:tc>
      </w:tr>
      <w:tr>
        <w:tc>
          <w:tcPr>
            <w:tcW w:w="1509" w:type="dxa"/>
            <w:shd w:val="clear" w:color="auto" w:fill="E6E6E6"/>
          </w:tcPr>
          <w:p>
            <w:pPr>
              <w:pStyle w:val="yTableNAm"/>
              <w:widowControl w:val="0"/>
            </w:pPr>
            <w:r>
              <w:rPr>
                <w:b/>
                <w:bCs/>
              </w:rPr>
              <w:t>Request for sample to be taken</w:t>
            </w:r>
          </w:p>
        </w:tc>
        <w:tc>
          <w:tcPr>
            <w:tcW w:w="5579" w:type="dxa"/>
          </w:tcPr>
          <w:p>
            <w:pPr>
              <w:pStyle w:val="yTableNAm"/>
            </w:pPr>
            <w:r>
              <w:rPr>
                <w:snapToGrid w:val="0"/>
              </w:rPr>
              <w:t xml:space="preserve">Under the </w:t>
            </w:r>
            <w:r>
              <w:rPr>
                <w:i/>
              </w:rPr>
              <w:t>Community Protection (Offender Reporting) Regulations 2004</w:t>
            </w:r>
            <w:r>
              <w:t xml:space="preserve"> regulation 26F(2), I request you, a </w:t>
            </w:r>
          </w:p>
          <w:p>
            <w:pPr>
              <w:pStyle w:val="yTableNAm"/>
              <w:rPr>
                <w:snapToGrid w:val="0"/>
              </w:rPr>
            </w:pPr>
            <w:r>
              <w:rPr>
                <w:snapToGrid w:val="0"/>
              </w:rPr>
              <w:t>...................................................................................................</w:t>
            </w:r>
          </w:p>
          <w:p>
            <w:pPr>
              <w:pStyle w:val="yTableNAm"/>
              <w:spacing w:before="0"/>
              <w:rPr>
                <w:snapToGrid w:val="0"/>
                <w:sz w:val="20"/>
              </w:rPr>
            </w:pPr>
            <w:r>
              <w:rPr>
                <w:snapToGrid w:val="0"/>
                <w:sz w:val="20"/>
              </w:rPr>
              <w:t>[</w:t>
            </w:r>
            <w:r>
              <w:rPr>
                <w:i/>
                <w:snapToGrid w:val="0"/>
                <w:sz w:val="20"/>
              </w:rPr>
              <w:t>Insert description, e.g. medical practitioner, nurse practitioner, phlebotomist</w:t>
            </w:r>
            <w:r>
              <w:rPr>
                <w:snapToGrid w:val="0"/>
                <w:sz w:val="20"/>
              </w:rPr>
              <w:t>]</w:t>
            </w:r>
          </w:p>
          <w:p>
            <w:pPr>
              <w:pStyle w:val="yTableNAm"/>
              <w:rPr>
                <w:snapToGrid w:val="0"/>
              </w:rPr>
            </w:pPr>
            <w:r>
              <w:rPr>
                <w:snapToGrid w:val="0"/>
              </w:rPr>
              <w:t xml:space="preserve">to take — </w:t>
            </w:r>
          </w:p>
          <w:p>
            <w:pPr>
              <w:pStyle w:val="yTableNAm"/>
              <w:rPr>
                <w:snapToGrid w:val="0"/>
              </w:rPr>
            </w:pPr>
            <w:r>
              <w:rPr>
                <w:snapToGrid w:val="0"/>
              </w:rPr>
              <w:t>(a)</w:t>
            </w:r>
            <w:r>
              <w:rPr>
                <w:snapToGrid w:val="0"/>
              </w:rPr>
              <w:tab/>
              <w:t>a blood sample*;</w:t>
            </w:r>
          </w:p>
          <w:p>
            <w:pPr>
              <w:pStyle w:val="yTableNAm"/>
              <w:rPr>
                <w:snapToGrid w:val="0"/>
                <w:sz w:val="20"/>
              </w:rPr>
            </w:pPr>
            <w:r>
              <w:rPr>
                <w:snapToGrid w:val="0"/>
              </w:rPr>
              <w:t>(b)</w:t>
            </w:r>
            <w:r>
              <w:rPr>
                <w:snapToGrid w:val="0"/>
              </w:rPr>
              <w:tab/>
              <w:t>a urine sample*;</w:t>
            </w:r>
            <w:r>
              <w:rPr>
                <w:snapToGrid w:val="0"/>
              </w:rPr>
              <w:br/>
            </w:r>
            <w:r>
              <w:rPr>
                <w:snapToGrid w:val="0"/>
                <w:sz w:val="16"/>
                <w:szCs w:val="16"/>
              </w:rPr>
              <w:tab/>
            </w:r>
            <w:r>
              <w:rPr>
                <w:snapToGrid w:val="0"/>
                <w:sz w:val="20"/>
              </w:rPr>
              <w:t xml:space="preserve">[* </w:t>
            </w:r>
            <w:r>
              <w:rPr>
                <w:i/>
                <w:snapToGrid w:val="0"/>
                <w:sz w:val="20"/>
              </w:rPr>
              <w:t>delete inapplicable</w:t>
            </w:r>
            <w:r>
              <w:rPr>
                <w:snapToGrid w:val="0"/>
                <w:sz w:val="20"/>
              </w:rPr>
              <w:t>]</w:t>
            </w:r>
          </w:p>
          <w:p>
            <w:pPr>
              <w:pStyle w:val="yTableNAm"/>
              <w:rPr>
                <w:snapToGrid w:val="0"/>
              </w:rPr>
            </w:pPr>
            <w:r>
              <w:rPr>
                <w:snapToGrid w:val="0"/>
              </w:rPr>
              <w:t xml:space="preserve">from — </w:t>
            </w:r>
          </w:p>
          <w:p>
            <w:pPr>
              <w:pStyle w:val="yTableNAm"/>
              <w:rPr>
                <w:snapToGrid w:val="0"/>
                <w:sz w:val="20"/>
              </w:rPr>
            </w:pPr>
            <w:r>
              <w:rPr>
                <w:snapToGrid w:val="0"/>
              </w:rPr>
              <w:t>...................................................................................................</w:t>
            </w:r>
            <w:r>
              <w:rPr>
                <w:snapToGrid w:val="0"/>
              </w:rPr>
              <w:br/>
            </w:r>
            <w:r>
              <w:rPr>
                <w:snapToGrid w:val="0"/>
                <w:sz w:val="20"/>
              </w:rPr>
              <w:t>[</w:t>
            </w:r>
            <w:r>
              <w:rPr>
                <w:i/>
                <w:snapToGrid w:val="0"/>
                <w:sz w:val="20"/>
              </w:rPr>
              <w:t>Name of person from whom sample is to be taken or collected</w:t>
            </w:r>
            <w:r>
              <w:rPr>
                <w:snapToGrid w:val="0"/>
                <w:sz w:val="20"/>
              </w:rPr>
              <w:t>]</w:t>
            </w:r>
          </w:p>
          <w:p>
            <w:pPr>
              <w:pStyle w:val="yTableNAm"/>
              <w:rPr>
                <w:b/>
                <w:bCs/>
              </w:rPr>
            </w:pPr>
            <w:r>
              <w:rPr>
                <w:snapToGrid w:val="0"/>
              </w:rPr>
              <w:t xml:space="preserve">in accordance with the </w:t>
            </w:r>
            <w:r>
              <w:rPr>
                <w:i/>
                <w:snapToGrid w:val="0"/>
              </w:rPr>
              <w:t>Community Protection (Offender Reporting) Regulations 2004</w:t>
            </w:r>
            <w:r>
              <w:rPr>
                <w:snapToGrid w:val="0"/>
              </w:rPr>
              <w:t>.</w:t>
            </w:r>
          </w:p>
        </w:tc>
      </w:tr>
      <w:tr>
        <w:tc>
          <w:tcPr>
            <w:tcW w:w="1509" w:type="dxa"/>
            <w:tcBorders>
              <w:top w:val="single" w:sz="4" w:space="0" w:color="auto"/>
              <w:left w:val="single" w:sz="4" w:space="0" w:color="auto"/>
              <w:bottom w:val="single" w:sz="4" w:space="0" w:color="auto"/>
              <w:right w:val="single" w:sz="4" w:space="0" w:color="auto"/>
            </w:tcBorders>
            <w:shd w:val="clear" w:color="auto" w:fill="E6E6E6"/>
          </w:tcPr>
          <w:p>
            <w:pPr>
              <w:pStyle w:val="yTableNAm"/>
              <w:widowControl w:val="0"/>
              <w:rPr>
                <w:b/>
                <w:bCs/>
              </w:rPr>
            </w:pPr>
            <w:r>
              <w:rPr>
                <w:b/>
                <w:bCs/>
              </w:rPr>
              <w:t>Date form was issued</w:t>
            </w:r>
          </w:p>
        </w:tc>
        <w:tc>
          <w:tcPr>
            <w:tcW w:w="5579" w:type="dxa"/>
            <w:tcBorders>
              <w:top w:val="single" w:sz="4" w:space="0" w:color="auto"/>
              <w:left w:val="single" w:sz="4" w:space="0" w:color="auto"/>
              <w:bottom w:val="single" w:sz="4" w:space="0" w:color="auto"/>
              <w:right w:val="single" w:sz="4" w:space="0" w:color="auto"/>
            </w:tcBorders>
          </w:tcPr>
          <w:p>
            <w:pPr>
              <w:pStyle w:val="yTableNAm"/>
              <w:rPr>
                <w:snapToGrid w:val="0"/>
              </w:rPr>
            </w:pPr>
            <w:r>
              <w:rPr>
                <w:snapToGrid w:val="0"/>
              </w:rPr>
              <w:br/>
              <w:t>...................................................................................................</w:t>
            </w:r>
          </w:p>
        </w:tc>
      </w:tr>
      <w:tr>
        <w:tc>
          <w:tcPr>
            <w:tcW w:w="1509" w:type="dxa"/>
            <w:tcBorders>
              <w:top w:val="single" w:sz="4" w:space="0" w:color="auto"/>
              <w:left w:val="single" w:sz="4" w:space="0" w:color="auto"/>
              <w:bottom w:val="single" w:sz="4" w:space="0" w:color="auto"/>
              <w:right w:val="single" w:sz="4" w:space="0" w:color="auto"/>
            </w:tcBorders>
            <w:shd w:val="clear" w:color="auto" w:fill="E6E6E6"/>
          </w:tcPr>
          <w:p>
            <w:pPr>
              <w:pStyle w:val="yTableNAm"/>
              <w:keepNext/>
              <w:widowControl w:val="0"/>
              <w:rPr>
                <w:b/>
                <w:bCs/>
              </w:rPr>
            </w:pPr>
            <w:r>
              <w:rPr>
                <w:b/>
                <w:bCs/>
              </w:rPr>
              <w:t>Authorised police officer</w:t>
            </w:r>
          </w:p>
        </w:tc>
        <w:tc>
          <w:tcPr>
            <w:tcW w:w="5579" w:type="dxa"/>
            <w:tcBorders>
              <w:top w:val="single" w:sz="4" w:space="0" w:color="auto"/>
              <w:left w:val="single" w:sz="4" w:space="0" w:color="auto"/>
              <w:bottom w:val="single" w:sz="4" w:space="0" w:color="auto"/>
              <w:right w:val="single" w:sz="4" w:space="0" w:color="auto"/>
            </w:tcBorders>
          </w:tcPr>
          <w:p>
            <w:pPr>
              <w:pStyle w:val="yTableNAm"/>
              <w:keepNext/>
              <w:rPr>
                <w:snapToGrid w:val="0"/>
              </w:rPr>
            </w:pPr>
          </w:p>
          <w:p>
            <w:pPr>
              <w:pStyle w:val="yTableNAm"/>
              <w:keepNext/>
              <w:rPr>
                <w:snapToGrid w:val="0"/>
                <w:sz w:val="20"/>
              </w:rPr>
            </w:pPr>
            <w:r>
              <w:rPr>
                <w:snapToGrid w:val="0"/>
              </w:rPr>
              <w:t>...................................................................................................</w:t>
            </w:r>
            <w:r>
              <w:rPr>
                <w:snapToGrid w:val="0"/>
              </w:rPr>
              <w:br/>
            </w:r>
            <w:r>
              <w:rPr>
                <w:snapToGrid w:val="0"/>
                <w:sz w:val="20"/>
              </w:rPr>
              <w:t>[</w:t>
            </w:r>
            <w:r>
              <w:rPr>
                <w:i/>
                <w:snapToGrid w:val="0"/>
                <w:sz w:val="20"/>
              </w:rPr>
              <w:t>Signature</w:t>
            </w:r>
            <w:r>
              <w:rPr>
                <w:snapToGrid w:val="0"/>
                <w:sz w:val="20"/>
              </w:rPr>
              <w:t>]</w:t>
            </w:r>
            <w:r>
              <w:rPr>
                <w:snapToGrid w:val="0"/>
                <w:sz w:val="20"/>
              </w:rPr>
              <w:br/>
            </w:r>
            <w:r>
              <w:rPr>
                <w:snapToGrid w:val="0"/>
              </w:rPr>
              <w:t>...................................................................................................</w:t>
            </w:r>
            <w:r>
              <w:rPr>
                <w:snapToGrid w:val="0"/>
              </w:rPr>
              <w:br/>
            </w:r>
            <w:r>
              <w:rPr>
                <w:snapToGrid w:val="0"/>
                <w:sz w:val="20"/>
              </w:rPr>
              <w:t>[</w:t>
            </w:r>
            <w:r>
              <w:rPr>
                <w:i/>
                <w:snapToGrid w:val="0"/>
                <w:sz w:val="20"/>
              </w:rPr>
              <w:t>Date</w:t>
            </w:r>
            <w:r>
              <w:rPr>
                <w:snapToGrid w:val="0"/>
                <w:sz w:val="20"/>
              </w:rPr>
              <w:t>]</w:t>
            </w:r>
          </w:p>
          <w:p>
            <w:pPr>
              <w:pStyle w:val="yTableNAm"/>
              <w:keepNext/>
              <w:rPr>
                <w:snapToGrid w:val="0"/>
              </w:rPr>
            </w:pPr>
            <w:r>
              <w:rPr>
                <w:snapToGrid w:val="0"/>
              </w:rPr>
              <w:t>Name ........................................................................................</w:t>
            </w:r>
          </w:p>
          <w:p>
            <w:pPr>
              <w:pStyle w:val="yTableNAm"/>
              <w:keepNext/>
              <w:rPr>
                <w:snapToGrid w:val="0"/>
              </w:rPr>
            </w:pPr>
            <w:r>
              <w:rPr>
                <w:snapToGrid w:val="0"/>
              </w:rPr>
              <w:t>Rank and Number ....................................................................</w:t>
            </w:r>
          </w:p>
          <w:p>
            <w:pPr>
              <w:pStyle w:val="yTableNAm"/>
              <w:keepNext/>
              <w:rPr>
                <w:snapToGrid w:val="0"/>
              </w:rPr>
            </w:pPr>
            <w:r>
              <w:rPr>
                <w:snapToGrid w:val="0"/>
              </w:rPr>
              <w:t>Telephone no. ...........................................................................</w:t>
            </w:r>
          </w:p>
          <w:p>
            <w:pPr>
              <w:pStyle w:val="yTableNAm"/>
              <w:keepNext/>
              <w:rPr>
                <w:snapToGrid w:val="0"/>
              </w:rPr>
            </w:pPr>
            <w:r>
              <w:rPr>
                <w:snapToGrid w:val="0"/>
              </w:rPr>
              <w:t>Ref no. ......................................................................................</w:t>
            </w:r>
          </w:p>
        </w:tc>
      </w:tr>
    </w:tbl>
    <w:p>
      <w:pPr>
        <w:pStyle w:val="yFootnotesection"/>
        <w:rPr>
          <w:szCs w:val="22"/>
        </w:rPr>
      </w:pPr>
      <w:r>
        <w:tab/>
        <w:t xml:space="preserve">[Form 5 inserted in Gazette </w:t>
      </w:r>
      <w:r>
        <w:rPr>
          <w:szCs w:val="22"/>
        </w:rPr>
        <w:t>8 Nov 2013 p</w:t>
      </w:r>
      <w:r>
        <w:t>. 5011</w:t>
      </w:r>
      <w:r>
        <w:noBreakHyphen/>
        <w:t>12.]</w:t>
      </w:r>
    </w:p>
    <w:p>
      <w:pPr>
        <w:pStyle w:val="yHeading5"/>
        <w:pageBreakBefore/>
        <w:rPr>
          <w:bCs/>
        </w:rPr>
      </w:pPr>
      <w:bookmarkStart w:id="45" w:name="_Toc384380043"/>
      <w:r>
        <w:rPr>
          <w:rStyle w:val="CharSClsNo"/>
        </w:rPr>
        <w:t>6</w:t>
      </w:r>
      <w:r>
        <w:t>.</w:t>
      </w:r>
      <w:r>
        <w:tab/>
        <w:t>Certificate of authorised sample collector (r. 26G(5))</w:t>
      </w:r>
      <w:bookmarkEnd w:id="45"/>
    </w:p>
    <w:p>
      <w:pPr>
        <w:pStyle w:val="yMiscellaneousHeading"/>
      </w:pPr>
      <w:r>
        <w:rPr>
          <w:i/>
        </w:rPr>
        <w:t>Community Protection (Offender Reporting) Act 2004</w:t>
      </w:r>
    </w:p>
    <w:p>
      <w:pPr>
        <w:pStyle w:val="yMiscellaneousHeading"/>
        <w:rPr>
          <w:b/>
        </w:rPr>
      </w:pPr>
      <w:r>
        <w:rPr>
          <w:b/>
        </w:rPr>
        <w:t>Certificate of authorised sample collector</w:t>
      </w:r>
    </w:p>
    <w:p>
      <w:pPr>
        <w:pStyle w:val="yMiscellaneousBody"/>
        <w:rPr>
          <w:snapToGrid w:val="0"/>
        </w:rPr>
      </w:pPr>
      <w:r>
        <w:rPr>
          <w:snapToGrid w:val="0"/>
        </w:rPr>
        <w:t xml:space="preserve">Under the </w:t>
      </w:r>
      <w:r>
        <w:rPr>
          <w:i/>
          <w:snapToGrid w:val="0"/>
        </w:rPr>
        <w:t>Community Protection (Offender Reporting) Act 2004</w:t>
      </w:r>
      <w:r>
        <w:rPr>
          <w:snapToGrid w:val="0"/>
        </w:rPr>
        <w:t xml:space="preserve"> section 94B(2)(b), I, a qualified</w:t>
      </w:r>
    </w:p>
    <w:p>
      <w:pPr>
        <w:pStyle w:val="yMiscellaneousBody"/>
        <w:rPr>
          <w:snapToGrid w:val="0"/>
        </w:rPr>
      </w:pPr>
      <w:r>
        <w:rPr>
          <w:snapToGrid w:val="0"/>
        </w:rPr>
        <w:t>.................................................................................................................................</w:t>
      </w:r>
    </w:p>
    <w:p>
      <w:pPr>
        <w:pStyle w:val="yMiscellaneousBody"/>
        <w:spacing w:before="0"/>
        <w:jc w:val="center"/>
        <w:rPr>
          <w:snapToGrid w:val="0"/>
        </w:rPr>
      </w:pPr>
      <w:r>
        <w:rPr>
          <w:snapToGrid w:val="0"/>
        </w:rPr>
        <w:t>[</w:t>
      </w:r>
      <w:r>
        <w:rPr>
          <w:i/>
          <w:snapToGrid w:val="0"/>
          <w:sz w:val="20"/>
        </w:rPr>
        <w:t>Insert description, e.g. medical practitioner, registered nurse or phlebotomist</w:t>
      </w:r>
      <w:r>
        <w:rPr>
          <w:snapToGrid w:val="0"/>
        </w:rPr>
        <w:t>]</w:t>
      </w:r>
    </w:p>
    <w:p>
      <w:pPr>
        <w:pStyle w:val="yMiscellaneousBody"/>
        <w:ind w:left="426" w:hanging="426"/>
        <w:rPr>
          <w:snapToGrid w:val="0"/>
        </w:rPr>
      </w:pPr>
      <w:r>
        <w:rPr>
          <w:snapToGrid w:val="0"/>
        </w:rPr>
        <w:t xml:space="preserve">took — </w:t>
      </w:r>
    </w:p>
    <w:p>
      <w:pPr>
        <w:pStyle w:val="yMiscellaneousBody"/>
        <w:ind w:left="426" w:hanging="426"/>
        <w:rPr>
          <w:snapToGrid w:val="0"/>
        </w:rPr>
      </w:pPr>
      <w:r>
        <w:rPr>
          <w:snapToGrid w:val="0"/>
        </w:rPr>
        <w:t>(a)</w:t>
      </w:r>
      <w:r>
        <w:rPr>
          <w:snapToGrid w:val="0"/>
        </w:rPr>
        <w:tab/>
        <w:t>a blood sample*;</w:t>
      </w:r>
    </w:p>
    <w:p>
      <w:pPr>
        <w:pStyle w:val="yMiscellaneousBody"/>
        <w:ind w:left="426" w:hanging="426"/>
        <w:rPr>
          <w:snapToGrid w:val="0"/>
        </w:rPr>
      </w:pPr>
      <w:r>
        <w:rPr>
          <w:snapToGrid w:val="0"/>
        </w:rPr>
        <w:t>(b)</w:t>
      </w:r>
      <w:r>
        <w:rPr>
          <w:snapToGrid w:val="0"/>
        </w:rPr>
        <w:tab/>
        <w:t>a urine sample*;</w:t>
      </w:r>
      <w:r>
        <w:rPr>
          <w:snapToGrid w:val="0"/>
        </w:rPr>
        <w:br/>
        <w:t>[*</w:t>
      </w:r>
      <w:r>
        <w:rPr>
          <w:i/>
          <w:snapToGrid w:val="0"/>
          <w:sz w:val="20"/>
        </w:rPr>
        <w:t>delete inapplicable</w:t>
      </w:r>
      <w:r>
        <w:rPr>
          <w:snapToGrid w:val="0"/>
        </w:rPr>
        <w:t>]</w:t>
      </w:r>
    </w:p>
    <w:p>
      <w:pPr>
        <w:pStyle w:val="yMiscellaneousBody"/>
        <w:rPr>
          <w:snapToGrid w:val="0"/>
        </w:rPr>
      </w:pPr>
      <w:r>
        <w:rPr>
          <w:snapToGrid w:val="0"/>
        </w:rPr>
        <w:t>from ........................................................................................................................</w:t>
      </w:r>
    </w:p>
    <w:p>
      <w:pPr>
        <w:pStyle w:val="yMiscellaneousBody"/>
        <w:spacing w:before="0"/>
        <w:jc w:val="center"/>
        <w:rPr>
          <w:snapToGrid w:val="0"/>
        </w:rPr>
      </w:pPr>
      <w:r>
        <w:rPr>
          <w:snapToGrid w:val="0"/>
        </w:rPr>
        <w:t>[</w:t>
      </w:r>
      <w:r>
        <w:rPr>
          <w:i/>
          <w:snapToGrid w:val="0"/>
          <w:sz w:val="20"/>
        </w:rPr>
        <w:t>Name of person from whom sample was taken or collected</w:t>
      </w:r>
      <w:r>
        <w:rPr>
          <w:snapToGrid w:val="0"/>
        </w:rPr>
        <w:t>]</w:t>
      </w:r>
    </w:p>
    <w:p>
      <w:pPr>
        <w:pStyle w:val="yMiscellaneousBody"/>
        <w:ind w:left="426" w:hanging="426"/>
        <w:rPr>
          <w:snapToGrid w:val="0"/>
        </w:rPr>
      </w:pPr>
      <w:r>
        <w:rPr>
          <w:snapToGrid w:val="0"/>
        </w:rPr>
        <w:t>at .............................................................................................................................</w:t>
      </w:r>
    </w:p>
    <w:p>
      <w:pPr>
        <w:pStyle w:val="yMiscellaneousBody"/>
        <w:spacing w:before="0"/>
        <w:ind w:left="426" w:hanging="426"/>
        <w:jc w:val="center"/>
        <w:rPr>
          <w:snapToGrid w:val="0"/>
        </w:rPr>
      </w:pPr>
      <w:r>
        <w:rPr>
          <w:snapToGrid w:val="0"/>
        </w:rPr>
        <w:t>.................................................................................................................................</w:t>
      </w:r>
      <w:r>
        <w:rPr>
          <w:snapToGrid w:val="0"/>
        </w:rPr>
        <w:br/>
        <w:t>[</w:t>
      </w:r>
      <w:r>
        <w:rPr>
          <w:i/>
          <w:snapToGrid w:val="0"/>
          <w:sz w:val="20"/>
        </w:rPr>
        <w:t>Place where sample was taken or collected</w:t>
      </w:r>
      <w:r>
        <w:rPr>
          <w:snapToGrid w:val="0"/>
        </w:rPr>
        <w:t>]</w:t>
      </w:r>
    </w:p>
    <w:p>
      <w:pPr>
        <w:pStyle w:val="yMiscellaneousBody"/>
        <w:rPr>
          <w:snapToGrid w:val="0"/>
        </w:rPr>
      </w:pPr>
      <w:r>
        <w:rPr>
          <w:snapToGrid w:val="0"/>
        </w:rPr>
        <w:t xml:space="preserve">in accordance with the </w:t>
      </w:r>
      <w:r>
        <w:rPr>
          <w:i/>
          <w:snapToGrid w:val="0"/>
        </w:rPr>
        <w:t>Community Protection (Offender Reporting) Regulations 2004</w:t>
      </w:r>
      <w:r>
        <w:rPr>
          <w:snapToGrid w:val="0"/>
        </w:rPr>
        <w:t>.</w:t>
      </w:r>
    </w:p>
    <w:p>
      <w:pPr>
        <w:pStyle w:val="yMiscellaneousBody"/>
        <w:tabs>
          <w:tab w:val="left" w:pos="3828"/>
        </w:tabs>
        <w:rPr>
          <w:snapToGrid w:val="0"/>
        </w:rPr>
      </w:pPr>
      <w:r>
        <w:rPr>
          <w:snapToGrid w:val="0"/>
        </w:rPr>
        <w:t>The sample was taken or collected at ....................................................................</w:t>
      </w:r>
      <w:r>
        <w:rPr>
          <w:snapToGrid w:val="0"/>
        </w:rPr>
        <w:br/>
      </w:r>
      <w:r>
        <w:rPr>
          <w:snapToGrid w:val="0"/>
        </w:rPr>
        <w:tab/>
        <w:t>[</w:t>
      </w:r>
      <w:r>
        <w:rPr>
          <w:i/>
          <w:snapToGrid w:val="0"/>
          <w:sz w:val="20"/>
        </w:rPr>
        <w:t>Insert time, day, month and year</w:t>
      </w:r>
      <w:r>
        <w:rPr>
          <w:snapToGrid w:val="0"/>
        </w:rPr>
        <w:t>]</w:t>
      </w:r>
    </w:p>
    <w:p>
      <w:pPr>
        <w:pStyle w:val="yMiscellaneousBody"/>
        <w:tabs>
          <w:tab w:val="left" w:pos="3261"/>
        </w:tabs>
        <w:rPr>
          <w:snapToGrid w:val="0"/>
        </w:rPr>
      </w:pPr>
      <w:r>
        <w:rPr>
          <w:snapToGrid w:val="0"/>
        </w:rPr>
        <w:t>The sample, or a portion of that sample, is contained and sealed in the sample container(s) numbered ...........................................................................................</w:t>
      </w:r>
      <w:r>
        <w:rPr>
          <w:snapToGrid w:val="0"/>
        </w:rPr>
        <w:br/>
      </w:r>
      <w:r>
        <w:rPr>
          <w:snapToGrid w:val="0"/>
        </w:rPr>
        <w:tab/>
        <w:t>[</w:t>
      </w:r>
      <w:r>
        <w:rPr>
          <w:i/>
          <w:snapToGrid w:val="0"/>
          <w:sz w:val="20"/>
        </w:rPr>
        <w:t>Number on sample container(s)</w:t>
      </w:r>
      <w:r>
        <w:rPr>
          <w:snapToGrid w:val="0"/>
        </w:rPr>
        <w:t>]</w:t>
      </w:r>
    </w:p>
    <w:p>
      <w:pPr>
        <w:pStyle w:val="yMiscellaneousBody"/>
        <w:rPr>
          <w:snapToGrid w:val="0"/>
        </w:rPr>
      </w:pPr>
      <w:r>
        <w:rPr>
          <w:snapToGrid w:val="0"/>
        </w:rPr>
        <w:t xml:space="preserve">The equipment used for the purpose of taking or collecting the sample of blood*/urine* [* </w:t>
      </w:r>
      <w:r>
        <w:rPr>
          <w:i/>
          <w:snapToGrid w:val="0"/>
          <w:sz w:val="20"/>
        </w:rPr>
        <w:t>delete inapplicable</w:t>
      </w:r>
      <w:r>
        <w:rPr>
          <w:snapToGrid w:val="0"/>
        </w:rPr>
        <w:t>] was contained in an equipment kit serially numbered ..................................... and that equipment kit was sealed and intact ....................... [</w:t>
      </w:r>
      <w:r>
        <w:rPr>
          <w:i/>
          <w:snapToGrid w:val="0"/>
          <w:sz w:val="20"/>
        </w:rPr>
        <w:t>Number on equipment kit</w:t>
      </w:r>
      <w:r>
        <w:rPr>
          <w:snapToGrid w:val="0"/>
        </w:rPr>
        <w:t>] before I opened it.</w:t>
      </w:r>
    </w:p>
    <w:p>
      <w:pPr>
        <w:pStyle w:val="yMiscellaneousBody"/>
        <w:keepNext/>
        <w:rPr>
          <w:snapToGrid w:val="0"/>
        </w:rPr>
      </w:pPr>
      <w:r>
        <w:rPr>
          <w:snapToGrid w:val="0"/>
        </w:rPr>
        <w:t xml:space="preserve">The sample was taken or collected in the manner prescribed in the </w:t>
      </w:r>
      <w:r>
        <w:rPr>
          <w:i/>
          <w:snapToGrid w:val="0"/>
        </w:rPr>
        <w:t>Community Protection (Offender Reporting) Regulations 2004</w:t>
      </w:r>
      <w:r>
        <w:rPr>
          <w:snapToGrid w:val="0"/>
        </w:rPr>
        <w:t xml:space="preserve"> regulation 26G.</w:t>
      </w:r>
    </w:p>
    <w:p>
      <w:pPr>
        <w:pStyle w:val="yMiscellaneousBody"/>
        <w:ind w:left="993" w:hanging="426"/>
        <w:jc w:val="right"/>
        <w:rPr>
          <w:snapToGrid w:val="0"/>
        </w:rPr>
      </w:pPr>
      <w:r>
        <w:rPr>
          <w:snapToGrid w:val="0"/>
        </w:rPr>
        <w:t>................................................................</w:t>
      </w:r>
      <w:r>
        <w:rPr>
          <w:snapToGrid w:val="0"/>
        </w:rPr>
        <w:br/>
      </w:r>
      <w:r>
        <w:rPr>
          <w:snapToGrid w:val="0"/>
        </w:rPr>
        <w:tab/>
      </w:r>
      <w:r>
        <w:rPr>
          <w:snapToGrid w:val="0"/>
        </w:rPr>
        <w:tab/>
      </w:r>
      <w:r>
        <w:rPr>
          <w:snapToGrid w:val="0"/>
        </w:rPr>
        <w:tab/>
        <w:t>[</w:t>
      </w:r>
      <w:r>
        <w:rPr>
          <w:i/>
          <w:snapToGrid w:val="0"/>
          <w:sz w:val="20"/>
        </w:rPr>
        <w:t>Signature and qualification</w:t>
      </w:r>
      <w:r>
        <w:rPr>
          <w:snapToGrid w:val="0"/>
        </w:rPr>
        <w:t>]</w:t>
      </w:r>
    </w:p>
    <w:p>
      <w:pPr>
        <w:pStyle w:val="yMiscellaneousBody"/>
        <w:ind w:left="993" w:hanging="426"/>
        <w:jc w:val="right"/>
        <w:rPr>
          <w:snapToGrid w:val="0"/>
        </w:rPr>
      </w:pPr>
      <w:r>
        <w:rPr>
          <w:snapToGrid w:val="0"/>
        </w:rPr>
        <w:t>................................................................</w:t>
      </w:r>
      <w:r>
        <w:rPr>
          <w:snapToGrid w:val="0"/>
        </w:rPr>
        <w:br/>
      </w:r>
      <w:r>
        <w:rPr>
          <w:snapToGrid w:val="0"/>
        </w:rPr>
        <w:tab/>
      </w:r>
      <w:r>
        <w:rPr>
          <w:snapToGrid w:val="0"/>
        </w:rPr>
        <w:tab/>
      </w:r>
      <w:r>
        <w:rPr>
          <w:snapToGrid w:val="0"/>
        </w:rPr>
        <w:tab/>
      </w:r>
      <w:r>
        <w:rPr>
          <w:snapToGrid w:val="0"/>
          <w:sz w:val="20"/>
        </w:rPr>
        <w:t>[</w:t>
      </w:r>
      <w:r>
        <w:rPr>
          <w:i/>
          <w:snapToGrid w:val="0"/>
          <w:sz w:val="20"/>
        </w:rPr>
        <w:t>Date</w:t>
      </w:r>
      <w:r>
        <w:rPr>
          <w:snapToGrid w:val="0"/>
          <w:sz w:val="20"/>
        </w:rPr>
        <w:t>]</w:t>
      </w:r>
    </w:p>
    <w:p>
      <w:pPr>
        <w:pStyle w:val="yMiscellaneousBody"/>
        <w:ind w:left="993" w:hanging="426"/>
        <w:rPr>
          <w:snapToGrid w:val="0"/>
        </w:rPr>
      </w:pPr>
    </w:p>
    <w:p>
      <w:pPr>
        <w:pStyle w:val="yMiscellaneousBody"/>
        <w:ind w:left="993" w:hanging="426"/>
        <w:jc w:val="right"/>
        <w:rPr>
          <w:snapToGrid w:val="0"/>
        </w:rPr>
      </w:pPr>
      <w:r>
        <w:rPr>
          <w:snapToGrid w:val="0"/>
        </w:rPr>
        <w:t>Witnessed by ..............................................................</w:t>
      </w:r>
      <w:r>
        <w:rPr>
          <w:snapToGrid w:val="0"/>
        </w:rPr>
        <w:br/>
        <w:t>[</w:t>
      </w:r>
      <w:r>
        <w:rPr>
          <w:i/>
          <w:snapToGrid w:val="0"/>
          <w:sz w:val="20"/>
        </w:rPr>
        <w:t>Authorised police officer’s signature</w:t>
      </w:r>
      <w:r>
        <w:rPr>
          <w:snapToGrid w:val="0"/>
        </w:rPr>
        <w:t>]</w:t>
      </w:r>
      <w:r>
        <w:rPr>
          <w:snapToGrid w:val="0"/>
        </w:rPr>
        <w:br/>
        <w:t>[</w:t>
      </w:r>
      <w:r>
        <w:rPr>
          <w:i/>
          <w:snapToGrid w:val="0"/>
          <w:sz w:val="20"/>
        </w:rPr>
        <w:t>Rank and number</w:t>
      </w:r>
      <w:r>
        <w:rPr>
          <w:snapToGrid w:val="0"/>
        </w:rPr>
        <w:t>]</w:t>
      </w:r>
    </w:p>
    <w:p>
      <w:pPr>
        <w:pStyle w:val="yMiscellaneousBody"/>
        <w:ind w:left="993" w:hanging="426"/>
        <w:jc w:val="right"/>
        <w:rPr>
          <w:snapToGrid w:val="0"/>
          <w:sz w:val="20"/>
        </w:rPr>
      </w:pPr>
      <w:r>
        <w:rPr>
          <w:snapToGrid w:val="0"/>
        </w:rPr>
        <w:t>................................................................</w:t>
      </w:r>
      <w:r>
        <w:rPr>
          <w:snapToGrid w:val="0"/>
        </w:rPr>
        <w:br/>
      </w:r>
      <w:r>
        <w:rPr>
          <w:snapToGrid w:val="0"/>
        </w:rPr>
        <w:tab/>
      </w:r>
      <w:r>
        <w:rPr>
          <w:snapToGrid w:val="0"/>
        </w:rPr>
        <w:tab/>
      </w:r>
      <w:r>
        <w:rPr>
          <w:snapToGrid w:val="0"/>
        </w:rPr>
        <w:tab/>
      </w:r>
      <w:r>
        <w:rPr>
          <w:snapToGrid w:val="0"/>
          <w:sz w:val="20"/>
        </w:rPr>
        <w:t>[</w:t>
      </w:r>
      <w:r>
        <w:rPr>
          <w:i/>
          <w:snapToGrid w:val="0"/>
          <w:sz w:val="20"/>
        </w:rPr>
        <w:t>Date</w:t>
      </w:r>
      <w:r>
        <w:rPr>
          <w:snapToGrid w:val="0"/>
          <w:sz w:val="20"/>
        </w:rPr>
        <w:t>]</w:t>
      </w:r>
    </w:p>
    <w:p>
      <w:pPr>
        <w:pStyle w:val="yFootnotesection"/>
      </w:pPr>
      <w:r>
        <w:tab/>
        <w:t xml:space="preserve">[Form 6 inserted in Gazette </w:t>
      </w:r>
      <w:r>
        <w:rPr>
          <w:szCs w:val="22"/>
        </w:rPr>
        <w:t>8 Nov 2013 p</w:t>
      </w:r>
      <w:r>
        <w:t>. 5013</w:t>
      </w:r>
      <w:r>
        <w:noBreakHyphen/>
        <w:t>14.]</w:t>
      </w:r>
    </w:p>
    <w:p>
      <w:pPr>
        <w:pStyle w:val="yHeading5"/>
        <w:pageBreakBefore/>
      </w:pPr>
      <w:bookmarkStart w:id="46" w:name="_Toc384380044"/>
      <w:r>
        <w:rPr>
          <w:rStyle w:val="CharSClsNo"/>
        </w:rPr>
        <w:t>7</w:t>
      </w:r>
      <w:r>
        <w:t>.</w:t>
      </w:r>
      <w:r>
        <w:tab/>
        <w:t>Certificate of analyst (r. 26I(3))</w:t>
      </w:r>
      <w:bookmarkEnd w:id="46"/>
    </w:p>
    <w:p>
      <w:pPr>
        <w:pStyle w:val="yMiscellaneousHeading"/>
      </w:pPr>
      <w:r>
        <w:rPr>
          <w:i/>
        </w:rPr>
        <w:t>Community Protection (Offender Reporting) Act 2004</w:t>
      </w:r>
    </w:p>
    <w:p>
      <w:pPr>
        <w:pStyle w:val="yMiscellaneousHeading"/>
        <w:rPr>
          <w:b/>
        </w:rPr>
      </w:pPr>
      <w:r>
        <w:rPr>
          <w:b/>
        </w:rPr>
        <w:t>Certificate of analyst</w:t>
      </w:r>
    </w:p>
    <w:p>
      <w:pPr>
        <w:pStyle w:val="yMiscellaneousBody"/>
        <w:rPr>
          <w:snapToGrid w:val="0"/>
        </w:rPr>
      </w:pPr>
    </w:p>
    <w:p>
      <w:pPr>
        <w:pStyle w:val="yMiscellaneousBody"/>
        <w:rPr>
          <w:snapToGrid w:val="0"/>
        </w:rPr>
      </w:pPr>
      <w:r>
        <w:rPr>
          <w:snapToGrid w:val="0"/>
        </w:rPr>
        <w:t>Laboratory reference no. ............................</w:t>
      </w:r>
    </w:p>
    <w:p>
      <w:pPr>
        <w:pStyle w:val="yMiscellaneousBody"/>
        <w:rPr>
          <w:snapToGrid w:val="0"/>
        </w:rPr>
      </w:pPr>
      <w:r>
        <w:rPr>
          <w:snapToGrid w:val="0"/>
        </w:rPr>
        <w:t>Police reference no. ....................................</w:t>
      </w:r>
    </w:p>
    <w:p>
      <w:pPr>
        <w:pStyle w:val="yMiscellaneousBody"/>
        <w:rPr>
          <w:snapToGrid w:val="0"/>
        </w:rPr>
      </w:pPr>
    </w:p>
    <w:p>
      <w:pPr>
        <w:pStyle w:val="yMiscellaneousBody"/>
        <w:rPr>
          <w:snapToGrid w:val="0"/>
        </w:rPr>
      </w:pPr>
      <w:r>
        <w:rPr>
          <w:snapToGrid w:val="0"/>
        </w:rPr>
        <w:t xml:space="preserve">I, ................................................................................, being an authorised analyst referred to in the </w:t>
      </w:r>
      <w:r>
        <w:rPr>
          <w:i/>
          <w:snapToGrid w:val="0"/>
        </w:rPr>
        <w:t>Community Protection (Offender Reporting) Regulations 2004</w:t>
      </w:r>
      <w:r>
        <w:rPr>
          <w:snapToGrid w:val="0"/>
        </w:rPr>
        <w:t xml:space="preserve"> regulation 26H(2), certify that — </w:t>
      </w:r>
    </w:p>
    <w:p>
      <w:pPr>
        <w:pStyle w:val="yMiscellaneousBody"/>
        <w:tabs>
          <w:tab w:val="left" w:pos="709"/>
        </w:tabs>
        <w:ind w:left="709" w:hanging="567"/>
        <w:rPr>
          <w:snapToGrid w:val="0"/>
        </w:rPr>
      </w:pPr>
      <w:r>
        <w:rPr>
          <w:snapToGrid w:val="0"/>
        </w:rPr>
        <w:t>(a)</w:t>
      </w:r>
      <w:r>
        <w:rPr>
          <w:snapToGrid w:val="0"/>
        </w:rPr>
        <w:tab/>
        <w:t xml:space="preserve">the Chemistry Centre (WA), </w:t>
      </w:r>
      <w:smartTag w:uri="urn:schemas-microsoft-com:office:smarttags" w:element="place">
        <w:smartTag w:uri="urn:schemas-microsoft-com:office:smarttags" w:element="City">
          <w:r>
            <w:rPr>
              <w:snapToGrid w:val="0"/>
            </w:rPr>
            <w:t>Perth</w:t>
          </w:r>
        </w:smartTag>
      </w:smartTag>
      <w:r>
        <w:rPr>
          <w:snapToGrid w:val="0"/>
        </w:rPr>
        <w:t xml:space="preserve"> received for analysis the following sample — </w:t>
      </w:r>
    </w:p>
    <w:p>
      <w:pPr>
        <w:pStyle w:val="yMiscellaneousBody"/>
        <w:tabs>
          <w:tab w:val="left" w:pos="709"/>
          <w:tab w:val="left" w:pos="1134"/>
          <w:tab w:val="left" w:pos="1701"/>
        </w:tabs>
        <w:rPr>
          <w:snapToGrid w:val="0"/>
        </w:rPr>
      </w:pPr>
      <w:r>
        <w:rPr>
          <w:snapToGrid w:val="0"/>
        </w:rPr>
        <w:tab/>
        <w:t>(i)</w:t>
      </w:r>
      <w:r>
        <w:rPr>
          <w:snapToGrid w:val="0"/>
        </w:rPr>
        <w:tab/>
        <w:t>a blood sample*;</w:t>
      </w:r>
    </w:p>
    <w:p>
      <w:pPr>
        <w:pStyle w:val="yMiscellaneousBody"/>
        <w:tabs>
          <w:tab w:val="left" w:pos="709"/>
          <w:tab w:val="left" w:pos="1134"/>
          <w:tab w:val="left" w:pos="1701"/>
        </w:tabs>
        <w:rPr>
          <w:snapToGrid w:val="0"/>
        </w:rPr>
      </w:pPr>
      <w:r>
        <w:rPr>
          <w:snapToGrid w:val="0"/>
        </w:rPr>
        <w:tab/>
        <w:t>(ii)</w:t>
      </w:r>
      <w:r>
        <w:rPr>
          <w:snapToGrid w:val="0"/>
        </w:rPr>
        <w:tab/>
        <w:t>a urine sample*;</w:t>
      </w:r>
      <w:r>
        <w:rPr>
          <w:snapToGrid w:val="0"/>
        </w:rPr>
        <w:br/>
      </w:r>
      <w:r>
        <w:rPr>
          <w:snapToGrid w:val="0"/>
        </w:rPr>
        <w:tab/>
      </w:r>
      <w:r>
        <w:rPr>
          <w:snapToGrid w:val="0"/>
        </w:rPr>
        <w:tab/>
        <w:t xml:space="preserve">[* </w:t>
      </w:r>
      <w:r>
        <w:rPr>
          <w:i/>
          <w:snapToGrid w:val="0"/>
          <w:sz w:val="20"/>
        </w:rPr>
        <w:t>delete inapplicable</w:t>
      </w:r>
      <w:r>
        <w:rPr>
          <w:snapToGrid w:val="0"/>
        </w:rPr>
        <w:t>]</w:t>
      </w:r>
    </w:p>
    <w:p>
      <w:pPr>
        <w:pStyle w:val="yMiscellaneousBody"/>
        <w:tabs>
          <w:tab w:val="left" w:pos="709"/>
        </w:tabs>
        <w:rPr>
          <w:snapToGrid w:val="0"/>
        </w:rPr>
      </w:pPr>
      <w:r>
        <w:rPr>
          <w:snapToGrid w:val="0"/>
        </w:rPr>
        <w:tab/>
        <w:t>from*/by* ..................................................................................................</w:t>
      </w:r>
    </w:p>
    <w:p>
      <w:pPr>
        <w:pStyle w:val="yMiscellaneousBody"/>
        <w:tabs>
          <w:tab w:val="left" w:pos="709"/>
        </w:tabs>
        <w:rPr>
          <w:snapToGrid w:val="0"/>
        </w:rPr>
      </w:pPr>
      <w:r>
        <w:rPr>
          <w:snapToGrid w:val="0"/>
        </w:rPr>
        <w:tab/>
        <w:t>on ..............................................................................................................;</w:t>
      </w:r>
    </w:p>
    <w:p>
      <w:pPr>
        <w:pStyle w:val="yMiscellaneousBody"/>
        <w:tabs>
          <w:tab w:val="left" w:pos="709"/>
        </w:tabs>
        <w:rPr>
          <w:snapToGrid w:val="0"/>
        </w:rPr>
      </w:pPr>
      <w:r>
        <w:rPr>
          <w:snapToGrid w:val="0"/>
        </w:rPr>
        <w:tab/>
        <w:t>and</w:t>
      </w:r>
    </w:p>
    <w:p>
      <w:pPr>
        <w:pStyle w:val="yMiscellaneousBody"/>
        <w:tabs>
          <w:tab w:val="left" w:pos="709"/>
        </w:tabs>
        <w:ind w:left="709" w:hanging="567"/>
        <w:rPr>
          <w:snapToGrid w:val="0"/>
        </w:rPr>
      </w:pPr>
      <w:r>
        <w:rPr>
          <w:snapToGrid w:val="0"/>
        </w:rPr>
        <w:t>(b)</w:t>
      </w:r>
      <w:r>
        <w:rPr>
          <w:snapToGrid w:val="0"/>
        </w:rPr>
        <w:tab/>
        <w:t>the thing referred to in paragraph (a) of this certificate was analysed by [</w:t>
      </w:r>
      <w:r>
        <w:rPr>
          <w:i/>
          <w:snapToGrid w:val="0"/>
          <w:sz w:val="20"/>
        </w:rPr>
        <w:t>insert details of method of analysis</w:t>
      </w:r>
      <w:r>
        <w:rPr>
          <w:snapToGrid w:val="0"/>
        </w:rPr>
        <w:t>]</w:t>
      </w:r>
    </w:p>
    <w:p>
      <w:pPr>
        <w:pStyle w:val="yMiscellaneousBody"/>
        <w:tabs>
          <w:tab w:val="left" w:pos="709"/>
        </w:tabs>
        <w:rPr>
          <w:snapToGrid w:val="0"/>
        </w:rPr>
      </w:pPr>
      <w:r>
        <w:rPr>
          <w:snapToGrid w:val="0"/>
        </w:rPr>
        <w:tab/>
        <w:t>....................................................................................................................</w:t>
      </w:r>
    </w:p>
    <w:p>
      <w:pPr>
        <w:pStyle w:val="yMiscellaneousBody"/>
        <w:tabs>
          <w:tab w:val="left" w:pos="709"/>
        </w:tabs>
        <w:rPr>
          <w:snapToGrid w:val="0"/>
        </w:rPr>
      </w:pPr>
      <w:r>
        <w:rPr>
          <w:snapToGrid w:val="0"/>
        </w:rPr>
        <w:tab/>
        <w:t>....................................................................................................................</w:t>
      </w:r>
    </w:p>
    <w:p>
      <w:pPr>
        <w:pStyle w:val="yMiscellaneousBody"/>
        <w:tabs>
          <w:tab w:val="left" w:pos="709"/>
        </w:tabs>
        <w:rPr>
          <w:snapToGrid w:val="0"/>
        </w:rPr>
      </w:pPr>
      <w:r>
        <w:rPr>
          <w:snapToGrid w:val="0"/>
        </w:rPr>
        <w:tab/>
        <w:t>...................................................................................................................;</w:t>
      </w:r>
    </w:p>
    <w:p>
      <w:pPr>
        <w:pStyle w:val="yMiscellaneousBody"/>
        <w:tabs>
          <w:tab w:val="left" w:pos="709"/>
        </w:tabs>
        <w:rPr>
          <w:snapToGrid w:val="0"/>
        </w:rPr>
      </w:pPr>
      <w:r>
        <w:rPr>
          <w:snapToGrid w:val="0"/>
        </w:rPr>
        <w:tab/>
        <w:t>and</w:t>
      </w:r>
    </w:p>
    <w:p>
      <w:pPr>
        <w:pStyle w:val="yMiscellaneousBody"/>
        <w:keepNext/>
        <w:tabs>
          <w:tab w:val="left" w:pos="709"/>
        </w:tabs>
        <w:ind w:left="709" w:hanging="567"/>
        <w:rPr>
          <w:snapToGrid w:val="0"/>
        </w:rPr>
      </w:pPr>
      <w:r>
        <w:rPr>
          <w:snapToGrid w:val="0"/>
        </w:rPr>
        <w:t>(c)</w:t>
      </w:r>
      <w:r>
        <w:rPr>
          <w:snapToGrid w:val="0"/>
        </w:rPr>
        <w:tab/>
        <w:t xml:space="preserve">the following is the result of the analysis — </w:t>
      </w:r>
    </w:p>
    <w:p>
      <w:pPr>
        <w:pStyle w:val="yMiscellaneousBody"/>
        <w:keepNext/>
        <w:tabs>
          <w:tab w:val="left" w:pos="709"/>
        </w:tabs>
        <w:rPr>
          <w:snapToGrid w:val="0"/>
        </w:rPr>
      </w:pPr>
      <w:r>
        <w:rPr>
          <w:snapToGrid w:val="0"/>
        </w:rPr>
        <w:tab/>
        <w:t>....................................................................................................................</w:t>
      </w:r>
    </w:p>
    <w:p>
      <w:pPr>
        <w:pStyle w:val="yMiscellaneousBody"/>
        <w:tabs>
          <w:tab w:val="left" w:pos="709"/>
        </w:tabs>
        <w:rPr>
          <w:snapToGrid w:val="0"/>
        </w:rPr>
      </w:pPr>
      <w:r>
        <w:rPr>
          <w:snapToGrid w:val="0"/>
        </w:rPr>
        <w:tab/>
        <w:t>....................................................................................................................</w:t>
      </w:r>
    </w:p>
    <w:p>
      <w:pPr>
        <w:pStyle w:val="yMiscellaneousBody"/>
        <w:tabs>
          <w:tab w:val="left" w:pos="709"/>
        </w:tabs>
        <w:rPr>
          <w:snapToGrid w:val="0"/>
        </w:rPr>
      </w:pPr>
      <w:r>
        <w:rPr>
          <w:snapToGrid w:val="0"/>
        </w:rPr>
        <w:tab/>
        <w:t>....................................................................................................................</w:t>
      </w:r>
    </w:p>
    <w:p>
      <w:pPr>
        <w:pStyle w:val="yMiscellaneousBody"/>
        <w:tabs>
          <w:tab w:val="left" w:pos="2552"/>
          <w:tab w:val="left" w:pos="5387"/>
        </w:tabs>
        <w:rPr>
          <w:snapToGrid w:val="0"/>
        </w:rPr>
      </w:pPr>
      <w:r>
        <w:rPr>
          <w:snapToGrid w:val="0"/>
        </w:rPr>
        <w:t>Certified on ......................................................... at ..............................................</w:t>
      </w:r>
      <w:r>
        <w:rPr>
          <w:snapToGrid w:val="0"/>
        </w:rPr>
        <w:br/>
      </w:r>
      <w:r>
        <w:rPr>
          <w:snapToGrid w:val="0"/>
        </w:rPr>
        <w:tab/>
        <w:t>[</w:t>
      </w:r>
      <w:r>
        <w:rPr>
          <w:i/>
          <w:snapToGrid w:val="0"/>
          <w:sz w:val="20"/>
        </w:rPr>
        <w:t>date</w:t>
      </w:r>
      <w:r>
        <w:rPr>
          <w:snapToGrid w:val="0"/>
        </w:rPr>
        <w:t>]</w:t>
      </w:r>
      <w:r>
        <w:rPr>
          <w:snapToGrid w:val="0"/>
        </w:rPr>
        <w:tab/>
        <w:t>[</w:t>
      </w:r>
      <w:r>
        <w:rPr>
          <w:i/>
          <w:snapToGrid w:val="0"/>
          <w:sz w:val="20"/>
        </w:rPr>
        <w:t>time</w:t>
      </w:r>
      <w:r>
        <w:rPr>
          <w:snapToGrid w:val="0"/>
        </w:rPr>
        <w:t>]</w:t>
      </w:r>
    </w:p>
    <w:p>
      <w:pPr>
        <w:pStyle w:val="yMiscellaneousBody"/>
        <w:ind w:left="993" w:hanging="426"/>
        <w:jc w:val="right"/>
        <w:rPr>
          <w:snapToGrid w:val="0"/>
        </w:rPr>
      </w:pPr>
      <w:r>
        <w:rPr>
          <w:snapToGrid w:val="0"/>
        </w:rPr>
        <w:t>................................................................</w:t>
      </w:r>
      <w:r>
        <w:rPr>
          <w:snapToGrid w:val="0"/>
        </w:rPr>
        <w:br/>
      </w:r>
      <w:r>
        <w:rPr>
          <w:snapToGrid w:val="0"/>
        </w:rPr>
        <w:tab/>
      </w:r>
      <w:r>
        <w:rPr>
          <w:snapToGrid w:val="0"/>
        </w:rPr>
        <w:tab/>
      </w:r>
      <w:r>
        <w:rPr>
          <w:snapToGrid w:val="0"/>
        </w:rPr>
        <w:tab/>
        <w:t>[</w:t>
      </w:r>
      <w:r>
        <w:rPr>
          <w:i/>
          <w:snapToGrid w:val="0"/>
          <w:sz w:val="20"/>
        </w:rPr>
        <w:t>Signature of analyst</w:t>
      </w:r>
      <w:r>
        <w:rPr>
          <w:snapToGrid w:val="0"/>
        </w:rPr>
        <w:t>]</w:t>
      </w:r>
    </w:p>
    <w:p>
      <w:pPr>
        <w:pStyle w:val="yMiscellaneousBody"/>
        <w:ind w:left="993" w:hanging="426"/>
        <w:jc w:val="right"/>
        <w:rPr>
          <w:snapToGrid w:val="0"/>
        </w:rPr>
      </w:pPr>
      <w:r>
        <w:rPr>
          <w:snapToGrid w:val="0"/>
        </w:rPr>
        <w:t>................................................................</w:t>
      </w:r>
      <w:r>
        <w:rPr>
          <w:snapToGrid w:val="0"/>
        </w:rPr>
        <w:br/>
      </w:r>
      <w:r>
        <w:rPr>
          <w:snapToGrid w:val="0"/>
        </w:rPr>
        <w:tab/>
      </w:r>
      <w:r>
        <w:rPr>
          <w:snapToGrid w:val="0"/>
        </w:rPr>
        <w:tab/>
      </w:r>
      <w:r>
        <w:rPr>
          <w:snapToGrid w:val="0"/>
        </w:rPr>
        <w:tab/>
      </w:r>
      <w:r>
        <w:rPr>
          <w:snapToGrid w:val="0"/>
          <w:sz w:val="20"/>
        </w:rPr>
        <w:t>[</w:t>
      </w:r>
      <w:r>
        <w:rPr>
          <w:i/>
          <w:snapToGrid w:val="0"/>
          <w:sz w:val="20"/>
        </w:rPr>
        <w:t>Address of analyst</w:t>
      </w:r>
      <w:r>
        <w:rPr>
          <w:snapToGrid w:val="0"/>
          <w:sz w:val="20"/>
        </w:rPr>
        <w:t>]</w:t>
      </w:r>
    </w:p>
    <w:p>
      <w:pPr>
        <w:pStyle w:val="yFootnotesection"/>
      </w:pPr>
      <w:r>
        <w:tab/>
        <w:t xml:space="preserve">[Form 7 inserted in Gazette </w:t>
      </w:r>
      <w:r>
        <w:rPr>
          <w:szCs w:val="22"/>
        </w:rPr>
        <w:t>8 Nov 2013 p</w:t>
      </w:r>
      <w:r>
        <w:t>. 5014</w:t>
      </w:r>
      <w:r>
        <w:noBreakHyphen/>
        <w:t>15.]</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tabs>
          <w:tab w:val="left" w:pos="419"/>
          <w:tab w:val="left" w:pos="3114"/>
        </w:tabs>
        <w:sectPr>
          <w:headerReference w:type="even" r:id="rId31"/>
          <w:headerReference w:type="default" r:id="rId32"/>
          <w:headerReference w:type="first" r:id="rId33"/>
          <w:endnotePr>
            <w:numFmt w:val="decimal"/>
          </w:endnotePr>
          <w:pgSz w:w="11906" w:h="16838" w:code="9"/>
          <w:pgMar w:top="2376" w:right="2404" w:bottom="3544" w:left="2404" w:header="709" w:footer="3379" w:gutter="0"/>
          <w:cols w:space="720"/>
          <w:noEndnote/>
          <w:docGrid w:linePitch="326"/>
        </w:sectPr>
      </w:pPr>
    </w:p>
    <w:p>
      <w:pPr>
        <w:pStyle w:val="nHeading2"/>
      </w:pPr>
      <w:bookmarkStart w:id="47" w:name="_Toc384380045"/>
      <w:r>
        <w:t>Notes</w:t>
      </w:r>
      <w:bookmarkEnd w:id="47"/>
    </w:p>
    <w:p>
      <w:pPr>
        <w:pStyle w:val="nSubsection"/>
        <w:rPr>
          <w:snapToGrid w:val="0"/>
        </w:rPr>
      </w:pPr>
      <w:r>
        <w:rPr>
          <w:snapToGrid w:val="0"/>
          <w:vertAlign w:val="superscript"/>
        </w:rPr>
        <w:t>1</w:t>
      </w:r>
      <w:r>
        <w:rPr>
          <w:snapToGrid w:val="0"/>
        </w:rPr>
        <w:tab/>
        <w:t xml:space="preserve">This reprint is a compilation as at </w:t>
      </w:r>
      <w:r>
        <w:rPr>
          <w:snapToGrid w:val="0"/>
        </w:rPr>
        <w:fldChar w:fldCharType="begin"/>
      </w:r>
      <w:r>
        <w:rPr>
          <w:snapToGrid w:val="0"/>
        </w:rPr>
        <w:instrText xml:space="preserve"> DOCPROPERTY "ReprintedAsAt" \@ "d MMMM yyyy"  \* MERGEFORMAT </w:instrText>
      </w:r>
      <w:r>
        <w:rPr>
          <w:snapToGrid w:val="0"/>
        </w:rPr>
        <w:fldChar w:fldCharType="separate"/>
      </w:r>
      <w:r>
        <w:rPr>
          <w:snapToGrid w:val="0"/>
        </w:rPr>
        <w:t>11 April 2014</w:t>
      </w:r>
      <w:r>
        <w:rPr>
          <w:snapToGrid w:val="0"/>
        </w:rPr>
        <w:fldChar w:fldCharType="end"/>
      </w:r>
      <w:r>
        <w:rPr>
          <w:snapToGrid w:val="0"/>
        </w:rPr>
        <w:t xml:space="preserve"> of the </w:t>
      </w:r>
      <w:r>
        <w:rPr>
          <w:i/>
          <w:snapToGrid w:val="0"/>
        </w:rPr>
        <w:fldChar w:fldCharType="begin"/>
      </w:r>
      <w:r>
        <w:rPr>
          <w:i/>
          <w:snapToGrid w:val="0"/>
        </w:rPr>
        <w:instrText xml:space="preserve"> STYLEREF "Name of Act/Reg" \* CHARFORMAT </w:instrText>
      </w:r>
      <w:r>
        <w:rPr>
          <w:i/>
          <w:snapToGrid w:val="0"/>
        </w:rPr>
        <w:fldChar w:fldCharType="separate"/>
      </w:r>
      <w:r>
        <w:rPr>
          <w:i/>
          <w:noProof/>
          <w:snapToGrid w:val="0"/>
        </w:rPr>
        <w:t>Community Protection (Offender Reporting) Regulations 2004</w:t>
      </w:r>
      <w:r>
        <w:rPr>
          <w:i/>
          <w:snapToGrid w:val="0"/>
        </w:rPr>
        <w:fldChar w:fldCharType="end"/>
      </w:r>
      <w:r>
        <w:rPr>
          <w:snapToGrid w:val="0"/>
        </w:rPr>
        <w:t xml:space="preserve"> and includes the amendments made by the other written laws referred to in the following table.  The table also contains information about any reprint.</w:t>
      </w:r>
    </w:p>
    <w:p>
      <w:pPr>
        <w:pStyle w:val="nHeading3"/>
      </w:pPr>
      <w:bookmarkStart w:id="48" w:name="_Toc384380046"/>
      <w:r>
        <w:t>Compilation table</w:t>
      </w:r>
      <w:bookmarkEnd w:id="48"/>
    </w:p>
    <w:tbl>
      <w:tblPr>
        <w:tblW w:w="0" w:type="auto"/>
        <w:tblInd w:w="56" w:type="dxa"/>
        <w:tblLayout w:type="fixed"/>
        <w:tblCellMar>
          <w:left w:w="56" w:type="dxa"/>
          <w:right w:w="56" w:type="dxa"/>
        </w:tblCellMar>
        <w:tblLook w:val="0000" w:firstRow="0" w:lastRow="0" w:firstColumn="0" w:lastColumn="0" w:noHBand="0" w:noVBand="0"/>
      </w:tblPr>
      <w:tblGrid>
        <w:gridCol w:w="3118"/>
        <w:gridCol w:w="1276"/>
        <w:gridCol w:w="2694"/>
      </w:tblGrid>
      <w:tr>
        <w:trPr>
          <w:tblHeader/>
        </w:trPr>
        <w:tc>
          <w:tcPr>
            <w:tcW w:w="3118" w:type="dxa"/>
            <w:tcBorders>
              <w:top w:val="single" w:sz="8" w:space="0" w:color="auto"/>
              <w:bottom w:val="single" w:sz="8" w:space="0" w:color="auto"/>
            </w:tcBorders>
            <w:shd w:val="clear" w:color="auto" w:fill="auto"/>
          </w:tcPr>
          <w:p>
            <w:pPr>
              <w:pStyle w:val="nTable"/>
              <w:spacing w:after="40"/>
              <w:rPr>
                <w:b/>
                <w:sz w:val="19"/>
              </w:rPr>
            </w:pPr>
            <w:r>
              <w:rPr>
                <w:b/>
                <w:sz w:val="19"/>
              </w:rPr>
              <w:t>Citation</w:t>
            </w:r>
          </w:p>
        </w:tc>
        <w:tc>
          <w:tcPr>
            <w:tcW w:w="1276" w:type="dxa"/>
            <w:tcBorders>
              <w:top w:val="single" w:sz="8" w:space="0" w:color="auto"/>
              <w:bottom w:val="single" w:sz="8" w:space="0" w:color="auto"/>
            </w:tcBorders>
            <w:shd w:val="clear" w:color="auto" w:fill="auto"/>
          </w:tcPr>
          <w:p>
            <w:pPr>
              <w:pStyle w:val="nTable"/>
              <w:spacing w:after="40"/>
              <w:rPr>
                <w:b/>
                <w:sz w:val="19"/>
              </w:rPr>
            </w:pPr>
            <w:r>
              <w:rPr>
                <w:b/>
                <w:sz w:val="19"/>
              </w:rPr>
              <w:t>Gazettal</w:t>
            </w:r>
          </w:p>
        </w:tc>
        <w:tc>
          <w:tcPr>
            <w:tcW w:w="2694" w:type="dxa"/>
            <w:tcBorders>
              <w:top w:val="single" w:sz="8" w:space="0" w:color="auto"/>
              <w:bottom w:val="single" w:sz="8" w:space="0" w:color="auto"/>
            </w:tcBorders>
            <w:shd w:val="clear" w:color="auto" w:fill="auto"/>
          </w:tcPr>
          <w:p>
            <w:pPr>
              <w:pStyle w:val="nTable"/>
              <w:spacing w:after="40"/>
              <w:rPr>
                <w:b/>
                <w:sz w:val="19"/>
              </w:rPr>
            </w:pPr>
            <w:r>
              <w:rPr>
                <w:b/>
                <w:sz w:val="19"/>
              </w:rPr>
              <w:t>Commencement</w:t>
            </w:r>
          </w:p>
        </w:tc>
      </w:tr>
      <w:tr>
        <w:tc>
          <w:tcPr>
            <w:tcW w:w="3118" w:type="dxa"/>
            <w:tcBorders>
              <w:top w:val="single" w:sz="8" w:space="0" w:color="auto"/>
            </w:tcBorders>
          </w:tcPr>
          <w:p>
            <w:pPr>
              <w:pStyle w:val="nTable"/>
              <w:spacing w:after="40"/>
              <w:rPr>
                <w:sz w:val="19"/>
              </w:rPr>
            </w:pPr>
            <w:r>
              <w:rPr>
                <w:i/>
                <w:noProof/>
                <w:snapToGrid w:val="0"/>
                <w:sz w:val="19"/>
              </w:rPr>
              <w:t>Community Protection (Offender Reporting) Regulations 2004</w:t>
            </w:r>
          </w:p>
        </w:tc>
        <w:tc>
          <w:tcPr>
            <w:tcW w:w="1276" w:type="dxa"/>
            <w:tcBorders>
              <w:top w:val="single" w:sz="8" w:space="0" w:color="auto"/>
            </w:tcBorders>
          </w:tcPr>
          <w:p>
            <w:pPr>
              <w:pStyle w:val="nTable"/>
              <w:spacing w:after="40"/>
              <w:rPr>
                <w:sz w:val="19"/>
              </w:rPr>
            </w:pPr>
            <w:r>
              <w:rPr>
                <w:sz w:val="19"/>
              </w:rPr>
              <w:t>31 Dec 2004 p. 7025</w:t>
            </w:r>
            <w:r>
              <w:rPr>
                <w:sz w:val="19"/>
              </w:rPr>
              <w:noBreakHyphen/>
              <w:t>39</w:t>
            </w:r>
          </w:p>
        </w:tc>
        <w:tc>
          <w:tcPr>
            <w:tcW w:w="2694" w:type="dxa"/>
            <w:tcBorders>
              <w:top w:val="single" w:sz="8" w:space="0" w:color="auto"/>
            </w:tcBorders>
          </w:tcPr>
          <w:p>
            <w:pPr>
              <w:pStyle w:val="nTable"/>
              <w:spacing w:after="40"/>
              <w:rPr>
                <w:sz w:val="19"/>
              </w:rPr>
            </w:pPr>
            <w:r>
              <w:rPr>
                <w:sz w:val="19"/>
              </w:rPr>
              <w:t>1 Feb 2005 (see r. 2)</w:t>
            </w:r>
          </w:p>
        </w:tc>
      </w:tr>
      <w:tr>
        <w:tc>
          <w:tcPr>
            <w:tcW w:w="3118" w:type="dxa"/>
          </w:tcPr>
          <w:p>
            <w:pPr>
              <w:pStyle w:val="nTable"/>
              <w:spacing w:after="40"/>
              <w:rPr>
                <w:i/>
                <w:noProof/>
                <w:snapToGrid w:val="0"/>
                <w:sz w:val="19"/>
              </w:rPr>
            </w:pPr>
            <w:r>
              <w:rPr>
                <w:i/>
                <w:noProof/>
                <w:snapToGrid w:val="0"/>
                <w:sz w:val="19"/>
              </w:rPr>
              <w:t>Community Protection (Offender Reporting) Amendment Regulations 2005</w:t>
            </w:r>
          </w:p>
        </w:tc>
        <w:tc>
          <w:tcPr>
            <w:tcW w:w="1276" w:type="dxa"/>
          </w:tcPr>
          <w:p>
            <w:pPr>
              <w:pStyle w:val="nTable"/>
              <w:spacing w:after="40"/>
              <w:rPr>
                <w:sz w:val="19"/>
              </w:rPr>
            </w:pPr>
            <w:r>
              <w:rPr>
                <w:sz w:val="19"/>
              </w:rPr>
              <w:t>9 Dec 2005 p. 5886</w:t>
            </w:r>
            <w:r>
              <w:rPr>
                <w:sz w:val="19"/>
              </w:rPr>
              <w:noBreakHyphen/>
              <w:t>7</w:t>
            </w:r>
          </w:p>
        </w:tc>
        <w:tc>
          <w:tcPr>
            <w:tcW w:w="2694" w:type="dxa"/>
          </w:tcPr>
          <w:p>
            <w:pPr>
              <w:pStyle w:val="nTable"/>
              <w:spacing w:after="40"/>
              <w:rPr>
                <w:sz w:val="19"/>
              </w:rPr>
            </w:pPr>
            <w:r>
              <w:rPr>
                <w:sz w:val="19"/>
              </w:rPr>
              <w:t>9 Dec 2005</w:t>
            </w:r>
          </w:p>
        </w:tc>
      </w:tr>
      <w:tr>
        <w:tc>
          <w:tcPr>
            <w:tcW w:w="3118" w:type="dxa"/>
          </w:tcPr>
          <w:p>
            <w:pPr>
              <w:pStyle w:val="nTable"/>
              <w:spacing w:after="40"/>
              <w:rPr>
                <w:i/>
                <w:noProof/>
                <w:snapToGrid w:val="0"/>
                <w:sz w:val="19"/>
              </w:rPr>
            </w:pPr>
            <w:r>
              <w:rPr>
                <w:i/>
                <w:noProof/>
                <w:snapToGrid w:val="0"/>
                <w:sz w:val="19"/>
              </w:rPr>
              <w:t>Community Protection (Offender Reporting) Amendment Regulations (No. 2) 2005</w:t>
            </w:r>
          </w:p>
        </w:tc>
        <w:tc>
          <w:tcPr>
            <w:tcW w:w="1276" w:type="dxa"/>
          </w:tcPr>
          <w:p>
            <w:pPr>
              <w:pStyle w:val="nTable"/>
              <w:spacing w:after="40"/>
              <w:rPr>
                <w:sz w:val="19"/>
              </w:rPr>
            </w:pPr>
            <w:r>
              <w:rPr>
                <w:sz w:val="19"/>
              </w:rPr>
              <w:t>9 Dec 2005 p. 5887</w:t>
            </w:r>
            <w:r>
              <w:rPr>
                <w:sz w:val="19"/>
              </w:rPr>
              <w:noBreakHyphen/>
              <w:t>91</w:t>
            </w:r>
          </w:p>
        </w:tc>
        <w:tc>
          <w:tcPr>
            <w:tcW w:w="2694" w:type="dxa"/>
          </w:tcPr>
          <w:p>
            <w:pPr>
              <w:pStyle w:val="nTable"/>
              <w:spacing w:after="40"/>
              <w:rPr>
                <w:sz w:val="19"/>
              </w:rPr>
            </w:pPr>
            <w:r>
              <w:rPr>
                <w:sz w:val="19"/>
              </w:rPr>
              <w:t>9 Dec 2005</w:t>
            </w:r>
          </w:p>
        </w:tc>
      </w:tr>
      <w:tr>
        <w:tc>
          <w:tcPr>
            <w:tcW w:w="3118" w:type="dxa"/>
          </w:tcPr>
          <w:p>
            <w:pPr>
              <w:pStyle w:val="nTable"/>
              <w:spacing w:after="40"/>
              <w:rPr>
                <w:i/>
                <w:noProof/>
                <w:snapToGrid w:val="0"/>
                <w:sz w:val="19"/>
              </w:rPr>
            </w:pPr>
            <w:r>
              <w:rPr>
                <w:i/>
                <w:noProof/>
                <w:snapToGrid w:val="0"/>
                <w:sz w:val="19"/>
              </w:rPr>
              <w:t>Community Protection (Offender Reporting) Amendment Regulations 2006</w:t>
            </w:r>
          </w:p>
        </w:tc>
        <w:tc>
          <w:tcPr>
            <w:tcW w:w="1276" w:type="dxa"/>
          </w:tcPr>
          <w:p>
            <w:pPr>
              <w:pStyle w:val="nTable"/>
              <w:spacing w:after="40"/>
              <w:rPr>
                <w:sz w:val="19"/>
              </w:rPr>
            </w:pPr>
            <w:r>
              <w:rPr>
                <w:sz w:val="19"/>
              </w:rPr>
              <w:t>8 Sep 2006 p. 3641</w:t>
            </w:r>
            <w:r>
              <w:rPr>
                <w:sz w:val="19"/>
              </w:rPr>
              <w:noBreakHyphen/>
              <w:t>2</w:t>
            </w:r>
          </w:p>
        </w:tc>
        <w:tc>
          <w:tcPr>
            <w:tcW w:w="2694" w:type="dxa"/>
          </w:tcPr>
          <w:p>
            <w:pPr>
              <w:pStyle w:val="nTable"/>
              <w:spacing w:after="40"/>
              <w:rPr>
                <w:sz w:val="19"/>
              </w:rPr>
            </w:pPr>
            <w:r>
              <w:rPr>
                <w:sz w:val="19"/>
              </w:rPr>
              <w:t>8 Sep 2006</w:t>
            </w:r>
          </w:p>
        </w:tc>
      </w:tr>
      <w:tr>
        <w:tc>
          <w:tcPr>
            <w:tcW w:w="3118" w:type="dxa"/>
          </w:tcPr>
          <w:p>
            <w:pPr>
              <w:pStyle w:val="nTable"/>
              <w:spacing w:after="40"/>
              <w:rPr>
                <w:i/>
                <w:noProof/>
                <w:snapToGrid w:val="0"/>
                <w:sz w:val="19"/>
              </w:rPr>
            </w:pPr>
            <w:r>
              <w:rPr>
                <w:i/>
                <w:noProof/>
                <w:snapToGrid w:val="0"/>
                <w:sz w:val="19"/>
              </w:rPr>
              <w:t>Community Protection (Offender Reporting) Amendment Regulations 2007</w:t>
            </w:r>
          </w:p>
        </w:tc>
        <w:tc>
          <w:tcPr>
            <w:tcW w:w="1276" w:type="dxa"/>
          </w:tcPr>
          <w:p>
            <w:pPr>
              <w:pStyle w:val="nTable"/>
              <w:spacing w:after="40"/>
              <w:rPr>
                <w:sz w:val="19"/>
              </w:rPr>
            </w:pPr>
            <w:r>
              <w:rPr>
                <w:sz w:val="19"/>
              </w:rPr>
              <w:t>1 Jun 2007 p. 2525</w:t>
            </w:r>
            <w:r>
              <w:rPr>
                <w:sz w:val="19"/>
              </w:rPr>
              <w:noBreakHyphen/>
              <w:t>8</w:t>
            </w:r>
          </w:p>
        </w:tc>
        <w:tc>
          <w:tcPr>
            <w:tcW w:w="2694" w:type="dxa"/>
          </w:tcPr>
          <w:p>
            <w:pPr>
              <w:pStyle w:val="nTable"/>
              <w:spacing w:after="40"/>
              <w:rPr>
                <w:sz w:val="19"/>
              </w:rPr>
            </w:pPr>
            <w:r>
              <w:rPr>
                <w:sz w:val="19"/>
              </w:rPr>
              <w:t>1 Jun 2007</w:t>
            </w:r>
          </w:p>
        </w:tc>
      </w:tr>
      <w:tr>
        <w:tc>
          <w:tcPr>
            <w:tcW w:w="3118" w:type="dxa"/>
          </w:tcPr>
          <w:p>
            <w:pPr>
              <w:pStyle w:val="nTable"/>
              <w:spacing w:after="40"/>
              <w:rPr>
                <w:i/>
                <w:noProof/>
                <w:snapToGrid w:val="0"/>
                <w:sz w:val="19"/>
              </w:rPr>
            </w:pPr>
            <w:r>
              <w:rPr>
                <w:i/>
                <w:noProof/>
                <w:snapToGrid w:val="0"/>
                <w:sz w:val="19"/>
              </w:rPr>
              <w:t>Community Protection (Offender Reporting) Amendment Regulations (No. 2) 2007</w:t>
            </w:r>
          </w:p>
        </w:tc>
        <w:tc>
          <w:tcPr>
            <w:tcW w:w="1276" w:type="dxa"/>
          </w:tcPr>
          <w:p>
            <w:pPr>
              <w:pStyle w:val="nTable"/>
              <w:spacing w:after="40"/>
              <w:rPr>
                <w:sz w:val="19"/>
              </w:rPr>
            </w:pPr>
            <w:r>
              <w:rPr>
                <w:sz w:val="19"/>
              </w:rPr>
              <w:t>22 Jun 2007 p. 2862</w:t>
            </w:r>
          </w:p>
        </w:tc>
        <w:tc>
          <w:tcPr>
            <w:tcW w:w="2694" w:type="dxa"/>
          </w:tcPr>
          <w:p>
            <w:pPr>
              <w:pStyle w:val="nTable"/>
              <w:spacing w:after="40"/>
              <w:rPr>
                <w:sz w:val="19"/>
              </w:rPr>
            </w:pPr>
            <w:r>
              <w:rPr>
                <w:sz w:val="19"/>
              </w:rPr>
              <w:t>22 Jun 2007</w:t>
            </w:r>
          </w:p>
        </w:tc>
      </w:tr>
      <w:tr>
        <w:trPr>
          <w:cantSplit/>
        </w:trPr>
        <w:tc>
          <w:tcPr>
            <w:tcW w:w="7088" w:type="dxa"/>
            <w:gridSpan w:val="3"/>
          </w:tcPr>
          <w:p>
            <w:pPr>
              <w:pStyle w:val="nTable"/>
              <w:spacing w:after="40"/>
              <w:rPr>
                <w:sz w:val="19"/>
              </w:rPr>
            </w:pPr>
            <w:r>
              <w:rPr>
                <w:b/>
                <w:bCs/>
                <w:sz w:val="19"/>
              </w:rPr>
              <w:t xml:space="preserve">Reprint 1:  The </w:t>
            </w:r>
            <w:r>
              <w:rPr>
                <w:b/>
                <w:bCs/>
                <w:i/>
                <w:noProof/>
                <w:snapToGrid w:val="0"/>
                <w:sz w:val="19"/>
              </w:rPr>
              <w:t xml:space="preserve">Community Protection (Offender Reporting) Regulations 2004 </w:t>
            </w:r>
            <w:r>
              <w:rPr>
                <w:b/>
                <w:bCs/>
                <w:sz w:val="19"/>
              </w:rPr>
              <w:t>as at 21 Sep 2007</w:t>
            </w:r>
            <w:r>
              <w:rPr>
                <w:sz w:val="19"/>
              </w:rPr>
              <w:t xml:space="preserve"> (includes amendments listed above)</w:t>
            </w:r>
          </w:p>
        </w:tc>
      </w:tr>
      <w:tr>
        <w:tc>
          <w:tcPr>
            <w:tcW w:w="3118" w:type="dxa"/>
          </w:tcPr>
          <w:p>
            <w:pPr>
              <w:pStyle w:val="nTable"/>
              <w:spacing w:after="40"/>
              <w:rPr>
                <w:i/>
                <w:noProof/>
                <w:snapToGrid w:val="0"/>
                <w:sz w:val="19"/>
              </w:rPr>
            </w:pPr>
            <w:r>
              <w:rPr>
                <w:i/>
                <w:noProof/>
                <w:snapToGrid w:val="0"/>
                <w:sz w:val="19"/>
              </w:rPr>
              <w:t>Community Protection (Offender Reporting) Amendment Regulations 2008</w:t>
            </w:r>
          </w:p>
        </w:tc>
        <w:tc>
          <w:tcPr>
            <w:tcW w:w="1276" w:type="dxa"/>
          </w:tcPr>
          <w:p>
            <w:pPr>
              <w:pStyle w:val="nTable"/>
              <w:spacing w:after="40"/>
              <w:rPr>
                <w:sz w:val="19"/>
              </w:rPr>
            </w:pPr>
            <w:r>
              <w:rPr>
                <w:sz w:val="19"/>
              </w:rPr>
              <w:t>28 Mar 2008 p. 913-14</w:t>
            </w:r>
          </w:p>
        </w:tc>
        <w:tc>
          <w:tcPr>
            <w:tcW w:w="2694" w:type="dxa"/>
          </w:tcPr>
          <w:p>
            <w:pPr>
              <w:pStyle w:val="nTable"/>
              <w:spacing w:after="40"/>
              <w:rPr>
                <w:sz w:val="19"/>
              </w:rPr>
            </w:pPr>
            <w:r>
              <w:rPr>
                <w:sz w:val="19"/>
              </w:rPr>
              <w:t>r. 1 and 2: 28 Mar 2008 (see r. 2(a));</w:t>
            </w:r>
            <w:r>
              <w:rPr>
                <w:sz w:val="19"/>
              </w:rPr>
              <w:br/>
              <w:t>Regulations other than r. 1 and 2: 29 Mar 2008 (see r. 2(b))</w:t>
            </w:r>
          </w:p>
        </w:tc>
      </w:tr>
      <w:tr>
        <w:tc>
          <w:tcPr>
            <w:tcW w:w="3118" w:type="dxa"/>
          </w:tcPr>
          <w:p>
            <w:pPr>
              <w:pStyle w:val="nTable"/>
              <w:spacing w:after="40"/>
              <w:rPr>
                <w:i/>
                <w:noProof/>
                <w:snapToGrid w:val="0"/>
                <w:sz w:val="19"/>
              </w:rPr>
            </w:pPr>
            <w:r>
              <w:rPr>
                <w:i/>
                <w:noProof/>
                <w:snapToGrid w:val="0"/>
                <w:sz w:val="19"/>
              </w:rPr>
              <w:t>Community Protection (Offender Reporting) Amendment Regulations (No. 2) 2008</w:t>
            </w:r>
          </w:p>
        </w:tc>
        <w:tc>
          <w:tcPr>
            <w:tcW w:w="1276" w:type="dxa"/>
          </w:tcPr>
          <w:p>
            <w:pPr>
              <w:pStyle w:val="nTable"/>
              <w:spacing w:after="40"/>
              <w:rPr>
                <w:sz w:val="19"/>
              </w:rPr>
            </w:pPr>
            <w:r>
              <w:rPr>
                <w:sz w:val="19"/>
              </w:rPr>
              <w:t>14 Nov 2008 p. 4878</w:t>
            </w:r>
          </w:p>
        </w:tc>
        <w:tc>
          <w:tcPr>
            <w:tcW w:w="2694" w:type="dxa"/>
          </w:tcPr>
          <w:p>
            <w:pPr>
              <w:pStyle w:val="nTable"/>
              <w:spacing w:after="40"/>
              <w:rPr>
                <w:sz w:val="19"/>
              </w:rPr>
            </w:pPr>
            <w:r>
              <w:rPr>
                <w:sz w:val="19"/>
              </w:rPr>
              <w:t>r. 1 and 2: 14 Nov 2008 (see r. 2(a));</w:t>
            </w:r>
            <w:r>
              <w:rPr>
                <w:sz w:val="19"/>
              </w:rPr>
              <w:br/>
              <w:t>Regulations other than r. 1 and 2: 15 Nov 2008 (see r. 2(b))</w:t>
            </w:r>
          </w:p>
        </w:tc>
      </w:tr>
      <w:tr>
        <w:tc>
          <w:tcPr>
            <w:tcW w:w="3118" w:type="dxa"/>
          </w:tcPr>
          <w:p>
            <w:pPr>
              <w:pStyle w:val="nTable"/>
              <w:spacing w:after="40"/>
              <w:rPr>
                <w:i/>
                <w:noProof/>
                <w:snapToGrid w:val="0"/>
                <w:sz w:val="19"/>
              </w:rPr>
            </w:pPr>
            <w:r>
              <w:rPr>
                <w:i/>
                <w:noProof/>
                <w:snapToGrid w:val="0"/>
                <w:sz w:val="19"/>
              </w:rPr>
              <w:t>Community Protection (Offender Reporting) Amendment Regulations (No. 3) 2008</w:t>
            </w:r>
          </w:p>
        </w:tc>
        <w:tc>
          <w:tcPr>
            <w:tcW w:w="1276" w:type="dxa"/>
          </w:tcPr>
          <w:p>
            <w:pPr>
              <w:pStyle w:val="nTable"/>
              <w:spacing w:after="40"/>
              <w:rPr>
                <w:sz w:val="19"/>
              </w:rPr>
            </w:pPr>
            <w:r>
              <w:rPr>
                <w:sz w:val="19"/>
              </w:rPr>
              <w:t>25 Nov 2008 p. 4989-90</w:t>
            </w:r>
          </w:p>
        </w:tc>
        <w:tc>
          <w:tcPr>
            <w:tcW w:w="2694" w:type="dxa"/>
          </w:tcPr>
          <w:p>
            <w:pPr>
              <w:pStyle w:val="nTable"/>
              <w:spacing w:after="40"/>
              <w:rPr>
                <w:sz w:val="19"/>
              </w:rPr>
            </w:pPr>
            <w:r>
              <w:rPr>
                <w:sz w:val="19"/>
              </w:rPr>
              <w:t>r. 1 and 2: 25 Nov 2008 (see r. 2(a));</w:t>
            </w:r>
            <w:r>
              <w:rPr>
                <w:sz w:val="19"/>
              </w:rPr>
              <w:br/>
              <w:t>Regulations other than r. 1 and 2: 26 Nov 2008 (see r. 2(b))</w:t>
            </w:r>
          </w:p>
        </w:tc>
      </w:tr>
      <w:tr>
        <w:trPr>
          <w:cantSplit/>
        </w:trPr>
        <w:tc>
          <w:tcPr>
            <w:tcW w:w="3118" w:type="dxa"/>
          </w:tcPr>
          <w:p>
            <w:pPr>
              <w:pStyle w:val="nTable"/>
              <w:spacing w:after="40"/>
              <w:rPr>
                <w:i/>
                <w:noProof/>
                <w:snapToGrid w:val="0"/>
                <w:sz w:val="19"/>
              </w:rPr>
            </w:pPr>
            <w:r>
              <w:rPr>
                <w:i/>
                <w:noProof/>
                <w:snapToGrid w:val="0"/>
                <w:sz w:val="19"/>
              </w:rPr>
              <w:t>Community Protection (Offender Reporting) Amendment Regulations 2009</w:t>
            </w:r>
          </w:p>
        </w:tc>
        <w:tc>
          <w:tcPr>
            <w:tcW w:w="1276" w:type="dxa"/>
          </w:tcPr>
          <w:p>
            <w:pPr>
              <w:pStyle w:val="nTable"/>
              <w:spacing w:after="40"/>
              <w:rPr>
                <w:sz w:val="19"/>
              </w:rPr>
            </w:pPr>
            <w:r>
              <w:rPr>
                <w:sz w:val="19"/>
              </w:rPr>
              <w:t>20 Feb 2009 p. 353-4</w:t>
            </w:r>
          </w:p>
        </w:tc>
        <w:tc>
          <w:tcPr>
            <w:tcW w:w="2694" w:type="dxa"/>
          </w:tcPr>
          <w:p>
            <w:pPr>
              <w:pStyle w:val="nTable"/>
              <w:spacing w:after="40"/>
              <w:rPr>
                <w:sz w:val="19"/>
              </w:rPr>
            </w:pPr>
            <w:r>
              <w:rPr>
                <w:sz w:val="19"/>
              </w:rPr>
              <w:t>r. 1 and 2: 20 Feb 2009 (see r. 2(a));</w:t>
            </w:r>
            <w:r>
              <w:rPr>
                <w:sz w:val="19"/>
              </w:rPr>
              <w:br/>
              <w:t>Regulations other than r. 1 and 2: 21 Feb 2009 (see r. 2(b))</w:t>
            </w:r>
          </w:p>
        </w:tc>
      </w:tr>
      <w:tr>
        <w:trPr>
          <w:cantSplit/>
        </w:trPr>
        <w:tc>
          <w:tcPr>
            <w:tcW w:w="7088" w:type="dxa"/>
            <w:gridSpan w:val="3"/>
          </w:tcPr>
          <w:p>
            <w:pPr>
              <w:pStyle w:val="nTable"/>
              <w:spacing w:after="40"/>
              <w:rPr>
                <w:sz w:val="19"/>
              </w:rPr>
            </w:pPr>
            <w:r>
              <w:rPr>
                <w:b/>
                <w:bCs/>
                <w:sz w:val="19"/>
              </w:rPr>
              <w:t xml:space="preserve">Reprint 2:  The </w:t>
            </w:r>
            <w:r>
              <w:rPr>
                <w:b/>
                <w:bCs/>
                <w:i/>
                <w:noProof/>
                <w:snapToGrid w:val="0"/>
                <w:sz w:val="19"/>
              </w:rPr>
              <w:t xml:space="preserve">Community Protection (Offender Reporting) Regulations 2004 </w:t>
            </w:r>
            <w:r>
              <w:rPr>
                <w:b/>
                <w:bCs/>
                <w:sz w:val="19"/>
              </w:rPr>
              <w:t>as at 3 Jul 2009</w:t>
            </w:r>
            <w:r>
              <w:rPr>
                <w:sz w:val="19"/>
              </w:rPr>
              <w:t xml:space="preserve"> (includes amendments listed above)</w:t>
            </w:r>
          </w:p>
        </w:tc>
      </w:tr>
      <w:tr>
        <w:trPr>
          <w:cantSplit/>
        </w:trPr>
        <w:tc>
          <w:tcPr>
            <w:tcW w:w="3118" w:type="dxa"/>
          </w:tcPr>
          <w:p>
            <w:pPr>
              <w:pStyle w:val="nTable"/>
              <w:spacing w:after="40"/>
              <w:rPr>
                <w:rFonts w:ascii="Times" w:hAnsi="Times"/>
                <w:i/>
                <w:noProof/>
                <w:snapToGrid w:val="0"/>
                <w:sz w:val="19"/>
              </w:rPr>
            </w:pPr>
            <w:r>
              <w:rPr>
                <w:rFonts w:ascii="Times" w:hAnsi="Times"/>
                <w:i/>
                <w:noProof/>
                <w:snapToGrid w:val="0"/>
                <w:sz w:val="19"/>
              </w:rPr>
              <w:t>Community Protection (Offender Reporting) Amendment Regulations 2010</w:t>
            </w:r>
          </w:p>
        </w:tc>
        <w:tc>
          <w:tcPr>
            <w:tcW w:w="1276" w:type="dxa"/>
          </w:tcPr>
          <w:p>
            <w:pPr>
              <w:pStyle w:val="nTable"/>
              <w:spacing w:after="40"/>
              <w:rPr>
                <w:rFonts w:ascii="Times" w:hAnsi="Times"/>
                <w:sz w:val="19"/>
              </w:rPr>
            </w:pPr>
            <w:r>
              <w:rPr>
                <w:rFonts w:ascii="Times" w:hAnsi="Times"/>
                <w:sz w:val="19"/>
              </w:rPr>
              <w:t>21 Jan 2011 p. 157-8</w:t>
            </w:r>
          </w:p>
        </w:tc>
        <w:tc>
          <w:tcPr>
            <w:tcW w:w="2694" w:type="dxa"/>
          </w:tcPr>
          <w:p>
            <w:pPr>
              <w:pStyle w:val="nTable"/>
              <w:spacing w:after="40"/>
              <w:rPr>
                <w:rFonts w:ascii="Times" w:hAnsi="Times"/>
                <w:sz w:val="19"/>
              </w:rPr>
            </w:pPr>
            <w:r>
              <w:rPr>
                <w:rFonts w:ascii="Times" w:hAnsi="Times"/>
                <w:sz w:val="19"/>
              </w:rPr>
              <w:t>r. 1 and 2: 21 Jan 2011 (see r. 2(a));</w:t>
            </w:r>
            <w:r>
              <w:rPr>
                <w:rFonts w:ascii="Times" w:hAnsi="Times"/>
                <w:sz w:val="19"/>
              </w:rPr>
              <w:br/>
              <w:t>Regulations other than r. 1 and 2: 22 Jan 2011 (see r. 2(b))</w:t>
            </w:r>
          </w:p>
        </w:tc>
      </w:tr>
      <w:tr>
        <w:trPr>
          <w:cantSplit/>
        </w:trPr>
        <w:tc>
          <w:tcPr>
            <w:tcW w:w="3118" w:type="dxa"/>
          </w:tcPr>
          <w:p>
            <w:pPr>
              <w:pStyle w:val="nTable"/>
              <w:spacing w:after="40"/>
              <w:rPr>
                <w:rFonts w:ascii="Times" w:hAnsi="Times"/>
                <w:noProof/>
                <w:snapToGrid w:val="0"/>
                <w:sz w:val="19"/>
              </w:rPr>
            </w:pPr>
            <w:r>
              <w:rPr>
                <w:rFonts w:ascii="Times" w:hAnsi="Times"/>
                <w:i/>
                <w:noProof/>
                <w:snapToGrid w:val="0"/>
                <w:sz w:val="19"/>
              </w:rPr>
              <w:t>Community Protection (Offender Reporting) Amendment Regulations 2011</w:t>
            </w:r>
            <w:r>
              <w:rPr>
                <w:rFonts w:ascii="Times" w:hAnsi="Times"/>
                <w:noProof/>
                <w:snapToGrid w:val="0"/>
                <w:sz w:val="19"/>
              </w:rPr>
              <w:t xml:space="preserve"> </w:t>
            </w:r>
          </w:p>
        </w:tc>
        <w:tc>
          <w:tcPr>
            <w:tcW w:w="1276" w:type="dxa"/>
          </w:tcPr>
          <w:p>
            <w:pPr>
              <w:pStyle w:val="nTable"/>
              <w:spacing w:after="40"/>
              <w:rPr>
                <w:rFonts w:ascii="Times" w:hAnsi="Times"/>
                <w:sz w:val="19"/>
              </w:rPr>
            </w:pPr>
            <w:r>
              <w:rPr>
                <w:rFonts w:ascii="Times" w:hAnsi="Times"/>
                <w:sz w:val="19"/>
              </w:rPr>
              <w:t>1 Jul 2011 p. 2746</w:t>
            </w:r>
            <w:r>
              <w:rPr>
                <w:rFonts w:ascii="Times" w:hAnsi="Times"/>
                <w:sz w:val="19"/>
              </w:rPr>
              <w:noBreakHyphen/>
              <w:t xml:space="preserve">7 </w:t>
            </w:r>
          </w:p>
        </w:tc>
        <w:tc>
          <w:tcPr>
            <w:tcW w:w="2694" w:type="dxa"/>
          </w:tcPr>
          <w:p>
            <w:pPr>
              <w:pStyle w:val="nTable"/>
              <w:spacing w:after="40"/>
              <w:rPr>
                <w:rFonts w:ascii="Times" w:hAnsi="Times"/>
                <w:sz w:val="19"/>
              </w:rPr>
            </w:pPr>
            <w:r>
              <w:rPr>
                <w:rFonts w:ascii="Times" w:hAnsi="Times"/>
                <w:snapToGrid w:val="0"/>
                <w:sz w:val="19"/>
              </w:rPr>
              <w:t>r. 1 and 2: 1 Jul 2011 (see r. 2(a));</w:t>
            </w:r>
            <w:r>
              <w:rPr>
                <w:rFonts w:ascii="Times" w:hAnsi="Times"/>
                <w:snapToGrid w:val="0"/>
                <w:sz w:val="19"/>
              </w:rPr>
              <w:br/>
              <w:t>Regulations other than r. 1 and 2: 2 Jul 2011 (see r. 2(b))</w:t>
            </w:r>
          </w:p>
        </w:tc>
      </w:tr>
      <w:tr>
        <w:trPr>
          <w:cantSplit/>
        </w:trPr>
        <w:tc>
          <w:tcPr>
            <w:tcW w:w="3118" w:type="dxa"/>
          </w:tcPr>
          <w:p>
            <w:pPr>
              <w:pStyle w:val="nTable"/>
              <w:spacing w:after="40"/>
              <w:rPr>
                <w:rFonts w:ascii="Times" w:hAnsi="Times"/>
                <w:i/>
                <w:noProof/>
                <w:snapToGrid w:val="0"/>
                <w:sz w:val="19"/>
              </w:rPr>
            </w:pPr>
            <w:r>
              <w:rPr>
                <w:rFonts w:ascii="Times" w:hAnsi="Times"/>
                <w:i/>
                <w:noProof/>
                <w:snapToGrid w:val="0"/>
                <w:sz w:val="19"/>
              </w:rPr>
              <w:t xml:space="preserve">Community Protection (Offender Reporting) Amendment Regulations 2012 </w:t>
            </w:r>
          </w:p>
        </w:tc>
        <w:tc>
          <w:tcPr>
            <w:tcW w:w="1276" w:type="dxa"/>
          </w:tcPr>
          <w:p>
            <w:pPr>
              <w:pStyle w:val="nTable"/>
              <w:spacing w:after="40"/>
              <w:rPr>
                <w:rFonts w:ascii="Times" w:hAnsi="Times"/>
                <w:sz w:val="19"/>
              </w:rPr>
            </w:pPr>
            <w:r>
              <w:rPr>
                <w:rFonts w:ascii="Times" w:hAnsi="Times"/>
                <w:sz w:val="19"/>
              </w:rPr>
              <w:t>30 Nov 2012 p. 5802</w:t>
            </w:r>
          </w:p>
        </w:tc>
        <w:tc>
          <w:tcPr>
            <w:tcW w:w="2694" w:type="dxa"/>
          </w:tcPr>
          <w:p>
            <w:pPr>
              <w:pStyle w:val="nTable"/>
              <w:spacing w:after="40"/>
              <w:rPr>
                <w:rFonts w:ascii="Times" w:hAnsi="Times"/>
                <w:snapToGrid w:val="0"/>
                <w:sz w:val="19"/>
              </w:rPr>
            </w:pPr>
            <w:r>
              <w:rPr>
                <w:rFonts w:ascii="Times" w:hAnsi="Times"/>
                <w:snapToGrid w:val="0"/>
                <w:sz w:val="19"/>
              </w:rPr>
              <w:t>r. 1 and 2: 30 Nov 2012 (see r. 2(a));</w:t>
            </w:r>
            <w:r>
              <w:rPr>
                <w:rFonts w:ascii="Times" w:hAnsi="Times"/>
                <w:snapToGrid w:val="0"/>
                <w:sz w:val="19"/>
              </w:rPr>
              <w:br/>
              <w:t>Regulations other than r. 1 and 2: 1 Dec 2012 (see r. 2(b))</w:t>
            </w:r>
          </w:p>
        </w:tc>
      </w:tr>
      <w:tr>
        <w:trPr>
          <w:cantSplit/>
        </w:trPr>
        <w:tc>
          <w:tcPr>
            <w:tcW w:w="3118" w:type="dxa"/>
            <w:shd w:val="clear" w:color="auto" w:fill="auto"/>
          </w:tcPr>
          <w:p>
            <w:pPr>
              <w:pStyle w:val="nTable"/>
              <w:spacing w:after="40"/>
              <w:rPr>
                <w:rFonts w:ascii="Times" w:hAnsi="Times"/>
                <w:i/>
                <w:noProof/>
                <w:snapToGrid w:val="0"/>
                <w:sz w:val="19"/>
                <w:szCs w:val="19"/>
              </w:rPr>
            </w:pPr>
            <w:r>
              <w:rPr>
                <w:i/>
                <w:sz w:val="19"/>
                <w:szCs w:val="19"/>
              </w:rPr>
              <w:t>Community Protection (Offender Reporting) Amendment Regulations 2013</w:t>
            </w:r>
          </w:p>
        </w:tc>
        <w:tc>
          <w:tcPr>
            <w:tcW w:w="1276" w:type="dxa"/>
            <w:shd w:val="clear" w:color="auto" w:fill="auto"/>
          </w:tcPr>
          <w:p>
            <w:pPr>
              <w:pStyle w:val="nTable"/>
              <w:spacing w:after="40"/>
              <w:rPr>
                <w:rFonts w:ascii="Times" w:hAnsi="Times"/>
                <w:sz w:val="19"/>
                <w:szCs w:val="19"/>
              </w:rPr>
            </w:pPr>
            <w:r>
              <w:rPr>
                <w:rFonts w:ascii="Times" w:hAnsi="Times"/>
                <w:sz w:val="19"/>
                <w:szCs w:val="22"/>
              </w:rPr>
              <w:t>8 Nov 2013 p. 4995</w:t>
            </w:r>
            <w:r>
              <w:rPr>
                <w:rFonts w:ascii="Times" w:hAnsi="Times"/>
                <w:sz w:val="19"/>
                <w:szCs w:val="22"/>
              </w:rPr>
              <w:noBreakHyphen/>
              <w:t>5015</w:t>
            </w:r>
          </w:p>
        </w:tc>
        <w:tc>
          <w:tcPr>
            <w:tcW w:w="2694" w:type="dxa"/>
            <w:shd w:val="clear" w:color="auto" w:fill="auto"/>
          </w:tcPr>
          <w:p>
            <w:pPr>
              <w:pStyle w:val="nTable"/>
              <w:spacing w:after="40"/>
              <w:rPr>
                <w:rFonts w:ascii="Times" w:hAnsi="Times"/>
                <w:snapToGrid w:val="0"/>
                <w:sz w:val="19"/>
                <w:szCs w:val="19"/>
              </w:rPr>
            </w:pPr>
            <w:r>
              <w:rPr>
                <w:rFonts w:ascii="Times" w:hAnsi="Times"/>
                <w:snapToGrid w:val="0"/>
                <w:sz w:val="19"/>
                <w:szCs w:val="19"/>
              </w:rPr>
              <w:t>r. 1 and 2: 8 Nov 2013 (see r. 2(a));</w:t>
            </w:r>
            <w:r>
              <w:rPr>
                <w:rFonts w:ascii="Times" w:hAnsi="Times"/>
                <w:snapToGrid w:val="0"/>
                <w:sz w:val="19"/>
                <w:szCs w:val="19"/>
              </w:rPr>
              <w:br/>
              <w:t xml:space="preserve">Regulations other than r. 1 and 2: 9 Nov 2013 (see r. 2(b) and </w:t>
            </w:r>
            <w:r>
              <w:rPr>
                <w:rFonts w:ascii="Times" w:hAnsi="Times"/>
                <w:i/>
                <w:snapToGrid w:val="0"/>
                <w:sz w:val="19"/>
                <w:szCs w:val="19"/>
              </w:rPr>
              <w:t xml:space="preserve">Gazette </w:t>
            </w:r>
            <w:r>
              <w:rPr>
                <w:rFonts w:ascii="Times" w:hAnsi="Times"/>
                <w:snapToGrid w:val="0"/>
                <w:sz w:val="19"/>
                <w:szCs w:val="19"/>
              </w:rPr>
              <w:t>8 Nov 2013 p. 4969)</w:t>
            </w:r>
          </w:p>
        </w:tc>
      </w:tr>
      <w:tr>
        <w:trPr>
          <w:cantSplit/>
        </w:trPr>
        <w:tc>
          <w:tcPr>
            <w:tcW w:w="7088" w:type="dxa"/>
            <w:gridSpan w:val="3"/>
            <w:tcBorders>
              <w:bottom w:val="single" w:sz="8" w:space="0" w:color="auto"/>
            </w:tcBorders>
            <w:shd w:val="clear" w:color="auto" w:fill="auto"/>
          </w:tcPr>
          <w:p>
            <w:pPr>
              <w:pStyle w:val="nTable"/>
              <w:spacing w:after="40"/>
              <w:rPr>
                <w:rFonts w:ascii="Times" w:hAnsi="Times"/>
                <w:snapToGrid w:val="0"/>
                <w:sz w:val="19"/>
                <w:szCs w:val="19"/>
              </w:rPr>
            </w:pPr>
            <w:r>
              <w:rPr>
                <w:b/>
                <w:bCs/>
                <w:sz w:val="19"/>
              </w:rPr>
              <w:t xml:space="preserve">Reprint 3:  The </w:t>
            </w:r>
            <w:r>
              <w:rPr>
                <w:b/>
                <w:bCs/>
                <w:i/>
                <w:noProof/>
                <w:snapToGrid w:val="0"/>
                <w:sz w:val="19"/>
              </w:rPr>
              <w:t xml:space="preserve">Community Protection (Offender Reporting) Regulations 2004 </w:t>
            </w:r>
            <w:r>
              <w:rPr>
                <w:b/>
                <w:bCs/>
                <w:sz w:val="19"/>
              </w:rPr>
              <w:t>as at 11 Apr 2014</w:t>
            </w:r>
            <w:r>
              <w:rPr>
                <w:sz w:val="19"/>
              </w:rPr>
              <w:t xml:space="preserve"> (includes amendments listed above)</w:t>
            </w:r>
          </w:p>
        </w:tc>
      </w:tr>
    </w:tbl>
    <w:p>
      <w:pPr>
        <w:pStyle w:val="nSubsection"/>
        <w:spacing w:before="160"/>
        <w:rPr>
          <w:iCs/>
        </w:rPr>
      </w:pPr>
      <w:r>
        <w:rPr>
          <w:vertAlign w:val="superscript"/>
        </w:rPr>
        <w:t>2</w:t>
      </w:r>
      <w:r>
        <w:tab/>
        <w:t xml:space="preserve">Formerly referred to the </w:t>
      </w:r>
      <w:r>
        <w:rPr>
          <w:i/>
          <w:snapToGrid w:val="0"/>
        </w:rPr>
        <w:t>Criminal Law (Mentally Impaired Defendants) Act 1996</w:t>
      </w:r>
      <w:r>
        <w:rPr>
          <w:iCs/>
          <w:snapToGrid w:val="0"/>
        </w:rPr>
        <w:t xml:space="preserve"> the short title of which was changed to the </w:t>
      </w:r>
      <w:r>
        <w:rPr>
          <w:i/>
          <w:snapToGrid w:val="0"/>
        </w:rPr>
        <w:t>Criminal Law (Mentally Impaired Accused) Act 1996</w:t>
      </w:r>
      <w:r>
        <w:rPr>
          <w:iCs/>
          <w:snapToGrid w:val="0"/>
        </w:rPr>
        <w:t xml:space="preserve"> by the </w:t>
      </w:r>
      <w:r>
        <w:rPr>
          <w:i/>
          <w:snapToGrid w:val="0"/>
        </w:rPr>
        <w:t>Criminal Procedure and Appeals (Consequential and Other Provisions) Act 2004</w:t>
      </w:r>
      <w:r>
        <w:rPr>
          <w:iCs/>
          <w:snapToGrid w:val="0"/>
        </w:rPr>
        <w:t xml:space="preserve"> s. 82. The reference was changed under the </w:t>
      </w:r>
      <w:r>
        <w:rPr>
          <w:i/>
          <w:snapToGrid w:val="0"/>
        </w:rPr>
        <w:t>Reprints Act 1984</w:t>
      </w:r>
      <w:r>
        <w:rPr>
          <w:iCs/>
          <w:snapToGrid w:val="0"/>
        </w:rPr>
        <w:t xml:space="preserve"> s. 7(3)(gb).</w:t>
      </w:r>
    </w:p>
    <w:p>
      <w:pPr>
        <w:pStyle w:val="nSubsection"/>
        <w:spacing w:before="160"/>
      </w:pPr>
      <w:r>
        <w:rPr>
          <w:snapToGrid w:val="0"/>
          <w:vertAlign w:val="superscript"/>
        </w:rPr>
        <w:t>3</w:t>
      </w:r>
      <w:r>
        <w:rPr>
          <w:snapToGrid w:val="0"/>
        </w:rPr>
        <w:tab/>
        <w:t xml:space="preserve">Formerly referred to the </w:t>
      </w:r>
      <w:r>
        <w:rPr>
          <w:i/>
          <w:iCs/>
          <w:snapToGrid w:val="0"/>
        </w:rPr>
        <w:t>Censorship Act 1996</w:t>
      </w:r>
      <w:r>
        <w:rPr>
          <w:snapToGrid w:val="0"/>
        </w:rPr>
        <w:t xml:space="preserve"> the short title of which was changed to the </w:t>
      </w:r>
      <w:r>
        <w:rPr>
          <w:i/>
        </w:rPr>
        <w:t xml:space="preserve">Classification (Publications, Films and Computer Games) Enforcement Act 1996 </w:t>
      </w:r>
      <w:r>
        <w:rPr>
          <w:snapToGrid w:val="0"/>
        </w:rPr>
        <w:t xml:space="preserve">by the </w:t>
      </w:r>
      <w:r>
        <w:rPr>
          <w:i/>
          <w:iCs/>
          <w:snapToGrid w:val="0"/>
        </w:rPr>
        <w:t>Censorship Amendment Act 2006</w:t>
      </w:r>
      <w:r>
        <w:rPr>
          <w:snapToGrid w:val="0"/>
        </w:rPr>
        <w:t xml:space="preserve"> </w:t>
      </w:r>
      <w:r>
        <w:rPr>
          <w:iCs/>
          <w:snapToGrid w:val="0"/>
        </w:rPr>
        <w:t>s. 4(1).</w:t>
      </w:r>
      <w:r>
        <w:t xml:space="preserve"> The reference was changed under the </w:t>
      </w:r>
      <w:r>
        <w:rPr>
          <w:i/>
          <w:iCs/>
        </w:rPr>
        <w:t>Reprints Act 1984</w:t>
      </w:r>
      <w:r>
        <w:t xml:space="preserve"> s. 7(3)(gb).</w:t>
      </w:r>
    </w:p>
    <w:p>
      <w:pPr>
        <w:sectPr>
          <w:headerReference w:type="even" r:id="rId34"/>
          <w:headerReference w:type="default" r:id="rId35"/>
          <w:headerReference w:type="first" r:id="rId36"/>
          <w:endnotePr>
            <w:numFmt w:val="decimal"/>
          </w:endnotePr>
          <w:pgSz w:w="11906" w:h="16838" w:code="9"/>
          <w:pgMar w:top="2376" w:right="2404" w:bottom="3544" w:left="2404" w:header="720" w:footer="3380" w:gutter="0"/>
          <w:cols w:space="720"/>
          <w:noEndnote/>
          <w:docGrid w:linePitch="326"/>
        </w:sectPr>
      </w:pPr>
    </w:p>
    <w:p>
      <w:pPr>
        <w:pStyle w:val="nHeading2"/>
        <w:rPr>
          <w:sz w:val="28"/>
        </w:rPr>
      </w:pPr>
      <w:bookmarkStart w:id="49" w:name="_Toc384380047"/>
      <w:r>
        <w:rPr>
          <w:sz w:val="28"/>
        </w:rPr>
        <w:t>Defined terms</w:t>
      </w:r>
      <w:bookmarkEnd w:id="49"/>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50" w:name="DefinedTerms"/>
      <w:bookmarkEnd w:id="50"/>
      <w:r>
        <w:t>analyst</w:t>
      </w:r>
      <w:r>
        <w:tab/>
        <w:t>3</w:t>
      </w:r>
    </w:p>
    <w:p>
      <w:pPr>
        <w:pStyle w:val="DefinedTerms"/>
      </w:pPr>
      <w:r>
        <w:t>approved form</w:t>
      </w:r>
      <w:r>
        <w:tab/>
        <w:t>26C(1)</w:t>
      </w:r>
    </w:p>
    <w:p>
      <w:pPr>
        <w:pStyle w:val="DefinedTerms"/>
      </w:pPr>
      <w:r>
        <w:t>authorised breath tester</w:t>
      </w:r>
      <w:r>
        <w:tab/>
        <w:t>3, 26D(1)</w:t>
      </w:r>
    </w:p>
    <w:p>
      <w:pPr>
        <w:pStyle w:val="DefinedTerms"/>
      </w:pPr>
      <w:r>
        <w:t>authorised sample collector</w:t>
      </w:r>
      <w:r>
        <w:tab/>
        <w:t>3</w:t>
      </w:r>
    </w:p>
    <w:p>
      <w:pPr>
        <w:pStyle w:val="DefinedTerms"/>
      </w:pPr>
      <w:r>
        <w:t>blood alcohol content</w:t>
      </w:r>
      <w:r>
        <w:tab/>
        <w:t>3</w:t>
      </w:r>
    </w:p>
    <w:p>
      <w:pPr>
        <w:pStyle w:val="DefinedTerms"/>
      </w:pPr>
      <w:r>
        <w:t>blood sampling equipment</w:t>
      </w:r>
      <w:r>
        <w:tab/>
        <w:t>3, 26F(1)</w:t>
      </w:r>
    </w:p>
    <w:p>
      <w:pPr>
        <w:pStyle w:val="DefinedTerms"/>
      </w:pPr>
      <w:r>
        <w:t xml:space="preserve">Breath Analysis Regulations </w:t>
      </w:r>
      <w:r>
        <w:tab/>
        <w:t>3</w:t>
      </w:r>
    </w:p>
    <w:p>
      <w:pPr>
        <w:pStyle w:val="DefinedTerms"/>
      </w:pPr>
      <w:r>
        <w:t xml:space="preserve">breath test </w:t>
      </w:r>
      <w:r>
        <w:tab/>
        <w:t>3</w:t>
      </w:r>
    </w:p>
    <w:p>
      <w:pPr>
        <w:pStyle w:val="DefinedTerms"/>
      </w:pPr>
      <w:r>
        <w:t>breath testing equipment</w:t>
      </w:r>
      <w:r>
        <w:tab/>
        <w:t>3</w:t>
      </w:r>
    </w:p>
    <w:p>
      <w:pPr>
        <w:pStyle w:val="DefinedTerms"/>
      </w:pPr>
      <w:r>
        <w:t>Department of Corrective Services</w:t>
      </w:r>
      <w:r>
        <w:tab/>
        <w:t>3</w:t>
      </w:r>
    </w:p>
    <w:p>
      <w:pPr>
        <w:pStyle w:val="DefinedTerms"/>
      </w:pPr>
      <w:r>
        <w:t>Department of Health</w:t>
      </w:r>
      <w:r>
        <w:tab/>
        <w:t>7(3)</w:t>
      </w:r>
    </w:p>
    <w:p>
      <w:pPr>
        <w:pStyle w:val="DefinedTerms"/>
      </w:pPr>
      <w:r>
        <w:t>detention centre</w:t>
      </w:r>
      <w:r>
        <w:tab/>
        <w:t>7(3)</w:t>
      </w:r>
    </w:p>
    <w:p>
      <w:pPr>
        <w:pStyle w:val="DefinedTerms"/>
      </w:pPr>
      <w:r>
        <w:t>foreign court</w:t>
      </w:r>
      <w:r>
        <w:tab/>
        <w:t>3</w:t>
      </w:r>
    </w:p>
    <w:p>
      <w:pPr>
        <w:pStyle w:val="DefinedTerms"/>
      </w:pPr>
      <w:r>
        <w:t>medical practitioner</w:t>
      </w:r>
      <w:r>
        <w:tab/>
        <w:t>3</w:t>
      </w:r>
    </w:p>
    <w:p>
      <w:pPr>
        <w:pStyle w:val="DefinedTerms"/>
      </w:pPr>
      <w:r>
        <w:t>phlebotomist</w:t>
      </w:r>
      <w:r>
        <w:tab/>
        <w:t>3</w:t>
      </w:r>
    </w:p>
    <w:p>
      <w:pPr>
        <w:pStyle w:val="DefinedTerms"/>
      </w:pPr>
      <w:r>
        <w:t>prison</w:t>
      </w:r>
      <w:r>
        <w:tab/>
        <w:t>7(3)</w:t>
      </w:r>
    </w:p>
    <w:p>
      <w:pPr>
        <w:pStyle w:val="DefinedTerms"/>
      </w:pPr>
      <w:r>
        <w:t>recognised order</w:t>
      </w:r>
      <w:r>
        <w:tab/>
        <w:t>3</w:t>
      </w:r>
    </w:p>
    <w:p>
      <w:pPr>
        <w:pStyle w:val="DefinedTerms"/>
      </w:pPr>
      <w:r>
        <w:t xml:space="preserve">registered nurse </w:t>
      </w:r>
      <w:r>
        <w:tab/>
        <w:t>3</w:t>
      </w:r>
    </w:p>
    <w:p>
      <w:pPr>
        <w:pStyle w:val="DefinedTerms"/>
      </w:pPr>
      <w:r>
        <w:t>registrar</w:t>
      </w:r>
      <w:r>
        <w:tab/>
        <w:t>3</w:t>
      </w:r>
    </w:p>
    <w:p>
      <w:pPr>
        <w:pStyle w:val="DefinedTerms"/>
      </w:pPr>
      <w:r>
        <w:t>release order</w:t>
      </w:r>
      <w:r>
        <w:tab/>
        <w:t>7(3)</w:t>
      </w:r>
    </w:p>
    <w:p>
      <w:pPr>
        <w:pStyle w:val="DefinedTerms"/>
      </w:pPr>
      <w:r>
        <w:t>relevant court</w:t>
      </w:r>
      <w:r>
        <w:tab/>
        <w:t>3</w:t>
      </w:r>
    </w:p>
    <w:p>
      <w:pPr>
        <w:pStyle w:val="DefinedTerms"/>
      </w:pPr>
      <w:r>
        <w:t>sample</w:t>
      </w:r>
      <w:r>
        <w:tab/>
        <w:t>26F(1)</w:t>
      </w:r>
    </w:p>
    <w:p>
      <w:pPr>
        <w:pStyle w:val="DefinedTerms"/>
      </w:pPr>
      <w:r>
        <w:t>self</w:t>
      </w:r>
      <w:r>
        <w:noBreakHyphen/>
        <w:t>testing breath analysing equipment</w:t>
      </w:r>
      <w:r>
        <w:tab/>
        <w:t>3</w:t>
      </w:r>
    </w:p>
    <w:p>
      <w:pPr>
        <w:pStyle w:val="DefinedTerms"/>
      </w:pPr>
      <w:r>
        <w:t>urine sampling equipment</w:t>
      </w:r>
      <w:r>
        <w:tab/>
        <w:t>3, 26F(1)</w:t>
      </w:r>
    </w:p>
    <w:p>
      <w:pPr>
        <w:pStyle w:val="DefinedTerms"/>
      </w:pPr>
    </w:p>
    <w:p/>
    <w:p/>
    <w:p/>
    <w:p/>
    <w:p/>
    <w:p/>
    <w:p/>
    <w:p/>
    <w:p/>
    <w:p/>
    <w:p/>
    <w:p/>
    <w:p/>
    <w:p>
      <w:pPr>
        <w:sectPr>
          <w:headerReference w:type="even" r:id="rId37"/>
          <w:headerReference w:type="default" r:id="rId38"/>
          <w:footerReference w:type="even" r:id="rId39"/>
          <w:footerReference w:type="default" r:id="rId40"/>
          <w:headerReference w:type="first" r:id="rId41"/>
          <w:footerReference w:type="first" r:id="rId42"/>
          <w:endnotePr>
            <w:numFmt w:val="decimal"/>
          </w:endnotePr>
          <w:pgSz w:w="11906" w:h="16838" w:code="9"/>
          <w:pgMar w:top="2376" w:right="2404" w:bottom="3544" w:left="2404" w:header="720" w:footer="3380" w:gutter="0"/>
          <w:cols w:space="720"/>
          <w:noEndnote/>
          <w:docGrid w:linePitch="326"/>
        </w:sectPr>
      </w:pPr>
    </w:p>
    <w:p>
      <w:pPr>
        <w:pBdr>
          <w:top w:val="double" w:sz="4" w:space="0" w:color="auto"/>
        </w:pBdr>
        <w:jc w:val="center"/>
        <w:rPr>
          <w:rFonts w:ascii="Arial" w:hAnsi="Arial" w:cs="Arial"/>
          <w:sz w:val="12"/>
        </w:rPr>
      </w:pPr>
      <w:r>
        <w:rPr>
          <w:rFonts w:ascii="Arial" w:hAnsi="Arial" w:cs="Arial"/>
          <w:sz w:val="12"/>
        </w:rPr>
        <w:t>By Authority: JOHN A. STRIJK, Government Printer</w:t>
      </w:r>
    </w:p>
    <w:sectPr>
      <w:headerReference w:type="even" r:id="rId43"/>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Monotype Sorts">
    <w:panose1 w:val="01010601010101010101"/>
    <w:charset w:val="02"/>
    <w:family w:val="auto"/>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Style w:val="FooterPageLeft"/>
      <w:tabs>
        <w:tab w:val="right" w:pos="7088"/>
      </w:tabs>
    </w:pPr>
    <w:r>
      <w:t xml:space="preserve">page </w:t>
    </w:r>
    <w:r>
      <w:rPr>
        <w:rStyle w:val="CharPageNo"/>
      </w:rPr>
      <w:fldChar w:fldCharType="begin"/>
    </w:r>
    <w:r>
      <w:rPr>
        <w:rStyle w:val="CharPageNo"/>
      </w:rPr>
      <w:instrText xml:space="preserve"> PAGE </w:instrText>
    </w:r>
    <w:r>
      <w:rPr>
        <w:rStyle w:val="CharPageNo"/>
      </w:rPr>
      <w:fldChar w:fldCharType="separate"/>
    </w:r>
    <w:r>
      <w:rPr>
        <w:rStyle w:val="CharPageNo"/>
        <w:noProof/>
      </w:rPr>
      <w:t>ii</w:t>
    </w:r>
    <w:r>
      <w:rPr>
        <w:rStyle w:val="CharPageNo"/>
      </w:rPr>
      <w:fldChar w:fldCharType="end"/>
    </w:r>
    <w:r>
      <w:rPr>
        <w:rStyle w:val="CharPageNo"/>
      </w:rPr>
      <w:tab/>
    </w:r>
    <w:r>
      <w:t xml:space="preserve">Reprint </w:t>
    </w:r>
    <w:fldSimple w:instr=" DOCPROPERTY &quot;ReprintNo&quot; ">
      <w:r>
        <w:t>3</w:t>
      </w:r>
    </w:fldSimple>
  </w:p>
  <w:p>
    <w:pPr>
      <w:pStyle w:val="FooterPageLeft"/>
      <w:tabs>
        <w:tab w:val="right" w:pos="7088"/>
      </w:tabs>
      <w:rPr>
        <w:rFonts w:ascii="Times New Roman" w:hAnsi="Times New Roman"/>
        <w:sz w:val="16"/>
      </w:rP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Style w:val="Footer"/>
      <w:pBdr>
        <w:top w:val="single" w:sz="4" w:space="1" w:color="auto"/>
      </w:pBdr>
      <w:tabs>
        <w:tab w:val="clear" w:pos="4153"/>
        <w:tab w:val="clear" w:pos="8306"/>
        <w:tab w:val="right" w:pos="7088"/>
      </w:tabs>
      <w:spacing w:line="240" w:lineRule="auto"/>
      <w:rPr>
        <w:rStyle w:val="PageNumber"/>
      </w:rPr>
    </w:pPr>
    <w:r>
      <w:rPr>
        <w:sz w:val="20"/>
      </w:rPr>
      <w:t xml:space="preserve">Reprint </w:t>
    </w:r>
    <w:r>
      <w:rPr>
        <w:sz w:val="20"/>
      </w:rPr>
      <w:fldChar w:fldCharType="begin"/>
    </w:r>
    <w:r>
      <w:rPr>
        <w:sz w:val="20"/>
      </w:rPr>
      <w:instrText xml:space="preserve"> DOCPROPERTY "ReprintNo" </w:instrText>
    </w:r>
    <w:r>
      <w:rPr>
        <w:sz w:val="20"/>
      </w:rPr>
      <w:fldChar w:fldCharType="separate"/>
    </w:r>
    <w:r>
      <w:rPr>
        <w:sz w:val="20"/>
      </w:rPr>
      <w:t>3</w:t>
    </w:r>
    <w:r>
      <w:rPr>
        <w:sz w:val="20"/>
      </w:rPr>
      <w:fldChar w:fldCharType="end"/>
    </w:r>
    <w:r>
      <w:rPr>
        <w:sz w:val="20"/>
      </w:rPr>
      <w:tab/>
      <w:t xml:space="preserve">page </w:t>
    </w:r>
    <w:r>
      <w:rPr>
        <w:rStyle w:val="PageNumber"/>
      </w:rPr>
      <w:fldChar w:fldCharType="begin"/>
    </w:r>
    <w:r>
      <w:rPr>
        <w:rStyle w:val="PageNumber"/>
      </w:rPr>
      <w:instrText xml:space="preserve"> PAGE </w:instrText>
    </w:r>
    <w:r>
      <w:rPr>
        <w:rStyle w:val="PageNumber"/>
      </w:rPr>
      <w:fldChar w:fldCharType="separate"/>
    </w:r>
    <w:r>
      <w:rPr>
        <w:rStyle w:val="PageNumber"/>
        <w:noProof/>
      </w:rPr>
      <w:t>iii</w:t>
    </w:r>
    <w:r>
      <w:rPr>
        <w:rStyle w:val="PageNumber"/>
      </w:rPr>
      <w:fldChar w:fldCharType="end"/>
    </w:r>
  </w:p>
  <w:p>
    <w:pPr>
      <w:pStyle w:val="Footer"/>
      <w:pBdr>
        <w:top w:val="single" w:sz="4" w:space="1" w:color="auto"/>
      </w:pBdr>
      <w:tabs>
        <w:tab w:val="clear" w:pos="4153"/>
        <w:tab w:val="clear" w:pos="8306"/>
        <w:tab w:val="right" w:pos="7088"/>
      </w:tabs>
      <w:spacing w:line="240" w:lineRule="auto"/>
      <w:rPr>
        <w:rFonts w:ascii="Times New Roman" w:hAnsi="Times New Roman"/>
        <w:sz w:val="16"/>
      </w:rP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Style w:val="Footer"/>
      <w:pBdr>
        <w:top w:val="single" w:sz="4" w:space="1" w:color="auto"/>
      </w:pBdr>
      <w:tabs>
        <w:tab w:val="clear" w:pos="4153"/>
        <w:tab w:val="clear" w:pos="8306"/>
        <w:tab w:val="right" w:pos="7088"/>
      </w:tabs>
      <w:spacing w:line="240" w:lineRule="auto"/>
      <w:rPr>
        <w:rStyle w:val="PageNumber"/>
      </w:rPr>
    </w:pPr>
    <w:r>
      <w:rPr>
        <w:sz w:val="20"/>
      </w:rPr>
      <w:t xml:space="preserve">Reprint </w:t>
    </w:r>
    <w:r>
      <w:rPr>
        <w:sz w:val="20"/>
      </w:rPr>
      <w:fldChar w:fldCharType="begin"/>
    </w:r>
    <w:r>
      <w:rPr>
        <w:sz w:val="20"/>
      </w:rPr>
      <w:instrText xml:space="preserve"> DOCPROPERTY "ReprintNo"</w:instrText>
    </w:r>
    <w:r>
      <w:rPr>
        <w:sz w:val="20"/>
      </w:rPr>
      <w:fldChar w:fldCharType="separate"/>
    </w:r>
    <w:r>
      <w:rPr>
        <w:sz w:val="20"/>
      </w:rPr>
      <w:t>3</w:t>
    </w:r>
    <w:r>
      <w:rPr>
        <w:sz w:val="20"/>
      </w:rPr>
      <w:fldChar w:fldCharType="end"/>
    </w:r>
    <w:r>
      <w:rPr>
        <w:sz w:val="20"/>
      </w:rPr>
      <w:tab/>
      <w:t xml:space="preserve">page </w:t>
    </w:r>
    <w:r>
      <w:rPr>
        <w:rStyle w:val="PageNumber"/>
      </w:rPr>
      <w:fldChar w:fldCharType="begin"/>
    </w:r>
    <w:r>
      <w:rPr>
        <w:rStyle w:val="PageNumber"/>
      </w:rPr>
      <w:instrText xml:space="preserve"> PAGE </w:instrText>
    </w:r>
    <w:r>
      <w:rPr>
        <w:rStyle w:val="PageNumber"/>
      </w:rPr>
      <w:fldChar w:fldCharType="separate"/>
    </w:r>
    <w:r>
      <w:rPr>
        <w:rStyle w:val="PageNumber"/>
        <w:noProof/>
      </w:rPr>
      <w:t>i</w:t>
    </w:r>
    <w:r>
      <w:rPr>
        <w:rStyle w:val="PageNumber"/>
      </w:rPr>
      <w:fldChar w:fldCharType="end"/>
    </w:r>
  </w:p>
  <w:p>
    <w:pPr>
      <w:pStyle w:val="Footer"/>
      <w:pBdr>
        <w:top w:val="single" w:sz="4" w:space="1" w:color="auto"/>
      </w:pBdr>
      <w:tabs>
        <w:tab w:val="clear" w:pos="4153"/>
        <w:tab w:val="clear" w:pos="8306"/>
        <w:tab w:val="right" w:pos="7088"/>
      </w:tabs>
      <w:spacing w:line="240" w:lineRule="auto"/>
      <w:rPr>
        <w:rFonts w:ascii="Times New Roman" w:hAnsi="Times New Roman"/>
        <w:sz w:val="16"/>
      </w:rPr>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Style w:val="FooterPageLeft"/>
      <w:tabs>
        <w:tab w:val="right" w:pos="7088"/>
      </w:tabs>
    </w:pPr>
    <w:r>
      <w:t xml:space="preserve">page </w:t>
    </w:r>
    <w:r>
      <w:rPr>
        <w:rStyle w:val="CharPageNo"/>
      </w:rPr>
      <w:fldChar w:fldCharType="begin"/>
    </w:r>
    <w:r>
      <w:rPr>
        <w:rStyle w:val="CharPageNo"/>
      </w:rPr>
      <w:instrText xml:space="preserve"> PAGE </w:instrText>
    </w:r>
    <w:r>
      <w:rPr>
        <w:rStyle w:val="CharPageNo"/>
      </w:rPr>
      <w:fldChar w:fldCharType="separate"/>
    </w:r>
    <w:r>
      <w:rPr>
        <w:rStyle w:val="CharPageNo"/>
        <w:noProof/>
      </w:rPr>
      <w:t>40</w:t>
    </w:r>
    <w:r>
      <w:rPr>
        <w:rStyle w:val="CharPageNo"/>
      </w:rPr>
      <w:fldChar w:fldCharType="end"/>
    </w:r>
    <w:r>
      <w:rPr>
        <w:rStyle w:val="CharPageNo"/>
      </w:rPr>
      <w:tab/>
    </w:r>
    <w:r>
      <w:t xml:space="preserve">Reprint </w:t>
    </w:r>
    <w:fldSimple w:instr=" DOCPROPERTY &quot;ReprintNo&quot; ">
      <w:r>
        <w:t>3</w:t>
      </w:r>
    </w:fldSimple>
  </w:p>
  <w:p>
    <w:pPr>
      <w:pStyle w:val="FooterPageLeft"/>
      <w:tabs>
        <w:tab w:val="right" w:pos="7088"/>
      </w:tabs>
      <w:rPr>
        <w:rFonts w:ascii="Times New Roman" w:hAnsi="Times New Roman"/>
        <w:sz w:val="16"/>
      </w:rP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Style w:val="Footer"/>
      <w:pBdr>
        <w:top w:val="single" w:sz="4" w:space="1" w:color="auto"/>
      </w:pBdr>
      <w:tabs>
        <w:tab w:val="clear" w:pos="4153"/>
        <w:tab w:val="clear" w:pos="8306"/>
        <w:tab w:val="right" w:pos="7088"/>
      </w:tabs>
      <w:spacing w:line="240" w:lineRule="auto"/>
      <w:rPr>
        <w:rStyle w:val="PageNumber"/>
      </w:rPr>
    </w:pPr>
    <w:r>
      <w:rPr>
        <w:sz w:val="20"/>
      </w:rPr>
      <w:t xml:space="preserve">Reprint </w:t>
    </w:r>
    <w:r>
      <w:rPr>
        <w:sz w:val="20"/>
      </w:rPr>
      <w:fldChar w:fldCharType="begin"/>
    </w:r>
    <w:r>
      <w:rPr>
        <w:sz w:val="20"/>
      </w:rPr>
      <w:instrText xml:space="preserve"> DOCPROPERTY "ReprintNo" </w:instrText>
    </w:r>
    <w:r>
      <w:rPr>
        <w:sz w:val="20"/>
      </w:rPr>
      <w:fldChar w:fldCharType="separate"/>
    </w:r>
    <w:r>
      <w:rPr>
        <w:sz w:val="20"/>
      </w:rPr>
      <w:t>3</w:t>
    </w:r>
    <w:r>
      <w:rPr>
        <w:sz w:val="20"/>
      </w:rPr>
      <w:fldChar w:fldCharType="end"/>
    </w:r>
    <w:r>
      <w:rPr>
        <w:sz w:val="20"/>
      </w:rPr>
      <w:tab/>
      <w:t xml:space="preserve">page </w:t>
    </w:r>
    <w:r>
      <w:rPr>
        <w:rStyle w:val="PageNumber"/>
      </w:rPr>
      <w:fldChar w:fldCharType="begin"/>
    </w:r>
    <w:r>
      <w:rPr>
        <w:rStyle w:val="PageNumber"/>
      </w:rPr>
      <w:instrText xml:space="preserve"> PAGE </w:instrText>
    </w:r>
    <w:r>
      <w:rPr>
        <w:rStyle w:val="PageNumber"/>
      </w:rPr>
      <w:fldChar w:fldCharType="separate"/>
    </w:r>
    <w:r>
      <w:rPr>
        <w:rStyle w:val="PageNumber"/>
        <w:noProof/>
      </w:rPr>
      <w:t>39</w:t>
    </w:r>
    <w:r>
      <w:rPr>
        <w:rStyle w:val="PageNumber"/>
      </w:rPr>
      <w:fldChar w:fldCharType="end"/>
    </w:r>
  </w:p>
  <w:p>
    <w:pPr>
      <w:pStyle w:val="Footer"/>
      <w:pBdr>
        <w:top w:val="single" w:sz="4" w:space="1" w:color="auto"/>
      </w:pBdr>
      <w:tabs>
        <w:tab w:val="clear" w:pos="4153"/>
        <w:tab w:val="clear" w:pos="8306"/>
        <w:tab w:val="right" w:pos="7088"/>
      </w:tabs>
      <w:spacing w:line="240" w:lineRule="auto"/>
      <w:rPr>
        <w:rFonts w:ascii="Times New Roman" w:hAnsi="Times New Roman"/>
        <w:sz w:val="16"/>
      </w:rP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Style w:val="Footer"/>
      <w:pBdr>
        <w:top w:val="single" w:sz="4" w:space="1" w:color="auto"/>
      </w:pBdr>
      <w:tabs>
        <w:tab w:val="clear" w:pos="4153"/>
        <w:tab w:val="clear" w:pos="8306"/>
        <w:tab w:val="right" w:pos="7088"/>
      </w:tabs>
      <w:spacing w:line="240" w:lineRule="auto"/>
      <w:rPr>
        <w:rStyle w:val="PageNumber"/>
      </w:rPr>
    </w:pPr>
    <w:r>
      <w:rPr>
        <w:sz w:val="20"/>
      </w:rPr>
      <w:t xml:space="preserve">Reprint </w:t>
    </w:r>
    <w:r>
      <w:rPr>
        <w:sz w:val="20"/>
      </w:rPr>
      <w:fldChar w:fldCharType="begin"/>
    </w:r>
    <w:r>
      <w:rPr>
        <w:sz w:val="20"/>
      </w:rPr>
      <w:instrText xml:space="preserve"> DOCPROPERTY "ReprintNo"</w:instrText>
    </w:r>
    <w:r>
      <w:rPr>
        <w:sz w:val="20"/>
      </w:rPr>
      <w:fldChar w:fldCharType="separate"/>
    </w:r>
    <w:r>
      <w:rPr>
        <w:sz w:val="20"/>
      </w:rPr>
      <w:t>3</w:t>
    </w:r>
    <w:r>
      <w:rPr>
        <w:sz w:val="20"/>
      </w:rPr>
      <w:fldChar w:fldCharType="end"/>
    </w:r>
    <w:r>
      <w:rPr>
        <w:sz w:val="20"/>
      </w:rPr>
      <w:tab/>
      <w:t xml:space="preserve">page </w:t>
    </w: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p>
    <w:pPr>
      <w:pStyle w:val="Footer"/>
      <w:pBdr>
        <w:top w:val="single" w:sz="4" w:space="1" w:color="auto"/>
      </w:pBdr>
      <w:tabs>
        <w:tab w:val="clear" w:pos="4153"/>
        <w:tab w:val="clear" w:pos="8306"/>
        <w:tab w:val="right" w:pos="7088"/>
      </w:tabs>
      <w:spacing w:line="240" w:lineRule="auto"/>
      <w:rPr>
        <w:rFonts w:ascii="Times New Roman" w:hAnsi="Times New Roman"/>
        <w:sz w:val="16"/>
      </w:rP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Style w:val="FooterPageLeft"/>
      <w:tabs>
        <w:tab w:val="right" w:pos="7088"/>
      </w:tabs>
    </w:pPr>
    <w:r>
      <w:t xml:space="preserve">page </w:t>
    </w:r>
    <w:r>
      <w:rPr>
        <w:rStyle w:val="CharPageNo"/>
      </w:rPr>
      <w:fldChar w:fldCharType="begin"/>
    </w:r>
    <w:r>
      <w:rPr>
        <w:rStyle w:val="CharPageNo"/>
      </w:rPr>
      <w:instrText xml:space="preserve"> PAGE </w:instrText>
    </w:r>
    <w:r>
      <w:rPr>
        <w:rStyle w:val="CharPageNo"/>
      </w:rPr>
      <w:fldChar w:fldCharType="separate"/>
    </w:r>
    <w:r>
      <w:rPr>
        <w:rStyle w:val="CharPageNo"/>
        <w:noProof/>
      </w:rPr>
      <w:t>42</w:t>
    </w:r>
    <w:r>
      <w:rPr>
        <w:rStyle w:val="CharPageNo"/>
      </w:rPr>
      <w:fldChar w:fldCharType="end"/>
    </w:r>
    <w:r>
      <w:rPr>
        <w:rStyle w:val="CharPageNo"/>
      </w:rPr>
      <w:tab/>
    </w:r>
    <w:r>
      <w:t xml:space="preserve">Reprint </w:t>
    </w:r>
    <w:fldSimple w:instr=" DOCPROPERTY &quot;ReprintNo&quot; ">
      <w:r>
        <w:t>3</w:t>
      </w:r>
    </w:fldSimple>
  </w:p>
  <w:p>
    <w:pPr>
      <w:pStyle w:val="FooterPageLeft"/>
      <w:tabs>
        <w:tab w:val="right" w:pos="7088"/>
      </w:tabs>
      <w:rPr>
        <w:rFonts w:ascii="Times New Roman" w:hAnsi="Times New Roman"/>
        <w:sz w:val="16"/>
      </w:rPr>
    </w:pP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Style w:val="Footer"/>
      <w:pBdr>
        <w:top w:val="single" w:sz="4" w:space="1" w:color="auto"/>
      </w:pBdr>
      <w:tabs>
        <w:tab w:val="clear" w:pos="4153"/>
        <w:tab w:val="clear" w:pos="8306"/>
        <w:tab w:val="right" w:pos="7088"/>
      </w:tabs>
      <w:spacing w:line="240" w:lineRule="auto"/>
      <w:rPr>
        <w:rStyle w:val="PageNumber"/>
      </w:rPr>
    </w:pPr>
    <w:r>
      <w:rPr>
        <w:sz w:val="20"/>
      </w:rPr>
      <w:t xml:space="preserve">Reprint </w:t>
    </w:r>
    <w:r>
      <w:rPr>
        <w:sz w:val="20"/>
      </w:rPr>
      <w:fldChar w:fldCharType="begin"/>
    </w:r>
    <w:r>
      <w:rPr>
        <w:sz w:val="20"/>
      </w:rPr>
      <w:instrText xml:space="preserve"> DOCPROPERTY "ReprintNo"</w:instrText>
    </w:r>
    <w:r>
      <w:rPr>
        <w:sz w:val="20"/>
      </w:rPr>
      <w:fldChar w:fldCharType="separate"/>
    </w:r>
    <w:r>
      <w:rPr>
        <w:sz w:val="20"/>
      </w:rPr>
      <w:t>3</w:t>
    </w:r>
    <w:r>
      <w:rPr>
        <w:sz w:val="20"/>
      </w:rPr>
      <w:fldChar w:fldCharType="end"/>
    </w:r>
    <w:r>
      <w:rPr>
        <w:sz w:val="20"/>
      </w:rPr>
      <w:tab/>
      <w:t xml:space="preserve">page </w:t>
    </w:r>
    <w:r>
      <w:rPr>
        <w:rStyle w:val="PageNumber"/>
      </w:rPr>
      <w:fldChar w:fldCharType="begin"/>
    </w:r>
    <w:r>
      <w:rPr>
        <w:rStyle w:val="PageNumber"/>
      </w:rPr>
      <w:instrText xml:space="preserve"> PAGE </w:instrText>
    </w:r>
    <w:r>
      <w:rPr>
        <w:rStyle w:val="PageNumber"/>
      </w:rPr>
      <w:fldChar w:fldCharType="separate"/>
    </w:r>
    <w:r>
      <w:rPr>
        <w:rStyle w:val="PageNumber"/>
        <w:noProof/>
      </w:rPr>
      <w:t>41</w:t>
    </w:r>
    <w:r>
      <w:rPr>
        <w:rStyle w:val="PageNumber"/>
      </w:rPr>
      <w:fldChar w:fldCharType="end"/>
    </w:r>
  </w:p>
  <w:p>
    <w:pPr>
      <w:pStyle w:val="Footer"/>
      <w:pBdr>
        <w:top w:val="single" w:sz="4" w:space="1" w:color="auto"/>
      </w:pBdr>
      <w:tabs>
        <w:tab w:val="clear" w:pos="4153"/>
        <w:tab w:val="clear" w:pos="8306"/>
        <w:tab w:val="right" w:pos="7088"/>
      </w:tabs>
      <w:spacing w:line="240" w:lineRule="auto"/>
      <w:rPr>
        <w:rFonts w:ascii="Times New Roman" w:hAnsi="Times New Roman"/>
        <w:sz w:val="16"/>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Community Protection (Offender Reporting) Regulations 2004</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Community Protection (Offender Reporting) Regulations 2004</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Community Protection (Offender Reporting) Regulations 2004</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Community Protection (Offender Reporting) Regulations 2004</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Community Protection (Offender Reporting) Regulations 2004</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Form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Community Protection (Offender Reporting) Regulations 2004</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Form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Community Protection (Offender Reporting) Regulations 2004</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Community Protection (Offender Reporting) Regulations 2004</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Community Protection (Offender Reporting) Regulations 2004</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r>
            <w:t>Defined terms</w:t>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Community Protection (Offender Reporting) Regulations 2004</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279043F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5622CEFC"/>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4AA40460"/>
    <w:lvl w:ilvl="0">
      <w:start w:val="1"/>
      <w:numFmt w:val="decimal"/>
      <w:pStyle w:val="ListNumber3"/>
      <w:lvlText w:val="%1."/>
      <w:lvlJc w:val="left"/>
      <w:pPr>
        <w:tabs>
          <w:tab w:val="num" w:pos="926"/>
        </w:tabs>
        <w:ind w:left="926" w:hanging="360"/>
      </w:pPr>
    </w:lvl>
  </w:abstractNum>
  <w:abstractNum w:abstractNumId="3">
    <w:nsid w:val="FFFFFF7F"/>
    <w:multiLevelType w:val="singleLevel"/>
    <w:tmpl w:val="5A8413F6"/>
    <w:lvl w:ilvl="0">
      <w:start w:val="1"/>
      <w:numFmt w:val="decimal"/>
      <w:pStyle w:val="ListNumber2"/>
      <w:lvlText w:val="%1."/>
      <w:lvlJc w:val="left"/>
      <w:pPr>
        <w:tabs>
          <w:tab w:val="num" w:pos="643"/>
        </w:tabs>
        <w:ind w:left="643" w:hanging="360"/>
      </w:pPr>
    </w:lvl>
  </w:abstractNum>
  <w:abstractNum w:abstractNumId="4">
    <w:nsid w:val="FFFFFF80"/>
    <w:multiLevelType w:val="singleLevel"/>
    <w:tmpl w:val="1734AB74"/>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D00285CA"/>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FF84364E"/>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C11CEFB2"/>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364A13C2"/>
    <w:lvl w:ilvl="0">
      <w:start w:val="1"/>
      <w:numFmt w:val="decimal"/>
      <w:pStyle w:val="ListNumber"/>
      <w:lvlText w:val="%1."/>
      <w:lvlJc w:val="left"/>
      <w:pPr>
        <w:tabs>
          <w:tab w:val="num" w:pos="360"/>
        </w:tabs>
        <w:ind w:left="360" w:hanging="360"/>
      </w:pPr>
    </w:lvl>
  </w:abstractNum>
  <w:abstractNum w:abstractNumId="9">
    <w:nsid w:val="FFFFFF89"/>
    <w:multiLevelType w:val="singleLevel"/>
    <w:tmpl w:val="2E92278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2">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3">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6">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2FF52EB"/>
    <w:multiLevelType w:val="multilevel"/>
    <w:tmpl w:val="1A44E52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9">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2">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3C2808C0"/>
    <w:multiLevelType w:val="singleLevel"/>
    <w:tmpl w:val="AB5671A0"/>
    <w:lvl w:ilvl="0">
      <w:start w:val="1"/>
      <w:numFmt w:val="bullet"/>
      <w:pStyle w:val="NotesPerm2"/>
      <w:lvlText w:val=""/>
      <w:lvlJc w:val="left"/>
      <w:pPr>
        <w:tabs>
          <w:tab w:val="num" w:pos="1446"/>
        </w:tabs>
        <w:ind w:left="1446" w:hanging="567"/>
      </w:pPr>
      <w:rPr>
        <w:rFonts w:ascii="Symbol" w:hAnsi="Symbol" w:hint="default"/>
      </w:rPr>
    </w:lvl>
  </w:abstractNum>
  <w:abstractNum w:abstractNumId="26">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7">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8">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30">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2">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8"/>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5"/>
  </w:num>
  <w:num w:numId="13">
    <w:abstractNumId w:val="18"/>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25"/>
  </w:num>
  <w:num w:numId="25">
    <w:abstractNumId w:val="11"/>
  </w:num>
  <w:num w:numId="26">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5"/>
  <w:activeWritingStyle w:appName="MSWord" w:lang="en-US" w:vendorID="64" w:dllVersion="131077" w:nlCheck="1" w:checkStyle="1"/>
  <w:activeWritingStyle w:appName="MSWord" w:lang="en-AU" w:vendorID="64" w:dllVersion="131077" w:nlCheck="1" w:checkStyle="1"/>
  <w:activeWritingStyle w:appName="MSWord" w:lang="en-AU" w:vendorID="64" w:dllVersion="131078" w:nlCheck="1" w:checkStyle="1"/>
  <w:activeWritingStyle w:appName="MSWord" w:lang="en-US" w:vendorID="64" w:dllVersion="131078" w:nlCheck="1"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12289"/>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40404130302"/>
    <w:docVar w:name="WAFER_20140102121659" w:val="RemoveTocBookmarks,RemoveUnusedBookmarks,RemoveLanguageTags,UsedStyles,ResetPageSize"/>
    <w:docVar w:name="WAFER_20140102121659_GUID" w:val="8c3995c3-9fb4-491c-a620-6608d4929f78"/>
    <w:docVar w:name="WAFER_20140102121719" w:val="RemoveTocBookmarks,RemoveUnusedBookmarks,RemoveLanguageTags,UsedStyles,ResetPageSize,UpdateArrangement"/>
    <w:docVar w:name="WAFER_20140102121719_GUID" w:val="ce62871f-6aec-4081-85a9-4651f88ea199"/>
    <w:docVar w:name="WAFER_20140404130247" w:val="RemoveTocBookmarks,RemoveUnusedBookmarks,RemoveLanguageTags,UsedStyles,RemoveTrackChanges"/>
    <w:docVar w:name="WAFER_20140404130247_GUID" w:val="02dc5c5e-8af3-4b42-8718-b13771076937"/>
    <w:docVar w:name="WAFER_20140404130302" w:val="RemoveTocBookmarks,RemoveLanguageTags,RemoveTrackChanges,RunningHeaders"/>
    <w:docVar w:name="WAFER_20140404130302_GUID" w:val="7701398e-f4cf-4a07-94f3-710c4ed14f31"/>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country-region"/>
  <w:smartTagType w:namespaceuri="urn:schemas-microsoft-com:office:smarttags" w:name="place"/>
  <w:smartTagType w:namespaceuri="urn:schemas-microsoft-com:office:smarttags" w:name="State"/>
  <w:shapeDefaults>
    <o:shapedefaults v:ext="edit" spidmax="1228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geNo">
    <w:name w:val="CharPageNo"/>
    <w:rPr>
      <w:noProof w:val="0"/>
      <w:sz w:val="2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3"/>
      </w:numPr>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tabs>
        <w:tab w:val="clear" w:pos="643"/>
        <w:tab w:val="num" w:pos="720"/>
      </w:tabs>
      <w:ind w:left="720"/>
    </w:pPr>
  </w:style>
  <w:style w:type="paragraph" w:styleId="ListBullet3">
    <w:name w:val="List Bullet 3"/>
    <w:basedOn w:val="Normal"/>
    <w:autoRedefine/>
    <w:pPr>
      <w:numPr>
        <w:numId w:val="16"/>
      </w:numPr>
      <w:tabs>
        <w:tab w:val="clear" w:pos="926"/>
        <w:tab w:val="num" w:pos="1080"/>
      </w:tabs>
      <w:ind w:left="1080"/>
    </w:pPr>
  </w:style>
  <w:style w:type="paragraph" w:styleId="ListBullet4">
    <w:name w:val="List Bullet 4"/>
    <w:basedOn w:val="Normal"/>
    <w:autoRedefine/>
    <w:pPr>
      <w:numPr>
        <w:numId w:val="17"/>
      </w:numPr>
      <w:tabs>
        <w:tab w:val="clear" w:pos="1209"/>
        <w:tab w:val="num" w:pos="1440"/>
      </w:tabs>
      <w:ind w:left="1440"/>
    </w:pPr>
  </w:style>
  <w:style w:type="paragraph" w:styleId="ListBullet5">
    <w:name w:val="List Bullet 5"/>
    <w:basedOn w:val="Normal"/>
    <w:autoRedefine/>
    <w:pPr>
      <w:numPr>
        <w:numId w:val="18"/>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tabs>
        <w:tab w:val="clear" w:pos="643"/>
        <w:tab w:val="num" w:pos="720"/>
      </w:tabs>
      <w:ind w:left="720"/>
    </w:pPr>
  </w:style>
  <w:style w:type="paragraph" w:styleId="ListNumber3">
    <w:name w:val="List Number 3"/>
    <w:basedOn w:val="Normal"/>
    <w:pPr>
      <w:numPr>
        <w:numId w:val="21"/>
      </w:numPr>
      <w:tabs>
        <w:tab w:val="clear" w:pos="926"/>
        <w:tab w:val="num" w:pos="1080"/>
      </w:tabs>
      <w:ind w:left="1080"/>
    </w:pPr>
  </w:style>
  <w:style w:type="paragraph" w:styleId="ListNumber4">
    <w:name w:val="List Number 4"/>
    <w:basedOn w:val="Normal"/>
    <w:pPr>
      <w:numPr>
        <w:numId w:val="22"/>
      </w:numPr>
      <w:tabs>
        <w:tab w:val="clear" w:pos="1209"/>
        <w:tab w:val="num" w:pos="1440"/>
      </w:tabs>
      <w:ind w:left="1440"/>
    </w:pPr>
  </w:style>
  <w:style w:type="paragraph" w:styleId="ListNumber5">
    <w:name w:val="List Number 5"/>
    <w:basedOn w:val="Normal"/>
    <w:pPr>
      <w:numPr>
        <w:numId w:val="23"/>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24"/>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geNo">
    <w:name w:val="CharPageNo"/>
    <w:rPr>
      <w:noProof w:val="0"/>
      <w:sz w:val="2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3"/>
      </w:numPr>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tabs>
        <w:tab w:val="clear" w:pos="643"/>
        <w:tab w:val="num" w:pos="720"/>
      </w:tabs>
      <w:ind w:left="720"/>
    </w:pPr>
  </w:style>
  <w:style w:type="paragraph" w:styleId="ListBullet3">
    <w:name w:val="List Bullet 3"/>
    <w:basedOn w:val="Normal"/>
    <w:autoRedefine/>
    <w:pPr>
      <w:numPr>
        <w:numId w:val="16"/>
      </w:numPr>
      <w:tabs>
        <w:tab w:val="clear" w:pos="926"/>
        <w:tab w:val="num" w:pos="1080"/>
      </w:tabs>
      <w:ind w:left="1080"/>
    </w:pPr>
  </w:style>
  <w:style w:type="paragraph" w:styleId="ListBullet4">
    <w:name w:val="List Bullet 4"/>
    <w:basedOn w:val="Normal"/>
    <w:autoRedefine/>
    <w:pPr>
      <w:numPr>
        <w:numId w:val="17"/>
      </w:numPr>
      <w:tabs>
        <w:tab w:val="clear" w:pos="1209"/>
        <w:tab w:val="num" w:pos="1440"/>
      </w:tabs>
      <w:ind w:left="1440"/>
    </w:pPr>
  </w:style>
  <w:style w:type="paragraph" w:styleId="ListBullet5">
    <w:name w:val="List Bullet 5"/>
    <w:basedOn w:val="Normal"/>
    <w:autoRedefine/>
    <w:pPr>
      <w:numPr>
        <w:numId w:val="18"/>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tabs>
        <w:tab w:val="clear" w:pos="643"/>
        <w:tab w:val="num" w:pos="720"/>
      </w:tabs>
      <w:ind w:left="720"/>
    </w:pPr>
  </w:style>
  <w:style w:type="paragraph" w:styleId="ListNumber3">
    <w:name w:val="List Number 3"/>
    <w:basedOn w:val="Normal"/>
    <w:pPr>
      <w:numPr>
        <w:numId w:val="21"/>
      </w:numPr>
      <w:tabs>
        <w:tab w:val="clear" w:pos="926"/>
        <w:tab w:val="num" w:pos="1080"/>
      </w:tabs>
      <w:ind w:left="1080"/>
    </w:pPr>
  </w:style>
  <w:style w:type="paragraph" w:styleId="ListNumber4">
    <w:name w:val="List Number 4"/>
    <w:basedOn w:val="Normal"/>
    <w:pPr>
      <w:numPr>
        <w:numId w:val="22"/>
      </w:numPr>
      <w:tabs>
        <w:tab w:val="clear" w:pos="1209"/>
        <w:tab w:val="num" w:pos="1440"/>
      </w:tabs>
      <w:ind w:left="1440"/>
    </w:pPr>
  </w:style>
  <w:style w:type="paragraph" w:styleId="ListNumber5">
    <w:name w:val="List Number 5"/>
    <w:basedOn w:val="Normal"/>
    <w:pPr>
      <w:numPr>
        <w:numId w:val="23"/>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24"/>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2.xml"/><Relationship Id="rId18" Type="http://schemas.openxmlformats.org/officeDocument/2006/relationships/header" Target="header4.xml"/><Relationship Id="rId26" Type="http://schemas.openxmlformats.org/officeDocument/2006/relationships/footer" Target="footer7.xml"/><Relationship Id="rId39" Type="http://schemas.openxmlformats.org/officeDocument/2006/relationships/footer" Target="footer10.xml"/><Relationship Id="rId3" Type="http://schemas.openxmlformats.org/officeDocument/2006/relationships/styles" Target="styles.xml"/><Relationship Id="rId21" Type="http://schemas.openxmlformats.org/officeDocument/2006/relationships/footer" Target="footer5.xml"/><Relationship Id="rId34" Type="http://schemas.openxmlformats.org/officeDocument/2006/relationships/header" Target="header12.xml"/><Relationship Id="rId42" Type="http://schemas.openxmlformats.org/officeDocument/2006/relationships/footer" Target="footer12.xml"/><Relationship Id="rId7" Type="http://schemas.openxmlformats.org/officeDocument/2006/relationships/footnotes" Target="footnotes.xml"/><Relationship Id="rId12" Type="http://schemas.openxmlformats.org/officeDocument/2006/relationships/header" Target="header1.xml"/><Relationship Id="rId17" Type="http://schemas.openxmlformats.org/officeDocument/2006/relationships/footer" Target="footer3.xml"/><Relationship Id="rId25" Type="http://schemas.openxmlformats.org/officeDocument/2006/relationships/header" Target="header7.xml"/><Relationship Id="rId33" Type="http://schemas.openxmlformats.org/officeDocument/2006/relationships/header" Target="header11.xml"/><Relationship Id="rId38" Type="http://schemas.openxmlformats.org/officeDocument/2006/relationships/header" Target="header16.xml"/><Relationship Id="rId2" Type="http://schemas.openxmlformats.org/officeDocument/2006/relationships/numbering" Target="numbering.xml"/><Relationship Id="rId16" Type="http://schemas.openxmlformats.org/officeDocument/2006/relationships/header" Target="header3.xml"/><Relationship Id="rId20" Type="http://schemas.openxmlformats.org/officeDocument/2006/relationships/footer" Target="footer4.xml"/><Relationship Id="rId29" Type="http://schemas.openxmlformats.org/officeDocument/2006/relationships/footer" Target="footer9.xml"/><Relationship Id="rId41" Type="http://schemas.openxmlformats.org/officeDocument/2006/relationships/header" Target="header17.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oleObject" Target="embeddings/oleObject1.bin"/><Relationship Id="rId24" Type="http://schemas.openxmlformats.org/officeDocument/2006/relationships/header" Target="header6.xml"/><Relationship Id="rId32" Type="http://schemas.openxmlformats.org/officeDocument/2006/relationships/header" Target="header10.xml"/><Relationship Id="rId37" Type="http://schemas.openxmlformats.org/officeDocument/2006/relationships/header" Target="header15.xml"/><Relationship Id="rId40" Type="http://schemas.openxmlformats.org/officeDocument/2006/relationships/footer" Target="footer11.xml"/><Relationship Id="rId45"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footer" Target="footer2.xml"/><Relationship Id="rId23" Type="http://schemas.openxmlformats.org/officeDocument/2006/relationships/image" Target="media/image3.png"/><Relationship Id="rId28" Type="http://schemas.openxmlformats.org/officeDocument/2006/relationships/header" Target="header8.xml"/><Relationship Id="rId36" Type="http://schemas.openxmlformats.org/officeDocument/2006/relationships/header" Target="header14.xml"/><Relationship Id="rId10" Type="http://schemas.openxmlformats.org/officeDocument/2006/relationships/image" Target="media/image2.wmf"/><Relationship Id="rId19" Type="http://schemas.openxmlformats.org/officeDocument/2006/relationships/header" Target="header5.xml"/><Relationship Id="rId31" Type="http://schemas.openxmlformats.org/officeDocument/2006/relationships/header" Target="header9.xml"/><Relationship Id="rId44"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footer" Target="footer1.xml"/><Relationship Id="rId22" Type="http://schemas.openxmlformats.org/officeDocument/2006/relationships/footer" Target="footer6.xml"/><Relationship Id="rId27" Type="http://schemas.openxmlformats.org/officeDocument/2006/relationships/footer" Target="footer8.xml"/><Relationship Id="rId30" Type="http://schemas.openxmlformats.org/officeDocument/2006/relationships/image" Target="media/image4.png"/><Relationship Id="rId35" Type="http://schemas.openxmlformats.org/officeDocument/2006/relationships/header" Target="header13.xml"/><Relationship Id="rId43" Type="http://schemas.openxmlformats.org/officeDocument/2006/relationships/header" Target="header1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F2583D6-6C9D-4630-9F30-309D8FE27FB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47</Pages>
  <Words>9071</Words>
  <Characters>49892</Characters>
  <Application>Microsoft Office Word</Application>
  <DocSecurity>0</DocSecurity>
  <Lines>1559</Lines>
  <Paragraphs>966</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57997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Community Protection (Offender Reporting) Regulations 2004 - 03-00-00</dc:title>
  <dc:subject/>
  <dc:creator/>
  <cp:keywords/>
  <dc:description/>
  <cp:lastModifiedBy>svcMRProcess</cp:lastModifiedBy>
  <cp:revision>4</cp:revision>
  <cp:lastPrinted>2014-04-04T05:23:00Z</cp:lastPrinted>
  <dcterms:created xsi:type="dcterms:W3CDTF">2020-03-05T07:06:00Z</dcterms:created>
  <dcterms:modified xsi:type="dcterms:W3CDTF">2020-03-05T07:06:00Z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31 Dec 2004 p 7025-39</vt:lpwstr>
  </property>
  <property fmtid="{D5CDD505-2E9C-101B-9397-08002B2CF9AE}" pid="3" name="CommencementDate">
    <vt:lpwstr>20140411</vt:lpwstr>
  </property>
  <property fmtid="{D5CDD505-2E9C-101B-9397-08002B2CF9AE}" pid="4" name="OwlsUID">
    <vt:i4>37311</vt:i4>
  </property>
  <property fmtid="{D5CDD505-2E9C-101B-9397-08002B2CF9AE}" pid="5" name="AsAtDate">
    <vt:lpwstr>11 Apr 2014</vt:lpwstr>
  </property>
  <property fmtid="{D5CDD505-2E9C-101B-9397-08002B2CF9AE}" pid="6" name="Suffix">
    <vt:lpwstr>03-00-00</vt:lpwstr>
  </property>
  <property fmtid="{D5CDD505-2E9C-101B-9397-08002B2CF9AE}" pid="7" name="DocumentType">
    <vt:lpwstr>Reg</vt:lpwstr>
  </property>
  <property fmtid="{D5CDD505-2E9C-101B-9397-08002B2CF9AE}" pid="8" name="ReprintNo">
    <vt:lpwstr>3</vt:lpwstr>
  </property>
  <property fmtid="{D5CDD505-2E9C-101B-9397-08002B2CF9AE}" pid="9" name="ReprintedAsAt">
    <vt:filetime>2014-04-10T16:00:00Z</vt:filetime>
  </property>
</Properties>
</file>