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bookmarkStart w:id="1" w:name="RuleErr_1"/>
      <w:r>
        <w:t>Fire and Emergency Services Superannuation Act 1985</w:t>
      </w:r>
    </w:p>
    <w:bookmarkEnd w:id="1"/>
    <w:p>
      <w:pPr>
        <w:pStyle w:val="NameofActRegPage1"/>
        <w:spacing w:before="1200" w:after="3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(Superannuation Fund) Regulations 1986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bookmarkStart w:id="2" w:name="RuleErr_3"/>
      <w:r>
        <w:rPr>
          <w:b/>
          <w:i/>
          <w:sz w:val="20"/>
        </w:rPr>
        <w:t>What the reprint includes</w:t>
      </w:r>
    </w:p>
    <w:bookmarkEnd w:id="2"/>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3723803" r:id="rId11"/>
        </w:object>
      </w:r>
    </w:p>
    <w:p>
      <w:pPr>
        <w:tabs>
          <w:tab w:val="left" w:pos="567"/>
          <w:tab w:val="left" w:pos="851"/>
        </w:tabs>
        <w:spacing w:before="120"/>
        <w:ind w:left="851" w:hanging="851"/>
        <w:rPr>
          <w:b/>
          <w:i/>
          <w:sz w:val="20"/>
        </w:rPr>
      </w:pPr>
      <w:r>
        <w:rPr>
          <w:b/>
          <w:sz w:val="20"/>
        </w:rPr>
        <w:tab/>
      </w:r>
      <w:r>
        <w:rPr>
          <w:b/>
          <w:sz w:val="20"/>
        </w:rPr>
        <w:tab/>
      </w:r>
      <w:bookmarkStart w:id="3" w:name="RuleErr_4"/>
      <w:r>
        <w:rPr>
          <w:b/>
          <w:i/>
          <w:sz w:val="20"/>
        </w:rPr>
        <w:t>Endnotes, Compilation table, and Table of provisions that have not come into operation</w:t>
      </w:r>
    </w:p>
    <w:bookmarkEnd w:id="3"/>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bookmarkStart w:id="4" w:name="RuleErr_5"/>
      <w:r>
        <w:rPr>
          <w:b/>
          <w:i/>
          <w:sz w:val="20"/>
        </w:rPr>
        <w:t>Notes amongst text (italicised and within square brackets)</w:t>
      </w:r>
    </w:p>
    <w:bookmarkEnd w:id="4"/>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bookmarkStart w:id="5" w:name="RuleErr_6"/>
      <w:r>
        <w:rPr>
          <w:b/>
          <w:i/>
          <w:sz w:val="20"/>
        </w:rPr>
        <w:tab/>
      </w:r>
      <w:r>
        <w:rPr>
          <w:b/>
          <w:i/>
          <w:sz w:val="20"/>
        </w:rPr>
        <w:tab/>
        <w:t>Reprint numbering and date</w:t>
      </w:r>
    </w:p>
    <w:bookmarkEnd w:id="5"/>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_Toc388519219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_Toc388519220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II — Interpretative provisions</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_Toc388519222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FES employees</w:t>
      </w:r>
      <w:r>
        <w:tab/>
      </w:r>
      <w:r>
        <w:fldChar w:fldCharType="begin"/>
      </w:r>
      <w:r>
        <w:instrText xml:space="preserve"> PAGEREF _Toc388519223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w:t>
      </w:r>
      <w:r>
        <w:tab/>
      </w:r>
      <w:r>
        <w:fldChar w:fldCharType="begin"/>
      </w:r>
      <w:r>
        <w:instrText xml:space="preserve"> PAGEREF _Toc388519224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Total permanent disablement</w:t>
      </w:r>
      <w:r>
        <w:tab/>
      </w:r>
      <w:r>
        <w:fldChar w:fldCharType="begin"/>
      </w:r>
      <w:r>
        <w:instrText xml:space="preserve"> PAGEREF _Toc388519225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Partial permanent disablement</w:t>
      </w:r>
      <w:r>
        <w:tab/>
      </w:r>
      <w:r>
        <w:fldChar w:fldCharType="begin"/>
      </w:r>
      <w:r>
        <w:instrText xml:space="preserve"> PAGEREF _Toc388519226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Superannuation salary</w:t>
      </w:r>
      <w:r>
        <w:tab/>
      </w:r>
      <w:r>
        <w:fldChar w:fldCharType="begin"/>
      </w:r>
      <w:r>
        <w:instrText xml:space="preserve"> PAGEREF _Toc388519227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Final average salary</w:t>
      </w:r>
      <w:r>
        <w:tab/>
      </w:r>
      <w:r>
        <w:fldChar w:fldCharType="begin"/>
      </w:r>
      <w:r>
        <w:instrText xml:space="preserve"> PAGEREF _Toc388519228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Dependants</w:t>
      </w:r>
      <w:r>
        <w:tab/>
      </w:r>
      <w:r>
        <w:fldChar w:fldCharType="begin"/>
      </w:r>
      <w:r>
        <w:instrText xml:space="preserve"> PAGEREF _Toc388519229 \h </w:instrText>
      </w:r>
      <w:r>
        <w:fldChar w:fldCharType="separate"/>
      </w:r>
      <w:r>
        <w:t>10</w:t>
      </w:r>
      <w:r>
        <w:fldChar w:fldCharType="end"/>
      </w:r>
    </w:p>
    <w:p>
      <w:pPr>
        <w:pStyle w:val="TOC8"/>
        <w:rPr>
          <w:rFonts w:asciiTheme="minorHAnsi" w:eastAsiaTheme="minorEastAsia" w:hAnsiTheme="minorHAnsi" w:cstheme="minorBidi"/>
          <w:szCs w:val="22"/>
        </w:rPr>
      </w:pPr>
      <w:r>
        <w:t>9B.</w:t>
      </w:r>
      <w:r>
        <w:tab/>
        <w:t>Earnings rate</w:t>
      </w:r>
      <w:r>
        <w:tab/>
      </w:r>
      <w:r>
        <w:fldChar w:fldCharType="begin"/>
      </w:r>
      <w:r>
        <w:instrText xml:space="preserve"> PAGEREF _Toc388519230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III — Membership of the Superannuation Fund</w:t>
      </w:r>
    </w:p>
    <w:p>
      <w:pPr>
        <w:pStyle w:val="TOC8"/>
        <w:rPr>
          <w:rFonts w:asciiTheme="minorHAnsi" w:eastAsiaTheme="minorEastAsia" w:hAnsiTheme="minorHAnsi" w:cstheme="minorBidi"/>
          <w:szCs w:val="22"/>
        </w:rPr>
      </w:pPr>
      <w:r>
        <w:t>11.</w:t>
      </w:r>
      <w:r>
        <w:tab/>
        <w:t>Membership of eligible FES employee</w:t>
      </w:r>
      <w:r>
        <w:tab/>
      </w:r>
      <w:r>
        <w:fldChar w:fldCharType="begin"/>
      </w:r>
      <w:r>
        <w:instrText xml:space="preserve"> PAGEREF _Toc388519232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Associated employees</w:t>
      </w:r>
      <w:r>
        <w:tab/>
      </w:r>
      <w:r>
        <w:fldChar w:fldCharType="begin"/>
      </w:r>
      <w:r>
        <w:instrText xml:space="preserve"> PAGEREF _Toc388519233 \h </w:instrText>
      </w:r>
      <w:r>
        <w:fldChar w:fldCharType="separate"/>
      </w:r>
      <w:r>
        <w:t>13</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Temporary and casual employees</w:t>
      </w:r>
      <w:r>
        <w:tab/>
      </w:r>
      <w:r>
        <w:fldChar w:fldCharType="begin"/>
      </w:r>
      <w:r>
        <w:instrText xml:space="preserve"> PAGEREF _Toc388519234 \h </w:instrText>
      </w:r>
      <w:r>
        <w:fldChar w:fldCharType="separate"/>
      </w:r>
      <w:r>
        <w:t>14</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Board members etc.</w:t>
      </w:r>
      <w:r>
        <w:tab/>
      </w:r>
      <w:r>
        <w:fldChar w:fldCharType="begin"/>
      </w:r>
      <w:r>
        <w:instrText xml:space="preserve"> PAGEREF _Toc388519235 \h </w:instrText>
      </w:r>
      <w:r>
        <w:fldChar w:fldCharType="separate"/>
      </w:r>
      <w:r>
        <w:t>15</w:t>
      </w:r>
      <w:r>
        <w:fldChar w:fldCharType="end"/>
      </w:r>
    </w:p>
    <w:p>
      <w:pPr>
        <w:pStyle w:val="TOC8"/>
        <w:rPr>
          <w:rFonts w:asciiTheme="minorHAnsi" w:eastAsiaTheme="minorEastAsia" w:hAnsiTheme="minorHAnsi" w:cstheme="minorBidi"/>
          <w:szCs w:val="22"/>
        </w:rPr>
      </w:pPr>
      <w:r>
        <w:t>12C.</w:t>
      </w:r>
      <w:r>
        <w:tab/>
        <w:t>Spouses and de facto partners of members</w:t>
      </w:r>
      <w:r>
        <w:tab/>
      </w:r>
      <w:r>
        <w:fldChar w:fldCharType="begin"/>
      </w:r>
      <w:r>
        <w:instrText xml:space="preserve"> PAGEREF _Toc388519236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Transfer of employment</w:t>
      </w:r>
      <w:r>
        <w:tab/>
      </w:r>
      <w:r>
        <w:fldChar w:fldCharType="begin"/>
      </w:r>
      <w:r>
        <w:instrText xml:space="preserve"> PAGEREF _Toc388519237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Category transfers</w:t>
      </w:r>
      <w:r>
        <w:tab/>
      </w:r>
      <w:r>
        <w:fldChar w:fldCharType="begin"/>
      </w:r>
      <w:r>
        <w:instrText xml:space="preserve"> PAGEREF _Toc388519238 \h </w:instrText>
      </w:r>
      <w:r>
        <w:fldChar w:fldCharType="separate"/>
      </w:r>
      <w:r>
        <w:t>17</w:t>
      </w:r>
      <w:r>
        <w:fldChar w:fldCharType="end"/>
      </w:r>
    </w:p>
    <w:p>
      <w:pPr>
        <w:pStyle w:val="TOC8"/>
        <w:rPr>
          <w:rFonts w:asciiTheme="minorHAnsi" w:eastAsiaTheme="minorEastAsia" w:hAnsiTheme="minorHAnsi" w:cstheme="minorBidi"/>
          <w:szCs w:val="22"/>
        </w:rPr>
      </w:pPr>
      <w:r>
        <w:t>14A.</w:t>
      </w:r>
      <w:r>
        <w:tab/>
        <w:t>Category A member may elect to transfer notional defined benefit to accumulation account</w:t>
      </w:r>
      <w:r>
        <w:tab/>
      </w:r>
      <w:r>
        <w:fldChar w:fldCharType="begin"/>
      </w:r>
      <w:r>
        <w:instrText xml:space="preserve"> PAGEREF _Toc388519239 \h </w:instrText>
      </w:r>
      <w:r>
        <w:fldChar w:fldCharType="separate"/>
      </w:r>
      <w:r>
        <w:t>18</w:t>
      </w:r>
      <w:r>
        <w:fldChar w:fldCharType="end"/>
      </w:r>
    </w:p>
    <w:p>
      <w:pPr>
        <w:pStyle w:val="TOC2"/>
        <w:tabs>
          <w:tab w:val="right" w:leader="dot" w:pos="7078"/>
        </w:tabs>
        <w:rPr>
          <w:rFonts w:asciiTheme="minorHAnsi" w:eastAsiaTheme="minorEastAsia" w:hAnsiTheme="minorHAnsi" w:cstheme="minorBidi"/>
          <w:b w:val="0"/>
          <w:sz w:val="22"/>
          <w:szCs w:val="22"/>
        </w:rPr>
      </w:pPr>
      <w:r>
        <w:t>Part IV — Contributions to the Fund</w:t>
      </w:r>
    </w:p>
    <w:p>
      <w:pPr>
        <w:pStyle w:val="TOC8"/>
        <w:rPr>
          <w:rFonts w:asciiTheme="minorHAnsi" w:eastAsiaTheme="minorEastAsia" w:hAnsiTheme="minorHAnsi" w:cstheme="minorBidi"/>
          <w:szCs w:val="22"/>
        </w:rPr>
      </w:pPr>
      <w:r>
        <w:t>15</w:t>
      </w:r>
      <w:r>
        <w:rPr>
          <w:snapToGrid w:val="0"/>
        </w:rPr>
        <w:t>.</w:t>
      </w:r>
      <w:r>
        <w:rPr>
          <w:snapToGrid w:val="0"/>
        </w:rPr>
        <w:tab/>
        <w:t>Contributions by members</w:t>
      </w:r>
      <w:r>
        <w:tab/>
      </w:r>
      <w:r>
        <w:fldChar w:fldCharType="begin"/>
      </w:r>
      <w:r>
        <w:instrText xml:space="preserve"> PAGEREF _Toc388519241 \h </w:instrText>
      </w:r>
      <w:r>
        <w:fldChar w:fldCharType="separate"/>
      </w:r>
      <w:r>
        <w:t>20</w:t>
      </w:r>
      <w:r>
        <w:fldChar w:fldCharType="end"/>
      </w:r>
    </w:p>
    <w:p>
      <w:pPr>
        <w:pStyle w:val="TOC8"/>
        <w:rPr>
          <w:rFonts w:asciiTheme="minorHAnsi" w:eastAsiaTheme="minorEastAsia" w:hAnsiTheme="minorHAnsi" w:cstheme="minorBidi"/>
          <w:szCs w:val="22"/>
        </w:rPr>
      </w:pPr>
      <w:r>
        <w:t>15A.</w:t>
      </w:r>
      <w:r>
        <w:tab/>
        <w:t>Contributions for Category C member</w:t>
      </w:r>
      <w:r>
        <w:tab/>
      </w:r>
      <w:r>
        <w:fldChar w:fldCharType="begin"/>
      </w:r>
      <w:r>
        <w:instrText xml:space="preserve"> PAGEREF _Toc388519242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Contributions by employers — Category A members</w:t>
      </w:r>
      <w:r>
        <w:tab/>
      </w:r>
      <w:r>
        <w:fldChar w:fldCharType="begin"/>
      </w:r>
      <w:r>
        <w:instrText xml:space="preserve"> PAGEREF _Toc388519243 \h </w:instrText>
      </w:r>
      <w:r>
        <w:fldChar w:fldCharType="separate"/>
      </w:r>
      <w:r>
        <w:t>21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Contributions by employers — Category B members</w:t>
      </w:r>
      <w:r>
        <w:tab/>
      </w:r>
      <w:r>
        <w:fldChar w:fldCharType="begin"/>
      </w:r>
      <w:r>
        <w:instrText xml:space="preserve"> PAGEREF _Toc388519244 \h </w:instrText>
      </w:r>
      <w:r>
        <w:fldChar w:fldCharType="separate"/>
      </w:r>
      <w:r>
        <w:t>24</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Contributions by employers — supplementary disablement benefits</w:t>
      </w:r>
      <w:r>
        <w:tab/>
      </w:r>
      <w:r>
        <w:fldChar w:fldCharType="begin"/>
      </w:r>
      <w:r>
        <w:instrText xml:space="preserve"> PAGEREF _Toc388519245 \h </w:instrText>
      </w:r>
      <w:r>
        <w:fldChar w:fldCharType="separate"/>
      </w:r>
      <w:r>
        <w:t>25</w:t>
      </w:r>
      <w:r>
        <w:fldChar w:fldCharType="end"/>
      </w:r>
    </w:p>
    <w:p>
      <w:pPr>
        <w:pStyle w:val="TOC8"/>
        <w:rPr>
          <w:rFonts w:asciiTheme="minorHAnsi" w:eastAsiaTheme="minorEastAsia" w:hAnsiTheme="minorHAnsi" w:cstheme="minorBidi"/>
          <w:szCs w:val="22"/>
        </w:rPr>
      </w:pPr>
      <w:r>
        <w:t>16BA.</w:t>
      </w:r>
      <w:r>
        <w:tab/>
        <w:t>Acceptance of Commonwealth payments</w:t>
      </w:r>
      <w:r>
        <w:tab/>
      </w:r>
      <w:r>
        <w:fldChar w:fldCharType="begin"/>
      </w:r>
      <w:r>
        <w:instrText xml:space="preserve"> PAGEREF _Toc388519246 \h </w:instrText>
      </w:r>
      <w:r>
        <w:fldChar w:fldCharType="separate"/>
      </w:r>
      <w:r>
        <w:t>25</w:t>
      </w:r>
      <w:r>
        <w:fldChar w:fldCharType="end"/>
      </w:r>
    </w:p>
    <w:p>
      <w:pPr>
        <w:pStyle w:val="TOC8"/>
        <w:rPr>
          <w:rFonts w:asciiTheme="minorHAnsi" w:eastAsiaTheme="minorEastAsia" w:hAnsiTheme="minorHAnsi" w:cstheme="minorBidi"/>
          <w:szCs w:val="22"/>
        </w:rPr>
      </w:pPr>
      <w:r>
        <w:t>16BB.</w:t>
      </w:r>
      <w:r>
        <w:tab/>
        <w:t>Contribution splitting</w:t>
      </w:r>
      <w:r>
        <w:tab/>
      </w:r>
      <w:r>
        <w:fldChar w:fldCharType="begin"/>
      </w:r>
      <w:r>
        <w:instrText xml:space="preserve"> PAGEREF _Toc388519247 \h </w:instrText>
      </w:r>
      <w:r>
        <w:fldChar w:fldCharType="separate"/>
      </w:r>
      <w:r>
        <w:t>26</w:t>
      </w:r>
      <w:r>
        <w:fldChar w:fldCharType="end"/>
      </w:r>
    </w:p>
    <w:p>
      <w:pPr>
        <w:pStyle w:val="TOC8"/>
        <w:rPr>
          <w:rFonts w:asciiTheme="minorHAnsi" w:eastAsiaTheme="minorEastAsia" w:hAnsiTheme="minorHAnsi" w:cstheme="minorBidi"/>
          <w:szCs w:val="22"/>
        </w:rPr>
      </w:pPr>
      <w:r>
        <w:t>16C.</w:t>
      </w:r>
      <w:r>
        <w:tab/>
        <w:t>Accumulation accounts</w:t>
      </w:r>
      <w:r>
        <w:tab/>
      </w:r>
      <w:r>
        <w:fldChar w:fldCharType="begin"/>
      </w:r>
      <w:r>
        <w:instrText xml:space="preserve"> PAGEREF _Toc388519248 \h </w:instrText>
      </w:r>
      <w:r>
        <w:fldChar w:fldCharType="separate"/>
      </w:r>
      <w:r>
        <w:t>26</w:t>
      </w:r>
      <w:r>
        <w:fldChar w:fldCharType="end"/>
      </w:r>
    </w:p>
    <w:p>
      <w:pPr>
        <w:pStyle w:val="TOC8"/>
        <w:rPr>
          <w:rFonts w:asciiTheme="minorHAnsi" w:eastAsiaTheme="minorEastAsia" w:hAnsiTheme="minorHAnsi" w:cstheme="minorBidi"/>
          <w:szCs w:val="22"/>
        </w:rPr>
      </w:pPr>
      <w:r>
        <w:t>16D.</w:t>
      </w:r>
      <w:r>
        <w:tab/>
        <w:t>Insurance for Category B members</w:t>
      </w:r>
      <w:r>
        <w:tab/>
      </w:r>
      <w:r>
        <w:fldChar w:fldCharType="begin"/>
      </w:r>
      <w:r>
        <w:instrText xml:space="preserve"> PAGEREF _Toc388519249 \h </w:instrText>
      </w:r>
      <w:r>
        <w:fldChar w:fldCharType="separate"/>
      </w:r>
      <w:r>
        <w:t>29</w:t>
      </w:r>
      <w:r>
        <w:fldChar w:fldCharType="end"/>
      </w:r>
    </w:p>
    <w:p>
      <w:pPr>
        <w:pStyle w:val="TOC2"/>
        <w:tabs>
          <w:tab w:val="right" w:leader="dot" w:pos="7078"/>
        </w:tabs>
        <w:rPr>
          <w:rFonts w:asciiTheme="minorHAnsi" w:eastAsiaTheme="minorEastAsia" w:hAnsiTheme="minorHAnsi" w:cstheme="minorBidi"/>
          <w:b w:val="0"/>
          <w:sz w:val="22"/>
          <w:szCs w:val="22"/>
        </w:rPr>
      </w:pPr>
      <w:r>
        <w:t>Part V — Benefits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Entitlement to benefits</w:t>
      </w:r>
    </w:p>
    <w:p>
      <w:pPr>
        <w:pStyle w:val="TOC8"/>
        <w:rPr>
          <w:rFonts w:asciiTheme="minorHAnsi" w:eastAsiaTheme="minorEastAsia" w:hAnsiTheme="minorHAnsi" w:cstheme="minorBidi"/>
          <w:szCs w:val="22"/>
        </w:rPr>
      </w:pPr>
      <w:r>
        <w:t>17.</w:t>
      </w:r>
      <w:r>
        <w:tab/>
        <w:t>Death benefit — Category A</w:t>
      </w:r>
      <w:r>
        <w:tab/>
      </w:r>
      <w:r>
        <w:fldChar w:fldCharType="begin"/>
      </w:r>
      <w:r>
        <w:instrText xml:space="preserve"> PAGEREF _Toc388519252 \h </w:instrText>
      </w:r>
      <w:r>
        <w:fldChar w:fldCharType="separate"/>
      </w:r>
      <w:r>
        <w:t>30</w:t>
      </w:r>
      <w:r>
        <w:fldChar w:fldCharType="end"/>
      </w:r>
    </w:p>
    <w:p>
      <w:pPr>
        <w:pStyle w:val="TOC8"/>
        <w:rPr>
          <w:rFonts w:asciiTheme="minorHAnsi" w:eastAsiaTheme="minorEastAsia" w:hAnsiTheme="minorHAnsi" w:cstheme="minorBidi"/>
          <w:szCs w:val="22"/>
        </w:rPr>
      </w:pPr>
      <w:r>
        <w:t>18.</w:t>
      </w:r>
      <w:r>
        <w:tab/>
        <w:t>Total and permanent disablement benefit — Category A</w:t>
      </w:r>
      <w:r>
        <w:tab/>
      </w:r>
      <w:r>
        <w:fldChar w:fldCharType="begin"/>
      </w:r>
      <w:r>
        <w:instrText xml:space="preserve"> PAGEREF _Toc388519253 \h </w:instrText>
      </w:r>
      <w:r>
        <w:fldChar w:fldCharType="separate"/>
      </w:r>
      <w:r>
        <w:t>30</w:t>
      </w:r>
      <w:r>
        <w:fldChar w:fldCharType="end"/>
      </w:r>
    </w:p>
    <w:p>
      <w:pPr>
        <w:pStyle w:val="TOC8"/>
        <w:rPr>
          <w:rFonts w:asciiTheme="minorHAnsi" w:eastAsiaTheme="minorEastAsia" w:hAnsiTheme="minorHAnsi" w:cstheme="minorBidi"/>
          <w:szCs w:val="22"/>
        </w:rPr>
      </w:pPr>
      <w:r>
        <w:t>19.</w:t>
      </w:r>
      <w:r>
        <w:tab/>
        <w:t>Partial and permanent disablement benefit — Category A</w:t>
      </w:r>
      <w:r>
        <w:tab/>
      </w:r>
      <w:r>
        <w:fldChar w:fldCharType="begin"/>
      </w:r>
      <w:r>
        <w:instrText xml:space="preserve"> PAGEREF _Toc388519254 \h </w:instrText>
      </w:r>
      <w:r>
        <w:fldChar w:fldCharType="separate"/>
      </w:r>
      <w:r>
        <w:t>31</w:t>
      </w:r>
      <w:r>
        <w:fldChar w:fldCharType="end"/>
      </w:r>
    </w:p>
    <w:p>
      <w:pPr>
        <w:pStyle w:val="TOC8"/>
        <w:rPr>
          <w:rFonts w:asciiTheme="minorHAnsi" w:eastAsiaTheme="minorEastAsia" w:hAnsiTheme="minorHAnsi" w:cstheme="minorBidi"/>
          <w:szCs w:val="22"/>
        </w:rPr>
      </w:pPr>
      <w:r>
        <w:t>20.</w:t>
      </w:r>
      <w:r>
        <w:tab/>
        <w:t>Continuing in employment after 65 — Category A</w:t>
      </w:r>
      <w:r>
        <w:tab/>
      </w:r>
      <w:r>
        <w:fldChar w:fldCharType="begin"/>
      </w:r>
      <w:r>
        <w:instrText xml:space="preserve"> PAGEREF _Toc388519255 \h </w:instrText>
      </w:r>
      <w:r>
        <w:fldChar w:fldCharType="separate"/>
      </w:r>
      <w:r>
        <w:t>31</w:t>
      </w:r>
      <w:r>
        <w:fldChar w:fldCharType="end"/>
      </w:r>
    </w:p>
    <w:p>
      <w:pPr>
        <w:pStyle w:val="TOC8"/>
        <w:rPr>
          <w:rFonts w:asciiTheme="minorHAnsi" w:eastAsiaTheme="minorEastAsia" w:hAnsiTheme="minorHAnsi" w:cstheme="minorBidi"/>
          <w:szCs w:val="22"/>
        </w:rPr>
      </w:pPr>
      <w:r>
        <w:t>21.</w:t>
      </w:r>
      <w:r>
        <w:tab/>
        <w:t>Leaving service benefit — Category A</w:t>
      </w:r>
      <w:r>
        <w:tab/>
      </w:r>
      <w:r>
        <w:fldChar w:fldCharType="begin"/>
      </w:r>
      <w:r>
        <w:instrText xml:space="preserve"> PAGEREF _Toc388519256 \h </w:instrText>
      </w:r>
      <w:r>
        <w:fldChar w:fldCharType="separate"/>
      </w:r>
      <w:r>
        <w:t>31</w:t>
      </w:r>
      <w:r>
        <w:fldChar w:fldCharType="end"/>
      </w:r>
    </w:p>
    <w:p>
      <w:pPr>
        <w:pStyle w:val="TOC8"/>
        <w:rPr>
          <w:rFonts w:asciiTheme="minorHAnsi" w:eastAsiaTheme="minorEastAsia" w:hAnsiTheme="minorHAnsi" w:cstheme="minorBidi"/>
          <w:szCs w:val="22"/>
        </w:rPr>
      </w:pPr>
      <w:r>
        <w:t>21A.</w:t>
      </w:r>
      <w:r>
        <w:tab/>
        <w:t>Benefit — Category B</w:t>
      </w:r>
      <w:r>
        <w:tab/>
      </w:r>
      <w:r>
        <w:fldChar w:fldCharType="begin"/>
      </w:r>
      <w:r>
        <w:instrText xml:space="preserve"> PAGEREF _Toc388519257 \h </w:instrText>
      </w:r>
      <w:r>
        <w:fldChar w:fldCharType="separate"/>
      </w:r>
      <w:r>
        <w:t>32</w:t>
      </w:r>
      <w:r>
        <w:fldChar w:fldCharType="end"/>
      </w:r>
    </w:p>
    <w:p>
      <w:pPr>
        <w:pStyle w:val="TOC8"/>
        <w:rPr>
          <w:rFonts w:asciiTheme="minorHAnsi" w:eastAsiaTheme="minorEastAsia" w:hAnsiTheme="minorHAnsi" w:cstheme="minorBidi"/>
          <w:szCs w:val="22"/>
        </w:rPr>
      </w:pPr>
      <w:r>
        <w:t>21AA.</w:t>
      </w:r>
      <w:r>
        <w:tab/>
        <w:t>Benefit — Category C</w:t>
      </w:r>
      <w:r>
        <w:tab/>
      </w:r>
      <w:r>
        <w:fldChar w:fldCharType="begin"/>
      </w:r>
      <w:r>
        <w:instrText xml:space="preserve"> PAGEREF _Toc388519258 \h </w:instrText>
      </w:r>
      <w:r>
        <w:fldChar w:fldCharType="separate"/>
      </w:r>
      <w:r>
        <w:t>33</w:t>
      </w:r>
      <w:r>
        <w:fldChar w:fldCharType="end"/>
      </w:r>
    </w:p>
    <w:p>
      <w:pPr>
        <w:pStyle w:val="TOC8"/>
        <w:rPr>
          <w:rFonts w:asciiTheme="minorHAnsi" w:eastAsiaTheme="minorEastAsia" w:hAnsiTheme="minorHAnsi" w:cstheme="minorBidi"/>
          <w:szCs w:val="22"/>
        </w:rPr>
      </w:pPr>
      <w:r>
        <w:t>21AB.</w:t>
      </w:r>
      <w:r>
        <w:tab/>
        <w:t>Phased retirement benefit</w:t>
      </w:r>
      <w:r>
        <w:tab/>
      </w:r>
      <w:r>
        <w:fldChar w:fldCharType="begin"/>
      </w:r>
      <w:r>
        <w:instrText xml:space="preserve"> PAGEREF _Toc388519259 \h </w:instrText>
      </w:r>
      <w:r>
        <w:fldChar w:fldCharType="separate"/>
      </w:r>
      <w:r>
        <w:t>33</w:t>
      </w:r>
      <w:r>
        <w:fldChar w:fldCharType="end"/>
      </w:r>
    </w:p>
    <w:p>
      <w:pPr>
        <w:pStyle w:val="TOC8"/>
        <w:rPr>
          <w:rFonts w:asciiTheme="minorHAnsi" w:eastAsiaTheme="minorEastAsia" w:hAnsiTheme="minorHAnsi" w:cstheme="minorBidi"/>
          <w:szCs w:val="22"/>
        </w:rPr>
      </w:pPr>
      <w:r>
        <w:t>21AC.</w:t>
      </w:r>
      <w:r>
        <w:tab/>
        <w:t>Increased death benefit in certain cases</w:t>
      </w:r>
      <w:r>
        <w:tab/>
      </w:r>
      <w:r>
        <w:fldChar w:fldCharType="begin"/>
      </w:r>
      <w:r>
        <w:instrText xml:space="preserve"> PAGEREF _Toc388519260 \h </w:instrText>
      </w:r>
      <w:r>
        <w:fldChar w:fldCharType="separate"/>
      </w:r>
      <w:r>
        <w:t>34</w:t>
      </w:r>
      <w:r>
        <w:fldChar w:fldCharType="end"/>
      </w:r>
    </w:p>
    <w:p>
      <w:pPr>
        <w:pStyle w:val="TOC8"/>
        <w:rPr>
          <w:rFonts w:asciiTheme="minorHAnsi" w:eastAsiaTheme="minorEastAsia" w:hAnsiTheme="minorHAnsi" w:cstheme="minorBidi"/>
          <w:szCs w:val="22"/>
        </w:rPr>
      </w:pPr>
      <w:r>
        <w:t>21B.</w:t>
      </w:r>
      <w:r>
        <w:tab/>
        <w:t>Payment of benefits</w:t>
      </w:r>
      <w:r>
        <w:tab/>
      </w:r>
      <w:r>
        <w:fldChar w:fldCharType="begin"/>
      </w:r>
      <w:r>
        <w:instrText xml:space="preserve"> PAGEREF _Toc388519261 \h </w:instrText>
      </w:r>
      <w:r>
        <w:fldChar w:fldCharType="separate"/>
      </w:r>
      <w:r>
        <w:t>35</w:t>
      </w:r>
      <w:r>
        <w:fldChar w:fldCharType="end"/>
      </w:r>
    </w:p>
    <w:p>
      <w:pPr>
        <w:pStyle w:val="TOC8"/>
        <w:rPr>
          <w:rFonts w:asciiTheme="minorHAnsi" w:eastAsiaTheme="minorEastAsia" w:hAnsiTheme="minorHAnsi" w:cstheme="minorBidi"/>
          <w:szCs w:val="22"/>
        </w:rPr>
      </w:pPr>
      <w:r>
        <w:t>21C.</w:t>
      </w:r>
      <w:r>
        <w:tab/>
        <w:t>Preservation</w:t>
      </w:r>
      <w:r>
        <w:tab/>
      </w:r>
      <w:r>
        <w:fldChar w:fldCharType="begin"/>
      </w:r>
      <w:r>
        <w:instrText xml:space="preserve"> PAGEREF _Toc388519262 \h </w:instrText>
      </w:r>
      <w:r>
        <w:fldChar w:fldCharType="separate"/>
      </w:r>
      <w:r>
        <w:t>36</w:t>
      </w:r>
      <w:r>
        <w:fldChar w:fldCharType="end"/>
      </w:r>
    </w:p>
    <w:p>
      <w:pPr>
        <w:pStyle w:val="TOC8"/>
        <w:rPr>
          <w:rFonts w:asciiTheme="minorHAnsi" w:eastAsiaTheme="minorEastAsia" w:hAnsiTheme="minorHAnsi" w:cstheme="minorBidi"/>
          <w:szCs w:val="22"/>
        </w:rPr>
      </w:pPr>
      <w:r>
        <w:t>21D.</w:t>
      </w:r>
      <w:r>
        <w:tab/>
        <w:t>Delay in payment of benefit</w:t>
      </w:r>
      <w:r>
        <w:tab/>
      </w:r>
      <w:r>
        <w:fldChar w:fldCharType="begin"/>
      </w:r>
      <w:r>
        <w:instrText xml:space="preserve"> PAGEREF _Toc388519263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Retirement benefits — pension option</w:t>
      </w:r>
      <w:r>
        <w:tab/>
      </w:r>
      <w:r>
        <w:fldChar w:fldCharType="begin"/>
      </w:r>
      <w:r>
        <w:instrText xml:space="preserve"> PAGEREF _Toc388519264 \h </w:instrText>
      </w:r>
      <w:r>
        <w:fldChar w:fldCharType="separate"/>
      </w:r>
      <w:r>
        <w:t>37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Supplementary disablement benefits</w:t>
      </w:r>
      <w:r>
        <w:tab/>
      </w:r>
      <w:r>
        <w:fldChar w:fldCharType="begin"/>
      </w:r>
      <w:r>
        <w:instrText xml:space="preserve"> PAGEREF _Toc388519265 \h </w:instrText>
      </w:r>
      <w:r>
        <w:fldChar w:fldCharType="separate"/>
      </w:r>
      <w:r>
        <w:t>38</w:t>
      </w:r>
      <w:r>
        <w:fldChar w:fldCharType="end"/>
      </w:r>
    </w:p>
    <w:p>
      <w:pPr>
        <w:pStyle w:val="TOC8"/>
        <w:rPr>
          <w:rFonts w:asciiTheme="minorHAnsi" w:eastAsiaTheme="minorEastAsia" w:hAnsiTheme="minorHAnsi" w:cstheme="minorBidi"/>
          <w:szCs w:val="22"/>
        </w:rPr>
      </w:pPr>
      <w:r>
        <w:t>23BA</w:t>
      </w:r>
      <w:r>
        <w:rPr>
          <w:snapToGrid w:val="0"/>
        </w:rPr>
        <w:t>.</w:t>
      </w:r>
      <w:r>
        <w:rPr>
          <w:snapToGrid w:val="0"/>
        </w:rPr>
        <w:tab/>
        <w:t>Electing another method of payment — supplementary disablement benefits</w:t>
      </w:r>
      <w:r>
        <w:tab/>
      </w:r>
      <w:r>
        <w:fldChar w:fldCharType="begin"/>
      </w:r>
      <w:r>
        <w:instrText xml:space="preserve"> PAGEREF _Toc388519266 \h </w:instrText>
      </w:r>
      <w:r>
        <w:fldChar w:fldCharType="separate"/>
      </w:r>
      <w:r>
        <w:t>41</w:t>
      </w:r>
      <w:r>
        <w:fldChar w:fldCharType="end"/>
      </w:r>
    </w:p>
    <w:p>
      <w:pPr>
        <w:pStyle w:val="TOC8"/>
        <w:rPr>
          <w:rFonts w:asciiTheme="minorHAnsi" w:eastAsiaTheme="minorEastAsia" w:hAnsiTheme="minorHAnsi" w:cstheme="minorBidi"/>
          <w:szCs w:val="22"/>
        </w:rPr>
      </w:pPr>
      <w:r>
        <w:t>23C.</w:t>
      </w:r>
      <w:r>
        <w:tab/>
        <w:t>Benefit on death of supplementary disablement beneficiary</w:t>
      </w:r>
      <w:r>
        <w:tab/>
      </w:r>
      <w:r>
        <w:fldChar w:fldCharType="begin"/>
      </w:r>
      <w:r>
        <w:instrText xml:space="preserve"> PAGEREF _Toc388519267 \h </w:instrText>
      </w:r>
      <w:r>
        <w:fldChar w:fldCharType="separate"/>
      </w:r>
      <w:r>
        <w:t>43</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Review of supplementary disablement benefits</w:t>
      </w:r>
      <w:r>
        <w:tab/>
      </w:r>
      <w:r>
        <w:fldChar w:fldCharType="begin"/>
      </w:r>
      <w:r>
        <w:instrText xml:space="preserve"> PAGEREF _Toc388519268 \h </w:instrText>
      </w:r>
      <w:r>
        <w:fldChar w:fldCharType="separate"/>
      </w:r>
      <w:r>
        <w:t>43</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Payment of benefits</w:t>
      </w:r>
    </w:p>
    <w:p>
      <w:pPr>
        <w:pStyle w:val="TOC8"/>
        <w:rPr>
          <w:rFonts w:asciiTheme="minorHAnsi" w:eastAsiaTheme="minorEastAsia" w:hAnsiTheme="minorHAnsi" w:cstheme="minorBidi"/>
          <w:szCs w:val="22"/>
        </w:rPr>
      </w:pPr>
      <w:r>
        <w:t>24</w:t>
      </w:r>
      <w:r>
        <w:rPr>
          <w:snapToGrid w:val="0"/>
        </w:rPr>
        <w:t>.</w:t>
      </w:r>
      <w:r>
        <w:rPr>
          <w:snapToGrid w:val="0"/>
        </w:rPr>
        <w:tab/>
        <w:t>Term used: benefit</w:t>
      </w:r>
      <w:r>
        <w:tab/>
      </w:r>
      <w:r>
        <w:fldChar w:fldCharType="begin"/>
      </w:r>
      <w:r>
        <w:instrText xml:space="preserve"> PAGEREF _Toc388519270 \h </w:instrText>
      </w:r>
      <w:r>
        <w:fldChar w:fldCharType="separate"/>
      </w:r>
      <w:r>
        <w:t>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of benefits in respect of deceased members</w:t>
      </w:r>
      <w:r>
        <w:tab/>
      </w:r>
      <w:r>
        <w:fldChar w:fldCharType="begin"/>
      </w:r>
      <w:r>
        <w:instrText xml:space="preserve"> PAGEREF _Toc388519271 \h </w:instrText>
      </w:r>
      <w:r>
        <w:fldChar w:fldCharType="separate"/>
      </w:r>
      <w:r>
        <w:t>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Nomination of dependants to receive benefits</w:t>
      </w:r>
      <w:r>
        <w:tab/>
      </w:r>
      <w:r>
        <w:fldChar w:fldCharType="begin"/>
      </w:r>
      <w:r>
        <w:instrText xml:space="preserve"> PAGEREF _Toc388519272 \h </w:instrText>
      </w:r>
      <w:r>
        <w:fldChar w:fldCharType="separate"/>
      </w:r>
      <w:r>
        <w:t>47</w:t>
      </w:r>
      <w:r>
        <w:fldChar w:fldCharType="end"/>
      </w:r>
    </w:p>
    <w:p>
      <w:pPr>
        <w:pStyle w:val="TOC8"/>
        <w:rPr>
          <w:rFonts w:asciiTheme="minorHAnsi" w:eastAsiaTheme="minorEastAsia" w:hAnsiTheme="minorHAnsi" w:cstheme="minorBidi"/>
          <w:szCs w:val="22"/>
        </w:rPr>
      </w:pPr>
      <w:r>
        <w:t>26.</w:t>
      </w:r>
      <w:r>
        <w:tab/>
        <w:t>Death benefits — direction as to payment</w:t>
      </w:r>
      <w:r>
        <w:tab/>
      </w:r>
      <w:r>
        <w:fldChar w:fldCharType="begin"/>
      </w:r>
      <w:r>
        <w:instrText xml:space="preserve"> PAGEREF _Toc388519273 \h </w:instrText>
      </w:r>
      <w:r>
        <w:fldChar w:fldCharType="separate"/>
      </w:r>
      <w:r>
        <w:t>47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Time and mode of payment of benefits</w:t>
      </w:r>
      <w:r>
        <w:tab/>
      </w:r>
      <w:r>
        <w:fldChar w:fldCharType="begin"/>
      </w:r>
      <w:r>
        <w:instrText xml:space="preserve"> PAGEREF _Toc388519274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Proofs</w:t>
      </w:r>
      <w:r>
        <w:tab/>
      </w:r>
      <w:r>
        <w:fldChar w:fldCharType="begin"/>
      </w:r>
      <w:r>
        <w:instrText xml:space="preserve"> PAGEREF _Toc388519275 \h </w:instrText>
      </w:r>
      <w:r>
        <w:fldChar w:fldCharType="separate"/>
      </w:r>
      <w:r>
        <w:t>49</w:t>
      </w:r>
      <w:r>
        <w:fldChar w:fldCharType="end"/>
      </w:r>
    </w:p>
    <w:p>
      <w:pPr>
        <w:pStyle w:val="TOC4"/>
        <w:tabs>
          <w:tab w:val="right" w:leader="dot" w:pos="7078"/>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29.</w:t>
      </w:r>
      <w:r>
        <w:tab/>
        <w:t>Unclaimed benefits</w:t>
      </w:r>
      <w:r>
        <w:tab/>
      </w:r>
      <w:r>
        <w:fldChar w:fldCharType="begin"/>
      </w:r>
      <w:r>
        <w:instrText xml:space="preserve"> PAGEREF _Toc388519277 \h </w:instrText>
      </w:r>
      <w:r>
        <w:fldChar w:fldCharType="separate"/>
      </w:r>
      <w:r>
        <w:t>49</w:t>
      </w:r>
      <w:r>
        <w:fldChar w:fldCharType="end"/>
      </w:r>
    </w:p>
    <w:p>
      <w:pPr>
        <w:pStyle w:val="TOC8"/>
        <w:rPr>
          <w:rFonts w:asciiTheme="minorHAnsi" w:eastAsiaTheme="minorEastAsia" w:hAnsiTheme="minorHAnsi" w:cstheme="minorBidi"/>
          <w:szCs w:val="22"/>
        </w:rPr>
      </w:pPr>
      <w:r>
        <w:t>30.</w:t>
      </w:r>
      <w:r>
        <w:tab/>
        <w:t>Assignment or charge of benefit prohibited</w:t>
      </w:r>
      <w:r>
        <w:tab/>
      </w:r>
      <w:r>
        <w:fldChar w:fldCharType="begin"/>
      </w:r>
      <w:r>
        <w:instrText xml:space="preserve"> PAGEREF _Toc388519278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Deduction of tax from benefits</w:t>
      </w:r>
      <w:r>
        <w:tab/>
      </w:r>
      <w:r>
        <w:fldChar w:fldCharType="begin"/>
      </w:r>
      <w:r>
        <w:instrText xml:space="preserve"> PAGEREF _Toc388519279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Reduction of benefits to the extent of any amount not insured</w:t>
      </w:r>
      <w:r>
        <w:tab/>
      </w:r>
      <w:r>
        <w:fldChar w:fldCharType="begin"/>
      </w:r>
      <w:r>
        <w:instrText xml:space="preserve"> PAGEREF _Toc388519280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Reduction of benefits in case of previous disease or disability</w:t>
      </w:r>
      <w:r>
        <w:tab/>
      </w:r>
      <w:r>
        <w:fldChar w:fldCharType="begin"/>
      </w:r>
      <w:r>
        <w:instrText xml:space="preserve"> PAGEREF _Toc388519281 \h </w:instrText>
      </w:r>
      <w:r>
        <w:fldChar w:fldCharType="separate"/>
      </w:r>
      <w:r>
        <w:t>51</w:t>
      </w:r>
      <w:r>
        <w:fldChar w:fldCharType="end"/>
      </w:r>
    </w:p>
    <w:p>
      <w:pPr>
        <w:pStyle w:val="TOC2"/>
        <w:tabs>
          <w:tab w:val="right" w:leader="dot" w:pos="7078"/>
        </w:tabs>
        <w:rPr>
          <w:rFonts w:asciiTheme="minorHAnsi" w:eastAsiaTheme="minorEastAsia" w:hAnsiTheme="minorHAnsi" w:cstheme="minorBidi"/>
          <w:b w:val="0"/>
          <w:sz w:val="22"/>
          <w:szCs w:val="22"/>
        </w:rPr>
      </w:pPr>
      <w:r>
        <w:t>Part VI — Associated employers</w:t>
      </w:r>
    </w:p>
    <w:p>
      <w:pPr>
        <w:pStyle w:val="TOC8"/>
        <w:rPr>
          <w:rFonts w:asciiTheme="minorHAnsi" w:eastAsiaTheme="minorEastAsia" w:hAnsiTheme="minorHAnsi" w:cstheme="minorBidi"/>
          <w:szCs w:val="22"/>
        </w:rPr>
      </w:pPr>
      <w:r>
        <w:t>34</w:t>
      </w:r>
      <w:r>
        <w:rPr>
          <w:snapToGrid w:val="0"/>
        </w:rPr>
        <w:t>.</w:t>
      </w:r>
      <w:r>
        <w:rPr>
          <w:snapToGrid w:val="0"/>
        </w:rPr>
        <w:tab/>
        <w:t>Superannuation Board is an associated employer</w:t>
      </w:r>
      <w:r>
        <w:tab/>
      </w:r>
      <w:r>
        <w:fldChar w:fldCharType="begin"/>
      </w:r>
      <w:r>
        <w:instrText xml:space="preserve"> PAGEREF _Toc388519283 \h </w:instrText>
      </w:r>
      <w:r>
        <w:fldChar w:fldCharType="separate"/>
      </w:r>
      <w:r>
        <w:t>53</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Admission of other associated employers</w:t>
      </w:r>
      <w:r>
        <w:tab/>
      </w:r>
      <w:r>
        <w:fldChar w:fldCharType="begin"/>
      </w:r>
      <w:r>
        <w:instrText xml:space="preserve"> PAGEREF _Toc388519284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Release of associated employers</w:t>
      </w:r>
      <w:r>
        <w:tab/>
      </w:r>
      <w:r>
        <w:fldChar w:fldCharType="begin"/>
      </w:r>
      <w:r>
        <w:instrText xml:space="preserve"> PAGEREF _Toc388519285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associated employers</w:t>
      </w:r>
      <w:r>
        <w:tab/>
      </w:r>
      <w:r>
        <w:fldChar w:fldCharType="begin"/>
      </w:r>
      <w:r>
        <w:instrText xml:space="preserve"> PAGEREF _Toc388519286 \h </w:instrText>
      </w:r>
      <w:r>
        <w:fldChar w:fldCharType="separate"/>
      </w:r>
      <w:r>
        <w:t>54</w:t>
      </w:r>
      <w:r>
        <w:fldChar w:fldCharType="end"/>
      </w:r>
    </w:p>
    <w:p>
      <w:pPr>
        <w:pStyle w:val="TOC2"/>
        <w:tabs>
          <w:tab w:val="right" w:leader="dot" w:pos="7078"/>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37</w:t>
      </w:r>
      <w:r>
        <w:rPr>
          <w:snapToGrid w:val="0"/>
        </w:rPr>
        <w:t>.</w:t>
      </w:r>
      <w:r>
        <w:rPr>
          <w:snapToGrid w:val="0"/>
        </w:rPr>
        <w:tab/>
        <w:t>Contributions for additional benefits</w:t>
      </w:r>
      <w:r>
        <w:tab/>
      </w:r>
      <w:r>
        <w:fldChar w:fldCharType="begin"/>
      </w:r>
      <w:r>
        <w:instrText xml:space="preserve"> PAGEREF _Toc388519288 \h </w:instrText>
      </w:r>
      <w:r>
        <w:fldChar w:fldCharType="separate"/>
      </w:r>
      <w:r>
        <w:t>56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Distribution of surplus funds</w:t>
      </w:r>
      <w:r>
        <w:tab/>
      </w:r>
      <w:r>
        <w:fldChar w:fldCharType="begin"/>
      </w:r>
      <w:r>
        <w:instrText xml:space="preserve"> PAGEREF _Toc388519289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Transfers from other funds</w:t>
      </w:r>
      <w:r>
        <w:tab/>
      </w:r>
      <w:r>
        <w:fldChar w:fldCharType="begin"/>
      </w:r>
      <w:r>
        <w:instrText xml:space="preserve"> PAGEREF _Toc388519290 \h </w:instrText>
      </w:r>
      <w:r>
        <w:fldChar w:fldCharType="separate"/>
      </w:r>
      <w:r>
        <w:t>57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Transfers to other funds</w:t>
      </w:r>
      <w:r>
        <w:tab/>
      </w:r>
      <w:r>
        <w:fldChar w:fldCharType="begin"/>
      </w:r>
      <w:r>
        <w:instrText xml:space="preserve"> PAGEREF _Toc388519291 \h </w:instrText>
      </w:r>
      <w:r>
        <w:fldChar w:fldCharType="separate"/>
      </w:r>
      <w:r>
        <w:t>57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Temporary cessation of employment and leave without pay</w:t>
      </w:r>
      <w:r>
        <w:tab/>
      </w:r>
      <w:r>
        <w:fldChar w:fldCharType="begin"/>
      </w:r>
      <w:r>
        <w:instrText xml:space="preserve"> PAGEREF _Toc388519292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of regulations to members employed part</w:t>
      </w:r>
      <w:r>
        <w:rPr>
          <w:snapToGrid w:val="0"/>
        </w:rPr>
        <w:noBreakHyphen/>
        <w:t>time</w:t>
      </w:r>
      <w:r>
        <w:tab/>
      </w:r>
      <w:r>
        <w:fldChar w:fldCharType="begin"/>
      </w:r>
      <w:r>
        <w:instrText xml:space="preserve"> PAGEREF _Toc388519293 \h </w:instrText>
      </w:r>
      <w:r>
        <w:fldChar w:fldCharType="separate"/>
      </w:r>
      <w:r>
        <w:t>61</w:t>
      </w:r>
      <w:r>
        <w:fldChar w:fldCharType="end"/>
      </w:r>
    </w:p>
    <w:p>
      <w:pPr>
        <w:pStyle w:val="TOC8"/>
        <w:rPr>
          <w:rFonts w:asciiTheme="minorHAnsi" w:eastAsiaTheme="minorEastAsia" w:hAnsiTheme="minorHAnsi" w:cstheme="minorBidi"/>
          <w:szCs w:val="22"/>
        </w:rPr>
      </w:pPr>
      <w:r>
        <w:t>41A.</w:t>
      </w:r>
      <w:r>
        <w:tab/>
        <w:t>Application of regulations to members reduced in rank</w:t>
      </w:r>
      <w:r>
        <w:tab/>
      </w:r>
      <w:r>
        <w:fldChar w:fldCharType="begin"/>
      </w:r>
      <w:r>
        <w:instrText xml:space="preserve"> PAGEREF _Toc388519294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Requirements for insurance</w:t>
      </w:r>
      <w:r>
        <w:tab/>
      </w:r>
      <w:r>
        <w:fldChar w:fldCharType="begin"/>
      </w:r>
      <w:r>
        <w:instrText xml:space="preserve"> PAGEREF _Toc388519295 \h </w:instrText>
      </w:r>
      <w:r>
        <w:fldChar w:fldCharType="separate"/>
      </w:r>
      <w:r>
        <w:t>64</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Medical examinations</w:t>
      </w:r>
      <w:r>
        <w:tab/>
      </w:r>
      <w:r>
        <w:fldChar w:fldCharType="begin"/>
      </w:r>
      <w:r>
        <w:instrText xml:space="preserve"> PAGEREF _Toc388519296 \h </w:instrText>
      </w:r>
      <w:r>
        <w:fldChar w:fldCharType="separate"/>
      </w:r>
      <w:r>
        <w:t>65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personal claim</w:t>
      </w:r>
      <w:r>
        <w:tab/>
      </w:r>
      <w:r>
        <w:fldChar w:fldCharType="begin"/>
      </w:r>
      <w:r>
        <w:instrText xml:space="preserve"> PAGEREF _Toc388519297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Notices</w:t>
      </w:r>
      <w:r>
        <w:tab/>
      </w:r>
      <w:r>
        <w:fldChar w:fldCharType="begin"/>
      </w:r>
      <w:r>
        <w:instrText xml:space="preserve"> PAGEREF _Toc388519298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General meetings of members</w:t>
      </w:r>
      <w:r>
        <w:tab/>
      </w:r>
      <w:r>
        <w:fldChar w:fldCharType="begin"/>
      </w:r>
      <w:r>
        <w:instrText xml:space="preserve"> PAGEREF _Toc388519299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Provision of information to members</w:t>
      </w:r>
      <w:r>
        <w:tab/>
      </w:r>
      <w:r>
        <w:fldChar w:fldCharType="begin"/>
      </w:r>
      <w:r>
        <w:instrText xml:space="preserve"> PAGEREF _Toc388519300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Elections of members of the Superannuation Board</w:t>
      </w:r>
      <w:r>
        <w:tab/>
      </w:r>
      <w:r>
        <w:fldChar w:fldCharType="begin"/>
      </w:r>
      <w:r>
        <w:instrText xml:space="preserve"> PAGEREF _Toc388519301 \h </w:instrText>
      </w:r>
      <w:r>
        <w:fldChar w:fldCharType="separate"/>
      </w:r>
      <w:r>
        <w:t>68</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Removal of elected member</w:t>
      </w:r>
      <w:r>
        <w:tab/>
      </w:r>
      <w:r>
        <w:fldChar w:fldCharType="begin"/>
      </w:r>
      <w:r>
        <w:instrText xml:space="preserve"> PAGEREF _Toc388519302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Amendments to these regulations</w:t>
      </w:r>
      <w:r>
        <w:tab/>
      </w:r>
      <w:r>
        <w:fldChar w:fldCharType="begin"/>
      </w:r>
      <w:r>
        <w:instrText xml:space="preserve"> PAGEREF _Toc388519303 \h </w:instrText>
      </w:r>
      <w:r>
        <w:fldChar w:fldCharType="separate"/>
      </w:r>
      <w:r>
        <w:t>70</w:t>
      </w:r>
      <w:r>
        <w:fldChar w:fldCharType="end"/>
      </w:r>
    </w:p>
    <w:p>
      <w:pPr>
        <w:pStyle w:val="TOC2"/>
        <w:tabs>
          <w:tab w:val="right" w:leader="dot" w:pos="7078"/>
        </w:tabs>
        <w:rPr>
          <w:rFonts w:asciiTheme="minorHAnsi" w:eastAsiaTheme="minorEastAsia" w:hAnsiTheme="minorHAnsi" w:cstheme="minorBidi"/>
          <w:b w:val="0"/>
          <w:sz w:val="22"/>
          <w:szCs w:val="22"/>
        </w:rPr>
      </w:pPr>
      <w:r>
        <w:t>Schedule 1 — Defined benefit: death or total and permanent disablement</w:t>
      </w:r>
    </w:p>
    <w:p>
      <w:pPr>
        <w:pStyle w:val="TOC2"/>
        <w:tabs>
          <w:tab w:val="right" w:leader="dot" w:pos="7078"/>
        </w:tabs>
        <w:rPr>
          <w:rFonts w:asciiTheme="minorHAnsi" w:eastAsiaTheme="minorEastAsia" w:hAnsiTheme="minorHAnsi" w:cstheme="minorBidi"/>
          <w:b w:val="0"/>
          <w:sz w:val="22"/>
          <w:szCs w:val="22"/>
        </w:rPr>
      </w:pPr>
      <w:r>
        <w:t>Schedule 1A — Defined benefit: partial and permanent disablement or leaving service</w:t>
      </w:r>
    </w:p>
    <w:p>
      <w:pPr>
        <w:pStyle w:val="TOC2"/>
        <w:tabs>
          <w:tab w:val="right" w:leader="dot" w:pos="7078"/>
        </w:tabs>
        <w:rPr>
          <w:rFonts w:asciiTheme="minorHAnsi" w:eastAsiaTheme="minorEastAsia" w:hAnsiTheme="minorHAnsi" w:cstheme="minorBidi"/>
          <w:b w:val="0"/>
          <w:sz w:val="22"/>
          <w:szCs w:val="22"/>
        </w:rPr>
      </w:pPr>
      <w:r>
        <w:t>Schedule 2 — Membership period for death benefits</w:t>
      </w:r>
    </w:p>
    <w:p>
      <w:pPr>
        <w:pStyle w:val="TOC2"/>
        <w:tabs>
          <w:tab w:val="right" w:leader="dot" w:pos="7078"/>
        </w:tabs>
        <w:rPr>
          <w:rFonts w:asciiTheme="minorHAnsi" w:eastAsiaTheme="minorEastAsia" w:hAnsiTheme="minorHAnsi" w:cstheme="minorBidi"/>
          <w:b w:val="0"/>
          <w:sz w:val="22"/>
          <w:szCs w:val="22"/>
        </w:rPr>
      </w:pPr>
      <w:r>
        <w:t>Schedule 3</w:t>
      </w:r>
    </w:p>
    <w:p>
      <w:pPr>
        <w:pStyle w:val="TOC2"/>
        <w:tabs>
          <w:tab w:val="right" w:leader="dot" w:pos="7078"/>
        </w:tabs>
        <w:rPr>
          <w:rFonts w:asciiTheme="minorHAnsi" w:eastAsiaTheme="minorEastAsia" w:hAnsiTheme="minorHAnsi" w:cstheme="minorBidi"/>
          <w:b w:val="0"/>
          <w:sz w:val="22"/>
          <w:szCs w:val="22"/>
        </w:rPr>
      </w:pPr>
      <w:r>
        <w:t>General meetings of members of the Superannuation Fund</w:t>
      </w:r>
    </w:p>
    <w:p>
      <w:pPr>
        <w:pStyle w:val="TOC8"/>
        <w:rPr>
          <w:rFonts w:asciiTheme="minorHAnsi" w:eastAsiaTheme="minorEastAsia" w:hAnsiTheme="minorHAnsi" w:cstheme="minorBidi"/>
          <w:szCs w:val="22"/>
        </w:rPr>
      </w:pPr>
      <w:r>
        <w:t>1</w:t>
      </w:r>
      <w:r>
        <w:rPr>
          <w:snapToGrid w:val="0"/>
        </w:rPr>
        <w:t>.</w:t>
      </w:r>
      <w:r>
        <w:rPr>
          <w:snapToGrid w:val="0"/>
        </w:rPr>
        <w:tab/>
        <w:t>Notice of meeting</w:t>
      </w:r>
      <w:r>
        <w:tab/>
      </w:r>
      <w:r>
        <w:fldChar w:fldCharType="begin"/>
      </w:r>
      <w:r>
        <w:instrText xml:space="preserve"> PAGEREF _Toc388519309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_Toc388519310 \h </w:instrText>
      </w:r>
      <w:r>
        <w:fldChar w:fldCharType="separate"/>
      </w:r>
      <w:r>
        <w:t>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 members may attend</w:t>
      </w:r>
      <w:r>
        <w:tab/>
      </w:r>
      <w:r>
        <w:fldChar w:fldCharType="begin"/>
      </w:r>
      <w:r>
        <w:instrText xml:space="preserve"> PAGEREF _Toc388519311 \h </w:instrText>
      </w:r>
      <w:r>
        <w:fldChar w:fldCharType="separate"/>
      </w:r>
      <w:r>
        <w:t>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Annual general meeting</w:t>
      </w:r>
      <w:r>
        <w:tab/>
      </w:r>
      <w:r>
        <w:fldChar w:fldCharType="begin"/>
      </w:r>
      <w:r>
        <w:instrText xml:space="preserve"> PAGEREF _Toc388519312 \h </w:instrText>
      </w:r>
      <w:r>
        <w:fldChar w:fldCharType="separate"/>
      </w:r>
      <w:r>
        <w:t>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Special general meeting</w:t>
      </w:r>
      <w:r>
        <w:tab/>
      </w:r>
      <w:r>
        <w:fldChar w:fldCharType="begin"/>
      </w:r>
      <w:r>
        <w:instrText xml:space="preserve"> PAGEREF _Toc388519313 \h </w:instrText>
      </w:r>
      <w:r>
        <w:fldChar w:fldCharType="separate"/>
      </w:r>
      <w:r>
        <w:t>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Mode of voting on motions</w:t>
      </w:r>
      <w:r>
        <w:tab/>
      </w:r>
      <w:r>
        <w:fldChar w:fldCharType="begin"/>
      </w:r>
      <w:r>
        <w:instrText xml:space="preserve"> PAGEREF _Toc388519314 \h </w:instrText>
      </w:r>
      <w:r>
        <w:fldChar w:fldCharType="separate"/>
      </w:r>
      <w:r>
        <w:t>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Voting rights</w:t>
      </w:r>
      <w:r>
        <w:tab/>
      </w:r>
      <w:r>
        <w:fldChar w:fldCharType="begin"/>
      </w:r>
      <w:r>
        <w:instrText xml:space="preserve"> PAGEREF _Toc388519315 \h </w:instrText>
      </w:r>
      <w:r>
        <w:fldChar w:fldCharType="separate"/>
      </w:r>
      <w:r>
        <w:t>76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_Toc388519316 \h </w:instrText>
      </w:r>
      <w:r>
        <w:fldChar w:fldCharType="separate"/>
      </w:r>
      <w:r>
        <w:t>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Procedure</w:t>
      </w:r>
      <w:r>
        <w:tab/>
      </w:r>
      <w:r>
        <w:fldChar w:fldCharType="begin"/>
      </w:r>
      <w:r>
        <w:instrText xml:space="preserve"> PAGEREF _Toc388519317 \h </w:instrText>
      </w:r>
      <w:r>
        <w:fldChar w:fldCharType="separate"/>
      </w:r>
      <w:r>
        <w:t>76</w:t>
      </w:r>
      <w:r>
        <w:fldChar w:fldCharType="end"/>
      </w:r>
    </w:p>
    <w:p>
      <w:pPr>
        <w:pStyle w:val="TOC2"/>
        <w:tabs>
          <w:tab w:val="right" w:leader="dot" w:pos="7078"/>
        </w:tabs>
        <w:rPr>
          <w:rFonts w:asciiTheme="minorHAnsi" w:eastAsiaTheme="minorEastAsia" w:hAnsiTheme="minorHAnsi" w:cstheme="minorBidi"/>
          <w:b w:val="0"/>
          <w:sz w:val="22"/>
          <w:szCs w:val="22"/>
        </w:rPr>
      </w:pPr>
      <w:r>
        <w:t>Schedule 4 — Leaving service benefit — Category A</w:t>
      </w:r>
    </w:p>
    <w:p>
      <w:pPr>
        <w:pStyle w:val="TOC2"/>
        <w:tabs>
          <w:tab w:val="right" w:leader="dot" w:pos="7078"/>
        </w:tabs>
        <w:rPr>
          <w:rFonts w:asciiTheme="minorHAnsi" w:eastAsiaTheme="minorEastAsia" w:hAnsiTheme="minorHAnsi" w:cstheme="minorBidi"/>
          <w:b w:val="0"/>
          <w:sz w:val="22"/>
          <w:szCs w:val="22"/>
        </w:rPr>
      </w:pPr>
      <w:r>
        <w:t>Schedule 5</w:t>
      </w:r>
    </w:p>
    <w:p>
      <w:pPr>
        <w:pStyle w:val="TOC2"/>
        <w:tabs>
          <w:tab w:val="right" w:leader="dot" w:pos="7078"/>
        </w:tabs>
        <w:rPr>
          <w:rFonts w:asciiTheme="minorHAnsi" w:eastAsiaTheme="minorEastAsia" w:hAnsiTheme="minorHAnsi" w:cstheme="minorBidi"/>
          <w:b w:val="0"/>
          <w:sz w:val="22"/>
          <w:szCs w:val="22"/>
        </w:rPr>
      </w:pPr>
      <w:r>
        <w:t>Calculation of monthly benefit</w:t>
      </w:r>
    </w:p>
    <w:p>
      <w:pPr>
        <w:pStyle w:val="TOC2"/>
        <w:tabs>
          <w:tab w:val="right" w:leader="dot" w:pos="7078"/>
        </w:tabs>
        <w:rPr>
          <w:rFonts w:asciiTheme="minorHAnsi" w:eastAsiaTheme="minorEastAsia" w:hAnsiTheme="minorHAnsi" w:cstheme="minorBidi"/>
          <w:b w:val="0"/>
          <w:sz w:val="22"/>
          <w:szCs w:val="22"/>
        </w:rPr>
      </w:pPr>
      <w:r>
        <w:t>Schedule 6</w:t>
      </w:r>
    </w:p>
    <w:p>
      <w:pPr>
        <w:pStyle w:val="TOC2"/>
        <w:tabs>
          <w:tab w:val="right" w:leader="dot" w:pos="7078"/>
        </w:tabs>
        <w:rPr>
          <w:rFonts w:asciiTheme="minorHAnsi" w:eastAsiaTheme="minorEastAsia" w:hAnsiTheme="minorHAnsi" w:cstheme="minorBidi"/>
          <w:b w:val="0"/>
          <w:sz w:val="22"/>
          <w:szCs w:val="22"/>
        </w:rPr>
      </w:pPr>
      <w:r>
        <w:t>Calculation of annual benefit</w:t>
      </w:r>
    </w:p>
    <w:p>
      <w:pPr>
        <w:pStyle w:val="TOC2"/>
        <w:tabs>
          <w:tab w:val="right" w:leader="dot" w:pos="7078"/>
        </w:tabs>
        <w:rPr>
          <w:rFonts w:asciiTheme="minorHAnsi" w:eastAsiaTheme="minorEastAsia" w:hAnsiTheme="minorHAnsi" w:cstheme="minorBidi"/>
          <w:b w:val="0"/>
          <w:sz w:val="22"/>
          <w:szCs w:val="22"/>
        </w:rPr>
      </w:pPr>
      <w:r>
        <w:t>Schedule 6A</w:t>
      </w:r>
    </w:p>
    <w:p>
      <w:pPr>
        <w:pStyle w:val="TOC2"/>
        <w:tabs>
          <w:tab w:val="right" w:leader="dot" w:pos="7078"/>
        </w:tabs>
        <w:rPr>
          <w:rFonts w:asciiTheme="minorHAnsi" w:eastAsiaTheme="minorEastAsia" w:hAnsiTheme="minorHAnsi" w:cstheme="minorBidi"/>
          <w:b w:val="0"/>
          <w:sz w:val="22"/>
          <w:szCs w:val="22"/>
        </w:rPr>
      </w:pPr>
      <w:r>
        <w:t>Calculation of lump sum benefit</w:t>
      </w:r>
    </w:p>
    <w:p>
      <w:pPr>
        <w:pStyle w:val="TOC2"/>
        <w:tabs>
          <w:tab w:val="right" w:leader="dot" w:pos="7078"/>
        </w:tabs>
        <w:rPr>
          <w:rFonts w:asciiTheme="minorHAnsi" w:eastAsiaTheme="minorEastAsia" w:hAnsiTheme="minorHAnsi" w:cstheme="minorBidi"/>
          <w:b w:val="0"/>
          <w:sz w:val="22"/>
          <w:szCs w:val="22"/>
        </w:rPr>
      </w:pPr>
      <w:r>
        <w:t>Schedule 6B</w:t>
      </w:r>
    </w:p>
    <w:p>
      <w:pPr>
        <w:pStyle w:val="TOC2"/>
        <w:tabs>
          <w:tab w:val="right" w:leader="dot" w:pos="7078"/>
        </w:tabs>
        <w:rPr>
          <w:rFonts w:asciiTheme="minorHAnsi" w:eastAsiaTheme="minorEastAsia" w:hAnsiTheme="minorHAnsi" w:cstheme="minorBidi"/>
          <w:b w:val="0"/>
          <w:sz w:val="22"/>
          <w:szCs w:val="22"/>
        </w:rPr>
      </w:pPr>
      <w:r>
        <w:t>Calculation of monthly benefit instead of lump sum benefit</w:t>
      </w:r>
    </w:p>
    <w:p>
      <w:pPr>
        <w:pStyle w:val="TOC2"/>
        <w:tabs>
          <w:tab w:val="right" w:leader="dot" w:pos="7078"/>
        </w:tabs>
        <w:rPr>
          <w:rFonts w:asciiTheme="minorHAnsi" w:eastAsiaTheme="minorEastAsia" w:hAnsiTheme="minorHAnsi" w:cstheme="minorBidi"/>
          <w:b w:val="0"/>
          <w:sz w:val="22"/>
          <w:szCs w:val="22"/>
        </w:rPr>
      </w:pPr>
      <w:r>
        <w:t>Schedule 6C</w:t>
      </w:r>
    </w:p>
    <w:p>
      <w:pPr>
        <w:pStyle w:val="TOC2"/>
        <w:tabs>
          <w:tab w:val="right" w:leader="dot" w:pos="7078"/>
        </w:tabs>
        <w:rPr>
          <w:rFonts w:asciiTheme="minorHAnsi" w:eastAsiaTheme="minorEastAsia" w:hAnsiTheme="minorHAnsi" w:cstheme="minorBidi"/>
          <w:b w:val="0"/>
          <w:sz w:val="22"/>
          <w:szCs w:val="22"/>
        </w:rPr>
      </w:pPr>
      <w:r>
        <w:t>Calculation of a lump sum benefit instead of monthly benefits</w:t>
      </w:r>
    </w:p>
    <w:p>
      <w:pPr>
        <w:pStyle w:val="TOC2"/>
        <w:tabs>
          <w:tab w:val="right" w:leader="dot" w:pos="7078"/>
        </w:tabs>
        <w:rPr>
          <w:rFonts w:asciiTheme="minorHAnsi" w:eastAsiaTheme="minorEastAsia" w:hAnsiTheme="minorHAnsi" w:cstheme="minorBidi"/>
          <w:b w:val="0"/>
          <w:sz w:val="22"/>
          <w:szCs w:val="22"/>
        </w:rPr>
      </w:pPr>
      <w:r>
        <w:t>Schedule 6D</w:t>
      </w:r>
    </w:p>
    <w:p>
      <w:pPr>
        <w:pStyle w:val="TOC2"/>
        <w:tabs>
          <w:tab w:val="right" w:leader="dot" w:pos="7078"/>
        </w:tabs>
        <w:rPr>
          <w:rFonts w:asciiTheme="minorHAnsi" w:eastAsiaTheme="minorEastAsia" w:hAnsiTheme="minorHAnsi" w:cstheme="minorBidi"/>
          <w:b w:val="0"/>
          <w:sz w:val="22"/>
          <w:szCs w:val="22"/>
        </w:rPr>
      </w:pPr>
      <w:r>
        <w:t>Calculation of a lump sum benefit instead of annual benefits</w:t>
      </w:r>
    </w:p>
    <w:p>
      <w:pPr>
        <w:pStyle w:val="TOC2"/>
        <w:tabs>
          <w:tab w:val="right" w:leader="dot" w:pos="7078"/>
        </w:tabs>
        <w:rPr>
          <w:rFonts w:asciiTheme="minorHAnsi" w:eastAsiaTheme="minorEastAsia" w:hAnsiTheme="minorHAnsi" w:cstheme="minorBidi"/>
          <w:b w:val="0"/>
          <w:sz w:val="22"/>
          <w:szCs w:val="22"/>
        </w:rPr>
      </w:pPr>
      <w:r>
        <w:t>Schedule 7</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monthly benefits</w:t>
      </w:r>
    </w:p>
    <w:p>
      <w:pPr>
        <w:pStyle w:val="TOC2"/>
        <w:tabs>
          <w:tab w:val="right" w:leader="dot" w:pos="7078"/>
        </w:tabs>
        <w:rPr>
          <w:rFonts w:asciiTheme="minorHAnsi" w:eastAsiaTheme="minorEastAsia" w:hAnsiTheme="minorHAnsi" w:cstheme="minorBidi"/>
          <w:b w:val="0"/>
          <w:sz w:val="22"/>
          <w:szCs w:val="22"/>
        </w:rPr>
      </w:pPr>
      <w:r>
        <w:t>Schedule 8</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annual benefits</w:t>
      </w:r>
    </w:p>
    <w:p>
      <w:pPr>
        <w:pStyle w:val="TOC2"/>
        <w:tabs>
          <w:tab w:val="right" w:leader="dot" w:pos="7078"/>
        </w:tabs>
        <w:rPr>
          <w:rFonts w:asciiTheme="minorHAnsi" w:eastAsiaTheme="minorEastAsia" w:hAnsiTheme="minorHAnsi" w:cstheme="minorBidi"/>
          <w:b w:val="0"/>
          <w:sz w:val="22"/>
          <w:szCs w:val="22"/>
        </w:rPr>
      </w:pPr>
      <w:r>
        <w:t>Schedule 9</w:t>
      </w:r>
    </w:p>
    <w:p>
      <w:pPr>
        <w:pStyle w:val="TOC2"/>
        <w:tabs>
          <w:tab w:val="right" w:leader="dot" w:pos="7078"/>
        </w:tabs>
        <w:rPr>
          <w:rFonts w:asciiTheme="minorHAnsi" w:eastAsiaTheme="minorEastAsia" w:hAnsiTheme="minorHAnsi" w:cstheme="minorBidi"/>
          <w:b w:val="0"/>
          <w:sz w:val="22"/>
          <w:szCs w:val="22"/>
        </w:rPr>
      </w:pPr>
      <w:r>
        <w:t>Calculation of lump sum or death benefit after election of lump sum benefit after 5 years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_Toc388519338 \h </w:instrText>
      </w:r>
      <w:r>
        <w:fldChar w:fldCharType="separate"/>
      </w:r>
      <w:r>
        <w:t>89</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TOC2"/>
      </w:pP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spacing w:after="600"/>
        <w:rPr>
          <w:snapToGrid w:val="0"/>
        </w:rPr>
      </w:pPr>
      <w:bookmarkStart w:id="6" w:name="RuleErr_2"/>
      <w:r>
        <w:rPr>
          <w:snapToGrid w:val="0"/>
        </w:rPr>
        <w:t>Fire and Emergency Services Superannuation Act 1985</w:t>
      </w:r>
    </w:p>
    <w:bookmarkEnd w:id="6"/>
    <w:p>
      <w:pPr>
        <w:pStyle w:val="NameofActReg"/>
        <w:spacing w:before="600" w:after="720"/>
      </w:pPr>
      <w:r>
        <w:t>Fire and Emergency Services (Superannuation Fund) Regulations 1986</w:t>
      </w:r>
    </w:p>
    <w:p>
      <w:pPr>
        <w:pStyle w:val="Heading2"/>
        <w:pageBreakBefore w:val="0"/>
        <w:spacing w:before="240"/>
      </w:pPr>
      <w:bookmarkStart w:id="7" w:name="_Toc388519218"/>
      <w:r>
        <w:rPr>
          <w:rStyle w:val="CharPartNo"/>
        </w:rPr>
        <w:t>Part I</w:t>
      </w:r>
      <w:r>
        <w:rPr>
          <w:rStyle w:val="CharDivNo"/>
        </w:rPr>
        <w:t> </w:t>
      </w:r>
      <w:r>
        <w:t>—</w:t>
      </w:r>
      <w:r>
        <w:rPr>
          <w:rStyle w:val="CharDivText"/>
        </w:rPr>
        <w:t> </w:t>
      </w:r>
      <w:r>
        <w:rPr>
          <w:rStyle w:val="CharPartText"/>
        </w:rPr>
        <w:t>Preliminary</w:t>
      </w:r>
      <w:bookmarkEnd w:id="7"/>
      <w:r>
        <w:rPr>
          <w:rStyle w:val="CharPartText"/>
        </w:rPr>
        <w:t xml:space="preserve"> </w:t>
      </w:r>
    </w:p>
    <w:p>
      <w:pPr>
        <w:pStyle w:val="Heading5"/>
        <w:spacing w:before="240"/>
        <w:rPr>
          <w:snapToGrid w:val="0"/>
        </w:rPr>
      </w:pPr>
      <w:bookmarkStart w:id="8" w:name="_Toc388519219"/>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9" w:name="_Toc388519220"/>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10" w:name="_Toc388519221"/>
      <w:r>
        <w:rPr>
          <w:rStyle w:val="CharPartNo"/>
        </w:rPr>
        <w:t>Part II</w:t>
      </w:r>
      <w:r>
        <w:rPr>
          <w:rStyle w:val="CharDivNo"/>
        </w:rPr>
        <w:t> </w:t>
      </w:r>
      <w:r>
        <w:t>—</w:t>
      </w:r>
      <w:r>
        <w:rPr>
          <w:rStyle w:val="CharDivText"/>
        </w:rPr>
        <w:t> </w:t>
      </w:r>
      <w:r>
        <w:rPr>
          <w:rStyle w:val="CharPartText"/>
        </w:rPr>
        <w:t>Interpretative provisions</w:t>
      </w:r>
      <w:bookmarkEnd w:id="10"/>
      <w:r>
        <w:rPr>
          <w:rStyle w:val="CharPartText"/>
        </w:rPr>
        <w:t xml:space="preserve"> </w:t>
      </w:r>
    </w:p>
    <w:p>
      <w:pPr>
        <w:pStyle w:val="Heading5"/>
        <w:rPr>
          <w:snapToGrid w:val="0"/>
        </w:rPr>
      </w:pPr>
      <w:bookmarkStart w:id="11" w:name="_Toc388519222"/>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 or</w:t>
      </w:r>
    </w:p>
    <w:p>
      <w:pPr>
        <w:pStyle w:val="Defpara"/>
      </w:pPr>
      <w:r>
        <w:tab/>
        <w:t>(aa)</w:t>
      </w:r>
      <w:r>
        <w:tab/>
        <w:t>a Category C member; or</w:t>
      </w:r>
    </w:p>
    <w:p>
      <w:pPr>
        <w:pStyle w:val="Defpara"/>
      </w:pPr>
      <w:r>
        <w:tab/>
        <w:t>(b)</w:t>
      </w:r>
      <w:r>
        <w:tab/>
        <w:t xml:space="preserve">a member referred to in paragraph (b) of the definition of </w:t>
      </w:r>
      <w:r>
        <w:rPr>
          <w:b/>
          <w:i/>
        </w:rPr>
        <w:t>member</w:t>
      </w:r>
      <w:r>
        <w:t xml:space="preserve">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bookmarkStart w:id="12" w:name="RuleErr_7"/>
      <w:r>
        <w:rPr>
          <w:i/>
        </w:rPr>
        <w:t>Superannuation Guarantee (Administration) Act 1992</w:t>
      </w:r>
      <w:bookmarkEnd w:id="12"/>
      <w:r>
        <w:t xml:space="preserve"> (Cwlth);</w:t>
      </w:r>
    </w:p>
    <w:p>
      <w:pPr>
        <w:pStyle w:val="Defstart"/>
      </w:pPr>
      <w:r>
        <w:tab/>
      </w:r>
      <w:r>
        <w:rPr>
          <w:rStyle w:val="CharDefText"/>
        </w:rPr>
        <w:t>death benefit</w:t>
      </w:r>
      <w:r>
        <w:t xml:space="preserve"> means a benefit payable in respect of a member on or after his death;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pPr>
      <w:r>
        <w:rPr>
          <w:b/>
        </w:rPr>
        <w:tab/>
      </w:r>
      <w:r>
        <w:rPr>
          <w:rStyle w:val="CharDefText"/>
        </w:rPr>
        <w:t>employer</w:t>
      </w:r>
      <w:r>
        <w:t>, in relation to a member, means — </w:t>
      </w:r>
    </w:p>
    <w:p>
      <w:pPr>
        <w:pStyle w:val="Defpara"/>
      </w:pPr>
      <w:r>
        <w:tab/>
        <w:t>(a)</w:t>
      </w:r>
      <w:r>
        <w:tab/>
        <w:t xml:space="preserve">in the case of an eligible </w:t>
      </w:r>
      <w:smartTag w:uri="urn:schemas-microsoft-com:office:smarttags" w:element="place">
        <w:r>
          <w:t>FES</w:t>
        </w:r>
      </w:smartTag>
      <w:r>
        <w:t xml:space="preserve"> employee, the FES Commissioner;</w:t>
      </w:r>
    </w:p>
    <w:p>
      <w:pPr>
        <w:pStyle w:val="Defpara"/>
        <w:rPr>
          <w:b/>
        </w:rPr>
      </w:pPr>
      <w:r>
        <w:tab/>
        <w:t>(b)</w:t>
      </w:r>
      <w:r>
        <w:tab/>
        <w:t>in the case of an associated employee, the associated employer which employs him;</w:t>
      </w:r>
    </w:p>
    <w:p>
      <w:pPr>
        <w:pStyle w:val="Defstart"/>
        <w:keepNex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a Category A member; or</w:t>
      </w:r>
    </w:p>
    <w:p>
      <w:pPr>
        <w:pStyle w:val="Defpara"/>
      </w:pPr>
      <w:r>
        <w:tab/>
        <w:t>(b)</w:t>
      </w:r>
      <w:r>
        <w:tab/>
        <w:t>a Category B member; or</w:t>
      </w:r>
    </w:p>
    <w:p>
      <w:pPr>
        <w:pStyle w:val="Defpara"/>
      </w:pPr>
      <w:r>
        <w:tab/>
        <w:t>(c)</w:t>
      </w:r>
      <w:r>
        <w:tab/>
        <w:t>a person —</w:t>
      </w:r>
    </w:p>
    <w:p>
      <w:pPr>
        <w:pStyle w:val="Defsubpara"/>
      </w:pPr>
      <w:r>
        <w:tab/>
        <w:t>(i)</w:t>
      </w:r>
      <w:r>
        <w:tab/>
        <w:t xml:space="preserve">who is a member within the meaning of paragraph (b) of the definition of </w:t>
      </w:r>
      <w:r>
        <w:rPr>
          <w:b/>
          <w:i/>
        </w:rPr>
        <w:t>member</w:t>
      </w:r>
      <w:r>
        <w:t>;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keepNex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bookmarkStart w:id="13" w:name="RuleErr_8"/>
      <w:r>
        <w:rPr>
          <w:i/>
        </w:rPr>
        <w:t>Superannuation Industry (Supervision) Act 1993</w:t>
      </w:r>
      <w:bookmarkEnd w:id="13"/>
      <w:r>
        <w:t xml:space="preserve"> of the Commonwealth;</w:t>
      </w:r>
    </w:p>
    <w:p>
      <w:pPr>
        <w:pStyle w:val="Defstart"/>
      </w:pPr>
      <w:r>
        <w:rPr>
          <w:b/>
        </w:rPr>
        <w:tab/>
      </w:r>
      <w:r>
        <w:rPr>
          <w:rStyle w:val="CharDefText"/>
        </w:rPr>
        <w:t>SIS Regulations</w:t>
      </w:r>
      <w:r>
        <w:t xml:space="preserve"> means the </w:t>
      </w:r>
      <w:bookmarkStart w:id="14" w:name="RuleErr_9"/>
      <w:r>
        <w:rPr>
          <w:i/>
          <w:iCs/>
        </w:rPr>
        <w:t>Superannuation Industry (Supervision) Regulations 1994</w:t>
      </w:r>
      <w:bookmarkEnd w:id="14"/>
      <w:r>
        <w:t xml:space="preserve"> of the Commonwealth;</w:t>
      </w:r>
    </w:p>
    <w:p>
      <w:pPr>
        <w:pStyle w:val="Defstart"/>
        <w:keepNex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bookmarkStart w:id="15" w:name="RuleErr_10"/>
      <w:r>
        <w:rPr>
          <w:i/>
        </w:rPr>
        <w:t>Superannuation Guarantee Charge Act 1992</w:t>
      </w:r>
      <w:bookmarkEnd w:id="15"/>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w:t>
      </w:r>
      <w:smartTag w:uri="urn:schemas-microsoft-com:office:smarttags" w:element="place">
        <w:r>
          <w:t>FES</w:t>
        </w:r>
      </w:smartTag>
      <w:r>
        <w:t xml:space="preserve"> employee or an associated employee who is determined by the Superannuation Board to be a temporary or casual employee.</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 21 Aug 2009 p. 3268; 31 </w:t>
      </w:r>
      <w:r>
        <w:rPr>
          <w:szCs w:val="24"/>
        </w:rPr>
        <w:t>Oct 2012 p. 5245, 5248 and 5249</w:t>
      </w:r>
      <w:r>
        <w:t>.]</w:t>
      </w:r>
    </w:p>
    <w:p>
      <w:pPr>
        <w:pStyle w:val="Heading5"/>
      </w:pPr>
      <w:bookmarkStart w:id="16" w:name="_Toc388519223"/>
      <w:r>
        <w:rPr>
          <w:rStyle w:val="CharSectno"/>
        </w:rPr>
        <w:t>3A</w:t>
      </w:r>
      <w:r>
        <w:t>.</w:t>
      </w:r>
      <w:r>
        <w:tab/>
        <w:t xml:space="preserve">Eligible </w:t>
      </w:r>
      <w:smartTag w:uri="urn:schemas-microsoft-com:office:smarttags" w:element="place">
        <w:r>
          <w:t>FES</w:t>
        </w:r>
      </w:smartTag>
      <w:r>
        <w:t xml:space="preserve"> employees</w:t>
      </w:r>
      <w:bookmarkEnd w:id="16"/>
    </w:p>
    <w:p>
      <w:pPr>
        <w:pStyle w:val="Subsection"/>
      </w:pPr>
      <w:r>
        <w:tab/>
      </w:r>
      <w:r>
        <w:tab/>
        <w:t xml:space="preserve">For the purposes of the definition of </w:t>
      </w:r>
      <w:bookmarkStart w:id="17" w:name="RuleErr_11"/>
      <w:r>
        <w:rPr>
          <w:b/>
          <w:i/>
        </w:rPr>
        <w:t xml:space="preserve">eligible </w:t>
      </w:r>
      <w:smartTag w:uri="urn:schemas-microsoft-com:office:smarttags" w:element="place">
        <w:r>
          <w:rPr>
            <w:b/>
            <w:i/>
          </w:rPr>
          <w:t>FES</w:t>
        </w:r>
      </w:smartTag>
      <w:r>
        <w:rPr>
          <w:b/>
          <w:i/>
        </w:rPr>
        <w:t xml:space="preserve"> employee</w:t>
      </w:r>
      <w:bookmarkEnd w:id="17"/>
      <w:r>
        <w:t xml:space="preserve"> in section 3(1) of the Act — </w:t>
      </w:r>
    </w:p>
    <w:p>
      <w:pPr>
        <w:pStyle w:val="Indenta"/>
      </w:pPr>
      <w:r>
        <w:tab/>
        <w:t>(a)</w:t>
      </w:r>
      <w:r>
        <w:tab/>
        <w:t>a person holds a prescribed office if the person holds office as the FES Commissioner; and</w:t>
      </w:r>
    </w:p>
    <w:p>
      <w:pPr>
        <w:pStyle w:val="Indenta"/>
      </w:pPr>
      <w:r>
        <w:tab/>
        <w:t>(b)</w:t>
      </w:r>
      <w:r>
        <w:tab/>
        <w:t>a person is of a prescribed class if the person is employed or engaged as described in the FES Act section 20.</w:t>
      </w:r>
    </w:p>
    <w:p>
      <w:pPr>
        <w:pStyle w:val="Footnotesection"/>
      </w:pPr>
      <w:r>
        <w:tab/>
        <w:t>[Regulation 3A inserted in Gazette 31 Oct 2012 p. 5246.]</w:t>
      </w:r>
    </w:p>
    <w:p>
      <w:pPr>
        <w:pStyle w:val="Heading5"/>
        <w:keepLines w:val="0"/>
        <w:pageBreakBefore/>
        <w:spacing w:before="120"/>
        <w:rPr>
          <w:snapToGrid w:val="0"/>
        </w:rPr>
      </w:pPr>
      <w:bookmarkStart w:id="18" w:name="_Toc388519224"/>
      <w:r>
        <w:rPr>
          <w:rStyle w:val="CharSectno"/>
        </w:rPr>
        <w:t>4</w:t>
      </w:r>
      <w:r>
        <w:rPr>
          <w:snapToGrid w:val="0"/>
        </w:rPr>
        <w:t>.</w:t>
      </w:r>
      <w:r>
        <w:rPr>
          <w:snapToGrid w:val="0"/>
        </w:rPr>
        <w:tab/>
        <w:t>Membership</w:t>
      </w:r>
      <w:bookmarkEnd w:id="18"/>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19" w:name="_Toc388519225"/>
      <w:r>
        <w:rPr>
          <w:rStyle w:val="CharSectno"/>
        </w:rPr>
        <w:t>5</w:t>
      </w:r>
      <w:r>
        <w:rPr>
          <w:snapToGrid w:val="0"/>
        </w:rPr>
        <w:t>.</w:t>
      </w:r>
      <w:r>
        <w:rPr>
          <w:snapToGrid w:val="0"/>
        </w:rPr>
        <w:tab/>
        <w:t>Total permanent disablement</w:t>
      </w:r>
      <w:bookmarkEnd w:id="19"/>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 or</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keepNext/>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20" w:name="_Toc388519226"/>
      <w:r>
        <w:rPr>
          <w:rStyle w:val="CharSectno"/>
        </w:rPr>
        <w:t>6</w:t>
      </w:r>
      <w:r>
        <w:rPr>
          <w:snapToGrid w:val="0"/>
        </w:rPr>
        <w:t>.</w:t>
      </w:r>
      <w:r>
        <w:rPr>
          <w:snapToGrid w:val="0"/>
        </w:rPr>
        <w:tab/>
        <w:t>Partial permanent disablement</w:t>
      </w:r>
      <w:bookmarkEnd w:id="20"/>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FES employee to whom regulation 132B of the </w:t>
      </w:r>
      <w:r>
        <w:rPr>
          <w:i/>
        </w:rPr>
        <w:t>Fire Brigades Regulations 1943</w:t>
      </w:r>
      <w:r>
        <w:t xml:space="preserve"> applies, if his employment is terminated on medical grounds by the </w:t>
      </w:r>
      <w:smartTag w:uri="urn:schemas-microsoft-com:office:smarttags" w:element="place">
        <w:r>
          <w:t>FES</w:t>
        </w:r>
      </w:smartTag>
      <w:r>
        <w:t xml:space="preserve"> Commissioner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w:t>
      </w:r>
      <w:smartTag w:uri="urn:schemas-microsoft-com:office:smarttags" w:element="place">
        <w:r>
          <w:t>FES</w:t>
        </w:r>
      </w:smartTag>
      <w:r>
        <w:t xml:space="preserve">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ind w:left="890" w:hanging="890"/>
      </w:pPr>
      <w:r>
        <w:tab/>
        <w:t>[Regulation 6 amended in Gazette 22 Dec 1998 p. 6850; 31 </w:t>
      </w:r>
      <w:r>
        <w:rPr>
          <w:szCs w:val="24"/>
        </w:rPr>
        <w:t>Oct 2012 p. 524</w:t>
      </w:r>
      <w:r>
        <w:t>8 and 5249.]</w:t>
      </w:r>
    </w:p>
    <w:p>
      <w:pPr>
        <w:pStyle w:val="Heading5"/>
        <w:rPr>
          <w:snapToGrid w:val="0"/>
        </w:rPr>
      </w:pPr>
      <w:bookmarkStart w:id="21" w:name="_Toc388519227"/>
      <w:r>
        <w:rPr>
          <w:rStyle w:val="CharSectno"/>
        </w:rPr>
        <w:t>7</w:t>
      </w:r>
      <w:r>
        <w:rPr>
          <w:snapToGrid w:val="0"/>
        </w:rPr>
        <w:t>.</w:t>
      </w:r>
      <w:r>
        <w:rPr>
          <w:snapToGrid w:val="0"/>
        </w:rPr>
        <w:tab/>
        <w:t>Superannuation salary</w:t>
      </w:r>
      <w:bookmarkEnd w:id="2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 xml:space="preserve">an eligible </w:t>
      </w:r>
      <w:smartTag w:uri="urn:schemas-microsoft-com:office:smarttags" w:element="place">
        <w:r>
          <w:t>FES</w:t>
        </w:r>
      </w:smartTag>
      <w:r>
        <w:t xml:space="preserve">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 and</w:t>
      </w:r>
    </w:p>
    <w:p>
      <w:pPr>
        <w:pStyle w:val="Indenti"/>
        <w:rPr>
          <w:snapToGrid w:val="0"/>
        </w:rPr>
      </w:pPr>
      <w:r>
        <w:rPr>
          <w:snapToGrid w:val="0"/>
        </w:rPr>
        <w:tab/>
        <w:t>(ii)</w:t>
      </w:r>
      <w:r>
        <w:rPr>
          <w:snapToGrid w:val="0"/>
        </w:rPr>
        <w:tab/>
        <w:t>an industry allowance; and</w:t>
      </w:r>
    </w:p>
    <w:p>
      <w:pPr>
        <w:pStyle w:val="Indenti"/>
        <w:rPr>
          <w:snapToGrid w:val="0"/>
        </w:rPr>
      </w:pPr>
      <w:r>
        <w:rPr>
          <w:snapToGrid w:val="0"/>
        </w:rPr>
        <w:tab/>
        <w:t>(iii)</w:t>
      </w:r>
      <w:r>
        <w:rPr>
          <w:snapToGrid w:val="0"/>
        </w:rPr>
        <w:tab/>
        <w:t>a shift penalty; and</w:t>
      </w:r>
    </w:p>
    <w:p>
      <w:pPr>
        <w:pStyle w:val="Indenti"/>
        <w:rPr>
          <w:snapToGrid w:val="0"/>
        </w:rPr>
      </w:pPr>
      <w:r>
        <w:rPr>
          <w:snapToGrid w:val="0"/>
        </w:rPr>
        <w:tab/>
        <w:t>(iv)</w:t>
      </w:r>
      <w:r>
        <w:rPr>
          <w:snapToGrid w:val="0"/>
        </w:rPr>
        <w:tab/>
        <w:t>a leading hand allowance; and</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 xml:space="preserve">the </w:t>
      </w:r>
      <w:smartTag w:uri="urn:schemas-microsoft-com:office:smarttags" w:element="place">
        <w:r>
          <w:t>FES</w:t>
        </w:r>
      </w:smartTag>
      <w:r>
        <w:t xml:space="preserve"> Commissioner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w:t>
      </w:r>
      <w:r>
        <w:t>called the</w:t>
      </w:r>
      <w:r>
        <w:rPr>
          <w:rStyle w:val="CharDefText"/>
        </w:rPr>
        <w:t xml:space="preserv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9; 22 Dec 1998 p. 6851 and 6852; 31 </w:t>
      </w:r>
      <w:r>
        <w:rPr>
          <w:szCs w:val="24"/>
        </w:rPr>
        <w:t>Oct 2012 p. 524</w:t>
      </w:r>
      <w:r>
        <w:t xml:space="preserve">8 and 5249.] </w:t>
      </w:r>
    </w:p>
    <w:p>
      <w:pPr>
        <w:pStyle w:val="Heading5"/>
        <w:rPr>
          <w:snapToGrid w:val="0"/>
        </w:rPr>
      </w:pPr>
      <w:bookmarkStart w:id="22" w:name="_Toc388519228"/>
      <w:r>
        <w:rPr>
          <w:rStyle w:val="CharSectno"/>
        </w:rPr>
        <w:t>8</w:t>
      </w:r>
      <w:r>
        <w:rPr>
          <w:snapToGrid w:val="0"/>
        </w:rPr>
        <w:t>.</w:t>
      </w:r>
      <w:r>
        <w:rPr>
          <w:snapToGrid w:val="0"/>
        </w:rPr>
        <w:tab/>
        <w:t>Final average salary</w:t>
      </w:r>
      <w:bookmarkEnd w:id="22"/>
      <w:r>
        <w:rPr>
          <w:snapToGrid w:val="0"/>
        </w:rPr>
        <w:t xml:space="preserve"> </w:t>
      </w:r>
    </w:p>
    <w:p>
      <w:pPr>
        <w:pStyle w:val="Subsection"/>
        <w:rPr>
          <w:snapToGrid w:val="0"/>
        </w:rPr>
      </w:pPr>
      <w:r>
        <w:rPr>
          <w:snapToGrid w:val="0"/>
        </w:rPr>
        <w:tab/>
        <w:t>(1)</w:t>
      </w:r>
      <w:r>
        <w:rPr>
          <w:snapToGrid w:val="0"/>
        </w:rPr>
        <w:tab/>
        <w:t xml:space="preserve">In this </w:t>
      </w:r>
      <w:r>
        <w:t xml:space="preserve">regulation the </w:t>
      </w:r>
      <w:r>
        <w:rPr>
          <w:rStyle w:val="CharDefText"/>
        </w:rPr>
        <w:t>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keepNext/>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23" w:name="_Toc388519229"/>
      <w:r>
        <w:rPr>
          <w:rStyle w:val="CharSectno"/>
        </w:rPr>
        <w:t>9</w:t>
      </w:r>
      <w:r>
        <w:rPr>
          <w:snapToGrid w:val="0"/>
        </w:rPr>
        <w:t>.</w:t>
      </w:r>
      <w:r>
        <w:rPr>
          <w:snapToGrid w:val="0"/>
        </w:rPr>
        <w:tab/>
        <w:t>Dependants</w:t>
      </w:r>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 and</w:t>
      </w:r>
    </w:p>
    <w:p>
      <w:pPr>
        <w:pStyle w:val="Defpara"/>
      </w:pPr>
      <w:r>
        <w:tab/>
        <w:t>(b)</w:t>
      </w:r>
      <w:r>
        <w:tab/>
        <w:t>an adopted child of the member irrespective of the date of adoption; and</w:t>
      </w:r>
    </w:p>
    <w:p>
      <w:pPr>
        <w:pStyle w:val="Defpara"/>
      </w:pPr>
      <w:r>
        <w:tab/>
        <w:t>(c)</w:t>
      </w:r>
      <w:r>
        <w:tab/>
        <w:t>a child of a spouse or de facto partner of the member; and</w:t>
      </w:r>
    </w:p>
    <w:p>
      <w:pPr>
        <w:pStyle w:val="Defpara"/>
      </w:pPr>
      <w:r>
        <w:tab/>
        <w:t>(d)</w:t>
      </w:r>
      <w:r>
        <w:tab/>
        <w:t>a child recognized by the Superannuation Board as an adopted child of the member; and</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 and</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Deleted in Gazette 23 Jul 1999 p. 3386.]</w:t>
      </w:r>
    </w:p>
    <w:p>
      <w:pPr>
        <w:pStyle w:val="Heading5"/>
      </w:pPr>
      <w:bookmarkStart w:id="24" w:name="_Toc388519230"/>
      <w:r>
        <w:rPr>
          <w:rStyle w:val="CharSectno"/>
        </w:rPr>
        <w:t>9B</w:t>
      </w:r>
      <w:r>
        <w:t>.</w:t>
      </w:r>
      <w:r>
        <w:tab/>
        <w:t>Earnings rate</w:t>
      </w:r>
      <w:bookmarkEnd w:id="24"/>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in Gazette 1 Apr 2008 p. 1272-3.]</w:t>
      </w:r>
    </w:p>
    <w:p>
      <w:pPr>
        <w:pStyle w:val="Heading2"/>
      </w:pPr>
      <w:bookmarkStart w:id="25" w:name="_Toc388519231"/>
      <w:r>
        <w:rPr>
          <w:rStyle w:val="CharPartNo"/>
        </w:rPr>
        <w:t>Part III</w:t>
      </w:r>
      <w:r>
        <w:rPr>
          <w:rStyle w:val="CharDivNo"/>
        </w:rPr>
        <w:t> </w:t>
      </w:r>
      <w:r>
        <w:t>—</w:t>
      </w:r>
      <w:r>
        <w:rPr>
          <w:rStyle w:val="CharDivText"/>
        </w:rPr>
        <w:t> </w:t>
      </w:r>
      <w:r>
        <w:rPr>
          <w:rStyle w:val="CharPartText"/>
        </w:rPr>
        <w:t>Membership of the Superannuation Fund</w:t>
      </w:r>
      <w:bookmarkEnd w:id="25"/>
      <w:r>
        <w:rPr>
          <w:rStyle w:val="CharPartText"/>
        </w:rPr>
        <w:t xml:space="preserve"> </w:t>
      </w:r>
    </w:p>
    <w:p>
      <w:pPr>
        <w:pStyle w:val="Ednotesection"/>
      </w:pPr>
      <w:r>
        <w:t>[</w:t>
      </w:r>
      <w:r>
        <w:rPr>
          <w:b/>
        </w:rPr>
        <w:t>10.</w:t>
      </w:r>
      <w:r>
        <w:rPr>
          <w:b/>
        </w:rPr>
        <w:tab/>
      </w:r>
      <w:r>
        <w:t>Deleted in Gazette 31 </w:t>
      </w:r>
      <w:r>
        <w:rPr>
          <w:szCs w:val="24"/>
        </w:rPr>
        <w:t xml:space="preserve">Oct 2012 p. </w:t>
      </w:r>
      <w:r>
        <w:t>5246.]</w:t>
      </w:r>
    </w:p>
    <w:p>
      <w:pPr>
        <w:pStyle w:val="Heading5"/>
      </w:pPr>
      <w:bookmarkStart w:id="26" w:name="_Toc388519232"/>
      <w:r>
        <w:rPr>
          <w:rStyle w:val="CharSectno"/>
        </w:rPr>
        <w:t>11</w:t>
      </w:r>
      <w:r>
        <w:t>.</w:t>
      </w:r>
      <w:r>
        <w:tab/>
        <w:t xml:space="preserve">Membership of eligible </w:t>
      </w:r>
      <w:smartTag w:uri="urn:schemas-microsoft-com:office:smarttags" w:element="place">
        <w:r>
          <w:t>FES</w:t>
        </w:r>
      </w:smartTag>
      <w:r>
        <w:t xml:space="preserve"> employee</w:t>
      </w:r>
      <w:bookmarkEnd w:id="26"/>
    </w:p>
    <w:p>
      <w:pPr>
        <w:pStyle w:val="Subsection"/>
      </w:pPr>
      <w:r>
        <w:tab/>
        <w:t>(1)</w:t>
      </w:r>
      <w:r>
        <w:tab/>
        <w:t xml:space="preserve">A person becomes a Category A member when he or she becomes an eligible </w:t>
      </w:r>
      <w:smartTag w:uri="urn:schemas-microsoft-com:office:smarttags" w:element="place">
        <w:r>
          <w:t>FES</w:t>
        </w:r>
      </w:smartTag>
      <w:r>
        <w:t xml:space="preserve"> employee unless he or she —</w:t>
      </w:r>
    </w:p>
    <w:p>
      <w:pPr>
        <w:pStyle w:val="Indenta"/>
      </w:pPr>
      <w:r>
        <w:tab/>
        <w:t>(a)</w:t>
      </w:r>
      <w:r>
        <w:tab/>
        <w:t>is already a Category A member; or</w:t>
      </w:r>
    </w:p>
    <w:p>
      <w:pPr>
        <w:pStyle w:val="Indenta"/>
      </w:pPr>
      <w:r>
        <w:tab/>
        <w:t>(b)</w:t>
      </w:r>
      <w:r>
        <w:tab/>
        <w:t>is a temporary or casual employee as defined in regulation 12A; or</w:t>
      </w:r>
    </w:p>
    <w:p>
      <w:pPr>
        <w:pStyle w:val="Indenta"/>
      </w:pPr>
      <w:r>
        <w:tab/>
        <w:t>(c)</w:t>
      </w:r>
      <w:r>
        <w:tab/>
        <w:t>is a person to whom regulation 12B applies; or</w:t>
      </w:r>
    </w:p>
    <w:p>
      <w:pPr>
        <w:pStyle w:val="Indenta"/>
      </w:pPr>
      <w:r>
        <w:tab/>
        <w:t>(d)</w:t>
      </w:r>
      <w:r>
        <w:tab/>
        <w:t xml:space="preserve">is not covered by the Western Australian Fire Services Award 1996 and, at the time of becoming an eligible </w:t>
      </w:r>
      <w:smartTag w:uri="urn:schemas-microsoft-com:office:smarttags" w:element="place">
        <w:r>
          <w:t>FES</w:t>
        </w:r>
      </w:smartTag>
      <w:r>
        <w:t xml:space="preserve">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 xml:space="preserve">A person who makes an election under subregulation (1)(d)(i) is taken to have become a Category B member when he or she became an eligible </w:t>
      </w:r>
      <w:smartTag w:uri="urn:schemas-microsoft-com:office:smarttags" w:element="place">
        <w:r>
          <w:t>FES</w:t>
        </w:r>
      </w:smartTag>
      <w:r>
        <w:t xml:space="preserve"> employee.</w:t>
      </w:r>
    </w:p>
    <w:p>
      <w:pPr>
        <w:pStyle w:val="Subsection"/>
      </w:pPr>
      <w:r>
        <w:tab/>
        <w:t>(3)</w:t>
      </w:r>
      <w:r>
        <w:tab/>
        <w:t>A person who became a Category B member under subregulation (2) may, by giving notice to the employer, become a Category A member.</w:t>
      </w:r>
    </w:p>
    <w:p>
      <w:pPr>
        <w:pStyle w:val="Subsection"/>
      </w:pPr>
      <w:r>
        <w:tab/>
        <w:t>(4)</w:t>
      </w:r>
      <w:r>
        <w:tab/>
        <w:t xml:space="preserve">If an eligible FES employee who made an election under subregulation (1)(d)(ii) ceases to be a GES member, subregulation (1) applies as if the employee had become an eligible </w:t>
      </w:r>
      <w:smartTag w:uri="urn:schemas-microsoft-com:office:smarttags" w:element="place">
        <w:r>
          <w:t>FES</w:t>
        </w:r>
      </w:smartTag>
      <w:r>
        <w:t xml:space="preserve"> employee when he or she ceased to be a GES member.</w:t>
      </w:r>
    </w:p>
    <w:p>
      <w:pPr>
        <w:pStyle w:val="Subsection"/>
      </w:pPr>
      <w:r>
        <w:tab/>
        <w:t>(5)</w:t>
      </w:r>
      <w:r>
        <w:tab/>
        <w:t xml:space="preserve">A person who becomes a member under this regulation remains a member while he or she remains an eligible </w:t>
      </w:r>
      <w:smartTag w:uri="urn:schemas-microsoft-com:office:smarttags" w:element="place">
        <w:r>
          <w:t>FES</w:t>
        </w:r>
      </w:smartTag>
      <w:r>
        <w:t xml:space="preserve"> employee or an associated employee.</w:t>
      </w:r>
    </w:p>
    <w:p>
      <w:pPr>
        <w:pStyle w:val="Subsection"/>
        <w:keepNext/>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 31 </w:t>
      </w:r>
      <w:r>
        <w:rPr>
          <w:szCs w:val="24"/>
        </w:rPr>
        <w:t>Oct 2012 p. 5246 and 5248</w:t>
      </w:r>
      <w:r>
        <w:t>.]</w:t>
      </w:r>
    </w:p>
    <w:p>
      <w:pPr>
        <w:pStyle w:val="Heading5"/>
        <w:rPr>
          <w:snapToGrid w:val="0"/>
        </w:rPr>
      </w:pPr>
      <w:bookmarkStart w:id="27" w:name="_Toc388519233"/>
      <w:r>
        <w:rPr>
          <w:rStyle w:val="CharSectno"/>
        </w:rPr>
        <w:t>12</w:t>
      </w:r>
      <w:r>
        <w:rPr>
          <w:snapToGrid w:val="0"/>
        </w:rPr>
        <w:t>.</w:t>
      </w:r>
      <w:r>
        <w:rPr>
          <w:snapToGrid w:val="0"/>
        </w:rPr>
        <w:tab/>
        <w:t>Associated employees</w:t>
      </w:r>
      <w:bookmarkEnd w:id="27"/>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3; 31 </w:t>
      </w:r>
      <w:r>
        <w:rPr>
          <w:szCs w:val="24"/>
        </w:rPr>
        <w:t>Oct 2012 p. 524</w:t>
      </w:r>
      <w:r>
        <w:t xml:space="preserve">9.] </w:t>
      </w:r>
    </w:p>
    <w:p>
      <w:pPr>
        <w:pStyle w:val="Heading5"/>
        <w:rPr>
          <w:snapToGrid w:val="0"/>
        </w:rPr>
      </w:pPr>
      <w:bookmarkStart w:id="28" w:name="_Toc388519234"/>
      <w:r>
        <w:rPr>
          <w:rStyle w:val="CharSectno"/>
        </w:rPr>
        <w:t>12A</w:t>
      </w:r>
      <w:r>
        <w:rPr>
          <w:snapToGrid w:val="0"/>
        </w:rPr>
        <w:t>.</w:t>
      </w:r>
      <w:r>
        <w:rPr>
          <w:snapToGrid w:val="0"/>
        </w:rPr>
        <w:tab/>
        <w:t>Temporary and casual employees</w:t>
      </w:r>
      <w:bookmarkEnd w:id="28"/>
      <w:r>
        <w:rPr>
          <w:snapToGrid w:val="0"/>
        </w:rPr>
        <w:t xml:space="preserve"> </w:t>
      </w:r>
    </w:p>
    <w:p>
      <w:pPr>
        <w:pStyle w:val="Subsection"/>
        <w:spacing w:before="180"/>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bookmarkStart w:id="29" w:name="RuleErr_13"/>
      <w:r>
        <w:rPr>
          <w:i/>
          <w:snapToGrid w:val="0"/>
        </w:rPr>
        <w:t>Fire Brigades (Superannuation Fund) Amendment Regulations (No. 2) 1994</w:t>
      </w:r>
      <w:bookmarkEnd w:id="29"/>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 xml:space="preserve">the </w:t>
      </w:r>
      <w:smartTag w:uri="urn:schemas-microsoft-com:office:smarttags" w:element="place">
        <w:r>
          <w:t>FES</w:t>
        </w:r>
      </w:smartTag>
      <w:r>
        <w:t xml:space="preserve"> Commissioner</w:t>
      </w:r>
      <w:r>
        <w:rPr>
          <w:snapToGrid w:val="0"/>
        </w:rPr>
        <w:t xml:space="preserve"> or an associated employer.</w:t>
      </w:r>
    </w:p>
    <w:p>
      <w:pPr>
        <w:pStyle w:val="Subsection"/>
        <w:spacing w:before="180"/>
        <w:rPr>
          <w:snapToGrid w:val="0"/>
        </w:rPr>
      </w:pPr>
      <w:r>
        <w:rPr>
          <w:snapToGrid w:val="0"/>
        </w:rPr>
        <w:tab/>
        <w:t>(2)</w:t>
      </w:r>
      <w:r>
        <w:rPr>
          <w:snapToGrid w:val="0"/>
        </w:rPr>
        <w:tab/>
        <w:t xml:space="preserve">Where a person becomes a temporary or casual employee after the coming into operation of the </w:t>
      </w:r>
      <w:bookmarkStart w:id="30" w:name="RuleErr_14"/>
      <w:r>
        <w:rPr>
          <w:i/>
          <w:snapToGrid w:val="0"/>
        </w:rPr>
        <w:t>Fire Brigades (Superannuation Fund) Amendment Regulations (No. 2) 1994</w:t>
      </w:r>
      <w:bookmarkEnd w:id="30"/>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spacing w:before="180"/>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bookmarkStart w:id="31" w:name="RuleErr_15"/>
      <w:r>
        <w:rPr>
          <w:i/>
          <w:snapToGrid w:val="0"/>
        </w:rPr>
        <w:t>Superannuation Guarantee (Administration) Act 1992</w:t>
      </w:r>
      <w:bookmarkEnd w:id="31"/>
      <w:r>
        <w:rPr>
          <w:snapToGrid w:val="0"/>
        </w:rPr>
        <w:t xml:space="preserve"> (Cwlth)) of </w:t>
      </w:r>
      <w:r>
        <w:t xml:space="preserve">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3; 31 </w:t>
      </w:r>
      <w:r>
        <w:rPr>
          <w:szCs w:val="24"/>
        </w:rPr>
        <w:t>Oct 2012 p. 524</w:t>
      </w:r>
      <w:r>
        <w:t xml:space="preserve">9.] </w:t>
      </w:r>
    </w:p>
    <w:p>
      <w:pPr>
        <w:pStyle w:val="Heading5"/>
        <w:rPr>
          <w:snapToGrid w:val="0"/>
        </w:rPr>
      </w:pPr>
      <w:bookmarkStart w:id="32" w:name="_Toc388519235"/>
      <w:r>
        <w:rPr>
          <w:rStyle w:val="CharSectno"/>
        </w:rPr>
        <w:t>12B</w:t>
      </w:r>
      <w:r>
        <w:rPr>
          <w:snapToGrid w:val="0"/>
        </w:rPr>
        <w:t>.</w:t>
      </w:r>
      <w:r>
        <w:rPr>
          <w:snapToGrid w:val="0"/>
        </w:rPr>
        <w:tab/>
        <w:t>Board members etc.</w:t>
      </w:r>
      <w:bookmarkEnd w:id="32"/>
      <w:r>
        <w:rPr>
          <w:snapToGrid w:val="0"/>
        </w:rPr>
        <w:t xml:space="preserve"> </w:t>
      </w:r>
    </w:p>
    <w:p>
      <w:pPr>
        <w:pStyle w:val="Subsection"/>
        <w:keepNext/>
        <w:keepLines/>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 xml:space="preserve">a member of the Superannuation </w:t>
      </w:r>
      <w:r>
        <w:t>Board</w:t>
      </w:r>
      <w:r>
        <w:rPr>
          <w:snapToGrid w:val="0"/>
        </w:rPr>
        <w:t xml:space="preserve"> or the executive body (whether described as the board of directors or otherwise) of an associated employer; and</w:t>
      </w:r>
    </w:p>
    <w:p>
      <w:pPr>
        <w:pStyle w:val="Indenta"/>
        <w:rPr>
          <w:snapToGrid w:val="0"/>
        </w:rPr>
      </w:pPr>
      <w:r>
        <w:rPr>
          <w:snapToGrid w:val="0"/>
        </w:rPr>
        <w:tab/>
        <w:t>(b)</w:t>
      </w:r>
      <w:r>
        <w:rPr>
          <w:snapToGrid w:val="0"/>
        </w:rPr>
        <w:tab/>
        <w:t xml:space="preserve">an “employee” (within the meaning of the </w:t>
      </w:r>
      <w:bookmarkStart w:id="33" w:name="RuleErr_16"/>
      <w:r>
        <w:rPr>
          <w:i/>
          <w:snapToGrid w:val="0"/>
        </w:rPr>
        <w:t xml:space="preserve">Superannuation Guarantee (Administration) Act 1992 </w:t>
      </w:r>
      <w:bookmarkEnd w:id="33"/>
      <w:r>
        <w:rPr>
          <w:snapToGrid w:val="0"/>
        </w:rPr>
        <w:t xml:space="preserve">(Cwlth)) of 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bookmarkStart w:id="34" w:name="RuleErr_17"/>
      <w:r>
        <w:rPr>
          <w:i/>
          <w:snapToGrid w:val="0"/>
        </w:rPr>
        <w:t>Fire Brigades (Superannuation Fund) Amendment Regulations (No. 2) 1994</w:t>
      </w:r>
      <w:bookmarkEnd w:id="34"/>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bookmarkStart w:id="35" w:name="RuleErr_18"/>
      <w:r>
        <w:rPr>
          <w:i/>
          <w:snapToGrid w:val="0"/>
        </w:rPr>
        <w:t>Fire Brigades (Superannuation Fund) Amendment Regulations (No. 2) 1994</w:t>
      </w:r>
      <w:bookmarkEnd w:id="35"/>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12; amended in Gazette 22 Dec 1998 p. 6851; 31 </w:t>
      </w:r>
      <w:r>
        <w:rPr>
          <w:szCs w:val="24"/>
        </w:rPr>
        <w:t>Oct 2012 p. 5247</w:t>
      </w:r>
      <w:r>
        <w:t xml:space="preserve">.] </w:t>
      </w:r>
    </w:p>
    <w:p>
      <w:pPr>
        <w:pStyle w:val="Heading5"/>
      </w:pPr>
      <w:bookmarkStart w:id="36" w:name="_Toc388519236"/>
      <w:r>
        <w:rPr>
          <w:rStyle w:val="CharSectno"/>
        </w:rPr>
        <w:t>12C</w:t>
      </w:r>
      <w:r>
        <w:t>.</w:t>
      </w:r>
      <w:r>
        <w:tab/>
        <w:t>Spouses and de facto partners of members</w:t>
      </w:r>
      <w:bookmarkEnd w:id="36"/>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 or</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37" w:name="_Toc388519237"/>
      <w:r>
        <w:rPr>
          <w:rStyle w:val="CharSectno"/>
        </w:rPr>
        <w:t>13</w:t>
      </w:r>
      <w:r>
        <w:rPr>
          <w:snapToGrid w:val="0"/>
        </w:rPr>
        <w:t>.</w:t>
      </w:r>
      <w:r>
        <w:rPr>
          <w:snapToGrid w:val="0"/>
        </w:rPr>
        <w:tab/>
        <w:t>Transfer of employment</w:t>
      </w:r>
      <w:bookmarkEnd w:id="37"/>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 xml:space="preserve">the </w:t>
      </w:r>
      <w:smartTag w:uri="urn:schemas-microsoft-com:office:smarttags" w:element="place">
        <w:r>
          <w:t>FES</w:t>
        </w:r>
      </w:smartTag>
      <w:r>
        <w:t xml:space="preserve"> Commissioner</w:t>
      </w:r>
      <w:r>
        <w:rPr>
          <w:snapToGrid w:val="0"/>
        </w:rPr>
        <w:t xml:space="preserve"> to enter the employment of an associated employer; or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 xml:space="preserve">the </w:t>
      </w:r>
      <w:smartTag w:uri="urn:schemas-microsoft-com:office:smarttags" w:element="place">
        <w:r>
          <w:t>FES</w:t>
        </w:r>
      </w:smartTag>
      <w:r>
        <w:t xml:space="preserve"> Commissioner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3; 31 </w:t>
      </w:r>
      <w:r>
        <w:rPr>
          <w:szCs w:val="24"/>
        </w:rPr>
        <w:t>Oct 2012 p. 524</w:t>
      </w:r>
      <w:r>
        <w:t xml:space="preserve">9.] </w:t>
      </w:r>
    </w:p>
    <w:p>
      <w:pPr>
        <w:pStyle w:val="Heading5"/>
        <w:rPr>
          <w:snapToGrid w:val="0"/>
        </w:rPr>
      </w:pPr>
      <w:bookmarkStart w:id="38" w:name="_Toc388519238"/>
      <w:r>
        <w:rPr>
          <w:rStyle w:val="CharSectno"/>
        </w:rPr>
        <w:t>14</w:t>
      </w:r>
      <w:r>
        <w:rPr>
          <w:snapToGrid w:val="0"/>
        </w:rPr>
        <w:t>.</w:t>
      </w:r>
      <w:r>
        <w:rPr>
          <w:snapToGrid w:val="0"/>
        </w:rPr>
        <w:tab/>
        <w:t>Category transfers</w:t>
      </w:r>
      <w:bookmarkEnd w:id="38"/>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r>
        <w:tab/>
        <w:t>(b)</w:t>
      </w:r>
      <w:r>
        <w:tab/>
        <w:t>the balance of the member’s accumulation account is less than the benefit (in this subregulation called the</w:t>
      </w:r>
      <w:r>
        <w:rPr>
          <w:rStyle w:val="CharDefText"/>
        </w:rPr>
        <w:t xml:space="preserv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39" w:name="_Toc388519239"/>
      <w:r>
        <w:rPr>
          <w:rStyle w:val="CharSectno"/>
        </w:rPr>
        <w:t>14A</w:t>
      </w:r>
      <w:r>
        <w:t>.</w:t>
      </w:r>
      <w:r>
        <w:tab/>
        <w:t>Category A member may elect to transfer notional defined benefit to accumulation account</w:t>
      </w:r>
      <w:bookmarkEnd w:id="39"/>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keepNext/>
      </w:pPr>
      <w:r>
        <w:tab/>
        <w:t>(4)</w:t>
      </w:r>
      <w:r>
        <w:tab/>
        <w:t xml:space="preserve">In this regulation — </w:t>
      </w:r>
    </w:p>
    <w:p>
      <w:pPr>
        <w:pStyle w:val="Defstart"/>
      </w:pPr>
      <w:r>
        <w:tab/>
      </w:r>
      <w:r>
        <w:rPr>
          <w:rStyle w:val="CharDefText"/>
        </w:rPr>
        <w:t>election day</w:t>
      </w:r>
      <w:r>
        <w:t xml:space="preserve"> means the day on which the member makes an election under subregulation (1);</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Footnotesection"/>
      </w:pPr>
      <w:r>
        <w:tab/>
        <w:t>[Regulation 14A inserted in Gazette 18 Aug 2000 p. 4785; amended in Gazette 29 Jun 2004 p. 2521.]</w:t>
      </w:r>
    </w:p>
    <w:p>
      <w:pPr>
        <w:pStyle w:val="Heading2"/>
      </w:pPr>
      <w:bookmarkStart w:id="40" w:name="_Toc388519240"/>
      <w:r>
        <w:rPr>
          <w:rStyle w:val="CharPartNo"/>
        </w:rPr>
        <w:t>Part IV</w:t>
      </w:r>
      <w:r>
        <w:rPr>
          <w:rStyle w:val="CharDivNo"/>
        </w:rPr>
        <w:t> </w:t>
      </w:r>
      <w:r>
        <w:t>—</w:t>
      </w:r>
      <w:r>
        <w:rPr>
          <w:rStyle w:val="CharDivText"/>
        </w:rPr>
        <w:t> </w:t>
      </w:r>
      <w:r>
        <w:rPr>
          <w:rStyle w:val="CharPartText"/>
        </w:rPr>
        <w:t>Contributions to the Fund</w:t>
      </w:r>
      <w:bookmarkEnd w:id="40"/>
      <w:r>
        <w:rPr>
          <w:rStyle w:val="CharPartText"/>
        </w:rPr>
        <w:t xml:space="preserve"> </w:t>
      </w:r>
    </w:p>
    <w:p>
      <w:pPr>
        <w:pStyle w:val="Heading5"/>
        <w:rPr>
          <w:snapToGrid w:val="0"/>
        </w:rPr>
      </w:pPr>
      <w:bookmarkStart w:id="41" w:name="_Toc388519241"/>
      <w:r>
        <w:rPr>
          <w:rStyle w:val="CharSectno"/>
        </w:rPr>
        <w:t>15</w:t>
      </w:r>
      <w:r>
        <w:rPr>
          <w:snapToGrid w:val="0"/>
        </w:rPr>
        <w:t>.</w:t>
      </w:r>
      <w:r>
        <w:rPr>
          <w:snapToGrid w:val="0"/>
        </w:rPr>
        <w:tab/>
        <w:t>Contributions by members</w:t>
      </w:r>
      <w:bookmarkEnd w:id="41"/>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42" w:name="_Toc388519242"/>
      <w:r>
        <w:rPr>
          <w:rStyle w:val="CharSectno"/>
        </w:rPr>
        <w:t>15A</w:t>
      </w:r>
      <w:r>
        <w:t>.</w:t>
      </w:r>
      <w:r>
        <w:tab/>
        <w:t>Contributions for Category C member</w:t>
      </w:r>
      <w:bookmarkEnd w:id="42"/>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43" w:name="_Toc388519243"/>
      <w:r>
        <w:rPr>
          <w:rStyle w:val="CharSectno"/>
        </w:rPr>
        <w:t>16</w:t>
      </w:r>
      <w:r>
        <w:rPr>
          <w:snapToGrid w:val="0"/>
        </w:rPr>
        <w:t>.</w:t>
      </w:r>
      <w:r>
        <w:rPr>
          <w:snapToGrid w:val="0"/>
        </w:rPr>
        <w:tab/>
        <w:t>Contributions by employers — Category A members</w:t>
      </w:r>
      <w:bookmarkEnd w:id="43"/>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 xml:space="preserve">the amount equal to any other amount or rate of contribution agreed on (instead of the amount referred to in paragraph (a)) by the </w:t>
      </w:r>
      <w:smartTag w:uri="urn:schemas-microsoft-com:office:smarttags" w:element="place">
        <w:r>
          <w:t>FES</w:t>
        </w:r>
      </w:smartTag>
      <w:r>
        <w:t xml:space="preserve"> Commissioner, the Superannuation Board and the actuary;</w:t>
      </w:r>
    </w:p>
    <w:p>
      <w:pPr>
        <w:pStyle w:val="Defstart"/>
      </w:pPr>
      <w:r>
        <w:rPr>
          <w:b/>
        </w:rPr>
        <w:tab/>
      </w:r>
      <w:r>
        <w:rPr>
          <w:rStyle w:val="CharDefText"/>
        </w:rPr>
        <w:t>employer</w:t>
      </w:r>
      <w:r>
        <w:t xml:space="preserve"> means the </w:t>
      </w:r>
      <w:smartTag w:uri="urn:schemas-microsoft-com:office:smarttags" w:element="place">
        <w:r>
          <w:t>FES</w:t>
        </w:r>
      </w:smartTag>
      <w:r>
        <w:t xml:space="preserve"> Commissioner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 xml:space="preserve">the </w:t>
      </w:r>
      <w:smartTag w:uri="urn:schemas-microsoft-com:office:smarttags" w:element="place">
        <w:r>
          <w:t>FES</w:t>
        </w:r>
      </w:smartTag>
      <w:r>
        <w:t xml:space="preserve"> Commissioner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 xml:space="preserve">the </w:t>
      </w:r>
      <w:smartTag w:uri="urn:schemas-microsoft-com:office:smarttags" w:element="place">
        <w:r>
          <w:t>FES</w:t>
        </w:r>
      </w:smartTag>
      <w:r>
        <w:t xml:space="preserve"> Commissioner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 xml:space="preserve">the </w:t>
      </w:r>
      <w:smartTag w:uri="urn:schemas-microsoft-com:office:smarttags" w:element="place">
        <w:r>
          <w:t>FES</w:t>
        </w:r>
      </w:smartTag>
      <w:r>
        <w:t xml:space="preserve"> Commissioner</w:t>
      </w:r>
      <w:r>
        <w:rPr>
          <w:snapToGrid w:val="0"/>
        </w:rPr>
        <w:t xml:space="preserve"> in relation to that salary day bear to the amounts or rates of contribution payable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3; 31 </w:t>
      </w:r>
      <w:r>
        <w:rPr>
          <w:szCs w:val="24"/>
        </w:rPr>
        <w:t>Oct 2012 p. 524</w:t>
      </w:r>
      <w:r>
        <w:t xml:space="preserve">9.] </w:t>
      </w:r>
    </w:p>
    <w:p>
      <w:pPr>
        <w:pStyle w:val="Heading5"/>
        <w:rPr>
          <w:snapToGrid w:val="0"/>
        </w:rPr>
      </w:pPr>
      <w:bookmarkStart w:id="44" w:name="_Toc388519244"/>
      <w:r>
        <w:rPr>
          <w:rStyle w:val="CharSectno"/>
        </w:rPr>
        <w:t>16A</w:t>
      </w:r>
      <w:r>
        <w:rPr>
          <w:snapToGrid w:val="0"/>
        </w:rPr>
        <w:t>.</w:t>
      </w:r>
      <w:r>
        <w:rPr>
          <w:snapToGrid w:val="0"/>
        </w:rPr>
        <w:tab/>
        <w:t>Contributions by employers — Category B members</w:t>
      </w:r>
      <w:bookmarkEnd w:id="44"/>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45" w:name="_Toc388519245"/>
      <w:r>
        <w:rPr>
          <w:rStyle w:val="CharSectno"/>
        </w:rPr>
        <w:t>16B</w:t>
      </w:r>
      <w:r>
        <w:rPr>
          <w:snapToGrid w:val="0"/>
        </w:rPr>
        <w:t>.</w:t>
      </w:r>
      <w:r>
        <w:rPr>
          <w:snapToGrid w:val="0"/>
        </w:rPr>
        <w:tab/>
        <w:t>Contributions by employers — supplementary disablement benefits</w:t>
      </w:r>
      <w:bookmarkEnd w:id="45"/>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spacing w:before="180"/>
      </w:pPr>
      <w:bookmarkStart w:id="46" w:name="_Toc388519246"/>
      <w:r>
        <w:rPr>
          <w:rStyle w:val="CharSectno"/>
        </w:rPr>
        <w:t>16BA</w:t>
      </w:r>
      <w:r>
        <w:t>.</w:t>
      </w:r>
      <w:r>
        <w:tab/>
        <w:t>Acceptance of Commonwealth payments</w:t>
      </w:r>
      <w:bookmarkEnd w:id="46"/>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bookmarkStart w:id="47" w:name="RuleErr_19"/>
      <w:r>
        <w:rPr>
          <w:i/>
        </w:rPr>
        <w:t xml:space="preserve">Superannuation Guarantee (Administration) Act 1992 </w:t>
      </w:r>
      <w:bookmarkEnd w:id="47"/>
      <w:r>
        <w:t xml:space="preserve">of the Commonwealth; </w:t>
      </w:r>
    </w:p>
    <w:p>
      <w:pPr>
        <w:pStyle w:val="Indenta"/>
      </w:pPr>
      <w:r>
        <w:tab/>
        <w:t>(b)</w:t>
      </w:r>
      <w:r>
        <w:tab/>
        <w:t xml:space="preserve">an amount equal to the balance of the member’s account in the Superannuation Holding Accounts Reserve under the </w:t>
      </w:r>
      <w:bookmarkStart w:id="48" w:name="RuleErr_20"/>
      <w:r>
        <w:rPr>
          <w:i/>
        </w:rPr>
        <w:t xml:space="preserve">Small Superannuation Accounts Act 1995 </w:t>
      </w:r>
      <w:bookmarkEnd w:id="48"/>
      <w:r>
        <w:t xml:space="preserve">of the Commonwealth; </w:t>
      </w:r>
    </w:p>
    <w:p>
      <w:pPr>
        <w:pStyle w:val="Indenta"/>
      </w:pPr>
      <w:r>
        <w:tab/>
        <w:t>(c)</w:t>
      </w:r>
      <w:r>
        <w:tab/>
        <w:t>a Government co</w:t>
      </w:r>
      <w:r>
        <w:noBreakHyphen/>
        <w:t xml:space="preserve">contribution under the </w:t>
      </w:r>
      <w:bookmarkStart w:id="49" w:name="RuleErr_21"/>
      <w:r>
        <w:rPr>
          <w:i/>
        </w:rPr>
        <w:t>Superannuation (Government Co</w:t>
      </w:r>
      <w:r>
        <w:rPr>
          <w:i/>
        </w:rPr>
        <w:noBreakHyphen/>
        <w:t>contribution for Low Income Earners) Act 2003</w:t>
      </w:r>
      <w:bookmarkEnd w:id="49"/>
      <w:r>
        <w:t xml:space="preserve"> of the Commonwealth.</w:t>
      </w:r>
    </w:p>
    <w:p>
      <w:pPr>
        <w:pStyle w:val="Footnotesection"/>
      </w:pPr>
      <w:r>
        <w:tab/>
        <w:t>[Regulation 16BA inserted in Gazette 21 Jan 2005 p. 261.]</w:t>
      </w:r>
    </w:p>
    <w:p>
      <w:pPr>
        <w:pStyle w:val="Heading5"/>
        <w:spacing w:before="180"/>
      </w:pPr>
      <w:bookmarkStart w:id="50" w:name="_Toc388519247"/>
      <w:r>
        <w:rPr>
          <w:rStyle w:val="CharSectno"/>
        </w:rPr>
        <w:t>16BB</w:t>
      </w:r>
      <w:r>
        <w:t>.</w:t>
      </w:r>
      <w:r>
        <w:tab/>
        <w:t>Contribution splitting</w:t>
      </w:r>
      <w:bookmarkEnd w:id="50"/>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in Gazette 1 Apr 2008 p. 1273.]</w:t>
      </w:r>
    </w:p>
    <w:p>
      <w:pPr>
        <w:pStyle w:val="Heading5"/>
        <w:spacing w:before="180"/>
      </w:pPr>
      <w:bookmarkStart w:id="51" w:name="_Toc388519248"/>
      <w:r>
        <w:rPr>
          <w:rStyle w:val="CharSectno"/>
        </w:rPr>
        <w:t>16C</w:t>
      </w:r>
      <w:r>
        <w:t>.</w:t>
      </w:r>
      <w:r>
        <w:tab/>
        <w:t>Accumulation accounts</w:t>
      </w:r>
      <w:bookmarkEnd w:id="51"/>
    </w:p>
    <w:p>
      <w:pPr>
        <w:pStyle w:val="Subsection"/>
        <w:spacing w:before="120"/>
      </w:pPr>
      <w:r>
        <w:tab/>
        <w:t>(1)</w:t>
      </w:r>
      <w:r>
        <w:tab/>
        <w:t>The Superannuation Board is to establish and maintain an accumulation account for each member.</w:t>
      </w:r>
    </w:p>
    <w:p>
      <w:pPr>
        <w:pStyle w:val="Subsection"/>
        <w:spacing w:before="120"/>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in Gazette 23 Jul 1999 p. 3387; amended in Gazette 18 Aug 2000 p. 4786; 2 May 2003 p. 1494; 21 Jan 2005 p. 262; 1 Apr 2008 p. 1273-4.]</w:t>
      </w:r>
    </w:p>
    <w:p>
      <w:pPr>
        <w:pStyle w:val="Heading5"/>
      </w:pPr>
      <w:bookmarkStart w:id="52" w:name="_Toc388519249"/>
      <w:r>
        <w:rPr>
          <w:rStyle w:val="CharSectno"/>
        </w:rPr>
        <w:t>16D</w:t>
      </w:r>
      <w:r>
        <w:t>.</w:t>
      </w:r>
      <w:r>
        <w:tab/>
        <w:t>Insurance for Category B members</w:t>
      </w:r>
      <w:bookmarkEnd w:id="52"/>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53" w:name="_Toc388519250"/>
      <w:r>
        <w:rPr>
          <w:rStyle w:val="CharPartNo"/>
        </w:rPr>
        <w:t>Part V</w:t>
      </w:r>
      <w:r>
        <w:t> — </w:t>
      </w:r>
      <w:r>
        <w:rPr>
          <w:rStyle w:val="CharPartText"/>
        </w:rPr>
        <w:t>Benefits</w:t>
      </w:r>
      <w:bookmarkEnd w:id="53"/>
    </w:p>
    <w:p>
      <w:pPr>
        <w:pStyle w:val="Heading3"/>
        <w:rPr>
          <w:snapToGrid w:val="0"/>
        </w:rPr>
      </w:pPr>
      <w:bookmarkStart w:id="54" w:name="_Toc388519251"/>
      <w:r>
        <w:rPr>
          <w:rStyle w:val="CharDivNo"/>
        </w:rPr>
        <w:t>Division 1</w:t>
      </w:r>
      <w:r>
        <w:rPr>
          <w:snapToGrid w:val="0"/>
        </w:rPr>
        <w:t> — </w:t>
      </w:r>
      <w:r>
        <w:rPr>
          <w:rStyle w:val="CharDivText"/>
        </w:rPr>
        <w:t>Entitlement to benefits</w:t>
      </w:r>
      <w:bookmarkEnd w:id="54"/>
      <w:r>
        <w:rPr>
          <w:rStyle w:val="CharDivText"/>
        </w:rPr>
        <w:t xml:space="preserve"> </w:t>
      </w:r>
    </w:p>
    <w:p>
      <w:pPr>
        <w:pStyle w:val="Heading5"/>
        <w:spacing w:before="200"/>
      </w:pPr>
      <w:bookmarkStart w:id="55" w:name="_Toc388519252"/>
      <w:r>
        <w:rPr>
          <w:rStyle w:val="CharSectno"/>
        </w:rPr>
        <w:t>17</w:t>
      </w:r>
      <w:r>
        <w:t>.</w:t>
      </w:r>
      <w:r>
        <w:tab/>
        <w:t>Death benefit — Category A</w:t>
      </w:r>
      <w:bookmarkEnd w:id="55"/>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spacing w:before="180"/>
      </w:pPr>
      <w:bookmarkStart w:id="56" w:name="_Toc388519253"/>
      <w:r>
        <w:rPr>
          <w:rStyle w:val="CharSectno"/>
        </w:rPr>
        <w:t>18</w:t>
      </w:r>
      <w:r>
        <w:t>.</w:t>
      </w:r>
      <w:r>
        <w:tab/>
        <w:t>Total and permanent disablement benefit — Category A</w:t>
      </w:r>
      <w:bookmarkEnd w:id="56"/>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spacing w:before="80"/>
        <w:ind w:left="890" w:hanging="890"/>
      </w:pPr>
      <w:r>
        <w:tab/>
        <w:t>[Regulation 18 inserted in Gazette 23 Jul 1999 p. 3388.]</w:t>
      </w:r>
    </w:p>
    <w:p>
      <w:pPr>
        <w:pStyle w:val="Heading5"/>
        <w:spacing w:before="240"/>
      </w:pPr>
      <w:bookmarkStart w:id="57" w:name="_Toc388519254"/>
      <w:r>
        <w:rPr>
          <w:rStyle w:val="CharSectno"/>
        </w:rPr>
        <w:t>19</w:t>
      </w:r>
      <w:r>
        <w:t>.</w:t>
      </w:r>
      <w:r>
        <w:tab/>
        <w:t>Partial and permanent disablement benefit — Category A</w:t>
      </w:r>
      <w:bookmarkEnd w:id="57"/>
    </w:p>
    <w:p>
      <w:pPr>
        <w:pStyle w:val="Subsection"/>
        <w:spacing w:before="12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2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spacing w:before="80"/>
        <w:ind w:left="890" w:hanging="890"/>
      </w:pPr>
      <w:r>
        <w:tab/>
        <w:t>[Regulation 19 inserted in Gazette 23 Jul 1999 p. 3389; amended in Gazette 18 Aug 2000 p. 4787</w:t>
      </w:r>
      <w:r>
        <w:noBreakHyphen/>
        <w:t>8; 29 Jun 2004 p. 2521.]</w:t>
      </w:r>
    </w:p>
    <w:p>
      <w:pPr>
        <w:pStyle w:val="Heading5"/>
        <w:spacing w:before="180"/>
      </w:pPr>
      <w:bookmarkStart w:id="58" w:name="_Toc388519255"/>
      <w:r>
        <w:rPr>
          <w:rStyle w:val="CharSectno"/>
        </w:rPr>
        <w:t>20</w:t>
      </w:r>
      <w:r>
        <w:t>.</w:t>
      </w:r>
      <w:r>
        <w:tab/>
        <w:t>Continuing in employment after 65 — Category A</w:t>
      </w:r>
      <w:bookmarkEnd w:id="58"/>
    </w:p>
    <w:p>
      <w:pPr>
        <w:pStyle w:val="Subsection"/>
        <w:spacing w:before="12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spacing w:before="80"/>
        <w:ind w:left="890" w:hanging="890"/>
      </w:pPr>
      <w:r>
        <w:tab/>
        <w:t>[Regulation 20 inserted in Gazette 23 Jul 1999 p. 3389; amended in Gazette 18 Aug 2000 p. 4788; 29 Jun 2004 p. 2521.]</w:t>
      </w:r>
    </w:p>
    <w:p>
      <w:pPr>
        <w:pStyle w:val="Heading5"/>
        <w:spacing w:before="180"/>
      </w:pPr>
      <w:bookmarkStart w:id="59" w:name="_Toc388519256"/>
      <w:r>
        <w:rPr>
          <w:rStyle w:val="CharSectno"/>
        </w:rPr>
        <w:t>21</w:t>
      </w:r>
      <w:r>
        <w:t>.</w:t>
      </w:r>
      <w:r>
        <w:tab/>
        <w:t>Leaving service benefit — Category A</w:t>
      </w:r>
      <w:bookmarkEnd w:id="59"/>
    </w:p>
    <w:p>
      <w:pPr>
        <w:pStyle w:val="Subsection"/>
        <w:spacing w:before="12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spacing w:before="60"/>
      </w:pPr>
      <w:r>
        <w:tab/>
        <w:t>(a)</w:t>
      </w:r>
      <w:r>
        <w:tab/>
        <w:t>if the member is 65 years of age or older, the balance of the member’s accumulation account; or</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ind w:left="890" w:hanging="890"/>
      </w:pPr>
      <w:r>
        <w:tab/>
        <w:t>[Regulation 21 inserted in Gazette 23 Jul 1999 p. 3389; amended in Gazette 18 Aug 2000 p. 4788; 29 Jun 2004 p. 2521]</w:t>
      </w:r>
    </w:p>
    <w:p>
      <w:pPr>
        <w:pStyle w:val="Heading5"/>
        <w:spacing w:before="240"/>
      </w:pPr>
      <w:bookmarkStart w:id="60" w:name="_Toc388519257"/>
      <w:r>
        <w:rPr>
          <w:rStyle w:val="CharSectno"/>
        </w:rPr>
        <w:t>21A</w:t>
      </w:r>
      <w:r>
        <w:t>.</w:t>
      </w:r>
      <w:r>
        <w:tab/>
        <w:t>Benefit — Category B</w:t>
      </w:r>
      <w:bookmarkEnd w:id="60"/>
    </w:p>
    <w:p>
      <w:pPr>
        <w:pStyle w:val="Subsection"/>
      </w:pPr>
      <w:r>
        <w:tab/>
        <w:t>(1)</w:t>
      </w:r>
      <w:r>
        <w:tab/>
        <w:t>If a Category B member dies while still in the employment of the employer the Superannuation Board is to pay a benefit equal to the balance of the member’s accumulation account.</w:t>
      </w:r>
    </w:p>
    <w:p>
      <w:pPr>
        <w:pStyle w:val="Subsection"/>
        <w:keepNext/>
      </w:pPr>
      <w:r>
        <w:tab/>
        <w:t>(2)</w:t>
      </w:r>
      <w:r>
        <w:tab/>
        <w:t>If a Category B member —</w:t>
      </w:r>
    </w:p>
    <w:p>
      <w:pPr>
        <w:pStyle w:val="Indenta"/>
      </w:pPr>
      <w:r>
        <w:tab/>
        <w:t>(a)</w:t>
      </w:r>
      <w:r>
        <w:tab/>
        <w:t>ceases to be in the employment of the employer other than as a result of death; or</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61" w:name="_Toc388519258"/>
      <w:r>
        <w:rPr>
          <w:rStyle w:val="CharSectno"/>
        </w:rPr>
        <w:t>21AA</w:t>
      </w:r>
      <w:r>
        <w:t>.</w:t>
      </w:r>
      <w:r>
        <w:tab/>
        <w:t>Benefit — Category C</w:t>
      </w:r>
      <w:bookmarkEnd w:id="61"/>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 amended in Gazette 1 Apr 2008 p. 1274.]</w:t>
      </w:r>
    </w:p>
    <w:p>
      <w:pPr>
        <w:pStyle w:val="Heading5"/>
      </w:pPr>
      <w:bookmarkStart w:id="62" w:name="_Toc388519259"/>
      <w:r>
        <w:rPr>
          <w:rStyle w:val="CharSectno"/>
        </w:rPr>
        <w:t>21AB</w:t>
      </w:r>
      <w:r>
        <w:t>.</w:t>
      </w:r>
      <w:r>
        <w:tab/>
        <w:t>Phased retirement benefit</w:t>
      </w:r>
      <w:bookmarkEnd w:id="62"/>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in Gazette 1 Apr 2008 p. 1275.]</w:t>
      </w:r>
    </w:p>
    <w:p>
      <w:pPr>
        <w:pStyle w:val="Heading5"/>
      </w:pPr>
      <w:bookmarkStart w:id="63" w:name="_Toc388519260"/>
      <w:r>
        <w:rPr>
          <w:rStyle w:val="CharSectno"/>
        </w:rPr>
        <w:t>21AC</w:t>
      </w:r>
      <w:r>
        <w:t>.</w:t>
      </w:r>
      <w:r>
        <w:tab/>
        <w:t>Increased death benefit in certain cases</w:t>
      </w:r>
      <w:bookmarkEnd w:id="63"/>
    </w:p>
    <w:p>
      <w:pPr>
        <w:pStyle w:val="Subsection"/>
      </w:pPr>
      <w:r>
        <w:tab/>
      </w:r>
      <w:r>
        <w:tab/>
        <w:t xml:space="preserve">If — </w:t>
      </w:r>
    </w:p>
    <w:p>
      <w:pPr>
        <w:pStyle w:val="Indenta"/>
      </w:pPr>
      <w:r>
        <w:tab/>
        <w:t>(a)</w:t>
      </w:r>
      <w:r>
        <w:tab/>
        <w:t>a death benefit becomes payable; and</w:t>
      </w:r>
    </w:p>
    <w:p>
      <w:pPr>
        <w:pStyle w:val="Indenta"/>
      </w:pPr>
      <w:r>
        <w:tab/>
        <w:t>(b)</w:t>
      </w:r>
      <w:r>
        <w:tab/>
        <w:t xml:space="preserve">the Superannuation Board would be entitled to a deduction under the </w:t>
      </w:r>
      <w:bookmarkStart w:id="64" w:name="RuleErr_22"/>
      <w:r>
        <w:rPr>
          <w:i/>
          <w:iCs/>
        </w:rPr>
        <w:t>Income Tax Assessment Act 1997</w:t>
      </w:r>
      <w:bookmarkEnd w:id="64"/>
      <w:r>
        <w:t xml:space="preserve"> (Commonwealth) section 295</w:t>
      </w:r>
      <w:r>
        <w:noBreakHyphen/>
        <w:t>485 if it were to increase the amount of the benefit,</w:t>
      </w:r>
    </w:p>
    <w:p>
      <w:pPr>
        <w:pStyle w:val="Subsection"/>
      </w:pPr>
      <w:r>
        <w:tab/>
      </w:r>
      <w:r>
        <w:tab/>
        <w:t>then the Superannuation Board may, if it considers it appropriate to do so, increase the amount of the death benefit by an amount not exceeding the amount of the deduction to which the Superannuation Board would be entitled.</w:t>
      </w:r>
    </w:p>
    <w:p>
      <w:pPr>
        <w:pStyle w:val="Footnotesection"/>
      </w:pPr>
      <w:r>
        <w:tab/>
        <w:t>[Regulation 21AC inserted in Gazette 21 Aug 2009 p. 3268.]</w:t>
      </w:r>
    </w:p>
    <w:p>
      <w:pPr>
        <w:pStyle w:val="Heading5"/>
      </w:pPr>
      <w:bookmarkStart w:id="65" w:name="_Toc388519261"/>
      <w:r>
        <w:rPr>
          <w:rStyle w:val="CharSectno"/>
        </w:rPr>
        <w:t>21B</w:t>
      </w:r>
      <w:r>
        <w:t>.</w:t>
      </w:r>
      <w:r>
        <w:tab/>
        <w:t>Payment of benefits</w:t>
      </w:r>
      <w:bookmarkEnd w:id="65"/>
    </w:p>
    <w:p>
      <w:pPr>
        <w:pStyle w:val="Subsection"/>
        <w:spacing w:before="180"/>
      </w:pPr>
      <w:r>
        <w:tab/>
        <w:t>(1)</w:t>
      </w:r>
      <w:r>
        <w:tab/>
        <w:t>Subject to this regulation and regulations 21C, 22, 23B and 23BA, when a member becomes entitled to a benefit the Superannuation Board is to pay it to the member as a lump sum.</w:t>
      </w:r>
    </w:p>
    <w:p>
      <w:pPr>
        <w:pStyle w:val="Subsection"/>
        <w:spacing w:before="180"/>
      </w:pPr>
      <w:r>
        <w:tab/>
        <w:t>(2)</w:t>
      </w:r>
      <w:r>
        <w:tab/>
        <w:t xml:space="preserve">The Superannuation Board may, at the request of a member, transfer a benefit to which the member is entitled to another complying superannuation fund. </w:t>
      </w:r>
    </w:p>
    <w:p>
      <w:pPr>
        <w:pStyle w:val="Subsection"/>
        <w:spacing w:before="180"/>
      </w:pPr>
      <w:r>
        <w:tab/>
        <w:t>(3)</w:t>
      </w:r>
      <w:r>
        <w:tab/>
        <w:t xml:space="preserve">The Superannuation Board may transfer a benefit that is payable to or in respect of a member to an eligible rollover fund (as defined in the SIS Act) if that complies with the SIS standards. </w:t>
      </w:r>
    </w:p>
    <w:p>
      <w:pPr>
        <w:pStyle w:val="Subsection"/>
        <w:spacing w:before="180"/>
      </w:pPr>
      <w:r>
        <w:tab/>
        <w:t>(3a)</w:t>
      </w:r>
      <w:r>
        <w:tab/>
        <w:t xml:space="preserve">The Board must not transfer a supplementary disablement benefit under subregulation (2) or (3) unless the benefit is to be paid as a lump sum and has become payable to the member. </w:t>
      </w:r>
    </w:p>
    <w:p>
      <w:pPr>
        <w:pStyle w:val="Subsection"/>
        <w:spacing w:before="180"/>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a regulated superannuation fund (as defined in the SIS Act); or</w:t>
      </w:r>
    </w:p>
    <w:p>
      <w:pPr>
        <w:pStyle w:val="Defpara"/>
      </w:pPr>
      <w:r>
        <w:tab/>
        <w:t>(b)</w:t>
      </w:r>
      <w:r>
        <w:tab/>
        <w:t>an exempt public sector superannuation scheme (as defined in the SIS Act); or</w:t>
      </w:r>
    </w:p>
    <w:p>
      <w:pPr>
        <w:pStyle w:val="Defpara"/>
      </w:pPr>
      <w:r>
        <w:tab/>
        <w:t>(c)</w:t>
      </w:r>
      <w:r>
        <w:tab/>
        <w:t xml:space="preserve">a regulated approved deposit (as defined in the SIS Act); or </w:t>
      </w:r>
    </w:p>
    <w:p>
      <w:pPr>
        <w:pStyle w:val="Defpara"/>
        <w:keepNext/>
      </w:pPr>
      <w:r>
        <w:tab/>
        <w:t>(d)</w:t>
      </w:r>
      <w:r>
        <w:tab/>
        <w:t xml:space="preserve">a retirement savings account (as defined in the </w:t>
      </w:r>
      <w:bookmarkStart w:id="66" w:name="RuleErr_23"/>
      <w:r>
        <w:rPr>
          <w:i/>
        </w:rPr>
        <w:t>Retirement Savings Accounts Act 1997</w:t>
      </w:r>
      <w:bookmarkEnd w:id="66"/>
      <w:r>
        <w:t xml:space="preserve"> (Commonwealth)).</w:t>
      </w:r>
    </w:p>
    <w:p>
      <w:pPr>
        <w:pStyle w:val="Footnotesection"/>
      </w:pPr>
      <w:r>
        <w:tab/>
        <w:t>[Regulation 21B inserted in Gazette 23 Jul 1999 p. 3390</w:t>
      </w:r>
      <w:r>
        <w:noBreakHyphen/>
        <w:t>1; amended in Gazette 30 Mar 2001 p. 1761.]</w:t>
      </w:r>
    </w:p>
    <w:p>
      <w:pPr>
        <w:pStyle w:val="Heading5"/>
      </w:pPr>
      <w:bookmarkStart w:id="67" w:name="_Toc388519262"/>
      <w:r>
        <w:rPr>
          <w:rStyle w:val="CharSectno"/>
        </w:rPr>
        <w:t>21C</w:t>
      </w:r>
      <w:r>
        <w:t>.</w:t>
      </w:r>
      <w:r>
        <w:tab/>
        <w:t>Preservation</w:t>
      </w:r>
      <w:bookmarkEnd w:id="67"/>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in Gazette 23 Jul 1999 p. 3391; amended in Gazette 2 May 2003 p. 1495; 1 Apr 2008 p. 1275.]</w:t>
      </w:r>
    </w:p>
    <w:p>
      <w:pPr>
        <w:pStyle w:val="Heading5"/>
      </w:pPr>
      <w:bookmarkStart w:id="68" w:name="_Toc388519263"/>
      <w:r>
        <w:rPr>
          <w:rStyle w:val="CharSectno"/>
        </w:rPr>
        <w:t>21D</w:t>
      </w:r>
      <w:r>
        <w:t>.</w:t>
      </w:r>
      <w:r>
        <w:tab/>
        <w:t>Delay in payment of benefit</w:t>
      </w:r>
      <w:bookmarkEnd w:id="68"/>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in Gazette 1 Apr 2008 p. 1275-6.]</w:t>
      </w:r>
    </w:p>
    <w:p>
      <w:pPr>
        <w:pStyle w:val="Heading5"/>
        <w:spacing w:before="240"/>
        <w:rPr>
          <w:snapToGrid w:val="0"/>
        </w:rPr>
      </w:pPr>
      <w:bookmarkStart w:id="69" w:name="_Toc388519264"/>
      <w:r>
        <w:rPr>
          <w:rStyle w:val="CharSectno"/>
        </w:rPr>
        <w:t>22</w:t>
      </w:r>
      <w:r>
        <w:rPr>
          <w:snapToGrid w:val="0"/>
        </w:rPr>
        <w:t>.</w:t>
      </w:r>
      <w:r>
        <w:rPr>
          <w:snapToGrid w:val="0"/>
        </w:rPr>
        <w:tab/>
        <w:t>Retirement benefits — pension option</w:t>
      </w:r>
      <w:bookmarkEnd w:id="69"/>
      <w:r>
        <w:rPr>
          <w:snapToGrid w:val="0"/>
        </w:rPr>
        <w:t xml:space="preserve"> </w:t>
      </w:r>
    </w:p>
    <w:p>
      <w:pPr>
        <w:pStyle w:val="Subsection"/>
        <w:spacing w:before="180"/>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w:t>
      </w:r>
      <w:r>
        <w:t>called the</w:t>
      </w:r>
      <w:r>
        <w:rPr>
          <w:rStyle w:val="CharDefText"/>
        </w:rPr>
        <w:t xml:space="preserve"> amount commuted</w:t>
      </w:r>
      <w:r>
        <w:rPr>
          <w:snapToGrid w:val="0"/>
        </w:rPr>
        <w:t>).</w:t>
      </w:r>
    </w:p>
    <w:p>
      <w:pPr>
        <w:pStyle w:val="Subsection"/>
        <w:spacing w:before="180"/>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spacing w:before="180"/>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spacing w:before="180"/>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spacing w:before="180"/>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1 Apr 2008 p. 1276.] </w:t>
      </w:r>
    </w:p>
    <w:p>
      <w:pPr>
        <w:pStyle w:val="Ednotesection"/>
      </w:pPr>
      <w:r>
        <w:t>[</w:t>
      </w:r>
      <w:r>
        <w:rPr>
          <w:b/>
          <w:bCs/>
        </w:rPr>
        <w:t>23.</w:t>
      </w:r>
      <w:r>
        <w:tab/>
        <w:t>Deleted in Gazette 1 Apr 2008 p. 1276.]</w:t>
      </w:r>
    </w:p>
    <w:p>
      <w:pPr>
        <w:pStyle w:val="Ednotesection"/>
      </w:pPr>
      <w:r>
        <w:t>[</w:t>
      </w:r>
      <w:r>
        <w:rPr>
          <w:b/>
          <w:bCs/>
        </w:rPr>
        <w:t>23A.</w:t>
      </w:r>
      <w:r>
        <w:tab/>
        <w:t>Deleted in Gazette 23 Jul 1999 p. 3391.]</w:t>
      </w:r>
    </w:p>
    <w:p>
      <w:pPr>
        <w:pStyle w:val="Heading5"/>
        <w:rPr>
          <w:snapToGrid w:val="0"/>
        </w:rPr>
      </w:pPr>
      <w:bookmarkStart w:id="70" w:name="_Toc388519265"/>
      <w:r>
        <w:rPr>
          <w:rStyle w:val="CharSectno"/>
        </w:rPr>
        <w:t>23B</w:t>
      </w:r>
      <w:r>
        <w:rPr>
          <w:snapToGrid w:val="0"/>
        </w:rPr>
        <w:t>.</w:t>
      </w:r>
      <w:r>
        <w:rPr>
          <w:snapToGrid w:val="0"/>
        </w:rPr>
        <w:tab/>
        <w:t>Supplementary disablement benefits</w:t>
      </w:r>
      <w:bookmarkEnd w:id="70"/>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 and</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keepNext/>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xml:space="preserve">, in relation to a member, means alternative employment by the </w:t>
      </w:r>
      <w:smartTag w:uri="urn:schemas-microsoft-com:office:smarttags" w:element="place">
        <w:r>
          <w:t>FES</w:t>
        </w:r>
      </w:smartTag>
      <w:r>
        <w:t xml:space="preserve"> Commissioner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keepLines w:val="0"/>
        <w:spacing w:before="80"/>
        <w:ind w:left="890" w:hanging="890"/>
      </w:pPr>
      <w:r>
        <w:tab/>
        <w:t>[Regulation 23B inserted in Gazette 17 Apr 1998 p. 2100; amended in Gazette 22 Dec 1998 p. 6852</w:t>
      </w:r>
      <w:r>
        <w:noBreakHyphen/>
        <w:t>3; 23 Jul 1999 p. 3391; 30 Mar 2001 p. 1761</w:t>
      </w:r>
      <w:r>
        <w:noBreakHyphen/>
        <w:t>2; 22 May 2001 p. 2576; 21 Jan 2005 p. 262-3; 31 </w:t>
      </w:r>
      <w:r>
        <w:rPr>
          <w:szCs w:val="24"/>
        </w:rPr>
        <w:t>Oct 2012 p. 524</w:t>
      </w:r>
      <w:r>
        <w:t xml:space="preserve">9.] </w:t>
      </w:r>
    </w:p>
    <w:p>
      <w:pPr>
        <w:pStyle w:val="Heading5"/>
        <w:spacing w:before="180"/>
        <w:rPr>
          <w:snapToGrid w:val="0"/>
        </w:rPr>
      </w:pPr>
      <w:bookmarkStart w:id="71" w:name="_Toc388519266"/>
      <w:r>
        <w:rPr>
          <w:rStyle w:val="CharSectno"/>
        </w:rPr>
        <w:t>23BA</w:t>
      </w:r>
      <w:r>
        <w:rPr>
          <w:snapToGrid w:val="0"/>
        </w:rPr>
        <w:t>.</w:t>
      </w:r>
      <w:r>
        <w:rPr>
          <w:snapToGrid w:val="0"/>
        </w:rPr>
        <w:tab/>
        <w:t>Electing another method of payment — supplementary disablement benefits</w:t>
      </w:r>
      <w:bookmarkEnd w:id="71"/>
      <w:r>
        <w:rPr>
          <w:snapToGrid w:val="0"/>
        </w:rPr>
        <w:t xml:space="preserve"> </w:t>
      </w:r>
    </w:p>
    <w:p>
      <w:pPr>
        <w:pStyle w:val="Subsection"/>
        <w:spacing w:before="120"/>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spacing w:before="120"/>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spacing w:before="120"/>
      </w:pPr>
      <w:r>
        <w:tab/>
        <w:t>(2a)</w:t>
      </w:r>
      <w:r>
        <w:tab/>
        <w:t>The amount of the lump sum payable to a beneficiary who elects to be paid a lump sum under subregulation (1)(b) is calculated in accordance with Schedule 9.</w:t>
      </w:r>
    </w:p>
    <w:p>
      <w:pPr>
        <w:pStyle w:val="Subsection"/>
        <w:spacing w:before="120"/>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bookmarkStart w:id="72" w:name="RuleErr_24"/>
      <w:r>
        <w:rPr>
          <w:i/>
          <w:snapToGrid w:val="0"/>
        </w:rPr>
        <w:t>Fire Brigades (Superannuation Fund) Amendment Regulations 1998</w:t>
      </w:r>
      <w:bookmarkEnd w:id="72"/>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 1 Apr 2008 p. 1276.]</w:t>
      </w:r>
    </w:p>
    <w:p>
      <w:pPr>
        <w:pStyle w:val="Heading5"/>
      </w:pPr>
      <w:bookmarkStart w:id="73" w:name="_Toc388519267"/>
      <w:r>
        <w:rPr>
          <w:rStyle w:val="CharSectno"/>
        </w:rPr>
        <w:t>23C</w:t>
      </w:r>
      <w:r>
        <w:t>.</w:t>
      </w:r>
      <w:r>
        <w:tab/>
        <w:t>Benefit on death of supplementary disablement beneficiary</w:t>
      </w:r>
      <w:bookmarkEnd w:id="73"/>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if the member’s last election was an election under regulation 23B(3a)(a) or 23BA(1)(a) for the benefit to be paid in monthly instalments — Schedule 7; or</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 amended in Gazette 1 Apr 2008 p. 1276-7.]</w:t>
      </w:r>
    </w:p>
    <w:p>
      <w:pPr>
        <w:pStyle w:val="Heading5"/>
        <w:spacing w:before="120"/>
        <w:rPr>
          <w:snapToGrid w:val="0"/>
        </w:rPr>
      </w:pPr>
      <w:bookmarkStart w:id="74" w:name="_Toc388519268"/>
      <w:r>
        <w:rPr>
          <w:rStyle w:val="CharSectno"/>
        </w:rPr>
        <w:t>23D</w:t>
      </w:r>
      <w:r>
        <w:rPr>
          <w:snapToGrid w:val="0"/>
        </w:rPr>
        <w:t>.</w:t>
      </w:r>
      <w:r>
        <w:rPr>
          <w:snapToGrid w:val="0"/>
        </w:rPr>
        <w:tab/>
        <w:t>Review of supplementary disablement benefits</w:t>
      </w:r>
      <w:bookmarkEnd w:id="74"/>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rPr>
          <w:snapToGrid w:val="0"/>
        </w:rPr>
      </w:pPr>
      <w:bookmarkStart w:id="75" w:name="_Toc388519269"/>
      <w:r>
        <w:rPr>
          <w:rStyle w:val="CharDivNo"/>
        </w:rPr>
        <w:t>Division 2</w:t>
      </w:r>
      <w:r>
        <w:rPr>
          <w:snapToGrid w:val="0"/>
        </w:rPr>
        <w:t> — </w:t>
      </w:r>
      <w:r>
        <w:rPr>
          <w:rStyle w:val="CharDivText"/>
        </w:rPr>
        <w:t>Payment of benefits</w:t>
      </w:r>
      <w:bookmarkEnd w:id="75"/>
      <w:r>
        <w:rPr>
          <w:rStyle w:val="CharDivText"/>
        </w:rPr>
        <w:t xml:space="preserve"> </w:t>
      </w:r>
    </w:p>
    <w:p>
      <w:pPr>
        <w:pStyle w:val="Heading5"/>
        <w:spacing w:before="180"/>
        <w:rPr>
          <w:snapToGrid w:val="0"/>
        </w:rPr>
      </w:pPr>
      <w:bookmarkStart w:id="76" w:name="_Toc388519270"/>
      <w:r>
        <w:rPr>
          <w:rStyle w:val="CharSectno"/>
        </w:rPr>
        <w:t>24</w:t>
      </w:r>
      <w:r>
        <w:rPr>
          <w:snapToGrid w:val="0"/>
        </w:rPr>
        <w:t>.</w:t>
      </w:r>
      <w:r>
        <w:rPr>
          <w:snapToGrid w:val="0"/>
        </w:rPr>
        <w:tab/>
        <w:t>Term used: benefit</w:t>
      </w:r>
      <w:bookmarkEnd w:id="76"/>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spacing w:before="180"/>
        <w:rPr>
          <w:snapToGrid w:val="0"/>
        </w:rPr>
      </w:pPr>
      <w:bookmarkStart w:id="77" w:name="_Toc388519271"/>
      <w:r>
        <w:rPr>
          <w:rStyle w:val="CharSectno"/>
        </w:rPr>
        <w:t>25</w:t>
      </w:r>
      <w:r>
        <w:rPr>
          <w:snapToGrid w:val="0"/>
        </w:rPr>
        <w:t>.</w:t>
      </w:r>
      <w:r>
        <w:rPr>
          <w:snapToGrid w:val="0"/>
        </w:rPr>
        <w:tab/>
        <w:t>Payment of benefits in respect of deceased members</w:t>
      </w:r>
      <w:bookmarkEnd w:id="77"/>
      <w:r>
        <w:rPr>
          <w:snapToGrid w:val="0"/>
        </w:rPr>
        <w:t xml:space="preserve"> </w:t>
      </w:r>
    </w:p>
    <w:p>
      <w:pPr>
        <w:pStyle w:val="Subsection"/>
        <w:rPr>
          <w:snapToGrid w:val="0"/>
        </w:rPr>
      </w:pPr>
      <w:r>
        <w:rPr>
          <w:snapToGrid w:val="0"/>
        </w:rPr>
        <w:tab/>
        <w:t>(1)</w:t>
      </w:r>
      <w:r>
        <w:rPr>
          <w:snapToGrid w:val="0"/>
        </w:rPr>
        <w:tab/>
        <w:t>A death benefit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Unless the SIS Regulations require otherwise, a death benefit may, at the discretion of the Superannuation Board, be paid —</w:t>
      </w:r>
    </w:p>
    <w:p>
      <w:pPr>
        <w:pStyle w:val="Indenta"/>
        <w:rPr>
          <w:snapToGrid w:val="0"/>
        </w:rPr>
      </w:pPr>
      <w:r>
        <w:rPr>
          <w:snapToGrid w:val="0"/>
        </w:rPr>
        <w:tab/>
        <w:t>(a)</w:t>
      </w:r>
      <w:r>
        <w:rPr>
          <w:snapToGrid w:val="0"/>
        </w:rPr>
        <w:tab/>
        <w:t xml:space="preserve">to either the dependants of the member or his legal personal representative or </w:t>
      </w:r>
      <w:r>
        <w:t>both; and</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 and</w:t>
      </w:r>
    </w:p>
    <w:p>
      <w:pPr>
        <w:pStyle w:val="Indenta"/>
        <w:rPr>
          <w:snapToGrid w:val="0"/>
        </w:rPr>
      </w:pPr>
      <w:r>
        <w:rPr>
          <w:snapToGrid w:val="0"/>
        </w:rPr>
        <w:tab/>
        <w:t>(b)</w:t>
      </w:r>
      <w:r>
        <w:rPr>
          <w:snapToGrid w:val="0"/>
        </w:rPr>
        <w:tab/>
        <w:t>any request made by the member as to the payment of his death benefit, other than a notice under regulation 26 that the SIS Regulations require the Superannuation Board to comply with;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pPr>
      <w:r>
        <w:tab/>
        <w:t>[Regulation 25 amended in Gazette 21 Aug 2009 p. 3268-9.]</w:t>
      </w:r>
    </w:p>
    <w:p>
      <w:pPr>
        <w:pStyle w:val="Heading5"/>
        <w:rPr>
          <w:snapToGrid w:val="0"/>
        </w:rPr>
      </w:pPr>
      <w:bookmarkStart w:id="78" w:name="_Toc388519272"/>
      <w:r>
        <w:rPr>
          <w:rStyle w:val="CharSectno"/>
        </w:rPr>
        <w:t>26</w:t>
      </w:r>
      <w:r>
        <w:rPr>
          <w:snapToGrid w:val="0"/>
        </w:rPr>
        <w:t>.</w:t>
      </w:r>
      <w:r>
        <w:rPr>
          <w:snapToGrid w:val="0"/>
        </w:rPr>
        <w:tab/>
        <w:t>Nomination of dependants to receive benefits</w:t>
      </w:r>
      <w:bookmarkEnd w:id="78"/>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pPr>
      <w:bookmarkStart w:id="79" w:name="_Toc388519273"/>
      <w:r>
        <w:rPr>
          <w:rStyle w:val="CharSectno"/>
        </w:rPr>
        <w:t>26</w:t>
      </w:r>
      <w:r>
        <w:t>.</w:t>
      </w:r>
      <w:r>
        <w:tab/>
        <w:t>Death benefits — direction as to payment</w:t>
      </w:r>
      <w:bookmarkEnd w:id="79"/>
    </w:p>
    <w:p>
      <w:pPr>
        <w:pStyle w:val="Subsection"/>
      </w:pPr>
      <w:r>
        <w:tab/>
        <w:t>(1)</w:t>
      </w:r>
      <w:r>
        <w:tab/>
        <w:t>A member may give written notice to the Superannuation Board requiring the Superannuation Board to pay any death benefit that becomes payable in respect of the member to the legal personal representative or a dependant of the member.</w:t>
      </w:r>
    </w:p>
    <w:p>
      <w:pPr>
        <w:pStyle w:val="NotesPerm"/>
        <w:ind w:left="1440" w:hanging="1440"/>
      </w:pPr>
      <w:r>
        <w:tab/>
        <w:t>Note:</w:t>
      </w:r>
      <w:r>
        <w:tab/>
        <w:t>The SIS Regulations r. 6.17A to 6.17B make provision in respect of notices and as to their effect.</w:t>
      </w:r>
    </w:p>
    <w:p>
      <w:pPr>
        <w:pStyle w:val="Subsection"/>
      </w:pPr>
      <w:r>
        <w:tab/>
        <w:t>(2)</w:t>
      </w:r>
      <w:r>
        <w:tab/>
        <w:t>A member cannot give a notice under subregulation (1) unless the Superannuation Board has given to the member any information that the SIS Regulations require to be given to the member before he can give a notice of that kind.</w:t>
      </w:r>
    </w:p>
    <w:p>
      <w:pPr>
        <w:pStyle w:val="Subsection"/>
      </w:pPr>
      <w:r>
        <w:tab/>
        <w:t>(3)</w:t>
      </w:r>
      <w:r>
        <w:tab/>
        <w:t xml:space="preserve">The Superannuation Board must give the information mentioned in subregulation (2) to a member — </w:t>
      </w:r>
    </w:p>
    <w:p>
      <w:pPr>
        <w:pStyle w:val="Indenta"/>
      </w:pPr>
      <w:r>
        <w:tab/>
        <w:t>(a)</w:t>
      </w:r>
      <w:r>
        <w:tab/>
        <w:t>when he becomes a member; and</w:t>
      </w:r>
    </w:p>
    <w:p>
      <w:pPr>
        <w:pStyle w:val="Indenta"/>
      </w:pPr>
      <w:r>
        <w:tab/>
        <w:t>(b)</w:t>
      </w:r>
      <w:r>
        <w:tab/>
        <w:t>at the request of the member; and</w:t>
      </w:r>
    </w:p>
    <w:p>
      <w:pPr>
        <w:pStyle w:val="Indenta"/>
      </w:pPr>
      <w:r>
        <w:tab/>
        <w:t>(c)</w:t>
      </w:r>
      <w:r>
        <w:tab/>
        <w:t>at such other times as the Superannuation Board thinks fit.</w:t>
      </w:r>
    </w:p>
    <w:p>
      <w:pPr>
        <w:pStyle w:val="Footnotesection"/>
      </w:pPr>
      <w:r>
        <w:tab/>
        <w:t>[Regulation 26 inserted in Gazette 21 Aug 2009 p. 3269-70.]</w:t>
      </w:r>
    </w:p>
    <w:p>
      <w:pPr>
        <w:pStyle w:val="Heading5"/>
        <w:rPr>
          <w:snapToGrid w:val="0"/>
        </w:rPr>
      </w:pPr>
      <w:bookmarkStart w:id="80" w:name="_Toc388519274"/>
      <w:r>
        <w:rPr>
          <w:rStyle w:val="CharSectno"/>
        </w:rPr>
        <w:t>27</w:t>
      </w:r>
      <w:r>
        <w:rPr>
          <w:snapToGrid w:val="0"/>
        </w:rPr>
        <w:t>.</w:t>
      </w:r>
      <w:r>
        <w:rPr>
          <w:snapToGrid w:val="0"/>
        </w:rPr>
        <w:tab/>
        <w:t>Time and mode of payment of benefits</w:t>
      </w:r>
      <w:bookmarkEnd w:id="80"/>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spacing w:before="120"/>
      </w:pPr>
      <w:r>
        <w:tab/>
        <w:t>[(2)</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spacing w:before="120"/>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1 Apr 2008 p. 1277.] </w:t>
      </w:r>
    </w:p>
    <w:p>
      <w:pPr>
        <w:pStyle w:val="Heading5"/>
        <w:spacing w:before="180"/>
        <w:rPr>
          <w:snapToGrid w:val="0"/>
        </w:rPr>
      </w:pPr>
      <w:bookmarkStart w:id="81" w:name="_Toc388519275"/>
      <w:r>
        <w:rPr>
          <w:rStyle w:val="CharSectno"/>
        </w:rPr>
        <w:t>28</w:t>
      </w:r>
      <w:r>
        <w:rPr>
          <w:snapToGrid w:val="0"/>
        </w:rPr>
        <w:t>.</w:t>
      </w:r>
      <w:r>
        <w:rPr>
          <w:snapToGrid w:val="0"/>
        </w:rPr>
        <w:tab/>
        <w:t>Proofs</w:t>
      </w:r>
      <w:bookmarkEnd w:id="81"/>
      <w:r>
        <w:rPr>
          <w:snapToGrid w:val="0"/>
        </w:rPr>
        <w:t xml:space="preserve"> </w:t>
      </w:r>
    </w:p>
    <w:p>
      <w:pPr>
        <w:pStyle w:val="Subsection"/>
        <w:spacing w:before="120"/>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spacing w:before="120"/>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82" w:name="_Toc388519276"/>
      <w:r>
        <w:rPr>
          <w:rStyle w:val="CharDivNo"/>
        </w:rPr>
        <w:t>Division 3</w:t>
      </w:r>
      <w:r>
        <w:t> — </w:t>
      </w:r>
      <w:r>
        <w:rPr>
          <w:rStyle w:val="CharDivText"/>
        </w:rPr>
        <w:t>Miscellaneous</w:t>
      </w:r>
      <w:bookmarkEnd w:id="82"/>
    </w:p>
    <w:p>
      <w:pPr>
        <w:pStyle w:val="Footnoteheading"/>
      </w:pPr>
      <w:r>
        <w:tab/>
        <w:t>[Heading inserted in Gazette 1 Apr 2008 p. 1277.]</w:t>
      </w:r>
    </w:p>
    <w:p>
      <w:pPr>
        <w:pStyle w:val="Heading5"/>
        <w:spacing w:before="180"/>
      </w:pPr>
      <w:bookmarkStart w:id="83" w:name="_Toc388519277"/>
      <w:r>
        <w:rPr>
          <w:rStyle w:val="CharSectno"/>
        </w:rPr>
        <w:t>29</w:t>
      </w:r>
      <w:r>
        <w:t>.</w:t>
      </w:r>
      <w:r>
        <w:tab/>
        <w:t>Unclaimed benefits</w:t>
      </w:r>
      <w:bookmarkEnd w:id="83"/>
    </w:p>
    <w:p>
      <w:pPr>
        <w:pStyle w:val="Subsection"/>
        <w:spacing w:before="120"/>
      </w:pPr>
      <w:r>
        <w:tab/>
      </w:r>
      <w:r>
        <w:tab/>
        <w:t xml:space="preserve">If a benefit that is payable to or in respect of a member becomes unclaimed money that the Superannuation Board is required — </w:t>
      </w:r>
    </w:p>
    <w:p>
      <w:pPr>
        <w:pStyle w:val="Indenta"/>
      </w:pPr>
      <w:r>
        <w:tab/>
        <w:t>(a)</w:t>
      </w:r>
      <w:r>
        <w:tab/>
        <w:t xml:space="preserve">by the </w:t>
      </w:r>
      <w:bookmarkStart w:id="84" w:name="RuleErr_25"/>
      <w:r>
        <w:rPr>
          <w:i/>
        </w:rPr>
        <w:t xml:space="preserve">Superannuation (Unclaimed Money and Lost Members) Act 1999 </w:t>
      </w:r>
      <w:bookmarkEnd w:id="84"/>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spacing w:before="120"/>
      </w:pPr>
      <w:r>
        <w:tab/>
      </w:r>
      <w:r>
        <w:tab/>
        <w:t xml:space="preserve">the Superannuation Board is to pay the benefit in accordance with that Act. </w:t>
      </w:r>
    </w:p>
    <w:p>
      <w:pPr>
        <w:pStyle w:val="Footnotesection"/>
        <w:spacing w:before="80"/>
        <w:ind w:left="890" w:hanging="890"/>
      </w:pPr>
      <w:r>
        <w:tab/>
        <w:t>[Regulation 29 inserted in Gazette 1 Apr 2008 p. 1277.]</w:t>
      </w:r>
    </w:p>
    <w:p>
      <w:pPr>
        <w:pStyle w:val="Heading5"/>
      </w:pPr>
      <w:bookmarkStart w:id="85" w:name="_Toc388519278"/>
      <w:r>
        <w:rPr>
          <w:rStyle w:val="CharSectno"/>
        </w:rPr>
        <w:t>30</w:t>
      </w:r>
      <w:r>
        <w:t>.</w:t>
      </w:r>
      <w:r>
        <w:tab/>
        <w:t>Assignment or charge of benefit prohibited</w:t>
      </w:r>
      <w:bookmarkEnd w:id="85"/>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in Gazette 1 Apr 2008 p. 1277.]</w:t>
      </w:r>
    </w:p>
    <w:p>
      <w:pPr>
        <w:pStyle w:val="Heading5"/>
        <w:rPr>
          <w:snapToGrid w:val="0"/>
        </w:rPr>
      </w:pPr>
      <w:bookmarkStart w:id="86" w:name="_Toc388519279"/>
      <w:r>
        <w:rPr>
          <w:rStyle w:val="CharSectno"/>
        </w:rPr>
        <w:t>31</w:t>
      </w:r>
      <w:r>
        <w:rPr>
          <w:snapToGrid w:val="0"/>
        </w:rPr>
        <w:t>.</w:t>
      </w:r>
      <w:r>
        <w:rPr>
          <w:snapToGrid w:val="0"/>
        </w:rPr>
        <w:tab/>
        <w:t>Deduction of tax from benefits</w:t>
      </w:r>
      <w:bookmarkEnd w:id="86"/>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bookmarkStart w:id="87" w:name="RuleErr_26"/>
      <w:r>
        <w:rPr>
          <w:i/>
          <w:snapToGrid w:val="0"/>
        </w:rPr>
        <w:t>Superannuation Contribution Tax (Assessment and Collection) Act 1997</w:t>
      </w:r>
      <w:bookmarkEnd w:id="87"/>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88" w:name="_Toc388519280"/>
      <w:r>
        <w:rPr>
          <w:rStyle w:val="CharSectno"/>
        </w:rPr>
        <w:t>32</w:t>
      </w:r>
      <w:r>
        <w:rPr>
          <w:snapToGrid w:val="0"/>
        </w:rPr>
        <w:t>.</w:t>
      </w:r>
      <w:r>
        <w:rPr>
          <w:snapToGrid w:val="0"/>
        </w:rPr>
        <w:tab/>
        <w:t>Reduction of benefits to the extent of any amount not insured</w:t>
      </w:r>
      <w:bookmarkEnd w:id="88"/>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89" w:name="_Toc388519281"/>
      <w:r>
        <w:rPr>
          <w:rStyle w:val="CharSectno"/>
        </w:rPr>
        <w:t>33</w:t>
      </w:r>
      <w:r>
        <w:rPr>
          <w:snapToGrid w:val="0"/>
        </w:rPr>
        <w:t>.</w:t>
      </w:r>
      <w:r>
        <w:rPr>
          <w:snapToGrid w:val="0"/>
        </w:rPr>
        <w:tab/>
        <w:t>Reduction of benefits in case of previous disease or disability</w:t>
      </w:r>
      <w:bookmarkEnd w:id="89"/>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90" w:name="_Toc388519282"/>
      <w:r>
        <w:rPr>
          <w:rStyle w:val="CharPartNo"/>
        </w:rPr>
        <w:t>Part VI</w:t>
      </w:r>
      <w:r>
        <w:rPr>
          <w:rStyle w:val="CharDivNo"/>
        </w:rPr>
        <w:t> </w:t>
      </w:r>
      <w:r>
        <w:t>—</w:t>
      </w:r>
      <w:r>
        <w:rPr>
          <w:rStyle w:val="CharDivText"/>
        </w:rPr>
        <w:t> </w:t>
      </w:r>
      <w:r>
        <w:rPr>
          <w:rStyle w:val="CharPartText"/>
        </w:rPr>
        <w:t>Associated employers</w:t>
      </w:r>
      <w:bookmarkEnd w:id="90"/>
      <w:r>
        <w:rPr>
          <w:rStyle w:val="CharPartText"/>
        </w:rPr>
        <w:t xml:space="preserve"> </w:t>
      </w:r>
    </w:p>
    <w:p>
      <w:pPr>
        <w:pStyle w:val="Heading5"/>
        <w:rPr>
          <w:snapToGrid w:val="0"/>
        </w:rPr>
      </w:pPr>
      <w:bookmarkStart w:id="91" w:name="_Toc388519283"/>
      <w:r>
        <w:rPr>
          <w:rStyle w:val="CharSectno"/>
        </w:rPr>
        <w:t>34</w:t>
      </w:r>
      <w:r>
        <w:rPr>
          <w:snapToGrid w:val="0"/>
        </w:rPr>
        <w:t>.</w:t>
      </w:r>
      <w:r>
        <w:rPr>
          <w:snapToGrid w:val="0"/>
        </w:rPr>
        <w:tab/>
        <w:t>Superannuation Board is an associated employer</w:t>
      </w:r>
      <w:bookmarkEnd w:id="91"/>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92" w:name="_Toc388519284"/>
      <w:r>
        <w:rPr>
          <w:rStyle w:val="CharSectno"/>
        </w:rPr>
        <w:t>34A</w:t>
      </w:r>
      <w:r>
        <w:rPr>
          <w:snapToGrid w:val="0"/>
        </w:rPr>
        <w:t>.</w:t>
      </w:r>
      <w:r>
        <w:rPr>
          <w:snapToGrid w:val="0"/>
        </w:rPr>
        <w:tab/>
        <w:t>Admission of other associated employers</w:t>
      </w:r>
      <w:bookmarkEnd w:id="92"/>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r>
          <w:t>FES</w:t>
        </w:r>
      </w:smartTag>
      <w:r>
        <w:t xml:space="preserve"> Commissioner</w:t>
      </w:r>
      <w:r>
        <w:rPr>
          <w:snapToGrid w:val="0"/>
        </w:rPr>
        <w:t>,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[Regulation 34A inserted in Gazette 14 Aug 1987 p. 3162; amended in Gazette 4 Nov 1988 p. 4371; 22 Dec 1998 p. 6852; 31 </w:t>
      </w:r>
      <w:r>
        <w:rPr>
          <w:szCs w:val="24"/>
        </w:rPr>
        <w:t>Oct 2012 p. 524</w:t>
      </w:r>
      <w:r>
        <w:t xml:space="preserve">9.] </w:t>
      </w:r>
    </w:p>
    <w:p>
      <w:pPr>
        <w:pStyle w:val="Heading5"/>
        <w:rPr>
          <w:snapToGrid w:val="0"/>
        </w:rPr>
      </w:pPr>
      <w:bookmarkStart w:id="93" w:name="_Toc388519285"/>
      <w:r>
        <w:rPr>
          <w:rStyle w:val="CharSectno"/>
        </w:rPr>
        <w:t>35</w:t>
      </w:r>
      <w:r>
        <w:rPr>
          <w:snapToGrid w:val="0"/>
        </w:rPr>
        <w:t>.</w:t>
      </w:r>
      <w:r>
        <w:rPr>
          <w:snapToGrid w:val="0"/>
        </w:rPr>
        <w:tab/>
        <w:t>Release of associated employers</w:t>
      </w:r>
      <w:bookmarkEnd w:id="93"/>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w:t>
      </w:r>
      <w:smartTag w:uri="urn:schemas-microsoft-com:office:smarttags" w:element="place">
        <w:r>
          <w:t>FES</w:t>
        </w:r>
      </w:smartTag>
      <w:r>
        <w:t xml:space="preserve"> Commissioner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3; 31 </w:t>
      </w:r>
      <w:r>
        <w:rPr>
          <w:szCs w:val="24"/>
        </w:rPr>
        <w:t>Oct 2012 p. 524</w:t>
      </w:r>
      <w:r>
        <w:t xml:space="preserve">9.] </w:t>
      </w:r>
    </w:p>
    <w:p>
      <w:pPr>
        <w:pStyle w:val="Heading5"/>
        <w:rPr>
          <w:snapToGrid w:val="0"/>
        </w:rPr>
      </w:pPr>
      <w:bookmarkStart w:id="94" w:name="_Toc388519286"/>
      <w:r>
        <w:rPr>
          <w:rStyle w:val="CharSectno"/>
        </w:rPr>
        <w:t>36</w:t>
      </w:r>
      <w:r>
        <w:rPr>
          <w:snapToGrid w:val="0"/>
        </w:rPr>
        <w:t>.</w:t>
      </w:r>
      <w:r>
        <w:rPr>
          <w:snapToGrid w:val="0"/>
        </w:rPr>
        <w:tab/>
        <w:t>Dissolution of associated employers</w:t>
      </w:r>
      <w:bookmarkEnd w:id="94"/>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 xml:space="preserve">the </w:t>
      </w:r>
      <w:smartTag w:uri="urn:schemas-microsoft-com:office:smarttags" w:element="place">
        <w:r>
          <w:t>FES</w:t>
        </w:r>
      </w:smartTag>
      <w:r>
        <w:t xml:space="preserve"> Commissioner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 31 </w:t>
      </w:r>
      <w:r>
        <w:rPr>
          <w:szCs w:val="24"/>
        </w:rPr>
        <w:t>Oct 2012 p. 524</w:t>
      </w:r>
      <w:r>
        <w:t>9.]</w:t>
      </w:r>
    </w:p>
    <w:p>
      <w:pPr>
        <w:pStyle w:val="Heading2"/>
      </w:pPr>
      <w:bookmarkStart w:id="95" w:name="_Toc388519287"/>
      <w:r>
        <w:rPr>
          <w:rStyle w:val="CharPartNo"/>
        </w:rPr>
        <w:t>Part VII</w:t>
      </w:r>
      <w:r>
        <w:rPr>
          <w:rStyle w:val="CharDivNo"/>
        </w:rPr>
        <w:t> </w:t>
      </w:r>
      <w:r>
        <w:t>—</w:t>
      </w:r>
      <w:r>
        <w:rPr>
          <w:rStyle w:val="CharDivText"/>
        </w:rPr>
        <w:t> </w:t>
      </w:r>
      <w:r>
        <w:rPr>
          <w:rStyle w:val="CharPartText"/>
        </w:rPr>
        <w:t>Miscellaneous</w:t>
      </w:r>
      <w:bookmarkEnd w:id="95"/>
      <w:r>
        <w:rPr>
          <w:rStyle w:val="CharPartText"/>
        </w:rPr>
        <w:t xml:space="preserve"> </w:t>
      </w:r>
    </w:p>
    <w:p>
      <w:pPr>
        <w:pStyle w:val="Heading5"/>
        <w:rPr>
          <w:snapToGrid w:val="0"/>
        </w:rPr>
      </w:pPr>
      <w:bookmarkStart w:id="96" w:name="_Toc388519288"/>
      <w:r>
        <w:rPr>
          <w:rStyle w:val="CharSectno"/>
        </w:rPr>
        <w:t>37</w:t>
      </w:r>
      <w:r>
        <w:rPr>
          <w:snapToGrid w:val="0"/>
        </w:rPr>
        <w:t>.</w:t>
      </w:r>
      <w:r>
        <w:rPr>
          <w:snapToGrid w:val="0"/>
        </w:rPr>
        <w:tab/>
        <w:t>Contributions for additional benefits</w:t>
      </w:r>
      <w:bookmarkEnd w:id="96"/>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 and</w:t>
      </w:r>
    </w:p>
    <w:p>
      <w:pPr>
        <w:pStyle w:val="Indenta"/>
        <w:rPr>
          <w:snapToGrid w:val="0"/>
        </w:rPr>
      </w:pPr>
      <w:r>
        <w:rPr>
          <w:snapToGrid w:val="0"/>
        </w:rPr>
        <w:tab/>
        <w:t>(b)</w:t>
      </w:r>
      <w:r>
        <w:rPr>
          <w:snapToGrid w:val="0"/>
        </w:rPr>
        <w:tab/>
        <w:t>the intervals at which, or manner in which, contributions payable under the agreement are to be varied; and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97" w:name="_Toc388519289"/>
      <w:r>
        <w:rPr>
          <w:rStyle w:val="CharSectno"/>
        </w:rPr>
        <w:t>37A</w:t>
      </w:r>
      <w:r>
        <w:rPr>
          <w:snapToGrid w:val="0"/>
        </w:rPr>
        <w:t>.</w:t>
      </w:r>
      <w:r>
        <w:rPr>
          <w:snapToGrid w:val="0"/>
        </w:rPr>
        <w:tab/>
        <w:t>Distribution of surplus funds</w:t>
      </w:r>
      <w:bookmarkEnd w:id="97"/>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Deleted in Gazette 23 Jul 1999 p. 3392.]</w:t>
      </w:r>
    </w:p>
    <w:p>
      <w:pPr>
        <w:pStyle w:val="Heading5"/>
        <w:rPr>
          <w:snapToGrid w:val="0"/>
        </w:rPr>
      </w:pPr>
      <w:bookmarkStart w:id="98" w:name="_Toc388519290"/>
      <w:r>
        <w:rPr>
          <w:rStyle w:val="CharSectno"/>
        </w:rPr>
        <w:t>38</w:t>
      </w:r>
      <w:r>
        <w:rPr>
          <w:snapToGrid w:val="0"/>
        </w:rPr>
        <w:t>.</w:t>
      </w:r>
      <w:r>
        <w:rPr>
          <w:snapToGrid w:val="0"/>
        </w:rPr>
        <w:tab/>
        <w:t>Transfers from other funds</w:t>
      </w:r>
      <w:bookmarkEnd w:id="98"/>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spacing w:before="180"/>
        <w:rPr>
          <w:snapToGrid w:val="0"/>
        </w:rPr>
      </w:pPr>
      <w:bookmarkStart w:id="99" w:name="_Toc388519291"/>
      <w:r>
        <w:rPr>
          <w:rStyle w:val="CharSectno"/>
        </w:rPr>
        <w:t>39</w:t>
      </w:r>
      <w:r>
        <w:rPr>
          <w:snapToGrid w:val="0"/>
        </w:rPr>
        <w:t>.</w:t>
      </w:r>
      <w:r>
        <w:rPr>
          <w:snapToGrid w:val="0"/>
        </w:rPr>
        <w:tab/>
        <w:t>Transfers to other funds</w:t>
      </w:r>
      <w:bookmarkEnd w:id="99"/>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100" w:name="_Toc388519292"/>
      <w:r>
        <w:rPr>
          <w:rStyle w:val="CharSectno"/>
        </w:rPr>
        <w:t>40</w:t>
      </w:r>
      <w:r>
        <w:rPr>
          <w:snapToGrid w:val="0"/>
        </w:rPr>
        <w:t>.</w:t>
      </w:r>
      <w:r>
        <w:rPr>
          <w:snapToGrid w:val="0"/>
        </w:rPr>
        <w:tab/>
        <w:t>Temporary cessation of employment and leave without pay</w:t>
      </w:r>
      <w:bookmarkEnd w:id="100"/>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 and</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101" w:name="_Toc388519293"/>
      <w:r>
        <w:rPr>
          <w:rStyle w:val="CharSectno"/>
        </w:rPr>
        <w:t>41</w:t>
      </w:r>
      <w:r>
        <w:rPr>
          <w:snapToGrid w:val="0"/>
        </w:rPr>
        <w:t>.</w:t>
      </w:r>
      <w:r>
        <w:rPr>
          <w:snapToGrid w:val="0"/>
        </w:rPr>
        <w:tab/>
        <w:t>Application of regulations to members employed part</w:t>
      </w:r>
      <w:r>
        <w:rPr>
          <w:snapToGrid w:val="0"/>
        </w:rPr>
        <w:noBreakHyphen/>
        <w:t>time</w:t>
      </w:r>
      <w:bookmarkEnd w:id="101"/>
      <w:r>
        <w:rPr>
          <w:snapToGrid w:val="0"/>
        </w:rPr>
        <w:t xml:space="preserve"> </w:t>
      </w:r>
    </w:p>
    <w:p>
      <w:pPr>
        <w:pStyle w:val="Subsection"/>
        <w:spacing w:before="180"/>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spacing w:before="180"/>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t xml:space="preserve">the </w:t>
      </w:r>
      <w:r>
        <w:rPr>
          <w:rStyle w:val="CharDefText"/>
        </w:rPr>
        <w:t>service percentage</w:t>
      </w:r>
      <w:r>
        <w:rPr>
          <w:snapToGrid w:val="0"/>
        </w:rPr>
        <w:t>) of full</w:t>
      </w:r>
      <w:r>
        <w:rPr>
          <w:snapToGrid w:val="0"/>
        </w:rPr>
        <w:noBreakHyphen/>
        <w:t>time employment being worked by that member during that period.</w:t>
      </w:r>
    </w:p>
    <w:p>
      <w:pPr>
        <w:pStyle w:val="Subsection"/>
        <w:spacing w:before="180"/>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spacing w:before="180"/>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spacing w:before="180"/>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spacing w:before="180"/>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spacing w:before="180"/>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1 Apr 2008 p. 1277.] </w:t>
      </w:r>
    </w:p>
    <w:p>
      <w:pPr>
        <w:pStyle w:val="Heading5"/>
        <w:spacing w:before="240"/>
      </w:pPr>
      <w:bookmarkStart w:id="102" w:name="_Toc388519294"/>
      <w:r>
        <w:rPr>
          <w:rStyle w:val="CharSectno"/>
        </w:rPr>
        <w:t>41A</w:t>
      </w:r>
      <w:r>
        <w:t>.</w:t>
      </w:r>
      <w:r>
        <w:tab/>
        <w:t>Application of regulations to members reduced in rank</w:t>
      </w:r>
      <w:bookmarkEnd w:id="102"/>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keepNext/>
      </w:pPr>
      <w:r>
        <w:tab/>
        <w:t>(b)</w:t>
      </w:r>
      <w:r>
        <w:tab/>
        <w:t>in respect of any other period, 100%.</w:t>
      </w:r>
    </w:p>
    <w:p>
      <w:pPr>
        <w:pStyle w:val="Subsection"/>
        <w:spacing w:before="180"/>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spacing w:before="180"/>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spacing w:before="180"/>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spacing w:before="180"/>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spacing w:before="180"/>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spacing w:before="180"/>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 in Gazette 1 Apr 2008 p. 1277-9.]</w:t>
      </w:r>
    </w:p>
    <w:p>
      <w:pPr>
        <w:pStyle w:val="Heading5"/>
        <w:spacing w:before="240"/>
        <w:rPr>
          <w:snapToGrid w:val="0"/>
        </w:rPr>
      </w:pPr>
      <w:bookmarkStart w:id="103" w:name="_Toc388519295"/>
      <w:r>
        <w:rPr>
          <w:rStyle w:val="CharSectno"/>
        </w:rPr>
        <w:t>42</w:t>
      </w:r>
      <w:r>
        <w:rPr>
          <w:snapToGrid w:val="0"/>
        </w:rPr>
        <w:t>.</w:t>
      </w:r>
      <w:r>
        <w:rPr>
          <w:snapToGrid w:val="0"/>
        </w:rPr>
        <w:tab/>
        <w:t>Requirements for insurance</w:t>
      </w:r>
      <w:bookmarkEnd w:id="103"/>
      <w:r>
        <w:rPr>
          <w:snapToGrid w:val="0"/>
        </w:rPr>
        <w:t xml:space="preserve"> </w:t>
      </w:r>
    </w:p>
    <w:p>
      <w:pPr>
        <w:pStyle w:val="Subsection"/>
        <w:spacing w:before="180"/>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 and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spacing w:before="180"/>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 xml:space="preserve">the </w:t>
      </w:r>
      <w:smartTag w:uri="urn:schemas-microsoft-com:office:smarttags" w:element="place">
        <w:r>
          <w:t>FES</w:t>
        </w:r>
      </w:smartTag>
      <w:r>
        <w:t xml:space="preserve"> Commissioner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spacing w:before="180"/>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in Gazette 22 Dec 1998 p. 6852</w:t>
      </w:r>
      <w:r>
        <w:noBreakHyphen/>
        <w:t>3; 31 </w:t>
      </w:r>
      <w:r>
        <w:rPr>
          <w:szCs w:val="24"/>
        </w:rPr>
        <w:t>Oct 2012 p. 524</w:t>
      </w:r>
      <w:r>
        <w:t>9.]</w:t>
      </w:r>
    </w:p>
    <w:p>
      <w:pPr>
        <w:pStyle w:val="Heading5"/>
        <w:spacing w:before="240"/>
        <w:rPr>
          <w:snapToGrid w:val="0"/>
        </w:rPr>
      </w:pPr>
      <w:bookmarkStart w:id="104" w:name="_Toc388519296"/>
      <w:r>
        <w:rPr>
          <w:rStyle w:val="CharSectno"/>
        </w:rPr>
        <w:t>42A</w:t>
      </w:r>
      <w:r>
        <w:rPr>
          <w:snapToGrid w:val="0"/>
        </w:rPr>
        <w:t>.</w:t>
      </w:r>
      <w:r>
        <w:rPr>
          <w:snapToGrid w:val="0"/>
        </w:rPr>
        <w:tab/>
        <w:t>Medical examinations</w:t>
      </w:r>
      <w:bookmarkEnd w:id="104"/>
      <w:r>
        <w:rPr>
          <w:snapToGrid w:val="0"/>
        </w:rPr>
        <w:t xml:space="preserve"> </w:t>
      </w:r>
    </w:p>
    <w:p>
      <w:pPr>
        <w:pStyle w:val="Subsection"/>
        <w:spacing w:before="180"/>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 and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105" w:name="_Toc388519297"/>
      <w:r>
        <w:rPr>
          <w:rStyle w:val="CharSectno"/>
        </w:rPr>
        <w:t>43</w:t>
      </w:r>
      <w:r>
        <w:rPr>
          <w:snapToGrid w:val="0"/>
        </w:rPr>
        <w:t>.</w:t>
      </w:r>
      <w:r>
        <w:rPr>
          <w:snapToGrid w:val="0"/>
        </w:rPr>
        <w:tab/>
        <w:t>No personal claim</w:t>
      </w:r>
      <w:bookmarkEnd w:id="105"/>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106" w:name="_Toc388519298"/>
      <w:r>
        <w:rPr>
          <w:rStyle w:val="CharSectno"/>
        </w:rPr>
        <w:t>44</w:t>
      </w:r>
      <w:r>
        <w:rPr>
          <w:snapToGrid w:val="0"/>
        </w:rPr>
        <w:t>.</w:t>
      </w:r>
      <w:r>
        <w:rPr>
          <w:snapToGrid w:val="0"/>
        </w:rPr>
        <w:tab/>
        <w:t>Notices</w:t>
      </w:r>
      <w:bookmarkEnd w:id="106"/>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107" w:name="_Toc388519299"/>
      <w:r>
        <w:rPr>
          <w:rStyle w:val="CharSectno"/>
        </w:rPr>
        <w:t>45</w:t>
      </w:r>
      <w:r>
        <w:rPr>
          <w:snapToGrid w:val="0"/>
        </w:rPr>
        <w:t>.</w:t>
      </w:r>
      <w:r>
        <w:rPr>
          <w:snapToGrid w:val="0"/>
        </w:rPr>
        <w:tab/>
        <w:t>General meetings of members</w:t>
      </w:r>
      <w:bookmarkEnd w:id="107"/>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108" w:name="_Toc388519300"/>
      <w:r>
        <w:rPr>
          <w:rStyle w:val="CharSectno"/>
        </w:rPr>
        <w:t>46</w:t>
      </w:r>
      <w:r>
        <w:rPr>
          <w:snapToGrid w:val="0"/>
        </w:rPr>
        <w:t>.</w:t>
      </w:r>
      <w:r>
        <w:rPr>
          <w:snapToGrid w:val="0"/>
        </w:rPr>
        <w:tab/>
        <w:t>Provision of information to members</w:t>
      </w:r>
      <w:bookmarkEnd w:id="108"/>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bookmarkStart w:id="109" w:name="RuleErr_27"/>
      <w:r>
        <w:rPr>
          <w:i/>
          <w:snapToGrid w:val="0"/>
        </w:rPr>
        <w:t>Financial Administration and Audit Act 1985</w:t>
      </w:r>
      <w:bookmarkEnd w:id="109"/>
      <w:r>
        <w:rPr>
          <w:i/>
          <w:snapToGrid w:val="0"/>
        </w:rPr>
        <w:t> </w:t>
      </w:r>
      <w:r>
        <w:rPr>
          <w:snapToGrid w:val="0"/>
          <w:vertAlign w:val="superscript"/>
        </w:rPr>
        <w:t>2</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 and</w:t>
      </w:r>
    </w:p>
    <w:p>
      <w:pPr>
        <w:pStyle w:val="Indenta"/>
        <w:rPr>
          <w:snapToGrid w:val="0"/>
        </w:rPr>
      </w:pPr>
      <w:r>
        <w:rPr>
          <w:snapToGrid w:val="0"/>
        </w:rPr>
        <w:tab/>
        <w:t>(b)</w:t>
      </w:r>
      <w:r>
        <w:rPr>
          <w:snapToGrid w:val="0"/>
        </w:rPr>
        <w:tab/>
        <w:t>information to members on a regular basis regarding the operation of the Superannuation Fund; and</w:t>
      </w:r>
    </w:p>
    <w:p>
      <w:pPr>
        <w:pStyle w:val="Indenta"/>
        <w:rPr>
          <w:snapToGrid w:val="0"/>
        </w:rPr>
      </w:pPr>
      <w:r>
        <w:rPr>
          <w:snapToGrid w:val="0"/>
        </w:rPr>
        <w:tab/>
        <w:t>(c)</w:t>
      </w:r>
      <w:r>
        <w:rPr>
          <w:snapToGrid w:val="0"/>
        </w:rPr>
        <w:tab/>
        <w:t>information to employees becoming members; and</w:t>
      </w:r>
    </w:p>
    <w:p>
      <w:pPr>
        <w:pStyle w:val="Indenta"/>
        <w:rPr>
          <w:snapToGrid w:val="0"/>
        </w:rPr>
      </w:pPr>
      <w:r>
        <w:rPr>
          <w:snapToGrid w:val="0"/>
        </w:rPr>
        <w:tab/>
        <w:t>(d)</w:t>
      </w:r>
      <w:r>
        <w:rPr>
          <w:snapToGrid w:val="0"/>
        </w:rPr>
        <w:tab/>
        <w:t>information to members ceasing in the employment of the employer; and</w:t>
      </w:r>
    </w:p>
    <w:p>
      <w:pPr>
        <w:pStyle w:val="Indenta"/>
        <w:rPr>
          <w:snapToGrid w:val="0"/>
        </w:rPr>
      </w:pPr>
      <w:r>
        <w:rPr>
          <w:snapToGrid w:val="0"/>
        </w:rPr>
        <w:tab/>
        <w:t>(e)</w:t>
      </w:r>
      <w:r>
        <w:rPr>
          <w:snapToGrid w:val="0"/>
        </w:rPr>
        <w:tab/>
        <w:t>information relating to any amendment to these regulations; and</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Australian Prudential Regulation Authority established by the </w:t>
      </w:r>
      <w:bookmarkStart w:id="110" w:name="RuleErr_28"/>
      <w:r>
        <w:rPr>
          <w:i/>
          <w:iCs/>
        </w:rPr>
        <w:t xml:space="preserve">Australian Prudential Regulation Authority Act 1998 </w:t>
      </w:r>
      <w:bookmarkEnd w:id="110"/>
      <w:r>
        <w:t xml:space="preserve"> (Commonwealth) </w:t>
      </w:r>
      <w:r>
        <w:rPr>
          <w:snapToGrid w:val="0"/>
        </w:rPr>
        <w:t>and any notices which the Commissioner may provide to the Superannuation Board in relation to those returns and certificates; and</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1 Apr 2008 p. 1279.] </w:t>
      </w:r>
    </w:p>
    <w:p>
      <w:pPr>
        <w:pStyle w:val="Heading5"/>
        <w:rPr>
          <w:snapToGrid w:val="0"/>
        </w:rPr>
      </w:pPr>
      <w:bookmarkStart w:id="111" w:name="_Toc388519301"/>
      <w:r>
        <w:rPr>
          <w:rStyle w:val="CharSectno"/>
        </w:rPr>
        <w:t>47</w:t>
      </w:r>
      <w:r>
        <w:rPr>
          <w:snapToGrid w:val="0"/>
        </w:rPr>
        <w:t>.</w:t>
      </w:r>
      <w:r>
        <w:rPr>
          <w:snapToGrid w:val="0"/>
        </w:rPr>
        <w:tab/>
        <w:t>Elections of members of the Superannuation Board</w:t>
      </w:r>
      <w:bookmarkEnd w:id="111"/>
      <w:r>
        <w:rPr>
          <w:snapToGrid w:val="0"/>
        </w:rPr>
        <w:t xml:space="preserve"> </w:t>
      </w:r>
    </w:p>
    <w:p>
      <w:pPr>
        <w:pStyle w:val="Subsection"/>
        <w:rPr>
          <w:snapToGrid w:val="0"/>
        </w:rPr>
      </w:pPr>
      <w:r>
        <w:rPr>
          <w:snapToGrid w:val="0"/>
        </w:rPr>
        <w:tab/>
        <w:t>(1)</w:t>
      </w:r>
      <w:r>
        <w:rPr>
          <w:snapToGrid w:val="0"/>
        </w:rPr>
        <w:tab/>
        <w:t xml:space="preserve">Elections under clause 2 of Schedule 2 to the Act to elect members of the Superannuation Board shall be conducted by the </w:t>
      </w:r>
      <w:smartTag w:uri="urn:schemas-microsoft-com:office:smarttags" w:element="place">
        <w:r>
          <w:t>FES</w:t>
        </w:r>
      </w:smartTag>
      <w:r>
        <w:t xml:space="preserve"> Commissioner</w:t>
      </w:r>
      <w:r>
        <w:rPr>
          <w:snapToGrid w:val="0"/>
        </w:rPr>
        <w:t xml:space="preserve"> by secret ballot using an optional preferential system of voting.</w:t>
      </w:r>
    </w:p>
    <w:p>
      <w:pPr>
        <w:pStyle w:val="Subsection"/>
        <w:rPr>
          <w:snapToGrid w:val="0"/>
        </w:rPr>
      </w:pPr>
      <w:r>
        <w:tab/>
        <w:t>(2)</w:t>
      </w:r>
      <w:r>
        <w:tab/>
        <w:t xml:space="preserve">The FES Commissioner may, instead of conducting the election, engage the Electoral Commissioner under the </w:t>
      </w:r>
      <w:r>
        <w:rPr>
          <w:i/>
        </w:rPr>
        <w:t>Electoral Act 1907</w:t>
      </w:r>
      <w:r>
        <w:t xml:space="preserve"> or any other independent person to conduct the election on behalf of the </w:t>
      </w:r>
      <w:smartTag w:uri="urn:schemas-microsoft-com:office:smarttags" w:element="place">
        <w:r>
          <w:t>FES</w:t>
        </w:r>
      </w:smartTag>
      <w:r>
        <w:t xml:space="preserve"> Commissioner.</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 or</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4; 22 Dec 1998 p. 6853; 23 Jul 1999 p. 3393; 31 </w:t>
      </w:r>
      <w:r>
        <w:rPr>
          <w:szCs w:val="24"/>
        </w:rPr>
        <w:t>Oct 2012 p. 524</w:t>
      </w:r>
      <w:r>
        <w:t xml:space="preserve">7.] </w:t>
      </w:r>
    </w:p>
    <w:p>
      <w:pPr>
        <w:pStyle w:val="Heading5"/>
        <w:rPr>
          <w:snapToGrid w:val="0"/>
        </w:rPr>
      </w:pPr>
      <w:bookmarkStart w:id="112" w:name="_Toc388519302"/>
      <w:r>
        <w:rPr>
          <w:rStyle w:val="CharSectno"/>
        </w:rPr>
        <w:t>47A</w:t>
      </w:r>
      <w:r>
        <w:rPr>
          <w:snapToGrid w:val="0"/>
        </w:rPr>
        <w:t>.</w:t>
      </w:r>
      <w:r>
        <w:rPr>
          <w:snapToGrid w:val="0"/>
        </w:rPr>
        <w:tab/>
        <w:t>Removal of elected member</w:t>
      </w:r>
      <w:bookmarkEnd w:id="112"/>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 xml:space="preserve">A secret ballot for the purposes of subregulation (1) shall be conducted by the </w:t>
      </w:r>
      <w:smartTag w:uri="urn:schemas-microsoft-com:office:smarttags" w:element="place">
        <w:r>
          <w:t>FES</w:t>
        </w:r>
      </w:smartTag>
      <w:r>
        <w:t xml:space="preserve"> Commissioner</w:t>
      </w:r>
      <w:r>
        <w:rPr>
          <w:snapToGrid w:val="0"/>
        </w:rPr>
        <w:t xml:space="preserve"> at the written request of not less than 5% of all members.</w:t>
      </w:r>
    </w:p>
    <w:p>
      <w:pPr>
        <w:pStyle w:val="Subsection"/>
        <w:spacing w:before="100"/>
        <w:rPr>
          <w:snapToGrid w:val="0"/>
        </w:rPr>
      </w:pPr>
      <w:r>
        <w:tab/>
        <w:t>(2a)</w:t>
      </w:r>
      <w:r>
        <w:tab/>
        <w:t xml:space="preserve">The FES Commissioner may, instead of conducting the ballot, engage the Electoral Commissioner under </w:t>
      </w:r>
      <w:r>
        <w:rPr>
          <w:snapToGrid w:val="0"/>
        </w:rPr>
        <w:t>the</w:t>
      </w:r>
      <w:r>
        <w:t xml:space="preserve"> </w:t>
      </w:r>
      <w:r>
        <w:rPr>
          <w:i/>
        </w:rPr>
        <w:t>Electoral Act 1907</w:t>
      </w:r>
      <w:r>
        <w:t xml:space="preserve"> or any other independent person to conduct the ballot on behalf of the FES Commissioner.</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[Regulation 47A inserted in Gazette 29 Jun 1994 p. 3224; amended in Gazette 22 Dec 1998 p. 6853; 23 Jul 1999 p. 3393; 31 </w:t>
      </w:r>
      <w:r>
        <w:rPr>
          <w:szCs w:val="24"/>
        </w:rPr>
        <w:t>Oct 2012 p. 524</w:t>
      </w:r>
      <w:r>
        <w:t xml:space="preserve">8.] </w:t>
      </w:r>
    </w:p>
    <w:p>
      <w:pPr>
        <w:pStyle w:val="Heading5"/>
        <w:rPr>
          <w:snapToGrid w:val="0"/>
        </w:rPr>
      </w:pPr>
      <w:bookmarkStart w:id="113" w:name="_Toc388519303"/>
      <w:r>
        <w:rPr>
          <w:rStyle w:val="CharSectno"/>
        </w:rPr>
        <w:t>48</w:t>
      </w:r>
      <w:r>
        <w:rPr>
          <w:snapToGrid w:val="0"/>
        </w:rPr>
        <w:t>.</w:t>
      </w:r>
      <w:r>
        <w:rPr>
          <w:snapToGrid w:val="0"/>
        </w:rPr>
        <w:tab/>
        <w:t>Amendments to these regulations</w:t>
      </w:r>
      <w:bookmarkEnd w:id="113"/>
      <w:r>
        <w:rPr>
          <w:snapToGrid w:val="0"/>
        </w:rPr>
        <w:t xml:space="preserve"> </w:t>
      </w:r>
    </w:p>
    <w:p>
      <w:pPr>
        <w:pStyle w:val="Subsection"/>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w:t>
      </w:r>
      <w:smartTag w:uri="urn:schemas-microsoft-com:office:smarttags" w:element="place">
        <w:r>
          <w:t>FES</w:t>
        </w:r>
      </w:smartTag>
      <w:r>
        <w:t xml:space="preserve"> Commissioner</w:t>
      </w:r>
      <w:r>
        <w:rPr>
          <w:snapToGrid w:val="0"/>
        </w:rPr>
        <w:t xml:space="preserve"> and associated employers (if any) to the Superannuation Fund shall not be made under the Act unless 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 xml:space="preserve">the </w:t>
      </w:r>
      <w:smartTag w:uri="urn:schemas-microsoft-com:office:smarttags" w:element="place">
        <w:r>
          <w:t>FES</w:t>
        </w:r>
      </w:smartTag>
      <w:r>
        <w:t xml:space="preserve"> Commissioner</w:t>
      </w:r>
      <w:r>
        <w:rPr>
          <w:snapToGrid w:val="0"/>
        </w:rPr>
        <w:t xml:space="preserve"> and associated employers (if any) to the Superannuation Fund; or</w:t>
      </w:r>
    </w:p>
    <w:p>
      <w:pPr>
        <w:pStyle w:val="Indenta"/>
        <w:rPr>
          <w:snapToGrid w:val="0"/>
        </w:rPr>
      </w:pPr>
      <w:r>
        <w:rPr>
          <w:snapToGrid w:val="0"/>
        </w:rPr>
        <w:tab/>
        <w:t>(b)</w:t>
      </w:r>
      <w:r>
        <w:rPr>
          <w:snapToGrid w:val="0"/>
        </w:rPr>
        <w:tab/>
        <w:t xml:space="preserve">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 31 </w:t>
      </w:r>
      <w:r>
        <w:rPr>
          <w:szCs w:val="24"/>
        </w:rPr>
        <w:t>Oct 2012 p. 524</w:t>
      </w:r>
      <w:r>
        <w:t>9.]</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pPr>
      <w:bookmarkStart w:id="114" w:name="_Toc388519304"/>
      <w:r>
        <w:rPr>
          <w:rStyle w:val="CharSchNo"/>
        </w:rPr>
        <w:t>Schedule 1</w:t>
      </w:r>
      <w:r>
        <w:t> — </w:t>
      </w:r>
      <w:r>
        <w:rPr>
          <w:rStyle w:val="CharSchText"/>
        </w:rPr>
        <w:t>Defined benefit: death or total and permanent disablement</w:t>
      </w:r>
      <w:bookmarkEnd w:id="114"/>
    </w:p>
    <w:p>
      <w:pPr>
        <w:pStyle w:val="yFootnotesection"/>
      </w:pPr>
      <w:r>
        <w:tab/>
        <w:t>[Heading inserted in Gazette 29 Jun 2004 p. 2521.]</w:t>
      </w:r>
    </w:p>
    <w:p>
      <w:pPr>
        <w:pStyle w:val="yShoulderClause"/>
      </w:pPr>
      <w:r>
        <w:t>[r. 17 and 18]</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2160" w:dyaOrig="580">
          <v:shape id="_x0000_i1026" type="#_x0000_t75" style="width:108pt;height:29.25pt" o:ole="">
            <v:imagedata r:id="rId31" o:title=""/>
          </v:shape>
          <o:OLEObject Type="Embed" ProgID="Equation.3" ShapeID="_x0000_i1026" DrawAspect="Content" ObjectID="_1643723804" r:id="rId32"/>
        </w:obje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115" w:name="_Toc388519305"/>
      <w:r>
        <w:rPr>
          <w:rStyle w:val="CharSchNo"/>
        </w:rPr>
        <w:t>Schedule 1A</w:t>
      </w:r>
      <w:r>
        <w:t> — </w:t>
      </w:r>
      <w:r>
        <w:rPr>
          <w:rStyle w:val="CharSchText"/>
        </w:rPr>
        <w:t>Defined benefit: partial and permanent disablement or leaving service</w:t>
      </w:r>
      <w:bookmarkEnd w:id="115"/>
    </w:p>
    <w:p>
      <w:pPr>
        <w:pStyle w:val="yShoulderClause"/>
      </w:pPr>
      <w:r>
        <w:t>[r. 14A and 19 — 21]</w:t>
      </w:r>
    </w:p>
    <w:p>
      <w:pPr>
        <w:pStyle w:val="yHeading5"/>
        <w:outlineLvl w:val="9"/>
        <w:rPr>
          <w:b w:val="0"/>
          <w:bCs/>
        </w:rPr>
      </w:pPr>
    </w:p>
    <w:p>
      <w:pPr>
        <w:pStyle w:val="ySubsection"/>
      </w:pPr>
      <w:r>
        <w:tab/>
      </w:r>
      <w:r>
        <w:tab/>
        <w:t>The amount calculated in accordance with this Schedule is B in the formula —</w:t>
      </w:r>
    </w:p>
    <w:p>
      <w:pPr>
        <w:pStyle w:val="Equation"/>
        <w:jc w:val="center"/>
      </w:pPr>
      <w:r>
        <w:rPr>
          <w:position w:val="-22"/>
        </w:rPr>
        <w:object w:dxaOrig="3700" w:dyaOrig="580">
          <v:shape id="_x0000_i1027" type="#_x0000_t75" style="width:185.25pt;height:29.25pt" o:ole="">
            <v:imagedata r:id="rId33" o:title=""/>
          </v:shape>
          <o:OLEObject Type="Embed" ProgID="Equation.3" ShapeID="_x0000_i1027" DrawAspect="Content" ObjectID="_1643723805" r:id="rId34"/>
        </w:obje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in Gazette 21 Jan 2005 p. 263.]</w:t>
      </w:r>
    </w:p>
    <w:p>
      <w:pPr>
        <w:pStyle w:val="yScheduleHeading"/>
      </w:pPr>
      <w:bookmarkStart w:id="116" w:name="_Toc388519306"/>
      <w:r>
        <w:rPr>
          <w:rStyle w:val="CharSchNo"/>
        </w:rPr>
        <w:t>Schedule 2</w:t>
      </w:r>
      <w:r>
        <w:t xml:space="preserve"> — </w:t>
      </w:r>
      <w:r>
        <w:rPr>
          <w:rStyle w:val="CharSchText"/>
        </w:rPr>
        <w:t>Membership period for death benefits</w:t>
      </w:r>
      <w:bookmarkEnd w:id="116"/>
    </w:p>
    <w:p>
      <w:pPr>
        <w:pStyle w:val="yShoulderClause"/>
      </w:pPr>
      <w:r>
        <w:t>[r. 17]</w:t>
      </w:r>
    </w:p>
    <w:p>
      <w:pPr>
        <w:pStyle w:val="yHeading5"/>
        <w:outlineLvl w:val="9"/>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 and</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 amended in Gazette 1 Apr 2008 p. 1279.]</w:t>
      </w:r>
    </w:p>
    <w:p>
      <w:pPr>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117" w:name="_Toc388519307"/>
      <w:r>
        <w:rPr>
          <w:rStyle w:val="CharSchNo"/>
        </w:rPr>
        <w:t>Schedule 3</w:t>
      </w:r>
      <w:bookmarkEnd w:id="117"/>
    </w:p>
    <w:p>
      <w:pPr>
        <w:pStyle w:val="yShoulderClause"/>
        <w:rPr>
          <w:snapToGrid w:val="0"/>
        </w:rPr>
      </w:pPr>
      <w:r>
        <w:rPr>
          <w:snapToGrid w:val="0"/>
        </w:rPr>
        <w:t>[Regulation 45]</w:t>
      </w:r>
    </w:p>
    <w:p>
      <w:pPr>
        <w:pStyle w:val="yScheduleHeading"/>
        <w:pageBreakBefore w:val="0"/>
        <w:spacing w:before="240"/>
        <w:outlineLvl w:val="9"/>
      </w:pPr>
      <w:bookmarkStart w:id="118" w:name="_Toc388519308"/>
      <w:r>
        <w:rPr>
          <w:rStyle w:val="CharSchText"/>
        </w:rPr>
        <w:t>General meetings of members of the Superannuation Fund</w:t>
      </w:r>
      <w:bookmarkEnd w:id="118"/>
    </w:p>
    <w:p>
      <w:pPr>
        <w:pStyle w:val="yHeading5"/>
        <w:spacing w:before="180"/>
        <w:outlineLvl w:val="9"/>
        <w:rPr>
          <w:snapToGrid w:val="0"/>
        </w:rPr>
      </w:pPr>
      <w:bookmarkStart w:id="119" w:name="_Toc388519309"/>
      <w:r>
        <w:rPr>
          <w:rStyle w:val="CharSClsNo"/>
        </w:rPr>
        <w:t>1</w:t>
      </w:r>
      <w:r>
        <w:rPr>
          <w:snapToGrid w:val="0"/>
        </w:rPr>
        <w:t>.</w:t>
      </w:r>
      <w:r>
        <w:rPr>
          <w:snapToGrid w:val="0"/>
        </w:rPr>
        <w:tab/>
        <w:t>Notice of meeting</w:t>
      </w:r>
      <w:bookmarkEnd w:id="119"/>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spacing w:before="180"/>
      </w:pPr>
      <w:r>
        <w:t>[</w:t>
      </w:r>
      <w:r>
        <w:rPr>
          <w:b/>
        </w:rPr>
        <w:t>2.</w:t>
      </w:r>
      <w:r>
        <w:tab/>
        <w:t xml:space="preserve">Deleted in Gazette 29 Jun 1994 p. 3225.] </w:t>
      </w:r>
    </w:p>
    <w:p>
      <w:pPr>
        <w:pStyle w:val="yHeading5"/>
        <w:spacing w:before="180"/>
        <w:outlineLvl w:val="9"/>
        <w:rPr>
          <w:snapToGrid w:val="0"/>
        </w:rPr>
      </w:pPr>
      <w:bookmarkStart w:id="120" w:name="_Toc388519310"/>
      <w:r>
        <w:rPr>
          <w:rStyle w:val="CharSClsNo"/>
        </w:rPr>
        <w:t>3</w:t>
      </w:r>
      <w:r>
        <w:rPr>
          <w:snapToGrid w:val="0"/>
        </w:rPr>
        <w:t>.</w:t>
      </w:r>
      <w:r>
        <w:rPr>
          <w:snapToGrid w:val="0"/>
        </w:rPr>
        <w:tab/>
        <w:t>Chairman</w:t>
      </w:r>
      <w:bookmarkEnd w:id="120"/>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spacing w:before="180"/>
        <w:outlineLvl w:val="9"/>
        <w:rPr>
          <w:snapToGrid w:val="0"/>
        </w:rPr>
      </w:pPr>
      <w:bookmarkStart w:id="121" w:name="_Toc388519311"/>
      <w:r>
        <w:rPr>
          <w:rStyle w:val="CharSClsNo"/>
        </w:rPr>
        <w:t>4</w:t>
      </w:r>
      <w:r>
        <w:rPr>
          <w:snapToGrid w:val="0"/>
        </w:rPr>
        <w:t>.</w:t>
      </w:r>
      <w:r>
        <w:rPr>
          <w:snapToGrid w:val="0"/>
        </w:rPr>
        <w:tab/>
        <w:t>Board members may attend</w:t>
      </w:r>
      <w:bookmarkEnd w:id="121"/>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spacing w:before="180"/>
        <w:outlineLvl w:val="9"/>
        <w:rPr>
          <w:snapToGrid w:val="0"/>
        </w:rPr>
      </w:pPr>
      <w:bookmarkStart w:id="122" w:name="_Toc388519312"/>
      <w:r>
        <w:rPr>
          <w:rStyle w:val="CharSClsNo"/>
        </w:rPr>
        <w:t>5</w:t>
      </w:r>
      <w:r>
        <w:rPr>
          <w:snapToGrid w:val="0"/>
        </w:rPr>
        <w:t>.</w:t>
      </w:r>
      <w:r>
        <w:rPr>
          <w:snapToGrid w:val="0"/>
        </w:rPr>
        <w:tab/>
        <w:t>Annual general meeting</w:t>
      </w:r>
      <w:bookmarkEnd w:id="122"/>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bookmarkStart w:id="123" w:name="RuleErr_29"/>
      <w:r>
        <w:rPr>
          <w:i/>
          <w:snapToGrid w:val="0"/>
        </w:rPr>
        <w:t>Financial Administration and Audit Act 1985</w:t>
      </w:r>
      <w:bookmarkEnd w:id="123"/>
      <w:r>
        <w:rPr>
          <w:snapToGrid w:val="0"/>
          <w:vertAlign w:val="superscript"/>
        </w:rPr>
        <w:t> 2</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bookmarkStart w:id="124" w:name="RuleErr_30"/>
      <w:r>
        <w:rPr>
          <w:i/>
          <w:snapToGrid w:val="0"/>
        </w:rPr>
        <w:t>Financial Administration and Audit Act 1985</w:t>
      </w:r>
      <w:bookmarkEnd w:id="124"/>
      <w:r>
        <w:rPr>
          <w:snapToGrid w:val="0"/>
          <w:vertAlign w:val="superscript"/>
        </w:rPr>
        <w:t> 2</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spacing w:before="80"/>
      </w:pPr>
      <w:r>
        <w:tab/>
        <w:t>[Clause 5 amended in Gazette 15 Dec 1992 p. 6026.]</w:t>
      </w:r>
    </w:p>
    <w:p>
      <w:pPr>
        <w:pStyle w:val="yHeading5"/>
        <w:outlineLvl w:val="9"/>
        <w:rPr>
          <w:snapToGrid w:val="0"/>
        </w:rPr>
      </w:pPr>
      <w:bookmarkStart w:id="125" w:name="_Toc388519313"/>
      <w:r>
        <w:rPr>
          <w:rStyle w:val="CharSClsNo"/>
        </w:rPr>
        <w:t>6</w:t>
      </w:r>
      <w:r>
        <w:rPr>
          <w:snapToGrid w:val="0"/>
        </w:rPr>
        <w:t>.</w:t>
      </w:r>
      <w:r>
        <w:rPr>
          <w:snapToGrid w:val="0"/>
        </w:rPr>
        <w:tab/>
        <w:t>Special general meeting</w:t>
      </w:r>
      <w:bookmarkEnd w:id="125"/>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126" w:name="_Toc388519314"/>
      <w:r>
        <w:rPr>
          <w:rStyle w:val="CharSClsNo"/>
        </w:rPr>
        <w:t>7</w:t>
      </w:r>
      <w:r>
        <w:rPr>
          <w:snapToGrid w:val="0"/>
        </w:rPr>
        <w:t>.</w:t>
      </w:r>
      <w:r>
        <w:rPr>
          <w:snapToGrid w:val="0"/>
        </w:rPr>
        <w:tab/>
        <w:t>Mode of voting on motions</w:t>
      </w:r>
      <w:bookmarkEnd w:id="126"/>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outlineLvl w:val="9"/>
        <w:rPr>
          <w:snapToGrid w:val="0"/>
        </w:rPr>
      </w:pPr>
      <w:bookmarkStart w:id="127" w:name="_Toc388519315"/>
      <w:r>
        <w:rPr>
          <w:rStyle w:val="CharSClsNo"/>
        </w:rPr>
        <w:t>8</w:t>
      </w:r>
      <w:r>
        <w:rPr>
          <w:snapToGrid w:val="0"/>
        </w:rPr>
        <w:t>.</w:t>
      </w:r>
      <w:r>
        <w:rPr>
          <w:snapToGrid w:val="0"/>
        </w:rPr>
        <w:tab/>
        <w:t>Voting rights</w:t>
      </w:r>
      <w:bookmarkEnd w:id="127"/>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128" w:name="_Toc388519316"/>
      <w:r>
        <w:rPr>
          <w:rStyle w:val="CharSClsNo"/>
        </w:rPr>
        <w:t>9</w:t>
      </w:r>
      <w:r>
        <w:rPr>
          <w:snapToGrid w:val="0"/>
        </w:rPr>
        <w:t>.</w:t>
      </w:r>
      <w:r>
        <w:rPr>
          <w:snapToGrid w:val="0"/>
        </w:rPr>
        <w:tab/>
        <w:t>Minutes</w:t>
      </w:r>
      <w:bookmarkEnd w:id="128"/>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bookmarkStart w:id="129" w:name="RuleErr_31"/>
      <w:r>
        <w:rPr>
          <w:i/>
          <w:snapToGrid w:val="0"/>
        </w:rPr>
        <w:t>prima facie</w:t>
      </w:r>
      <w:bookmarkEnd w:id="129"/>
      <w:r>
        <w:rPr>
          <w:snapToGrid w:val="0"/>
        </w:rPr>
        <w:t xml:space="preserve"> evidence of the matters contained in those minutes.</w:t>
      </w:r>
    </w:p>
    <w:p>
      <w:pPr>
        <w:pStyle w:val="yHeading5"/>
        <w:outlineLvl w:val="9"/>
        <w:rPr>
          <w:snapToGrid w:val="0"/>
        </w:rPr>
      </w:pPr>
      <w:bookmarkStart w:id="130" w:name="_Toc388519317"/>
      <w:r>
        <w:rPr>
          <w:rStyle w:val="CharSClsNo"/>
        </w:rPr>
        <w:t>10</w:t>
      </w:r>
      <w:r>
        <w:rPr>
          <w:snapToGrid w:val="0"/>
        </w:rPr>
        <w:t>.</w:t>
      </w:r>
      <w:r>
        <w:rPr>
          <w:snapToGrid w:val="0"/>
        </w:rPr>
        <w:tab/>
        <w:t>Procedure</w:t>
      </w:r>
      <w:bookmarkEnd w:id="130"/>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131" w:name="_Toc388519318"/>
      <w:r>
        <w:rPr>
          <w:rStyle w:val="CharSchNo"/>
        </w:rPr>
        <w:t>Schedule 4</w:t>
      </w:r>
      <w:r>
        <w:t xml:space="preserve"> — </w:t>
      </w:r>
      <w:r>
        <w:rPr>
          <w:rStyle w:val="CharSchText"/>
        </w:rPr>
        <w:t>Leaving service benefit — Category A</w:t>
      </w:r>
      <w:bookmarkEnd w:id="131"/>
    </w:p>
    <w:p>
      <w:pPr>
        <w:pStyle w:val="yShoulderClause"/>
      </w:pPr>
      <w:r>
        <w:t>[r. 21(1)(c)]</w:t>
      </w:r>
    </w:p>
    <w:p>
      <w:pPr>
        <w:pStyle w:val="yHeading5"/>
        <w:outlineLvl w:val="9"/>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object w:dxaOrig="4900" w:dyaOrig="800">
          <v:shape id="_x0000_i1028" type="#_x0000_t75" style="width:245.25pt;height:39pt" o:ole="">
            <v:imagedata r:id="rId39" o:title=""/>
          </v:shape>
          <o:OLEObject Type="Embed" ProgID="Equation.3" ShapeID="_x0000_i1028" DrawAspect="Content" ObjectID="_1643723806" r:id="rId40"/>
        </w:obje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bookmarkStart w:id="132" w:name="RuleErr_32"/>
      <w:r>
        <w:rPr>
          <w:i/>
          <w:iCs/>
        </w:rPr>
        <w:t>Superannuation Guarantee (Administration) Act 1992</w:t>
      </w:r>
      <w:bookmarkEnd w:id="132"/>
      <w:r>
        <w:t xml:space="preserve"> of the Commonwealth) in respect of the member.</w:t>
      </w:r>
    </w:p>
    <w:p>
      <w:pPr>
        <w:pStyle w:val="yFootnotesection"/>
      </w:pPr>
      <w:r>
        <w:tab/>
        <w:t>[Schedule 4 inserted in Gazette 23 Jul 1999 p. 3395; amended in Gazette 30 Mar 2001 p. 1764; 29 Jun 2004 p. 2521-2; 21 Jan 2005 p. 263; 1 Apr 2008 p. 1279.]</w:t>
      </w:r>
    </w:p>
    <w:p>
      <w:pPr>
        <w:pStyle w:val="yScheduleHeading"/>
      </w:pPr>
      <w:bookmarkStart w:id="133" w:name="_Toc388519319"/>
      <w:r>
        <w:rPr>
          <w:rStyle w:val="CharSchNo"/>
        </w:rPr>
        <w:t>Schedule 5</w:t>
      </w:r>
      <w:bookmarkEnd w:id="133"/>
      <w:r>
        <w:rPr>
          <w:rStyle w:val="CharSchNo"/>
        </w:rPr>
        <w:t xml:space="preserve"> </w:t>
      </w:r>
    </w:p>
    <w:p>
      <w:pPr>
        <w:pStyle w:val="yShoulderClause"/>
        <w:rPr>
          <w:snapToGrid w:val="0"/>
        </w:rPr>
      </w:pPr>
      <w:r>
        <w:rPr>
          <w:snapToGrid w:val="0"/>
        </w:rPr>
        <w:t>[Regulation 23B(5)]</w:t>
      </w:r>
    </w:p>
    <w:p>
      <w:pPr>
        <w:pStyle w:val="yHeading2"/>
      </w:pPr>
      <w:bookmarkStart w:id="134" w:name="_Toc388519320"/>
      <w:r>
        <w:rPr>
          <w:rStyle w:val="CharSchText"/>
        </w:rPr>
        <w:t>Calculation of monthly benefit</w:t>
      </w:r>
      <w:bookmarkEnd w:id="134"/>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object w:dxaOrig="1920" w:dyaOrig="600">
          <v:shape id="_x0000_i1029" type="#_x0000_t75" style="width:96pt;height:30pt" o:ole="">
            <v:imagedata r:id="rId41" o:title=""/>
          </v:shape>
          <o:OLEObject Type="Embed" ProgID="Equation.3" ShapeID="_x0000_i1029" DrawAspect="Content" ObjectID="_1643723807" r:id="rId42"/>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object w:dxaOrig="859" w:dyaOrig="680">
          <v:shape id="_x0000_i1030" type="#_x0000_t75" style="width:42.75pt;height:33.75pt" o:ole="">
            <v:imagedata r:id="rId43" o:title=""/>
          </v:shape>
          <o:OLEObject Type="Embed" ProgID="Equation.3" ShapeID="_x0000_i1030" DrawAspect="Content" ObjectID="_1643723808" r:id="rId44"/>
        </w:object>
      </w:r>
    </w:p>
    <w:p>
      <w:pPr>
        <w:pStyle w:val="yFootnotesection"/>
      </w:pPr>
      <w:r>
        <w:tab/>
        <w:t xml:space="preserve">[Schedule 5 inserted in Gazette 29 Jun 1994 p. 3225; amended in Gazette 17 Apr 1998 p. 2102.] </w:t>
      </w:r>
    </w:p>
    <w:p>
      <w:pPr>
        <w:pStyle w:val="yScheduleHeading"/>
      </w:pPr>
      <w:bookmarkStart w:id="135" w:name="_Toc388519321"/>
      <w:r>
        <w:rPr>
          <w:rStyle w:val="CharSchNo"/>
        </w:rPr>
        <w:t>Schedule 6</w:t>
      </w:r>
      <w:bookmarkEnd w:id="135"/>
      <w:r>
        <w:rPr>
          <w:rStyle w:val="CharSchNo"/>
        </w:rPr>
        <w:t xml:space="preserve"> </w:t>
      </w:r>
    </w:p>
    <w:p>
      <w:pPr>
        <w:pStyle w:val="yShoulderClause"/>
        <w:rPr>
          <w:snapToGrid w:val="0"/>
        </w:rPr>
      </w:pPr>
      <w:r>
        <w:rPr>
          <w:snapToGrid w:val="0"/>
        </w:rPr>
        <w:t>[Regulation 23B(6)]</w:t>
      </w:r>
    </w:p>
    <w:p>
      <w:pPr>
        <w:pStyle w:val="yHeading2"/>
      </w:pPr>
      <w:bookmarkStart w:id="136" w:name="_Toc388519322"/>
      <w:r>
        <w:rPr>
          <w:rStyle w:val="CharSchText"/>
        </w:rPr>
        <w:t>Calculation of annual benefit</w:t>
      </w:r>
      <w:bookmarkEnd w:id="136"/>
    </w:p>
    <w:p>
      <w:pPr>
        <w:pStyle w:val="yHeading5"/>
        <w:outlineLvl w:val="9"/>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object w:dxaOrig="1820" w:dyaOrig="600">
          <v:shape id="_x0000_i1031" type="#_x0000_t75" style="width:90pt;height:30pt" o:ole="">
            <v:imagedata r:id="rId45" o:title=""/>
          </v:shape>
          <o:OLEObject Type="Embed" ProgID="Equation.3" ShapeID="_x0000_i1031" DrawAspect="Content" ObjectID="_1643723809" r:id="rId46"/>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r>
        <w:rPr>
          <w:spacing w:val="-2"/>
          <w:position w:val="-28"/>
        </w:rPr>
        <w:object w:dxaOrig="800" w:dyaOrig="639">
          <v:shape id="_x0000_i1032" type="#_x0000_t75" style="width:39pt;height:33pt" o:ole="">
            <v:imagedata r:id="rId47" o:title=""/>
          </v:shape>
          <o:OLEObject Type="Embed" ProgID="Equation.3" ShapeID="_x0000_i1032" DrawAspect="Content" ObjectID="_1643723810" r:id="rId48"/>
        </w:object>
      </w:r>
    </w:p>
    <w:p>
      <w:pPr>
        <w:pStyle w:val="yFootnotesection"/>
      </w:pPr>
      <w:r>
        <w:tab/>
        <w:t xml:space="preserve">[Schedule 6 inserted in Gazette 29 Jun 1994 p. 3226; amended in Gazette 17 Apr 1998 p. 2102.] </w:t>
      </w:r>
    </w:p>
    <w:p>
      <w:pPr>
        <w:pStyle w:val="yScheduleHeading"/>
      </w:pPr>
      <w:bookmarkStart w:id="137" w:name="_Toc388519323"/>
      <w:r>
        <w:rPr>
          <w:rStyle w:val="CharSchNo"/>
        </w:rPr>
        <w:t>Schedule 6A</w:t>
      </w:r>
      <w:bookmarkEnd w:id="137"/>
      <w:r>
        <w:rPr>
          <w:rStyle w:val="CharSchNo"/>
        </w:rPr>
        <w:t xml:space="preserve"> </w:t>
      </w:r>
    </w:p>
    <w:p>
      <w:pPr>
        <w:pStyle w:val="yShoulderClause"/>
        <w:rPr>
          <w:snapToGrid w:val="0"/>
        </w:rPr>
      </w:pPr>
      <w:r>
        <w:rPr>
          <w:snapToGrid w:val="0"/>
        </w:rPr>
        <w:t>[Regulation 23B(7)]</w:t>
      </w:r>
    </w:p>
    <w:p>
      <w:pPr>
        <w:pStyle w:val="yHeading2"/>
      </w:pPr>
      <w:bookmarkStart w:id="138" w:name="_Toc388519324"/>
      <w:r>
        <w:rPr>
          <w:rStyle w:val="CharSchText"/>
        </w:rPr>
        <w:t>Calculation of lump sum benefit</w:t>
      </w:r>
      <w:bookmarkEnd w:id="138"/>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object w:dxaOrig="1860" w:dyaOrig="360">
          <v:shape id="_x0000_i1033" type="#_x0000_t75" style="width:92.25pt;height:18pt" o:ole="">
            <v:imagedata r:id="rId49" o:title=""/>
          </v:shape>
          <o:OLEObject Type="Embed" ProgID="Equation.3" ShapeID="_x0000_i1033" DrawAspect="Content" ObjectID="_1643723811" r:id="rId50"/>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139" w:name="_Toc388519325"/>
      <w:r>
        <w:rPr>
          <w:rStyle w:val="CharSchNo"/>
        </w:rPr>
        <w:t>Schedule 6B</w:t>
      </w:r>
      <w:bookmarkEnd w:id="139"/>
      <w:r>
        <w:rPr>
          <w:rStyle w:val="CharSchNo"/>
        </w:rPr>
        <w:t xml:space="preserve"> </w:t>
      </w:r>
    </w:p>
    <w:p>
      <w:pPr>
        <w:pStyle w:val="yShoulderClause"/>
        <w:rPr>
          <w:snapToGrid w:val="0"/>
        </w:rPr>
      </w:pPr>
      <w:r>
        <w:rPr>
          <w:snapToGrid w:val="0"/>
        </w:rPr>
        <w:t>[Regulation 23BA(2)]</w:t>
      </w:r>
    </w:p>
    <w:p>
      <w:pPr>
        <w:pStyle w:val="yHeading2"/>
      </w:pPr>
      <w:bookmarkStart w:id="140" w:name="_Toc388519326"/>
      <w:r>
        <w:rPr>
          <w:rStyle w:val="CharSchText"/>
        </w:rPr>
        <w:t>Calculation of monthly benefit instead of lump sum benefit</w:t>
      </w:r>
      <w:bookmarkEnd w:id="140"/>
    </w:p>
    <w:p>
      <w:pPr>
        <w:pStyle w:val="yHeading5"/>
        <w:outlineLvl w:val="9"/>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object w:dxaOrig="2020" w:dyaOrig="620">
          <v:shape id="_x0000_i1034" type="#_x0000_t75" style="width:101.25pt;height:30.75pt" o:ole="">
            <v:imagedata r:id="rId51" o:title=""/>
          </v:shape>
          <o:OLEObject Type="Embed" ProgID="Equation.3" ShapeID="_x0000_i1034" DrawAspect="Content" ObjectID="_1643723812" r:id="rId52"/>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object w:dxaOrig="840" w:dyaOrig="639">
          <v:shape id="_x0000_i1035" type="#_x0000_t75" style="width:42pt;height:33pt" o:ole="">
            <v:imagedata r:id="rId53" o:title=""/>
          </v:shape>
          <o:OLEObject Type="Embed" ProgID="Equation.3" ShapeID="_x0000_i1035" DrawAspect="Content" ObjectID="_1643723813" r:id="rId54"/>
        </w:object>
      </w:r>
    </w:p>
    <w:p>
      <w:pPr>
        <w:pStyle w:val="yFootnotesection"/>
      </w:pPr>
      <w:r>
        <w:tab/>
        <w:t xml:space="preserve">[Schedule 6B inserted in Gazette 17 Apr 1998 p. 2103.] </w:t>
      </w:r>
    </w:p>
    <w:p>
      <w:pPr>
        <w:pStyle w:val="yScheduleHeading"/>
      </w:pPr>
      <w:bookmarkStart w:id="141" w:name="_Toc388519327"/>
      <w:r>
        <w:rPr>
          <w:rStyle w:val="CharSchNo"/>
        </w:rPr>
        <w:t>Schedule 6C</w:t>
      </w:r>
      <w:bookmarkEnd w:id="141"/>
      <w:r>
        <w:rPr>
          <w:rStyle w:val="CharSchNo"/>
        </w:rPr>
        <w:t xml:space="preserve"> </w:t>
      </w:r>
    </w:p>
    <w:p>
      <w:pPr>
        <w:pStyle w:val="yShoulderClause"/>
        <w:rPr>
          <w:snapToGrid w:val="0"/>
        </w:rPr>
      </w:pPr>
      <w:r>
        <w:rPr>
          <w:snapToGrid w:val="0"/>
        </w:rPr>
        <w:t>[Regulation 23BA(4)]</w:t>
      </w:r>
    </w:p>
    <w:p>
      <w:pPr>
        <w:pStyle w:val="yHeading2"/>
      </w:pPr>
      <w:bookmarkStart w:id="142" w:name="_Toc388519328"/>
      <w:r>
        <w:rPr>
          <w:rStyle w:val="CharSchText"/>
        </w:rPr>
        <w:t>Calculation of a lump sum benefit instead of monthly benefits</w:t>
      </w:r>
      <w:bookmarkEnd w:id="142"/>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object w:dxaOrig="2280" w:dyaOrig="620">
          <v:shape id="_x0000_i1036" type="#_x0000_t75" style="width:114pt;height:30.75pt" o:ole="">
            <v:imagedata r:id="rId55" o:title=""/>
          </v:shape>
          <o:OLEObject Type="Embed" ProgID="Equation.3" ShapeID="_x0000_i1036" DrawAspect="Content" ObjectID="_1643723814" r:id="rId56"/>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143" w:name="_Toc388519329"/>
      <w:r>
        <w:rPr>
          <w:rStyle w:val="CharSchNo"/>
        </w:rPr>
        <w:t>Schedule 6D</w:t>
      </w:r>
      <w:bookmarkEnd w:id="143"/>
      <w:r>
        <w:rPr>
          <w:rStyle w:val="CharSchNo"/>
        </w:rPr>
        <w:t xml:space="preserve"> </w:t>
      </w:r>
    </w:p>
    <w:p>
      <w:pPr>
        <w:pStyle w:val="yShoulderClause"/>
        <w:rPr>
          <w:snapToGrid w:val="0"/>
        </w:rPr>
      </w:pPr>
      <w:r>
        <w:rPr>
          <w:snapToGrid w:val="0"/>
        </w:rPr>
        <w:t>[Regulation 23BA(6)]</w:t>
      </w:r>
    </w:p>
    <w:p>
      <w:pPr>
        <w:pStyle w:val="yHeading2"/>
      </w:pPr>
      <w:bookmarkStart w:id="144" w:name="_Toc388519330"/>
      <w:r>
        <w:rPr>
          <w:rStyle w:val="CharSchText"/>
        </w:rPr>
        <w:t>Calculation of a lump sum benefit instead of annual benefits</w:t>
      </w:r>
      <w:bookmarkEnd w:id="144"/>
    </w:p>
    <w:p>
      <w:pPr>
        <w:pStyle w:val="yHeading5"/>
        <w:outlineLvl w:val="9"/>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object w:dxaOrig="2260" w:dyaOrig="620">
          <v:shape id="_x0000_i1037" type="#_x0000_t75" style="width:112.5pt;height:30.75pt" o:ole="">
            <v:imagedata r:id="rId57" o:title=""/>
          </v:shape>
          <o:OLEObject Type="Embed" ProgID="Equation.3" ShapeID="_x0000_i1037" DrawAspect="Content" ObjectID="_1643723815" r:id="rId58"/>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145" w:name="_Toc388519331"/>
      <w:r>
        <w:rPr>
          <w:rStyle w:val="CharSchNo"/>
        </w:rPr>
        <w:t>Schedule 7</w:t>
      </w:r>
      <w:bookmarkEnd w:id="145"/>
      <w:r>
        <w:rPr>
          <w:rStyle w:val="CharSchNo"/>
        </w:rPr>
        <w:t xml:space="preserve"> </w:t>
      </w:r>
    </w:p>
    <w:p>
      <w:pPr>
        <w:pStyle w:val="yShoulderClause"/>
        <w:rPr>
          <w:snapToGrid w:val="0"/>
        </w:rPr>
      </w:pPr>
      <w:r>
        <w:t>[rr. 23BA(4a) and 23C(2)(a)]</w:t>
      </w:r>
    </w:p>
    <w:p>
      <w:pPr>
        <w:pStyle w:val="yHeading2"/>
      </w:pPr>
      <w:bookmarkStart w:id="146" w:name="_Toc388519332"/>
      <w:r>
        <w:rPr>
          <w:rStyle w:val="CharSchText"/>
        </w:rPr>
        <w:t>Calculation of lump sum or death benefit after election of monthly benefits</w:t>
      </w:r>
      <w:bookmarkEnd w:id="146"/>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pPr>
      <w:r>
        <w:rPr>
          <w:position w:val="-22"/>
        </w:rPr>
        <w:object w:dxaOrig="1820" w:dyaOrig="620">
          <v:shape id="_x0000_i1038" type="#_x0000_t75" style="width:90pt;height:30.75pt" o:ole="">
            <v:imagedata r:id="rId59" o:title=""/>
          </v:shape>
          <o:OLEObject Type="Embed" ProgID="Equation.3" ShapeID="_x0000_i1038" DrawAspect="Content" ObjectID="_1643723816" r:id="rId60"/>
        </w:object>
      </w:r>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object w:dxaOrig="820" w:dyaOrig="639">
          <v:shape id="_x0000_i1039" type="#_x0000_t75" style="width:41.25pt;height:33pt" o:ole="">
            <v:imagedata r:id="rId61" o:title=""/>
          </v:shape>
          <o:OLEObject Type="Embed" ProgID="Equation.3" ShapeID="_x0000_i1039" DrawAspect="Content" ObjectID="_1643723817" r:id="rId62"/>
        </w:object>
      </w:r>
    </w:p>
    <w:p>
      <w:pPr>
        <w:pStyle w:val="yFootnotesection"/>
      </w:pPr>
      <w:r>
        <w:tab/>
        <w:t xml:space="preserve">[Schedule 7 inserted in Gazette 29 Jun 1994 p. 3227; amended in Gazette 17 Apr 1998 p. 2104; 30 Mar 2001 p. 1765.] </w:t>
      </w:r>
    </w:p>
    <w:p>
      <w:pPr>
        <w:pStyle w:val="yScheduleHeading"/>
      </w:pPr>
      <w:bookmarkStart w:id="147" w:name="_Toc388519333"/>
      <w:r>
        <w:rPr>
          <w:rStyle w:val="CharSchNo"/>
        </w:rPr>
        <w:t>Schedule 8</w:t>
      </w:r>
      <w:bookmarkEnd w:id="147"/>
      <w:r>
        <w:rPr>
          <w:rStyle w:val="CharSchNo"/>
        </w:rPr>
        <w:t xml:space="preserve"> </w:t>
      </w:r>
    </w:p>
    <w:p>
      <w:pPr>
        <w:pStyle w:val="yShoulderClause"/>
        <w:rPr>
          <w:snapToGrid w:val="0"/>
        </w:rPr>
      </w:pPr>
      <w:r>
        <w:t>[rr. 23BA(6a) and 23C(2)(b)]</w:t>
      </w:r>
    </w:p>
    <w:p>
      <w:pPr>
        <w:pStyle w:val="yHeading2"/>
      </w:pPr>
      <w:bookmarkStart w:id="148" w:name="_Toc388519334"/>
      <w:r>
        <w:rPr>
          <w:rStyle w:val="CharSchText"/>
        </w:rPr>
        <w:t>Calculation of lump sum or death benefit after election of annual benefits</w:t>
      </w:r>
      <w:bookmarkEnd w:id="148"/>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object w:dxaOrig="2000" w:dyaOrig="660">
          <v:shape id="_x0000_i1040" type="#_x0000_t75" style="width:99.75pt;height:32.25pt" o:ole="">
            <v:imagedata r:id="rId63" o:title=""/>
          </v:shape>
          <o:OLEObject Type="Embed" ProgID="Equation.3" ShapeID="_x0000_i1040" DrawAspect="Content" ObjectID="_1643723818" r:id="rId64"/>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object w:dxaOrig="820" w:dyaOrig="639">
          <v:shape id="_x0000_i1041" type="#_x0000_t75" style="width:41.25pt;height:33pt" o:ole="">
            <v:imagedata r:id="rId65" o:title=""/>
          </v:shape>
          <o:OLEObject Type="Embed" ProgID="Equation.3" ShapeID="_x0000_i1041" DrawAspect="Content" ObjectID="_1643723819" r:id="rId66"/>
        </w:object>
      </w:r>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149" w:name="_Toc388519335"/>
      <w:r>
        <w:rPr>
          <w:rStyle w:val="CharSchNo"/>
        </w:rPr>
        <w:t>Schedule 9</w:t>
      </w:r>
      <w:bookmarkEnd w:id="149"/>
      <w:r>
        <w:rPr>
          <w:rStyle w:val="CharSchNo"/>
        </w:rPr>
        <w:t xml:space="preserve"> </w:t>
      </w:r>
    </w:p>
    <w:p>
      <w:pPr>
        <w:pStyle w:val="yShoulderClause"/>
        <w:rPr>
          <w:snapToGrid w:val="0"/>
        </w:rPr>
      </w:pPr>
      <w:r>
        <w:t>[rr. 23BA(2a) and 23C(2)(c)]</w:t>
      </w:r>
    </w:p>
    <w:p>
      <w:pPr>
        <w:pStyle w:val="yHeading2"/>
      </w:pPr>
      <w:bookmarkStart w:id="150" w:name="_Toc388519336"/>
      <w:r>
        <w:rPr>
          <w:rStyle w:val="CharSchText"/>
        </w:rPr>
        <w:t>Calculation of lump sum or death benefit after election of lump sum benefit after 5 years</w:t>
      </w:r>
      <w:bookmarkEnd w:id="150"/>
    </w:p>
    <w:p>
      <w:pPr>
        <w:pStyle w:val="yHeading5"/>
        <w:outlineLvl w:val="9"/>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object w:dxaOrig="1719" w:dyaOrig="859">
          <v:shape id="_x0000_i1042" type="#_x0000_t75" style="width:86.25pt;height:42.75pt" o:ole="">
            <v:imagedata r:id="rId67" o:title=""/>
          </v:shape>
          <o:OLEObject Type="Embed" ProgID="Equation.3" ShapeID="_x0000_i1042" DrawAspect="Content" ObjectID="_1643723820" r:id="rId68"/>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 xml:space="preserve">is the lump sum or death benefit to be determined (expressed in dollars); </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 xml:space="preserve">; </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70"/>
          <w:headerReference w:type="default" r:id="rId71"/>
          <w:pgSz w:w="11906" w:h="16838" w:code="9"/>
          <w:pgMar w:top="2381" w:right="2409" w:bottom="3543" w:left="2409" w:header="720" w:footer="3380" w:gutter="0"/>
          <w:cols w:space="720"/>
          <w:noEndnote/>
          <w:docGrid w:linePitch="326"/>
        </w:sectPr>
      </w:pPr>
    </w:p>
    <w:p>
      <w:pPr>
        <w:pStyle w:val="nHeading2"/>
      </w:pPr>
      <w:bookmarkStart w:id="151" w:name="_Toc388519337"/>
      <w:r>
        <w:t>Notes</w:t>
      </w:r>
      <w:bookmarkEnd w:id="15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 May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Fire and Emergency Services (Superannuation Fund) Regulations 1986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152" w:name="_Toc388519338"/>
      <w:r>
        <w:t>Compilation table</w:t>
      </w:r>
      <w:bookmarkEnd w:id="1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bookmarkStart w:id="153" w:name="RuleErr_33"/>
            <w:r>
              <w:rPr>
                <w:i/>
                <w:sz w:val="19"/>
              </w:rPr>
              <w:t>Fire Brigades (Superannuation Fund) Regulations 1986</w:t>
            </w:r>
            <w:bookmarkEnd w:id="153"/>
            <w:r>
              <w:rPr>
                <w:sz w:val="19"/>
                <w:vertAlign w:val="superscript"/>
              </w:rPr>
              <w:t> 3</w:t>
            </w:r>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bookmarkStart w:id="154" w:name="RuleErr_34"/>
            <w:r>
              <w:rPr>
                <w:i/>
                <w:sz w:val="19"/>
              </w:rPr>
              <w:t>Fire Brigades (Superannuation Fund) Amendment Regulations 1987</w:t>
            </w:r>
            <w:bookmarkEnd w:id="154"/>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bookmarkStart w:id="155" w:name="RuleErr_35"/>
            <w:r>
              <w:rPr>
                <w:i/>
                <w:sz w:val="19"/>
              </w:rPr>
              <w:t>Fire Brigades (Superannuation Fund) Amendment Regulations (No. 2) 1987</w:t>
            </w:r>
            <w:bookmarkEnd w:id="155"/>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i/>
                <w:sz w:val="19"/>
              </w:rPr>
            </w:pPr>
            <w:bookmarkStart w:id="156" w:name="RuleErr_36"/>
            <w:r>
              <w:rPr>
                <w:i/>
                <w:sz w:val="19"/>
              </w:rPr>
              <w:t>Fire Brigades (Superannuation Fund) Amendment Regulations 1988</w:t>
            </w:r>
            <w:bookmarkEnd w:id="156"/>
            <w:r>
              <w:rPr>
                <w:sz w:val="19"/>
              </w:rPr>
              <w:t> </w:t>
            </w:r>
            <w:r>
              <w:rPr>
                <w:sz w:val="19"/>
                <w:vertAlign w:val="superscript"/>
              </w:rPr>
              <w:t>4</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bookmarkStart w:id="157" w:name="RuleErr_37"/>
            <w:r>
              <w:rPr>
                <w:i/>
                <w:sz w:val="19"/>
              </w:rPr>
              <w:t>Fire Brigades (Superannuation Fund) Amendment Regulations 1989</w:t>
            </w:r>
            <w:bookmarkEnd w:id="157"/>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bookmarkStart w:id="158" w:name="RuleErr_38"/>
            <w:r>
              <w:rPr>
                <w:i/>
                <w:sz w:val="19"/>
              </w:rPr>
              <w:t>Fire Brigades (Superannuation Fund) Amendment Regulations (No. 2) 1989</w:t>
            </w:r>
            <w:bookmarkEnd w:id="158"/>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bookmarkStart w:id="159" w:name="RuleErr_39"/>
            <w:r>
              <w:rPr>
                <w:i/>
                <w:sz w:val="19"/>
              </w:rPr>
              <w:t>Fire Brigades (Superannuation Fund) Amendment Regulations 1990</w:t>
            </w:r>
            <w:bookmarkEnd w:id="159"/>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bookmarkStart w:id="160" w:name="RuleErr_40"/>
            <w:r>
              <w:rPr>
                <w:i/>
                <w:sz w:val="19"/>
              </w:rPr>
              <w:t>Fire Brigades (Superannuation Fund) Amendment Regulations 1991</w:t>
            </w:r>
            <w:bookmarkEnd w:id="160"/>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bookmarkStart w:id="161" w:name="RuleErr_41"/>
            <w:r>
              <w:rPr>
                <w:i/>
                <w:sz w:val="19"/>
              </w:rPr>
              <w:t>Fire Brigades (Superannuation Fund) Amendment Regulations 1992</w:t>
            </w:r>
            <w:bookmarkEnd w:id="161"/>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bookmarkStart w:id="162" w:name="RuleErr_42"/>
            <w:r>
              <w:rPr>
                <w:i/>
                <w:sz w:val="19"/>
              </w:rPr>
              <w:t>Fire Brigades (Superannuation Fund) Amendment Regulations 1994</w:t>
            </w:r>
            <w:bookmarkEnd w:id="162"/>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bookmarkStart w:id="163" w:name="RuleErr_43"/>
            <w:r>
              <w:rPr>
                <w:i/>
                <w:sz w:val="19"/>
              </w:rPr>
              <w:t>Fire Brigades (Superannuation Fund) Amendment Regulations (No. 2) 1994</w:t>
            </w:r>
            <w:bookmarkEnd w:id="163"/>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bookmarkStart w:id="164" w:name="RuleErr_44"/>
            <w:r>
              <w:rPr>
                <w:b/>
                <w:i/>
                <w:sz w:val="19"/>
              </w:rPr>
              <w:t>Fire Brigades (Superannuation Fund) Regulations 1986</w:t>
            </w:r>
            <w:bookmarkEnd w:id="164"/>
            <w:r>
              <w:rPr>
                <w:b/>
                <w:sz w:val="19"/>
              </w:rPr>
              <w:t xml:space="preserve"> as at 11 Oct 1994 </w:t>
            </w:r>
            <w:r>
              <w:rPr>
                <w:sz w:val="19"/>
              </w:rPr>
              <w:t>(includes amendments listed above)</w:t>
            </w:r>
          </w:p>
        </w:tc>
      </w:tr>
      <w:tr>
        <w:trPr>
          <w:cantSplit/>
        </w:trPr>
        <w:tc>
          <w:tcPr>
            <w:tcW w:w="3119" w:type="dxa"/>
            <w:tcBorders>
              <w:top w:val="nil"/>
              <w:bottom w:val="nil"/>
            </w:tcBorders>
          </w:tcPr>
          <w:p>
            <w:pPr>
              <w:pStyle w:val="nTable"/>
              <w:spacing w:after="40"/>
              <w:ind w:right="113"/>
              <w:rPr>
                <w:sz w:val="19"/>
              </w:rPr>
            </w:pPr>
            <w:bookmarkStart w:id="165" w:name="RuleErr_45"/>
            <w:r>
              <w:rPr>
                <w:i/>
                <w:sz w:val="19"/>
              </w:rPr>
              <w:t>Fire Brigades (Superannuation Fund) Amendment Regulations 1995</w:t>
            </w:r>
            <w:bookmarkEnd w:id="165"/>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bookmarkStart w:id="166" w:name="RuleErr_46"/>
            <w:r>
              <w:rPr>
                <w:i/>
                <w:sz w:val="19"/>
              </w:rPr>
              <w:t>Fire Brigades (Superannuation Fund) Amendment Regulations 1998</w:t>
            </w:r>
            <w:bookmarkEnd w:id="166"/>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(correction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bookmarkStart w:id="167" w:name="RuleErr_47"/>
            <w:r>
              <w:rPr>
                <w:i/>
                <w:sz w:val="19"/>
              </w:rPr>
              <w:t>Fire Brigades (Superannuation Fund) Amendment Regulations (No. 2) 1998</w:t>
            </w:r>
            <w:bookmarkEnd w:id="167"/>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bookmarkStart w:id="168" w:name="RuleErr_48"/>
            <w:r>
              <w:rPr>
                <w:i/>
                <w:sz w:val="19"/>
              </w:rPr>
              <w:t>Fire Brigades (Superannuation Fund) Amendment Regulations 1999</w:t>
            </w:r>
            <w:bookmarkEnd w:id="168"/>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bookmarkStart w:id="169" w:name="RuleErr_49"/>
            <w:r>
              <w:rPr>
                <w:i/>
                <w:sz w:val="19"/>
              </w:rPr>
              <w:t>Fire Brigades (Superannuation Fund) Amendment Regulations 2000</w:t>
            </w:r>
            <w:bookmarkEnd w:id="169"/>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bookmarkStart w:id="170" w:name="RuleErr_50"/>
            <w:r>
              <w:rPr>
                <w:i/>
                <w:sz w:val="19"/>
              </w:rPr>
              <w:t>Fire Brigades (Superannuation Fund) Amendment Regulations 2001</w:t>
            </w:r>
            <w:bookmarkEnd w:id="170"/>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bookmarkStart w:id="171" w:name="RuleErr_51"/>
            <w:r>
              <w:rPr>
                <w:i/>
                <w:sz w:val="19"/>
              </w:rPr>
              <w:t>Fire Brigades (Superannuation Fund) Amendment Regulations (No. 2) 2001</w:t>
            </w:r>
            <w:bookmarkEnd w:id="171"/>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bookmarkStart w:id="172" w:name="RuleErr_52"/>
            <w:r>
              <w:rPr>
                <w:b/>
                <w:i/>
                <w:sz w:val="19"/>
              </w:rPr>
              <w:t>Fire Brigades (Superannuation Fund) Regulations 1986</w:t>
            </w:r>
            <w:bookmarkEnd w:id="172"/>
            <w:r>
              <w:rPr>
                <w:b/>
                <w:sz w:val="19"/>
              </w:rPr>
              <w:t xml:space="preserve"> as at 7 Sep 2001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bookmarkStart w:id="173" w:name="RuleErr_53"/>
            <w:r>
              <w:rPr>
                <w:i/>
                <w:sz w:val="19"/>
              </w:rPr>
              <w:t>Fire Brigades (Superannuation Fund) Amendment Regulations 2003</w:t>
            </w:r>
            <w:bookmarkEnd w:id="173"/>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bookmarkStart w:id="174" w:name="RuleErr_54"/>
            <w:r>
              <w:rPr>
                <w:i/>
                <w:sz w:val="19"/>
              </w:rPr>
              <w:t>Fire and Emergency Services (Superannuation Fund) Amendment Regulations (No. 2) 2003</w:t>
            </w:r>
            <w:bookmarkEnd w:id="174"/>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 2003</w:t>
            </w:r>
          </w:p>
        </w:tc>
      </w:tr>
      <w:tr>
        <w:trPr>
          <w:cantSplit/>
        </w:trPr>
        <w:tc>
          <w:tcPr>
            <w:tcW w:w="3119" w:type="dxa"/>
            <w:tcBorders>
              <w:top w:val="nil"/>
              <w:bottom w:val="nil"/>
            </w:tcBorders>
          </w:tcPr>
          <w:p>
            <w:pPr>
              <w:pStyle w:val="nTable"/>
              <w:spacing w:after="40"/>
              <w:ind w:right="113"/>
              <w:rPr>
                <w:i/>
                <w:sz w:val="19"/>
              </w:rPr>
            </w:pPr>
            <w:bookmarkStart w:id="175" w:name="RuleErr_55"/>
            <w:r>
              <w:rPr>
                <w:i/>
                <w:sz w:val="19"/>
              </w:rPr>
              <w:t>Fire and Emergency Services (Superannuation Fund) Amendment Regulations 2004</w:t>
            </w:r>
            <w:bookmarkEnd w:id="175"/>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bookmarkStart w:id="176" w:name="RuleErr_56"/>
            <w:r>
              <w:rPr>
                <w:i/>
                <w:sz w:val="19"/>
              </w:rPr>
              <w:t>Fire and Emergency Services (Superannuation Fund) Amendment Regulations (No. 2) 2004</w:t>
            </w:r>
            <w:bookmarkEnd w:id="176"/>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r>
        <w:trPr>
          <w:cantSplit/>
        </w:trPr>
        <w:tc>
          <w:tcPr>
            <w:tcW w:w="7088" w:type="dxa"/>
            <w:gridSpan w:val="3"/>
            <w:tcBorders>
              <w:top w:val="nil"/>
              <w:bottom w:val="nil"/>
            </w:tcBorders>
          </w:tcPr>
          <w:p>
            <w:pPr>
              <w:pStyle w:val="nTable"/>
              <w:spacing w:after="40"/>
              <w:rPr>
                <w:sz w:val="19"/>
              </w:rPr>
            </w:pPr>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bookmarkStart w:id="177" w:name="RuleErr_57"/>
            <w:r>
              <w:rPr>
                <w:i/>
                <w:sz w:val="19"/>
              </w:rPr>
              <w:t>Fire and Emergency Services (Superannuation Fund) Amendment Regulations 2008</w:t>
            </w:r>
            <w:bookmarkEnd w:id="177"/>
          </w:p>
        </w:tc>
        <w:tc>
          <w:tcPr>
            <w:tcW w:w="1276" w:type="dxa"/>
            <w:tcBorders>
              <w:top w:val="nil"/>
              <w:bottom w:val="nil"/>
            </w:tcBorders>
          </w:tcPr>
          <w:p>
            <w:pPr>
              <w:pStyle w:val="nTable"/>
              <w:spacing w:after="40"/>
              <w:rPr>
                <w:sz w:val="19"/>
              </w:rPr>
            </w:pPr>
            <w:r>
              <w:rPr>
                <w:sz w:val="19"/>
              </w:rPr>
              <w:t>1 Apr 2008 p. 1271-9</w:t>
            </w:r>
          </w:p>
        </w:tc>
        <w:tc>
          <w:tcPr>
            <w:tcW w:w="2693" w:type="dxa"/>
            <w:tcBorders>
              <w:top w:val="nil"/>
              <w:bottom w:val="nil"/>
            </w:tcBorders>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3119" w:type="dxa"/>
            <w:tcBorders>
              <w:top w:val="nil"/>
              <w:bottom w:val="nil"/>
            </w:tcBorders>
          </w:tcPr>
          <w:p>
            <w:pPr>
              <w:pStyle w:val="nTable"/>
              <w:spacing w:after="40"/>
              <w:ind w:right="113"/>
              <w:rPr>
                <w:i/>
                <w:sz w:val="19"/>
              </w:rPr>
            </w:pPr>
            <w:bookmarkStart w:id="178" w:name="RuleErr_58"/>
            <w:r>
              <w:rPr>
                <w:i/>
                <w:sz w:val="19"/>
              </w:rPr>
              <w:t>Fire and Emergency Services (Superannuation Fund) Amendment Regulations 2009</w:t>
            </w:r>
            <w:bookmarkEnd w:id="178"/>
          </w:p>
        </w:tc>
        <w:tc>
          <w:tcPr>
            <w:tcW w:w="1276" w:type="dxa"/>
            <w:tcBorders>
              <w:top w:val="nil"/>
              <w:bottom w:val="nil"/>
            </w:tcBorders>
          </w:tcPr>
          <w:p>
            <w:pPr>
              <w:pStyle w:val="nTable"/>
              <w:spacing w:after="40"/>
              <w:rPr>
                <w:sz w:val="19"/>
              </w:rPr>
            </w:pPr>
            <w:r>
              <w:rPr>
                <w:sz w:val="19"/>
              </w:rPr>
              <w:t>21 Aug 2009 p. 3267-70</w:t>
            </w:r>
          </w:p>
        </w:tc>
        <w:tc>
          <w:tcPr>
            <w:tcW w:w="2693" w:type="dxa"/>
            <w:tcBorders>
              <w:top w:val="nil"/>
              <w:bottom w:val="nil"/>
            </w:tcBorders>
          </w:tcPr>
          <w:p>
            <w:pPr>
              <w:pStyle w:val="nTable"/>
              <w:spacing w:after="40"/>
              <w:rPr>
                <w:sz w:val="19"/>
              </w:rPr>
            </w:pPr>
            <w:r>
              <w:rPr>
                <w:sz w:val="19"/>
              </w:rPr>
              <w:t>r. 1 and 2: 21 Aug 2009 (see r. 2(a));</w:t>
            </w:r>
            <w:r>
              <w:rPr>
                <w:sz w:val="19"/>
              </w:rPr>
              <w:br/>
              <w:t>Regulations other than r. 1 and 2: 22 Aug 2009 (see r. 2(b))</w:t>
            </w:r>
          </w:p>
        </w:tc>
      </w:tr>
      <w:tr>
        <w:trPr>
          <w:cantSplit/>
        </w:trPr>
        <w:tc>
          <w:tcPr>
            <w:tcW w:w="3119" w:type="dxa"/>
            <w:tcBorders>
              <w:top w:val="nil"/>
              <w:bottom w:val="nil"/>
            </w:tcBorders>
          </w:tcPr>
          <w:p>
            <w:pPr>
              <w:pStyle w:val="nTable"/>
              <w:spacing w:after="40"/>
              <w:ind w:right="113"/>
              <w:rPr>
                <w:i/>
                <w:sz w:val="19"/>
                <w:highlight w:val="green"/>
              </w:rPr>
            </w:pPr>
            <w:bookmarkStart w:id="179" w:name="RuleErr_59"/>
            <w:r>
              <w:rPr>
                <w:i/>
                <w:sz w:val="19"/>
              </w:rPr>
              <w:t>Fire and Emergency Services (Superannuation Fund) Amendment Regulations (No. 2) 2012</w:t>
            </w:r>
            <w:bookmarkEnd w:id="179"/>
          </w:p>
        </w:tc>
        <w:tc>
          <w:tcPr>
            <w:tcW w:w="1276" w:type="dxa"/>
            <w:tcBorders>
              <w:top w:val="nil"/>
              <w:bottom w:val="nil"/>
            </w:tcBorders>
          </w:tcPr>
          <w:p>
            <w:pPr>
              <w:pStyle w:val="nTable"/>
              <w:spacing w:after="40"/>
              <w:rPr>
                <w:sz w:val="19"/>
              </w:rPr>
            </w:pPr>
            <w:r>
              <w:rPr>
                <w:sz w:val="19"/>
              </w:rPr>
              <w:t>31 Oct 2012 p. 5245</w:t>
            </w:r>
            <w:r>
              <w:rPr>
                <w:sz w:val="19"/>
              </w:rPr>
              <w:noBreakHyphen/>
              <w:t>9</w:t>
            </w:r>
          </w:p>
        </w:tc>
        <w:tc>
          <w:tcPr>
            <w:tcW w:w="2693" w:type="dxa"/>
            <w:tcBorders>
              <w:top w:val="nil"/>
              <w:bottom w:val="nil"/>
            </w:tcBorders>
          </w:tcPr>
          <w:p>
            <w:pPr>
              <w:pStyle w:val="nTable"/>
              <w:spacing w:after="40"/>
              <w:rPr>
                <w:sz w:val="19"/>
              </w:rPr>
            </w:pPr>
            <w:r>
              <w:rPr>
                <w:rFonts w:ascii="Times" w:hAnsi="Times"/>
                <w:snapToGrid w:val="0"/>
                <w:spacing w:val="-2"/>
                <w:sz w:val="19"/>
              </w:rPr>
              <w:t>r. 1 and 2: 31 Oct 2012 (see r. 2(a));</w:t>
            </w:r>
            <w:r>
              <w:rPr>
                <w:rFonts w:ascii="Times" w:hAnsi="Times"/>
                <w:snapToGrid w:val="0"/>
                <w:spacing w:val="-2"/>
                <w:sz w:val="19"/>
              </w:rPr>
              <w:br/>
              <w:t xml:space="preserve">Regulations other than r. 1 and 2: 1 Nov 2012 (see r. 2(b) and </w:t>
            </w:r>
            <w:r>
              <w:rPr>
                <w:rFonts w:ascii="Times" w:hAnsi="Times"/>
                <w:i/>
                <w:snapToGrid w:val="0"/>
                <w:spacing w:val="-2"/>
                <w:sz w:val="19"/>
              </w:rPr>
              <w:t>Gazette</w:t>
            </w:r>
            <w:r>
              <w:rPr>
                <w:rFonts w:ascii="Times" w:hAnsi="Times"/>
                <w:snapToGrid w:val="0"/>
                <w:spacing w:val="-2"/>
                <w:sz w:val="19"/>
              </w:rPr>
              <w:t xml:space="preserve"> 31 Oct 2012 p. 5255)</w:t>
            </w:r>
          </w:p>
        </w:tc>
      </w:tr>
      <w:tr>
        <w:trPr>
          <w:cantSplit/>
        </w:trPr>
        <w:tc>
          <w:tcPr>
            <w:tcW w:w="7088" w:type="dxa"/>
            <w:gridSpan w:val="3"/>
            <w:tcBorders>
              <w:top w:val="nil"/>
              <w:bottom w:val="single" w:sz="4" w:space="0" w:color="auto"/>
            </w:tcBorders>
          </w:tcPr>
          <w:p>
            <w:pPr>
              <w:pStyle w:val="nTable"/>
              <w:spacing w:after="40"/>
              <w:rPr>
                <w:rFonts w:ascii="Times" w:hAnsi="Times"/>
                <w:snapToGrid w:val="0"/>
                <w:spacing w:val="-2"/>
                <w:sz w:val="19"/>
              </w:rPr>
            </w:pPr>
            <w:r>
              <w:rPr>
                <w:b/>
                <w:sz w:val="19"/>
              </w:rPr>
              <w:t xml:space="preserve">Reprint 4: The </w:t>
            </w:r>
            <w:r>
              <w:rPr>
                <w:b/>
                <w:i/>
                <w:sz w:val="19"/>
              </w:rPr>
              <w:t>Fire and Emergency Services (Superannuation Fund) Regulations 1986</w:t>
            </w:r>
            <w:r>
              <w:rPr>
                <w:b/>
                <w:sz w:val="19"/>
              </w:rPr>
              <w:t xml:space="preserve"> as at 2 May 2014 </w:t>
            </w:r>
            <w:r>
              <w:rPr>
                <w:sz w:val="19"/>
              </w:rPr>
              <w:t>(includes amendments listed above)</w:t>
            </w:r>
          </w:p>
        </w:tc>
      </w:tr>
    </w:tbl>
    <w:p>
      <w:pPr>
        <w:pStyle w:val="nSubsection"/>
        <w:spacing w:before="160"/>
      </w:pPr>
      <w:r>
        <w:rPr>
          <w:vertAlign w:val="superscript"/>
        </w:rPr>
        <w:t>2</w:t>
      </w:r>
      <w:r>
        <w:tab/>
        <w:t xml:space="preserve">The </w:t>
      </w:r>
      <w:r>
        <w:rPr>
          <w:i/>
        </w:rPr>
        <w:t>Financial Administration and Audit Act 1985</w:t>
      </w:r>
      <w:r>
        <w:t xml:space="preserve"> was repealed by the </w:t>
      </w:r>
      <w:r>
        <w:rPr>
          <w:i/>
        </w:rPr>
        <w:t>Financial Legislation Amendment and Repeal Act 2006</w:t>
      </w:r>
      <w:r>
        <w:t xml:space="preserve"> s. 3. </w:t>
      </w:r>
      <w:r>
        <w:rPr>
          <w:b/>
        </w:rPr>
        <w:t xml:space="preserve"> </w:t>
      </w:r>
      <w:r>
        <w:t xml:space="preserve">A reference in a written law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3</w:t>
      </w:r>
      <w:r>
        <w:tab/>
        <w:t xml:space="preserve">Now known as the </w:t>
      </w:r>
      <w:r>
        <w:rPr>
          <w:i/>
        </w:rPr>
        <w:t>Fire and Emergency Services (Superannuation Fund) Regulations 1986;</w:t>
      </w:r>
      <w:r>
        <w:t xml:space="preserve"> citation changed (see note under r. 1).</w:t>
      </w:r>
    </w:p>
    <w:p>
      <w:pPr>
        <w:pStyle w:val="nSubsection"/>
        <w:keepNext/>
        <w:keepLines/>
        <w:rPr>
          <w:snapToGrid w:val="0"/>
        </w:rPr>
      </w:pPr>
      <w:r>
        <w:rPr>
          <w:snapToGrid w:val="0"/>
          <w:vertAlign w:val="superscript"/>
        </w:rPr>
        <w:t>4</w:t>
      </w:r>
      <w:r>
        <w:rPr>
          <w:snapToGrid w:val="0"/>
        </w:rPr>
        <w:tab/>
        <w:t xml:space="preserve">The </w:t>
      </w:r>
      <w:bookmarkStart w:id="180" w:name="RuleErr_60"/>
      <w:r>
        <w:rPr>
          <w:i/>
          <w:snapToGrid w:val="0"/>
        </w:rPr>
        <w:t>Fire Brigades (Superannuation Fund) Amendment Regulations 1988</w:t>
      </w:r>
      <w:bookmarkEnd w:id="180"/>
      <w:r>
        <w:rPr>
          <w:snapToGrid w:val="0"/>
        </w:rPr>
        <w:t xml:space="preserve"> r. 5 reads as follows:</w:t>
      </w:r>
    </w:p>
    <w:p>
      <w:pPr>
        <w:pStyle w:val="BlankOpen"/>
        <w:rPr>
          <w:snapToGrid w:val="0"/>
        </w:rPr>
      </w:pP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bookmarkStart w:id="181" w:name="RuleErr_61"/>
      <w:r>
        <w:rPr>
          <w:i/>
        </w:rPr>
        <w:t>Public Service Act 1978</w:t>
      </w:r>
      <w:bookmarkEnd w:id="181"/>
      <w:r>
        <w:t>; and</w:t>
      </w:r>
    </w:p>
    <w:p>
      <w:pPr>
        <w:pStyle w:val="nzDefstart"/>
      </w:pPr>
      <w:r>
        <w:rPr>
          <w:b/>
        </w:rPr>
        <w:tab/>
      </w:r>
      <w:r>
        <w:rPr>
          <w:rStyle w:val="CharDefText"/>
        </w:rPr>
        <w:t>Senior Executive Service</w:t>
      </w:r>
      <w:r>
        <w:t xml:space="preserve"> means the Senior Executive Service within the meaning of the </w:t>
      </w:r>
      <w:bookmarkStart w:id="182" w:name="RuleErr_62"/>
      <w:r>
        <w:rPr>
          <w:i/>
        </w:rPr>
        <w:t>Public Service Act 1978</w:t>
      </w:r>
      <w:bookmarkEnd w:id="182"/>
      <w:r>
        <w:t>.</w:t>
      </w:r>
    </w:p>
    <w:p>
      <w:pPr>
        <w:pStyle w:val="nzDefstart"/>
        <w:sectPr>
          <w:headerReference w:type="even" r:id="rId72"/>
          <w:headerReference w:type="default" r:id="rId73"/>
          <w:headerReference w:type="first" r:id="rId74"/>
          <w:pgSz w:w="11906" w:h="16838" w:code="9"/>
          <w:pgMar w:top="2381" w:right="2409" w:bottom="3543" w:left="2409" w:header="720" w:footer="3380" w:gutter="0"/>
          <w:cols w:space="720"/>
          <w:noEndnote/>
          <w:docGrid w:linePitch="326"/>
        </w:sectPr>
      </w:pPr>
    </w:p>
    <w:p>
      <w:pPr>
        <w:pStyle w:val="nHeading2"/>
        <w:rPr>
          <w:sz w:val="28"/>
        </w:rPr>
      </w:pPr>
      <w:bookmarkStart w:id="183" w:name="_Toc388519339"/>
      <w:r>
        <w:rPr>
          <w:sz w:val="28"/>
        </w:rPr>
        <w:t>Defined terms</w:t>
      </w:r>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 w:name="DefinedTerms"/>
      <w:bookmarkEnd w:id="184"/>
      <w:r>
        <w:t>accumulation account</w:t>
      </w:r>
      <w:r>
        <w:tab/>
        <w:t>3(1)</w:t>
      </w:r>
    </w:p>
    <w:p>
      <w:pPr>
        <w:pStyle w:val="DefinedTerms"/>
      </w:pPr>
      <w:r>
        <w:t>actuarial amount</w:t>
      </w:r>
      <w:r>
        <w:tab/>
        <w:t>16(1)</w:t>
      </w:r>
    </w:p>
    <w:p>
      <w:pPr>
        <w:pStyle w:val="DefinedTerms"/>
      </w:pPr>
      <w:r>
        <w:t>actuarial report</w:t>
      </w:r>
      <w:r>
        <w:tab/>
        <w:t>3(1)</w:t>
      </w:r>
    </w:p>
    <w:p>
      <w:pPr>
        <w:pStyle w:val="DefinedTerms"/>
      </w:pPr>
      <w:r>
        <w:t>amount commuted</w:t>
      </w:r>
      <w:r>
        <w:tab/>
        <w:t>22(1)</w:t>
      </w:r>
    </w:p>
    <w:p>
      <w:pPr>
        <w:pStyle w:val="DefinedTerms"/>
      </w:pPr>
      <w:r>
        <w:t>associated employee</w:t>
      </w:r>
      <w:r>
        <w:tab/>
        <w:t>12(4)</w:t>
      </w:r>
    </w:p>
    <w:p>
      <w:pPr>
        <w:pStyle w:val="DefinedTerms"/>
      </w:pPr>
      <w:r>
        <w:t>benefit</w:t>
      </w:r>
      <w:r>
        <w:tab/>
        <w:t>24</w:t>
      </w:r>
    </w:p>
    <w:p>
      <w:pPr>
        <w:pStyle w:val="DefinedTerms"/>
      </w:pPr>
      <w:r>
        <w:t>Category A member</w:t>
      </w:r>
      <w:r>
        <w:tab/>
        <w:t>3(1)</w:t>
      </w:r>
    </w:p>
    <w:p>
      <w:pPr>
        <w:pStyle w:val="DefinedTerms"/>
      </w:pPr>
      <w:r>
        <w:t>Category B member</w:t>
      </w:r>
      <w:r>
        <w:tab/>
        <w:t>3(1)</w:t>
      </w:r>
    </w:p>
    <w:p>
      <w:pPr>
        <w:pStyle w:val="DefinedTerms"/>
      </w:pPr>
      <w:r>
        <w:t>Category C member</w:t>
      </w:r>
      <w:r>
        <w:tab/>
        <w:t>3(1)</w:t>
      </w:r>
    </w:p>
    <w:p>
      <w:pPr>
        <w:pStyle w:val="DefinedTerms"/>
      </w:pPr>
      <w:r>
        <w:t>child</w:t>
      </w:r>
      <w:r>
        <w:tab/>
        <w:t>9(1)</w:t>
      </w:r>
    </w:p>
    <w:p>
      <w:pPr>
        <w:pStyle w:val="DefinedTerms"/>
      </w:pPr>
      <w:r>
        <w:t>complying superannuation fund</w:t>
      </w:r>
      <w:r>
        <w:tab/>
        <w:t>3(1), 21B(5)</w:t>
      </w:r>
    </w:p>
    <w:p>
      <w:pPr>
        <w:pStyle w:val="DefinedTerms"/>
      </w:pPr>
      <w:r>
        <w:t>complying superannuation scheme</w:t>
      </w:r>
      <w:r>
        <w:tab/>
        <w:t>3(1)</w:t>
      </w:r>
    </w:p>
    <w:p>
      <w:pPr>
        <w:pStyle w:val="DefinedTerms"/>
      </w:pPr>
      <w:r>
        <w:t>death benefit</w:t>
      </w:r>
      <w:r>
        <w:tab/>
        <w:t>3(1)</w:t>
      </w:r>
    </w:p>
    <w:p>
      <w:pPr>
        <w:pStyle w:val="DefinedTerms"/>
      </w:pPr>
      <w:r>
        <w:t>earnings rate</w:t>
      </w:r>
      <w:r>
        <w:tab/>
        <w:t>3(1)</w:t>
      </w:r>
    </w:p>
    <w:p>
      <w:pPr>
        <w:pStyle w:val="DefinedTerms"/>
      </w:pPr>
      <w:r>
        <w:t>effect</w:t>
      </w:r>
      <w:r>
        <w:tab/>
        <w:t>42(4)</w:t>
      </w:r>
    </w:p>
    <w:p>
      <w:pPr>
        <w:pStyle w:val="DefinedTerms"/>
      </w:pPr>
      <w:r>
        <w:t>election day</w:t>
      </w:r>
      <w:r>
        <w:tab/>
        <w:t>14A(4)</w:t>
      </w:r>
    </w:p>
    <w:p>
      <w:pPr>
        <w:pStyle w:val="DefinedTerms"/>
      </w:pPr>
      <w:r>
        <w:t>employer</w:t>
      </w:r>
      <w:r>
        <w:tab/>
        <w:t>3(1), 16(1)</w:t>
      </w:r>
    </w:p>
    <w:p>
      <w:pPr>
        <w:pStyle w:val="DefinedTerms"/>
      </w:pPr>
      <w:r>
        <w:t>employment</w:t>
      </w:r>
      <w:r>
        <w:tab/>
        <w:t>12(4)</w:t>
      </w:r>
    </w:p>
    <w:p>
      <w:pPr>
        <w:pStyle w:val="DefinedTerms"/>
      </w:pPr>
      <w:r>
        <w:t>GES member</w:t>
      </w:r>
      <w:r>
        <w:tab/>
        <w:t>11(6)</w:t>
      </w:r>
    </w:p>
    <w:p>
      <w:pPr>
        <w:pStyle w:val="DefinedTerms"/>
      </w:pPr>
      <w:r>
        <w:t>highest rank</w:t>
      </w:r>
      <w:r>
        <w:tab/>
        <w:t>41A(1)</w:t>
      </w:r>
    </w:p>
    <w:p>
      <w:pPr>
        <w:pStyle w:val="DefinedTerms"/>
      </w:pPr>
      <w:r>
        <w:t>highest rank salary</w:t>
      </w:r>
      <w:r>
        <w:tab/>
        <w:t>41A(1)</w:t>
      </w:r>
    </w:p>
    <w:p>
      <w:pPr>
        <w:pStyle w:val="DefinedTerms"/>
      </w:pPr>
      <w:r>
        <w:t>instalment benefit</w:t>
      </w:r>
      <w:r>
        <w:tab/>
        <w:t>3(1)</w:t>
      </w:r>
    </w:p>
    <w:p>
      <w:pPr>
        <w:pStyle w:val="DefinedTerms"/>
      </w:pPr>
      <w:r>
        <w:t>insurance</w:t>
      </w:r>
      <w:r>
        <w:tab/>
        <w:t>16D(3)</w:t>
      </w:r>
    </w:p>
    <w:p>
      <w:pPr>
        <w:pStyle w:val="DefinedTerms"/>
      </w:pPr>
      <w:r>
        <w:t>last election</w:t>
      </w:r>
      <w:r>
        <w:tab/>
        <w:t>23C(3)</w:t>
      </w:r>
    </w:p>
    <w:p>
      <w:pPr>
        <w:pStyle w:val="DefinedTerms"/>
      </w:pPr>
      <w:r>
        <w:t>maximum benefit</w:t>
      </w:r>
      <w:r>
        <w:tab/>
        <w:t>3(1)</w:t>
      </w:r>
    </w:p>
    <w:p>
      <w:pPr>
        <w:pStyle w:val="DefinedTerms"/>
      </w:pPr>
      <w:r>
        <w:t>maximum percentage</w:t>
      </w:r>
      <w:r>
        <w:tab/>
        <w:t>3(1)</w:t>
      </w:r>
    </w:p>
    <w:p>
      <w:pPr>
        <w:pStyle w:val="DefinedTerms"/>
      </w:pPr>
      <w:r>
        <w:t>member</w:t>
      </w:r>
      <w:r>
        <w:tab/>
        <w:t>3(1)</w:t>
      </w:r>
    </w:p>
    <w:p>
      <w:pPr>
        <w:pStyle w:val="DefinedTerms"/>
      </w:pPr>
      <w:r>
        <w:t>member’s notional benefit</w:t>
      </w:r>
      <w:r>
        <w:tab/>
        <w:t>14(1)(b)</w:t>
      </w:r>
    </w:p>
    <w:p>
      <w:pPr>
        <w:pStyle w:val="DefinedTerms"/>
      </w:pPr>
      <w:r>
        <w:t>member’s notional defined benefit</w:t>
      </w:r>
      <w:r>
        <w:tab/>
        <w:t>14A(4)</w:t>
      </w:r>
    </w:p>
    <w:p>
      <w:pPr>
        <w:pStyle w:val="DefinedTerms"/>
      </w:pPr>
      <w:r>
        <w:t>nominator</w:t>
      </w:r>
      <w:r>
        <w:tab/>
        <w:t>12C(1)</w:t>
      </w:r>
    </w:p>
    <w:p>
      <w:pPr>
        <w:pStyle w:val="DefinedTerms"/>
      </w:pPr>
      <w:r>
        <w:t>non</w:t>
      </w:r>
      <w:r>
        <w:noBreakHyphen/>
        <w:t>C member</w:t>
      </w:r>
      <w:r>
        <w:tab/>
        <w:t>3(1)</w:t>
      </w:r>
    </w:p>
    <w:p>
      <w:pPr>
        <w:pStyle w:val="DefinedTerms"/>
      </w:pPr>
      <w:r>
        <w:t>normal rate of remuneration</w:t>
      </w:r>
      <w:r>
        <w:tab/>
        <w:t>7(1)</w:t>
      </w:r>
    </w:p>
    <w:p>
      <w:pPr>
        <w:pStyle w:val="DefinedTerms"/>
      </w:pPr>
      <w:r>
        <w:t>original rate</w:t>
      </w:r>
      <w:r>
        <w:tab/>
        <w:t>7(3)</w:t>
      </w:r>
    </w:p>
    <w:p>
      <w:pPr>
        <w:pStyle w:val="DefinedTerms"/>
      </w:pPr>
      <w:r>
        <w:t>original salary</w:t>
      </w:r>
      <w:r>
        <w:tab/>
        <w:t>7(3a)</w:t>
      </w:r>
    </w:p>
    <w:p>
      <w:pPr>
        <w:pStyle w:val="DefinedTerms"/>
      </w:pPr>
      <w:r>
        <w:t>partial and permanent disablement benefit</w:t>
      </w:r>
      <w:r>
        <w:tab/>
        <w:t>3(1)</w:t>
      </w:r>
    </w:p>
    <w:p>
      <w:pPr>
        <w:pStyle w:val="DefinedTerms"/>
      </w:pPr>
      <w:r>
        <w:t>partner</w:t>
      </w:r>
      <w:r>
        <w:tab/>
        <w:t>3(1)</w:t>
      </w:r>
    </w:p>
    <w:p>
      <w:pPr>
        <w:pStyle w:val="DefinedTerms"/>
      </w:pPr>
      <w:r>
        <w:t>prescribed member</w:t>
      </w:r>
      <w:r>
        <w:tab/>
        <w:t>41(1), 41A(1)</w:t>
      </w:r>
    </w:p>
    <w:p>
      <w:pPr>
        <w:pStyle w:val="DefinedTerms"/>
      </w:pPr>
      <w:r>
        <w:t>preservation age</w:t>
      </w:r>
      <w:r>
        <w:tab/>
        <w:t>3(1)</w:t>
      </w:r>
    </w:p>
    <w:p>
      <w:pPr>
        <w:pStyle w:val="DefinedTerms"/>
      </w:pPr>
      <w:r>
        <w:t>previous superannuation fund</w:t>
      </w:r>
      <w:r>
        <w:tab/>
        <w:t>3(1)</w:t>
      </w:r>
    </w:p>
    <w:p>
      <w:pPr>
        <w:pStyle w:val="DefinedTerms"/>
      </w:pPr>
      <w:r>
        <w:t>relevant date</w:t>
      </w:r>
      <w:r>
        <w:tab/>
        <w:t>8(1)</w:t>
      </w:r>
    </w:p>
    <w:p>
      <w:pPr>
        <w:pStyle w:val="DefinedTerms"/>
      </w:pPr>
      <w:r>
        <w:t>relevant month</w:t>
      </w:r>
      <w:r>
        <w:tab/>
        <w:t>3(1)</w:t>
      </w:r>
    </w:p>
    <w:p>
      <w:pPr>
        <w:pStyle w:val="DefinedTerms"/>
      </w:pPr>
      <w:r>
        <w:t>relevant percentage</w:t>
      </w:r>
      <w:r>
        <w:tab/>
        <w:t>41A(1)</w:t>
      </w:r>
    </w:p>
    <w:p>
      <w:pPr>
        <w:pStyle w:val="DefinedTerms"/>
      </w:pPr>
      <w:r>
        <w:t>salary day</w:t>
      </w:r>
      <w:r>
        <w:tab/>
        <w:t>16(1), 40(5)</w:t>
      </w:r>
    </w:p>
    <w:p>
      <w:pPr>
        <w:pStyle w:val="DefinedTerms"/>
      </w:pPr>
      <w:r>
        <w:t>satisfactory alternative employment</w:t>
      </w:r>
      <w:r>
        <w:tab/>
        <w:t>23B(10)</w:t>
      </w:r>
    </w:p>
    <w:p>
      <w:pPr>
        <w:pStyle w:val="DefinedTerms"/>
      </w:pPr>
      <w:r>
        <w:t>service percentage</w:t>
      </w:r>
      <w:r>
        <w:tab/>
        <w:t>41(2)</w:t>
      </w:r>
    </w:p>
    <w:p>
      <w:pPr>
        <w:pStyle w:val="DefinedTerms"/>
      </w:pPr>
      <w:r>
        <w:t>SIS Act</w:t>
      </w:r>
      <w:r>
        <w:tab/>
        <w:t>3(1)</w:t>
      </w:r>
    </w:p>
    <w:p>
      <w:pPr>
        <w:pStyle w:val="DefinedTerms"/>
      </w:pPr>
      <w:r>
        <w:t>SIS Regulations</w:t>
      </w:r>
      <w:r>
        <w:tab/>
        <w:t>3(1)</w:t>
      </w:r>
    </w:p>
    <w:p>
      <w:pPr>
        <w:pStyle w:val="DefinedTerms"/>
      </w:pPr>
      <w:r>
        <w:t>SIS standards</w:t>
      </w:r>
      <w:r>
        <w:tab/>
        <w:t>3(1)</w:t>
      </w:r>
    </w:p>
    <w:p>
      <w:pPr>
        <w:pStyle w:val="DefinedTerms"/>
      </w:pPr>
      <w:r>
        <w:t>splittable contribution</w:t>
      </w:r>
      <w:r>
        <w:tab/>
        <w:t>3(1)</w:t>
      </w:r>
    </w:p>
    <w:p>
      <w:pPr>
        <w:pStyle w:val="DefinedTerms"/>
      </w:pPr>
      <w:r>
        <w:t>Superannuation Guarantee Charge</w:t>
      </w:r>
      <w:r>
        <w:tab/>
        <w:t>3(1)</w:t>
      </w:r>
    </w:p>
    <w:p>
      <w:pPr>
        <w:pStyle w:val="DefinedTerms"/>
      </w:pPr>
      <w:r>
        <w:t>supplementary disablement benefit</w:t>
      </w:r>
      <w:r>
        <w:tab/>
        <w:t>3(1)</w:t>
      </w:r>
    </w:p>
    <w:p>
      <w:pPr>
        <w:pStyle w:val="DefinedTerms"/>
      </w:pPr>
      <w:r>
        <w:t>temporary or casual employee</w:t>
      </w:r>
      <w:r>
        <w:tab/>
        <w:t>3(1), 12A(3)</w:t>
      </w:r>
    </w:p>
    <w:p>
      <w:pPr>
        <w:pStyle w:val="DefinedTerms"/>
      </w:pPr>
      <w:r>
        <w:t>trustee corporation</w:t>
      </w:r>
      <w:r>
        <w:tab/>
        <w:t>25(5)</w:t>
      </w:r>
    </w:p>
    <w:p/>
    <w:p/>
    <w:p>
      <w:pPr>
        <w:sectPr>
          <w:headerReference w:type="even" r:id="rId75"/>
          <w:headerReference w:type="default" r:id="rId76"/>
          <w:headerReference w:type="first" r:id="rId77"/>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pPr>
        </w:p>
      </w:tc>
    </w:tr>
  </w:tbl>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Fire and Emergency Services (Superannuation Fund) Regulations 1986</w:t>
          </w:r>
          <w:r>
            <w:rPr>
              <w:rFonts w:ascii="Arial" w:hAnsi="Arial"/>
              <w:b/>
              <w:i/>
              <w:noProof/>
              <w:sz w:val="20"/>
            </w:rPr>
            <w:fldChar w:fldCharType="end"/>
          </w:r>
        </w:p>
      </w:tc>
    </w:tr>
    <w:tr>
      <w:tc>
        <w:tcPr>
          <w:tcW w:w="5760" w:type="dxa"/>
        </w:tcPr>
        <w:p>
          <w:pPr>
            <w:spacing w:before="40"/>
            <w:jc w:val="right"/>
            <w:rPr>
              <w:rFonts w:ascii="Arial" w:hAnsi="Arial"/>
              <w:sz w:val="20"/>
            </w:rPr>
          </w:pPr>
        </w:p>
      </w:tc>
      <w:tc>
        <w:tcPr>
          <w:tcW w:w="1400" w:type="dxa"/>
        </w:tcPr>
        <w:p>
          <w:pPr>
            <w:spacing w:before="40"/>
            <w:jc w:val="right"/>
            <w:rPr>
              <w:rFonts w:ascii="Arial" w:hAnsi="Arial"/>
              <w:b/>
              <w:sz w:val="20"/>
            </w:rPr>
          </w:pPr>
        </w:p>
      </w:tc>
    </w:tr>
    <w:tr>
      <w:tc>
        <w:tcPr>
          <w:tcW w:w="5760" w:type="dxa"/>
        </w:tcPr>
        <w:p>
          <w:pPr>
            <w:spacing w:before="40"/>
            <w:jc w:val="right"/>
            <w:rPr>
              <w:rFonts w:ascii="Arial" w:hAnsi="Arial"/>
              <w:sz w:val="20"/>
            </w:rPr>
          </w:pPr>
        </w:p>
      </w:tc>
      <w:tc>
        <w:tcPr>
          <w:tcW w:w="1400" w:type="dxa"/>
        </w:tcPr>
        <w:p>
          <w:pPr>
            <w:spacing w:before="40"/>
            <w:jc w:val="right"/>
            <w:rPr>
              <w:rFonts w:ascii="Arial" w:hAnsi="Arial"/>
              <w:b/>
              <w:sz w:val="20"/>
            </w:rPr>
          </w:pPr>
        </w:p>
      </w:tc>
    </w:tr>
    <w:tr>
      <w:trPr>
        <w:cantSplit/>
      </w:trPr>
      <w:tc>
        <w:tcPr>
          <w:tcW w:w="7160" w:type="dxa"/>
          <w:gridSpan w:val="2"/>
          <w:tcBorders>
            <w:bottom w:val="single" w:sz="4" w:space="0" w:color="auto"/>
          </w:tcBorders>
        </w:tcPr>
        <w:p>
          <w:pPr>
            <w:spacing w:before="120"/>
            <w:jc w:val="right"/>
            <w:rPr>
              <w:rFonts w:ascii="Arial" w:hAnsi="Arial"/>
              <w:b/>
              <w:sz w:val="20"/>
            </w:rPr>
          </w:pPr>
          <w:r>
            <w:rPr>
              <w:rFonts w:ascii="Arial" w:hAnsi="Arial"/>
              <w:b/>
              <w:sz w:val="20"/>
            </w:rPr>
            <w:t>Defined terms</w:t>
          </w:r>
        </w:p>
      </w:tc>
    </w:tr>
  </w:tbl>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536"/>
    <w:docVar w:name="WAFER_20140115112951" w:val="RemoveTocBookmarks,RemoveUnusedBookmarks,RemoveLanguageTags,UsedStyles,ResetPageSize,UpdateArrangement"/>
    <w:docVar w:name="WAFER_20140115112951_GUID" w:val="05986fc4-903c-46f2-94f2-1dde124e9f7d"/>
    <w:docVar w:name="WAFER_20140115113423" w:val="RemoveTocBookmarks,RunningHeaders"/>
    <w:docVar w:name="WAFER_20140115113423_GUID" w:val="ba2e61ff-31cb-4cec-aaa5-dfac78aa853a"/>
    <w:docVar w:name="WAFER_20140328095235" w:val="RemoveTocBookmarks,RemoveLanguageTags,RemoveTrackChanges,RunningHeaders"/>
    <w:docVar w:name="WAFER_20140328095235_GUID" w:val="85733009-479a-4efd-b7d7-7cb99b30009a"/>
    <w:docVar w:name="WAFER_20140328095259" w:val="RemoveTocBookmarks,RemoveLanguageTags,RemoveTrackChanges,RunningHeaders"/>
    <w:docVar w:name="WAFER_20140328095259_GUID" w:val="b2e79336-2855-4ebc-9bae-39699b04eef5"/>
    <w:docVar w:name="WAFER_20140522104536" w:val="RemoveTocBookmarks,RemoveUnusedBookmarks,RemoveLanguageTags,UsedStyles,ResetPageSize"/>
    <w:docVar w:name="WAFER_20140522104536_GUID" w:val="05eb9456-d3d5-4263-9e17-40e6aebd4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image" Target="media/image6.wmf"/><Relationship Id="rId21" Type="http://schemas.openxmlformats.org/officeDocument/2006/relationships/footer" Target="footer5.xml"/><Relationship Id="rId34" Type="http://schemas.openxmlformats.org/officeDocument/2006/relationships/oleObject" Target="embeddings/oleObject3.bin"/><Relationship Id="rId42" Type="http://schemas.openxmlformats.org/officeDocument/2006/relationships/oleObject" Target="embeddings/oleObject5.bin"/><Relationship Id="rId47" Type="http://schemas.openxmlformats.org/officeDocument/2006/relationships/image" Target="media/image10.wmf"/><Relationship Id="rId50" Type="http://schemas.openxmlformats.org/officeDocument/2006/relationships/oleObject" Target="embeddings/oleObject9.bin"/><Relationship Id="rId55" Type="http://schemas.openxmlformats.org/officeDocument/2006/relationships/image" Target="media/image14.wmf"/><Relationship Id="rId63" Type="http://schemas.openxmlformats.org/officeDocument/2006/relationships/image" Target="media/image18.wmf"/><Relationship Id="rId68" Type="http://schemas.openxmlformats.org/officeDocument/2006/relationships/oleObject" Target="embeddings/oleObject18.bin"/><Relationship Id="rId76" Type="http://schemas.openxmlformats.org/officeDocument/2006/relationships/header" Target="header20.xml"/><Relationship Id="rId7" Type="http://schemas.openxmlformats.org/officeDocument/2006/relationships/footnotes" Target="footnotes.xml"/><Relationship Id="rId71"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9.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oleObject" Target="embeddings/oleObject2.bin"/><Relationship Id="rId37" Type="http://schemas.openxmlformats.org/officeDocument/2006/relationships/header" Target="header12.xml"/><Relationship Id="rId40" Type="http://schemas.openxmlformats.org/officeDocument/2006/relationships/oleObject" Target="embeddings/oleObject4.bin"/><Relationship Id="rId45" Type="http://schemas.openxmlformats.org/officeDocument/2006/relationships/image" Target="media/image9.wmf"/><Relationship Id="rId53" Type="http://schemas.openxmlformats.org/officeDocument/2006/relationships/image" Target="media/image13.wmf"/><Relationship Id="rId58" Type="http://schemas.openxmlformats.org/officeDocument/2006/relationships/oleObject" Target="embeddings/oleObject13.bin"/><Relationship Id="rId66" Type="http://schemas.openxmlformats.org/officeDocument/2006/relationships/oleObject" Target="embeddings/oleObject17.bin"/><Relationship Id="rId74" Type="http://schemas.openxmlformats.org/officeDocument/2006/relationships/header" Target="header18.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17.wmf"/><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wmf"/><Relationship Id="rId44" Type="http://schemas.openxmlformats.org/officeDocument/2006/relationships/oleObject" Target="embeddings/oleObject6.bin"/><Relationship Id="rId52" Type="http://schemas.openxmlformats.org/officeDocument/2006/relationships/oleObject" Target="embeddings/oleObject10.bin"/><Relationship Id="rId60" Type="http://schemas.openxmlformats.org/officeDocument/2006/relationships/oleObject" Target="embeddings/oleObject14.bin"/><Relationship Id="rId65" Type="http://schemas.openxmlformats.org/officeDocument/2006/relationships/image" Target="media/image19.wmf"/><Relationship Id="rId73" Type="http://schemas.openxmlformats.org/officeDocument/2006/relationships/header" Target="header17.xm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0.xml"/><Relationship Id="rId43" Type="http://schemas.openxmlformats.org/officeDocument/2006/relationships/image" Target="media/image8.wmf"/><Relationship Id="rId48" Type="http://schemas.openxmlformats.org/officeDocument/2006/relationships/oleObject" Target="embeddings/oleObject8.bin"/><Relationship Id="rId56" Type="http://schemas.openxmlformats.org/officeDocument/2006/relationships/oleObject" Target="embeddings/oleObject12.bin"/><Relationship Id="rId64" Type="http://schemas.openxmlformats.org/officeDocument/2006/relationships/oleObject" Target="embeddings/oleObject16.bin"/><Relationship Id="rId69" Type="http://schemas.openxmlformats.org/officeDocument/2006/relationships/image" Target="media/image21.png"/><Relationship Id="rId77" Type="http://schemas.openxmlformats.org/officeDocument/2006/relationships/header" Target="header21.xml"/><Relationship Id="rId8" Type="http://schemas.openxmlformats.org/officeDocument/2006/relationships/endnotes" Target="endnotes.xml"/><Relationship Id="rId51" Type="http://schemas.openxmlformats.org/officeDocument/2006/relationships/image" Target="media/image12.wmf"/><Relationship Id="rId72" Type="http://schemas.openxmlformats.org/officeDocument/2006/relationships/header" Target="header16.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5.wmf"/><Relationship Id="rId38" Type="http://schemas.openxmlformats.org/officeDocument/2006/relationships/header" Target="header13.xml"/><Relationship Id="rId46" Type="http://schemas.openxmlformats.org/officeDocument/2006/relationships/oleObject" Target="embeddings/oleObject7.bin"/><Relationship Id="rId59" Type="http://schemas.openxmlformats.org/officeDocument/2006/relationships/image" Target="media/image16.wmf"/><Relationship Id="rId67" Type="http://schemas.openxmlformats.org/officeDocument/2006/relationships/image" Target="media/image20.wmf"/><Relationship Id="rId20" Type="http://schemas.openxmlformats.org/officeDocument/2006/relationships/footer" Target="footer4.xml"/><Relationship Id="rId41" Type="http://schemas.openxmlformats.org/officeDocument/2006/relationships/image" Target="media/image7.wmf"/><Relationship Id="rId54" Type="http://schemas.openxmlformats.org/officeDocument/2006/relationships/oleObject" Target="embeddings/oleObject11.bin"/><Relationship Id="rId62" Type="http://schemas.openxmlformats.org/officeDocument/2006/relationships/oleObject" Target="embeddings/oleObject15.bin"/><Relationship Id="rId70" Type="http://schemas.openxmlformats.org/officeDocument/2006/relationships/header" Target="header14.xml"/><Relationship Id="rId75"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1.xml"/><Relationship Id="rId49" Type="http://schemas.openxmlformats.org/officeDocument/2006/relationships/image" Target="media/image11.wmf"/><Relationship Id="rId57" Type="http://schemas.openxmlformats.org/officeDocument/2006/relationships/image" Target="media/image1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6AAD0-6D41-45C7-B528-A96EC0B85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23038</Words>
  <Characters>113118</Characters>
  <Application>Microsoft Office Word</Application>
  <DocSecurity>0</DocSecurity>
  <Lines>3142</Lines>
  <Paragraphs>1583</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134573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1986 - 04-a0-01</dc:title>
  <dc:subject/>
  <dc:creator/>
  <cp:keywords/>
  <dc:description/>
  <cp:lastModifiedBy>svcMRProcess</cp:lastModifiedBy>
  <cp:revision>4</cp:revision>
  <cp:lastPrinted>2014-04-22T03:55:00Z</cp:lastPrinted>
  <dcterms:created xsi:type="dcterms:W3CDTF">2020-02-20T09:09:00Z</dcterms:created>
  <dcterms:modified xsi:type="dcterms:W3CDTF">2020-02-20T09:09:00Z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4444</vt:i4>
  </property>
  <property fmtid="{D5CDD505-2E9C-101B-9397-08002B2CF9AE}" pid="6" name="AsAtDate">
    <vt:lpwstr>02 May 2014</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2014-05-01T16:00:00Z</vt:filetime>
  </property>
</Properties>
</file>