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Rates and Charges (Rebates and Deferments) Act 1992</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regulations as at </w:t>
      </w:r>
      <w:r>
        <w:fldChar w:fldCharType="begin"/>
      </w:r>
      <w:r>
        <w:instrText xml:space="preserve"> DOCPROPERTY "ReprintedAsAt" \@ "d MMMM yyyy" </w:instrText>
      </w:r>
      <w:r>
        <w:fldChar w:fldCharType="separate"/>
      </w:r>
      <w:r>
        <w:t>2 May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709"/>
    <w:bookmarkStart w:id="2" w:name="_MON_1149402366"/>
    <w:bookmarkEnd w:id="1"/>
    <w:bookmarkEnd w:id="2"/>
    <w:bookmarkStart w:id="3" w:name="_MON_1148802185"/>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914625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_Toc384200222 \h </w:instrText>
      </w:r>
      <w:r>
        <w:fldChar w:fldCharType="separate"/>
      </w:r>
      <w:r>
        <w:t>1</w:t>
      </w:r>
      <w:r>
        <w:fldChar w:fldCharType="end"/>
      </w:r>
    </w:p>
    <w:p>
      <w:pPr>
        <w:pStyle w:val="TOC8"/>
        <w:rPr>
          <w:rFonts w:asciiTheme="minorHAnsi" w:eastAsiaTheme="minorEastAsia" w:hAnsiTheme="minorHAnsi" w:cstheme="minorBidi"/>
          <w:szCs w:val="22"/>
        </w:rPr>
      </w:pPr>
      <w:r>
        <w:t>2.</w:t>
      </w:r>
      <w:r>
        <w:tab/>
        <w:t>Annual water supply charges of Bunbury and Busselton Water Corporations</w:t>
      </w:r>
      <w:r>
        <w:tab/>
      </w:r>
      <w:r>
        <w:fldChar w:fldCharType="begin"/>
      </w:r>
      <w:r>
        <w:instrText xml:space="preserve"> PAGEREF _Toc384200223 \h </w:instrText>
      </w:r>
      <w:r>
        <w:fldChar w:fldCharType="separate"/>
      </w:r>
      <w:r>
        <w:t>1</w:t>
      </w:r>
      <w:r>
        <w:fldChar w:fldCharType="end"/>
      </w:r>
    </w:p>
    <w:p>
      <w:pPr>
        <w:pStyle w:val="TOC8"/>
        <w:rPr>
          <w:rFonts w:asciiTheme="minorHAnsi" w:eastAsiaTheme="minorEastAsia" w:hAnsiTheme="minorHAnsi" w:cstheme="minorBidi"/>
          <w:szCs w:val="22"/>
        </w:rPr>
      </w:pPr>
      <w:r>
        <w:t>3.</w:t>
      </w:r>
      <w:r>
        <w:tab/>
        <w:t>Maximum limit for rebate</w:t>
      </w:r>
      <w:r>
        <w:tab/>
      </w:r>
      <w:r>
        <w:fldChar w:fldCharType="begin"/>
      </w:r>
      <w:r>
        <w:instrText xml:space="preserve"> PAGEREF _Toc384200224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_Toc384200226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720"/>
      </w:pPr>
      <w:r>
        <w:t>Rates and Charges (Rebates and Deferments) Regulations 1992</w:t>
      </w:r>
    </w:p>
    <w:p>
      <w:pPr>
        <w:pStyle w:val="Heading5"/>
        <w:spacing w:before="260"/>
        <w:rPr>
          <w:snapToGrid w:val="0"/>
        </w:rPr>
      </w:pPr>
      <w:bookmarkStart w:id="4" w:name="_Toc384200222"/>
      <w:r>
        <w:rPr>
          <w:rStyle w:val="CharSectno"/>
        </w:rPr>
        <w:t>1</w:t>
      </w:r>
      <w:r>
        <w:rPr>
          <w:snapToGrid w:val="0"/>
        </w:rPr>
        <w:t>.</w:t>
      </w:r>
      <w:r>
        <w:rPr>
          <w:snapToGrid w:val="0"/>
        </w:rPr>
        <w:tab/>
        <w:t>Citation</w:t>
      </w:r>
      <w:bookmarkEnd w:id="4"/>
    </w:p>
    <w:p>
      <w:pPr>
        <w:pStyle w:val="Subsection"/>
        <w:spacing w:before="180"/>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40"/>
      </w:pPr>
      <w:bookmarkStart w:id="5" w:name="_Toc384200223"/>
      <w:r>
        <w:rPr>
          <w:rStyle w:val="CharSectno"/>
        </w:rPr>
        <w:t>2</w:t>
      </w:r>
      <w:r>
        <w:t>.</w:t>
      </w:r>
      <w:r>
        <w:tab/>
        <w:t>Annual water supply charges of Bunbury and Busselton Water Corporations</w:t>
      </w:r>
      <w:bookmarkEnd w:id="5"/>
    </w:p>
    <w:p>
      <w:pPr>
        <w:pStyle w:val="Subsection"/>
        <w:spacing w:before="180"/>
      </w:pPr>
      <w:r>
        <w:tab/>
      </w:r>
      <w:r>
        <w:tab/>
        <w:t xml:space="preserve">A charge under the </w:t>
      </w:r>
      <w:r>
        <w:rPr>
          <w:i/>
        </w:rPr>
        <w:t>Water Services (Water Corporations Charges) Regulations 2013</w:t>
      </w:r>
      <w:r>
        <w:t xml:space="preserve"> Part 3 or 4 for the provision of a water supply service, other than a quality/quantity charge, is prescribed for the purposes of paragraph (d) of the definition of </w:t>
      </w:r>
      <w:r>
        <w:rPr>
          <w:b/>
          <w:i/>
        </w:rPr>
        <w:t>prescribed charge</w:t>
      </w:r>
      <w:r>
        <w:t xml:space="preserve"> in section 3(1) of the Act.</w:t>
      </w:r>
    </w:p>
    <w:p>
      <w:pPr>
        <w:pStyle w:val="Footnotesection"/>
        <w:ind w:left="890" w:hanging="890"/>
      </w:pPr>
      <w:r>
        <w:tab/>
        <w:t>[Regulation 2 inserted in Gazette 14 Nov 2013 p. 5061</w:t>
      </w:r>
      <w:r>
        <w:noBreakHyphen/>
        <w:t>2.]</w:t>
      </w:r>
    </w:p>
    <w:p>
      <w:pPr>
        <w:pStyle w:val="Heading5"/>
        <w:spacing w:before="240"/>
      </w:pPr>
      <w:bookmarkStart w:id="6" w:name="_Toc384200224"/>
      <w:r>
        <w:rPr>
          <w:rStyle w:val="CharSectno"/>
        </w:rPr>
        <w:t>3</w:t>
      </w:r>
      <w:r>
        <w:t>.</w:t>
      </w:r>
      <w:r>
        <w:tab/>
        <w:t>Maximum limit for rebate</w:t>
      </w:r>
      <w:bookmarkEnd w:id="6"/>
    </w:p>
    <w:p>
      <w:pPr>
        <w:pStyle w:val="Subsection"/>
        <w:spacing w:before="180"/>
      </w:pPr>
      <w:r>
        <w:tab/>
      </w:r>
      <w:r>
        <w:tab/>
        <w:t>The limit on the amount of rebate that an eligible senior is to be allowed for a type of prescribed charge referred to in section 40(9)(a) and (c) of the Act is the amount set in the following Table for a charge of that type for the rating year during which the service to which the charge relates was provided.</w:t>
      </w:r>
    </w:p>
    <w:tbl>
      <w:tblPr>
        <w:tblStyle w:val="TableGrid"/>
        <w:tblW w:w="4756" w:type="pct"/>
        <w:tblInd w:w="250" w:type="dxa"/>
        <w:tblBorders>
          <w:left w:val="none" w:sz="0" w:space="0" w:color="auto"/>
          <w:right w:val="none" w:sz="0" w:space="0" w:color="auto"/>
        </w:tblBorders>
        <w:tblLook w:val="01E0" w:firstRow="1" w:lastRow="1" w:firstColumn="1" w:lastColumn="1" w:noHBand="0" w:noVBand="0"/>
      </w:tblPr>
      <w:tblGrid>
        <w:gridCol w:w="1086"/>
        <w:gridCol w:w="1032"/>
        <w:gridCol w:w="1130"/>
        <w:gridCol w:w="1130"/>
        <w:gridCol w:w="1105"/>
        <w:gridCol w:w="1465"/>
      </w:tblGrid>
      <w:tr>
        <w:trPr>
          <w:tblHeader/>
        </w:trPr>
        <w:tc>
          <w:tcPr>
            <w:tcW w:w="782" w:type="pct"/>
            <w:tcBorders>
              <w:top w:val="single" w:sz="4" w:space="0" w:color="auto"/>
              <w:bottom w:val="nil"/>
              <w:right w:val="nil"/>
            </w:tcBorders>
            <w:vAlign w:val="bottom"/>
          </w:tcPr>
          <w:p>
            <w:pPr>
              <w:pStyle w:val="TableNAm"/>
              <w:keepNext/>
              <w:jc w:val="center"/>
              <w:rPr>
                <w:sz w:val="22"/>
                <w:szCs w:val="22"/>
              </w:rPr>
            </w:pPr>
          </w:p>
        </w:tc>
        <w:tc>
          <w:tcPr>
            <w:tcW w:w="4218" w:type="pct"/>
            <w:gridSpan w:val="5"/>
            <w:tcBorders>
              <w:top w:val="single" w:sz="4" w:space="0" w:color="auto"/>
              <w:left w:val="nil"/>
              <w:bottom w:val="nil"/>
            </w:tcBorders>
            <w:vAlign w:val="bottom"/>
          </w:tcPr>
          <w:p>
            <w:pPr>
              <w:pStyle w:val="TableNAm"/>
              <w:keepNext/>
              <w:jc w:val="center"/>
              <w:rPr>
                <w:sz w:val="22"/>
                <w:szCs w:val="22"/>
              </w:rPr>
            </w:pPr>
            <w:r>
              <w:rPr>
                <w:b/>
                <w:sz w:val="22"/>
                <w:szCs w:val="22"/>
              </w:rPr>
              <w:t>Service to which charge relates</w:t>
            </w:r>
          </w:p>
        </w:tc>
      </w:tr>
      <w:tr>
        <w:trPr>
          <w:tblHeader/>
        </w:trPr>
        <w:tc>
          <w:tcPr>
            <w:tcW w:w="782" w:type="pct"/>
            <w:tcBorders>
              <w:top w:val="nil"/>
              <w:bottom w:val="single" w:sz="4" w:space="0" w:color="auto"/>
              <w:right w:val="nil"/>
            </w:tcBorders>
            <w:vAlign w:val="bottom"/>
          </w:tcPr>
          <w:p>
            <w:pPr>
              <w:pStyle w:val="TableNAm"/>
              <w:keepNext/>
              <w:rPr>
                <w:sz w:val="22"/>
                <w:szCs w:val="22"/>
              </w:rPr>
            </w:pPr>
            <w:r>
              <w:rPr>
                <w:b/>
                <w:sz w:val="22"/>
                <w:szCs w:val="22"/>
              </w:rPr>
              <w:t>Rating year</w:t>
            </w:r>
          </w:p>
        </w:tc>
        <w:tc>
          <w:tcPr>
            <w:tcW w:w="743" w:type="pct"/>
            <w:tcBorders>
              <w:top w:val="nil"/>
              <w:left w:val="nil"/>
              <w:bottom w:val="single" w:sz="4" w:space="0" w:color="auto"/>
              <w:right w:val="nil"/>
            </w:tcBorders>
            <w:vAlign w:val="bottom"/>
          </w:tcPr>
          <w:p>
            <w:pPr>
              <w:pStyle w:val="TableNAm"/>
              <w:keepNext/>
              <w:rPr>
                <w:sz w:val="22"/>
                <w:szCs w:val="22"/>
              </w:rPr>
            </w:pPr>
            <w:r>
              <w:rPr>
                <w:b/>
                <w:sz w:val="22"/>
                <w:szCs w:val="22"/>
              </w:rPr>
              <w:t>water supply</w:t>
            </w:r>
          </w:p>
        </w:tc>
        <w:tc>
          <w:tcPr>
            <w:tcW w:w="813" w:type="pct"/>
            <w:tcBorders>
              <w:top w:val="nil"/>
              <w:left w:val="nil"/>
              <w:bottom w:val="single" w:sz="4" w:space="0" w:color="auto"/>
              <w:right w:val="nil"/>
            </w:tcBorders>
          </w:tcPr>
          <w:p>
            <w:pPr>
              <w:pStyle w:val="TableNAm"/>
              <w:keepNext/>
              <w:rPr>
                <w:sz w:val="22"/>
                <w:szCs w:val="22"/>
              </w:rPr>
            </w:pPr>
            <w:r>
              <w:rPr>
                <w:b/>
                <w:sz w:val="22"/>
                <w:szCs w:val="22"/>
              </w:rPr>
              <w:t>sewerage</w:t>
            </w:r>
          </w:p>
        </w:tc>
        <w:tc>
          <w:tcPr>
            <w:tcW w:w="813" w:type="pct"/>
            <w:tcBorders>
              <w:top w:val="nil"/>
              <w:left w:val="nil"/>
              <w:bottom w:val="single" w:sz="4" w:space="0" w:color="auto"/>
              <w:right w:val="nil"/>
            </w:tcBorders>
          </w:tcPr>
          <w:p>
            <w:pPr>
              <w:pStyle w:val="TableNAm"/>
              <w:keepNext/>
              <w:rPr>
                <w:sz w:val="22"/>
                <w:szCs w:val="22"/>
              </w:rPr>
            </w:pPr>
            <w:r>
              <w:rPr>
                <w:b/>
                <w:sz w:val="22"/>
                <w:szCs w:val="22"/>
              </w:rPr>
              <w:t>drainage</w:t>
            </w:r>
          </w:p>
        </w:tc>
        <w:tc>
          <w:tcPr>
            <w:tcW w:w="795" w:type="pct"/>
            <w:tcBorders>
              <w:top w:val="nil"/>
              <w:left w:val="nil"/>
              <w:bottom w:val="single" w:sz="4" w:space="0" w:color="auto"/>
              <w:right w:val="nil"/>
            </w:tcBorders>
          </w:tcPr>
          <w:p>
            <w:pPr>
              <w:pStyle w:val="TableNAm"/>
              <w:keepNext/>
              <w:rPr>
                <w:sz w:val="22"/>
                <w:szCs w:val="22"/>
              </w:rPr>
            </w:pPr>
            <w:r>
              <w:rPr>
                <w:b/>
                <w:sz w:val="22"/>
                <w:szCs w:val="22"/>
              </w:rPr>
              <w:t>rates</w:t>
            </w:r>
          </w:p>
        </w:tc>
        <w:tc>
          <w:tcPr>
            <w:tcW w:w="1054" w:type="pct"/>
            <w:tcBorders>
              <w:top w:val="nil"/>
              <w:left w:val="nil"/>
              <w:bottom w:val="single" w:sz="4" w:space="0" w:color="auto"/>
            </w:tcBorders>
            <w:vAlign w:val="bottom"/>
          </w:tcPr>
          <w:p>
            <w:pPr>
              <w:pStyle w:val="TableNAm"/>
              <w:keepNext/>
              <w:rPr>
                <w:sz w:val="22"/>
                <w:szCs w:val="22"/>
              </w:rPr>
            </w:pPr>
            <w:r>
              <w:rPr>
                <w:b/>
                <w:sz w:val="22"/>
                <w:szCs w:val="22"/>
              </w:rPr>
              <w:t>underground electricity</w:t>
            </w:r>
          </w:p>
        </w:tc>
      </w:tr>
      <w:tr>
        <w:tc>
          <w:tcPr>
            <w:tcW w:w="782" w:type="pct"/>
            <w:tcBorders>
              <w:top w:val="single" w:sz="4" w:space="0" w:color="auto"/>
              <w:bottom w:val="nil"/>
              <w:right w:val="nil"/>
            </w:tcBorders>
            <w:vAlign w:val="center"/>
          </w:tcPr>
          <w:p>
            <w:pPr>
              <w:pStyle w:val="TableNAm"/>
              <w:rPr>
                <w:sz w:val="22"/>
                <w:szCs w:val="22"/>
              </w:rPr>
            </w:pPr>
            <w:r>
              <w:rPr>
                <w:sz w:val="22"/>
                <w:szCs w:val="22"/>
              </w:rPr>
              <w:t>1/7/02 — 30/6/03</w:t>
            </w:r>
          </w:p>
        </w:tc>
        <w:tc>
          <w:tcPr>
            <w:tcW w:w="743" w:type="pct"/>
            <w:tcBorders>
              <w:top w:val="single" w:sz="4" w:space="0" w:color="auto"/>
              <w:left w:val="nil"/>
              <w:bottom w:val="nil"/>
              <w:right w:val="nil"/>
            </w:tcBorders>
            <w:vAlign w:val="center"/>
          </w:tcPr>
          <w:p>
            <w:pPr>
              <w:pStyle w:val="TableNAm"/>
              <w:rPr>
                <w:sz w:val="22"/>
                <w:szCs w:val="22"/>
              </w:rPr>
            </w:pPr>
            <w:r>
              <w:rPr>
                <w:sz w:val="22"/>
                <w:szCs w:val="22"/>
              </w:rPr>
              <w:t>$66.25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$107.15</w:t>
            </w:r>
          </w:p>
        </w:tc>
        <w:tc>
          <w:tcPr>
            <w:tcW w:w="813" w:type="pct"/>
            <w:tcBorders>
              <w:top w:val="single" w:sz="4" w:space="0" w:color="auto"/>
              <w:left w:val="nil"/>
              <w:bottom w:val="nil"/>
              <w:right w:val="nil"/>
            </w:tcBorders>
            <w:vAlign w:val="center"/>
          </w:tcPr>
          <w:p>
            <w:pPr>
              <w:pStyle w:val="TableNAm"/>
              <w:rPr>
                <w:sz w:val="22"/>
                <w:szCs w:val="22"/>
              </w:rPr>
            </w:pPr>
            <w:r>
              <w:rPr>
                <w:sz w:val="22"/>
                <w:szCs w:val="22"/>
              </w:rPr>
              <w:t>$12.65</w:t>
            </w:r>
          </w:p>
        </w:tc>
        <w:tc>
          <w:tcPr>
            <w:tcW w:w="795" w:type="pct"/>
            <w:tcBorders>
              <w:top w:val="single" w:sz="4" w:space="0" w:color="auto"/>
              <w:left w:val="nil"/>
              <w:bottom w:val="nil"/>
              <w:right w:val="nil"/>
            </w:tcBorders>
            <w:vAlign w:val="center"/>
          </w:tcPr>
          <w:p>
            <w:pPr>
              <w:pStyle w:val="TableNAm"/>
              <w:rPr>
                <w:sz w:val="22"/>
                <w:szCs w:val="22"/>
              </w:rPr>
            </w:pPr>
            <w:r>
              <w:rPr>
                <w:sz w:val="22"/>
                <w:szCs w:val="22"/>
              </w:rPr>
              <w:t>$193.55</w:t>
            </w:r>
          </w:p>
        </w:tc>
        <w:tc>
          <w:tcPr>
            <w:tcW w:w="1054" w:type="pct"/>
            <w:tcBorders>
              <w:top w:val="single" w:sz="4" w:space="0" w:color="auto"/>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1/7/03 — 30/6/04</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$199.95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1/7/04 — 30/6/05</w:t>
            </w:r>
          </w:p>
        </w:tc>
        <w:tc>
          <w:tcPr>
            <w:tcW w:w="743" w:type="pct"/>
            <w:tcBorders>
              <w:top w:val="nil"/>
              <w:left w:val="nil"/>
              <w:bottom w:val="nil"/>
              <w:right w:val="nil"/>
            </w:tcBorders>
            <w:vAlign w:val="center"/>
          </w:tcPr>
          <w:p>
            <w:pPr>
              <w:pStyle w:val="TableNAm"/>
              <w:rPr>
                <w:sz w:val="22"/>
                <w:szCs w:val="22"/>
              </w:rPr>
            </w:pPr>
            <w:r>
              <w:rPr>
                <w:sz w:val="22"/>
                <w:szCs w:val="22"/>
              </w:rPr>
              <w:t>$68.45</w:t>
            </w:r>
          </w:p>
        </w:tc>
        <w:tc>
          <w:tcPr>
            <w:tcW w:w="813" w:type="pct"/>
            <w:tcBorders>
              <w:top w:val="nil"/>
              <w:left w:val="nil"/>
              <w:bottom w:val="nil"/>
              <w:right w:val="nil"/>
            </w:tcBorders>
            <w:vAlign w:val="center"/>
          </w:tcPr>
          <w:p>
            <w:pPr>
              <w:pStyle w:val="TableNAm"/>
              <w:rPr>
                <w:sz w:val="22"/>
                <w:szCs w:val="22"/>
              </w:rPr>
            </w:pPr>
            <w:r>
              <w:rPr>
                <w:sz w:val="22"/>
                <w:szCs w:val="22"/>
              </w:rPr>
              <w:t>$110.70</w:t>
            </w:r>
          </w:p>
        </w:tc>
        <w:tc>
          <w:tcPr>
            <w:tcW w:w="813" w:type="pct"/>
            <w:tcBorders>
              <w:top w:val="nil"/>
              <w:left w:val="nil"/>
              <w:bottom w:val="nil"/>
              <w:right w:val="nil"/>
            </w:tcBorders>
            <w:vAlign w:val="center"/>
          </w:tcPr>
          <w:p>
            <w:pPr>
              <w:pStyle w:val="TableNAm"/>
              <w:rPr>
                <w:sz w:val="22"/>
                <w:szCs w:val="22"/>
              </w:rPr>
            </w:pPr>
            <w:r>
              <w:rPr>
                <w:sz w:val="22"/>
                <w:szCs w:val="22"/>
              </w:rPr>
              <w:t>$13.05</w:t>
            </w:r>
          </w:p>
        </w:tc>
        <w:tc>
          <w:tcPr>
            <w:tcW w:w="795" w:type="pct"/>
            <w:tcBorders>
              <w:top w:val="nil"/>
              <w:left w:val="nil"/>
              <w:bottom w:val="nil"/>
              <w:right w:val="nil"/>
            </w:tcBorders>
            <w:vAlign w:val="center"/>
          </w:tcPr>
          <w:p>
            <w:pPr>
              <w:pStyle w:val="TableNAm"/>
              <w:rPr>
                <w:sz w:val="22"/>
                <w:szCs w:val="22"/>
              </w:rPr>
            </w:pPr>
            <w:r>
              <w:rPr>
                <w:sz w:val="22"/>
                <w:szCs w:val="22"/>
              </w:rPr>
              <w:t>$204.75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1/7/05 — 30/6/06</w:t>
            </w:r>
          </w:p>
        </w:tc>
        <w:tc>
          <w:tcPr>
            <w:tcW w:w="743" w:type="pct"/>
            <w:tcBorders>
              <w:top w:val="nil"/>
              <w:left w:val="nil"/>
              <w:bottom w:val="nil"/>
              <w:right w:val="nil"/>
            </w:tcBorders>
            <w:vAlign w:val="center"/>
          </w:tcPr>
          <w:p>
            <w:pPr>
              <w:pStyle w:val="TableNAm"/>
              <w:rPr>
                <w:sz w:val="22"/>
                <w:szCs w:val="22"/>
              </w:rPr>
            </w:pPr>
            <w:r>
              <w:rPr>
                <w:sz w:val="22"/>
                <w:szCs w:val="22"/>
              </w:rPr>
              <w:t>$70.00</w:t>
            </w:r>
          </w:p>
        </w:tc>
        <w:tc>
          <w:tcPr>
            <w:tcW w:w="813" w:type="pct"/>
            <w:tcBorders>
              <w:top w:val="nil"/>
              <w:left w:val="nil"/>
              <w:bottom w:val="nil"/>
              <w:right w:val="nil"/>
            </w:tcBorders>
            <w:vAlign w:val="center"/>
          </w:tcPr>
          <w:p>
            <w:pPr>
              <w:pStyle w:val="TableNAm"/>
              <w:rPr>
                <w:sz w:val="22"/>
                <w:szCs w:val="22"/>
              </w:rPr>
            </w:pPr>
            <w:r>
              <w:rPr>
                <w:sz w:val="22"/>
                <w:szCs w:val="22"/>
              </w:rPr>
              <w:t>$132.85</w:t>
            </w:r>
          </w:p>
        </w:tc>
        <w:tc>
          <w:tcPr>
            <w:tcW w:w="813" w:type="pct"/>
            <w:tcBorders>
              <w:top w:val="nil"/>
              <w:left w:val="nil"/>
              <w:bottom w:val="nil"/>
              <w:right w:val="nil"/>
            </w:tcBorders>
            <w:vAlign w:val="center"/>
          </w:tcPr>
          <w:p>
            <w:pPr>
              <w:pStyle w:val="TableNAm"/>
              <w:rPr>
                <w:sz w:val="22"/>
                <w:szCs w:val="22"/>
              </w:rPr>
            </w:pPr>
            <w:r>
              <w:rPr>
                <w:sz w:val="22"/>
                <w:szCs w:val="22"/>
              </w:rPr>
              <w:t>$13.35</w:t>
            </w:r>
          </w:p>
        </w:tc>
        <w:tc>
          <w:tcPr>
            <w:tcW w:w="795" w:type="pct"/>
            <w:tcBorders>
              <w:top w:val="nil"/>
              <w:left w:val="nil"/>
              <w:bottom w:val="nil"/>
              <w:right w:val="nil"/>
            </w:tcBorders>
            <w:vAlign w:val="center"/>
          </w:tcPr>
          <w:p>
            <w:pPr>
              <w:pStyle w:val="TableNAm"/>
              <w:rPr>
                <w:sz w:val="22"/>
                <w:szCs w:val="22"/>
              </w:rPr>
            </w:pPr>
            <w:r>
              <w:rPr>
                <w:sz w:val="22"/>
                <w:szCs w:val="22"/>
              </w:rPr>
              <w:t>$209.25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1/7/06 — 30/6/07</w:t>
            </w:r>
          </w:p>
        </w:tc>
        <w:tc>
          <w:tcPr>
            <w:tcW w:w="743" w:type="pct"/>
            <w:tcBorders>
              <w:top w:val="nil"/>
              <w:left w:val="nil"/>
              <w:bottom w:val="nil"/>
              <w:right w:val="nil"/>
            </w:tcBorders>
            <w:vAlign w:val="center"/>
          </w:tcPr>
          <w:p>
            <w:pPr>
              <w:pStyle w:val="TableNAm"/>
              <w:rPr>
                <w:sz w:val="22"/>
                <w:szCs w:val="22"/>
              </w:rPr>
            </w:pPr>
            <w:r>
              <w:rPr>
                <w:sz w:val="22"/>
                <w:szCs w:val="22"/>
              </w:rPr>
              <w:t>$72.55</w:t>
            </w:r>
          </w:p>
        </w:tc>
        <w:tc>
          <w:tcPr>
            <w:tcW w:w="813" w:type="pct"/>
            <w:tcBorders>
              <w:top w:val="nil"/>
              <w:left w:val="nil"/>
              <w:bottom w:val="nil"/>
              <w:right w:val="nil"/>
            </w:tcBorders>
            <w:vAlign w:val="center"/>
          </w:tcPr>
          <w:p>
            <w:pPr>
              <w:pStyle w:val="TableNAm"/>
              <w:rPr>
                <w:sz w:val="22"/>
                <w:szCs w:val="22"/>
              </w:rPr>
            </w:pPr>
            <w:r>
              <w:rPr>
                <w:sz w:val="22"/>
                <w:szCs w:val="22"/>
              </w:rPr>
              <w:t>$139.50</w:t>
            </w:r>
          </w:p>
        </w:tc>
        <w:tc>
          <w:tcPr>
            <w:tcW w:w="813" w:type="pct"/>
            <w:tcBorders>
              <w:top w:val="nil"/>
              <w:left w:val="nil"/>
              <w:bottom w:val="nil"/>
              <w:right w:val="nil"/>
            </w:tcBorders>
            <w:vAlign w:val="center"/>
          </w:tcPr>
          <w:p>
            <w:pPr>
              <w:pStyle w:val="TableNAm"/>
              <w:rPr>
                <w:sz w:val="22"/>
                <w:szCs w:val="22"/>
              </w:rPr>
            </w:pPr>
            <w:r>
              <w:rPr>
                <w:sz w:val="22"/>
                <w:szCs w:val="22"/>
              </w:rPr>
              <w:t>$14.00</w:t>
            </w:r>
          </w:p>
        </w:tc>
        <w:tc>
          <w:tcPr>
            <w:tcW w:w="795" w:type="pct"/>
            <w:tcBorders>
              <w:top w:val="nil"/>
              <w:left w:val="nil"/>
              <w:bottom w:val="nil"/>
              <w:right w:val="nil"/>
            </w:tcBorders>
            <w:vAlign w:val="center"/>
          </w:tcPr>
          <w:p>
            <w:pPr>
              <w:pStyle w:val="TableNAm"/>
              <w:rPr>
                <w:sz w:val="22"/>
                <w:szCs w:val="22"/>
              </w:rPr>
            </w:pPr>
            <w:r>
              <w:rPr>
                <w:sz w:val="22"/>
                <w:szCs w:val="22"/>
              </w:rPr>
              <w:t>$216.80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1/7/07 — 30/6/08</w:t>
            </w:r>
          </w:p>
        </w:tc>
        <w:tc>
          <w:tcPr>
            <w:tcW w:w="743" w:type="pct"/>
            <w:tcBorders>
              <w:top w:val="nil"/>
              <w:left w:val="nil"/>
              <w:bottom w:val="nil"/>
              <w:right w:val="nil"/>
            </w:tcBorders>
            <w:vAlign w:val="center"/>
          </w:tcPr>
          <w:p>
            <w:pPr>
              <w:pStyle w:val="TableNAm"/>
              <w:rPr>
                <w:sz w:val="22"/>
                <w:szCs w:val="22"/>
              </w:rPr>
            </w:pPr>
            <w:r>
              <w:rPr>
                <w:sz w:val="22"/>
                <w:szCs w:val="22"/>
              </w:rPr>
              <w:t>$76.35</w:t>
            </w:r>
          </w:p>
        </w:tc>
        <w:tc>
          <w:tcPr>
            <w:tcW w:w="813" w:type="pct"/>
            <w:tcBorders>
              <w:top w:val="nil"/>
              <w:left w:val="nil"/>
              <w:bottom w:val="nil"/>
              <w:right w:val="nil"/>
            </w:tcBorders>
            <w:vAlign w:val="center"/>
          </w:tcPr>
          <w:p>
            <w:pPr>
              <w:pStyle w:val="TableNAm"/>
              <w:rPr>
                <w:sz w:val="22"/>
                <w:szCs w:val="22"/>
              </w:rPr>
            </w:pPr>
            <w:r>
              <w:rPr>
                <w:sz w:val="22"/>
                <w:szCs w:val="22"/>
              </w:rPr>
              <w:t>$148.75</w:t>
            </w:r>
          </w:p>
        </w:tc>
        <w:tc>
          <w:tcPr>
            <w:tcW w:w="813" w:type="pct"/>
            <w:tcBorders>
              <w:top w:val="nil"/>
              <w:left w:val="nil"/>
              <w:bottom w:val="nil"/>
              <w:right w:val="nil"/>
            </w:tcBorders>
            <w:vAlign w:val="center"/>
          </w:tcPr>
          <w:p>
            <w:pPr>
              <w:pStyle w:val="TableNAm"/>
              <w:rPr>
                <w:sz w:val="22"/>
                <w:szCs w:val="22"/>
              </w:rPr>
            </w:pPr>
            <w:r>
              <w:rPr>
                <w:sz w:val="22"/>
                <w:szCs w:val="22"/>
              </w:rPr>
              <w:t>$15.25</w:t>
            </w:r>
          </w:p>
        </w:tc>
        <w:tc>
          <w:tcPr>
            <w:tcW w:w="795" w:type="pct"/>
            <w:tcBorders>
              <w:top w:val="nil"/>
              <w:left w:val="nil"/>
              <w:bottom w:val="nil"/>
              <w:right w:val="nil"/>
            </w:tcBorders>
            <w:vAlign w:val="center"/>
          </w:tcPr>
          <w:p>
            <w:pPr>
              <w:pStyle w:val="TableNAm"/>
              <w:rPr>
                <w:sz w:val="22"/>
                <w:szCs w:val="22"/>
              </w:rPr>
            </w:pPr>
            <w:r>
              <w:rPr>
                <w:sz w:val="22"/>
                <w:szCs w:val="22"/>
              </w:rPr>
              <w:t>$227.20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1/7/08 — 30/6/09</w:t>
            </w:r>
          </w:p>
        </w:tc>
        <w:tc>
          <w:tcPr>
            <w:tcW w:w="743" w:type="pct"/>
            <w:tcBorders>
              <w:top w:val="nil"/>
              <w:left w:val="nil"/>
              <w:bottom w:val="nil"/>
              <w:right w:val="nil"/>
            </w:tcBorders>
            <w:vAlign w:val="center"/>
          </w:tcPr>
          <w:p>
            <w:pPr>
              <w:pStyle w:val="TableNAm"/>
              <w:rPr>
                <w:sz w:val="22"/>
                <w:szCs w:val="22"/>
              </w:rPr>
            </w:pPr>
            <w:r>
              <w:rPr>
                <w:sz w:val="22"/>
                <w:szCs w:val="22"/>
              </w:rPr>
              <w:t>$78.95</w:t>
            </w:r>
          </w:p>
        </w:tc>
        <w:tc>
          <w:tcPr>
            <w:tcW w:w="813" w:type="pct"/>
            <w:tcBorders>
              <w:top w:val="nil"/>
              <w:left w:val="nil"/>
              <w:bottom w:val="nil"/>
              <w:right w:val="nil"/>
            </w:tcBorders>
            <w:vAlign w:val="center"/>
          </w:tcPr>
          <w:p>
            <w:pPr>
              <w:pStyle w:val="TableNAm"/>
              <w:rPr>
                <w:sz w:val="22"/>
                <w:szCs w:val="22"/>
              </w:rPr>
            </w:pPr>
            <w:r>
              <w:rPr>
                <w:sz w:val="22"/>
                <w:szCs w:val="22"/>
              </w:rPr>
              <w:t>$156.00</w:t>
            </w:r>
          </w:p>
        </w:tc>
        <w:tc>
          <w:tcPr>
            <w:tcW w:w="813" w:type="pct"/>
            <w:tcBorders>
              <w:top w:val="nil"/>
              <w:left w:val="nil"/>
              <w:bottom w:val="nil"/>
              <w:right w:val="nil"/>
            </w:tcBorders>
            <w:vAlign w:val="center"/>
          </w:tcPr>
          <w:p>
            <w:pPr>
              <w:pStyle w:val="TableNAm"/>
              <w:rPr>
                <w:sz w:val="22"/>
                <w:szCs w:val="22"/>
              </w:rPr>
            </w:pPr>
            <w:r>
              <w:rPr>
                <w:sz w:val="22"/>
                <w:szCs w:val="22"/>
              </w:rPr>
              <w:t>$16.50</w:t>
            </w:r>
          </w:p>
        </w:tc>
        <w:tc>
          <w:tcPr>
            <w:tcW w:w="795" w:type="pct"/>
            <w:tcBorders>
              <w:top w:val="nil"/>
              <w:left w:val="nil"/>
              <w:bottom w:val="nil"/>
              <w:right w:val="nil"/>
            </w:tcBorders>
            <w:vAlign w:val="center"/>
          </w:tcPr>
          <w:p>
            <w:pPr>
              <w:pStyle w:val="TableNAm"/>
              <w:rPr>
                <w:sz w:val="22"/>
                <w:szCs w:val="22"/>
              </w:rPr>
            </w:pPr>
            <w:r>
              <w:rPr>
                <w:sz w:val="22"/>
                <w:szCs w:val="22"/>
              </w:rPr>
              <w:t>$234.90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1/7/09 — 30/6/10</w:t>
            </w:r>
          </w:p>
        </w:tc>
        <w:tc>
          <w:tcPr>
            <w:tcW w:w="743" w:type="pct"/>
            <w:tcBorders>
              <w:top w:val="nil"/>
              <w:left w:val="nil"/>
              <w:bottom w:val="nil"/>
              <w:right w:val="nil"/>
            </w:tcBorders>
            <w:vAlign w:val="center"/>
          </w:tcPr>
          <w:p>
            <w:pPr>
              <w:pStyle w:val="TableNAm"/>
              <w:rPr>
                <w:sz w:val="22"/>
                <w:szCs w:val="22"/>
              </w:rPr>
            </w:pPr>
            <w:r>
              <w:rPr>
                <w:sz w:val="22"/>
                <w:szCs w:val="22"/>
              </w:rPr>
              <w:t>$82.30</w:t>
            </w:r>
          </w:p>
        </w:tc>
        <w:tc>
          <w:tcPr>
            <w:tcW w:w="813" w:type="pct"/>
            <w:tcBorders>
              <w:top w:val="nil"/>
              <w:left w:val="nil"/>
              <w:bottom w:val="nil"/>
              <w:right w:val="nil"/>
            </w:tcBorders>
            <w:vAlign w:val="center"/>
          </w:tcPr>
          <w:p>
            <w:pPr>
              <w:pStyle w:val="TableNAm"/>
              <w:rPr>
                <w:sz w:val="22"/>
                <w:szCs w:val="22"/>
              </w:rPr>
            </w:pPr>
            <w:r>
              <w:rPr>
                <w:sz w:val="22"/>
                <w:szCs w:val="22"/>
              </w:rPr>
              <w:t>$162.75</w:t>
            </w:r>
          </w:p>
        </w:tc>
        <w:tc>
          <w:tcPr>
            <w:tcW w:w="813" w:type="pct"/>
            <w:tcBorders>
              <w:top w:val="nil"/>
              <w:left w:val="nil"/>
              <w:bottom w:val="nil"/>
              <w:right w:val="nil"/>
            </w:tcBorders>
            <w:vAlign w:val="center"/>
          </w:tcPr>
          <w:p>
            <w:pPr>
              <w:pStyle w:val="TableNAm"/>
              <w:rPr>
                <w:sz w:val="22"/>
                <w:szCs w:val="22"/>
              </w:rPr>
            </w:pPr>
            <w:r>
              <w:rPr>
                <w:sz w:val="22"/>
                <w:szCs w:val="22"/>
              </w:rPr>
              <w:t>$17.55</w:t>
            </w:r>
          </w:p>
        </w:tc>
        <w:tc>
          <w:tcPr>
            <w:tcW w:w="795" w:type="pct"/>
            <w:tcBorders>
              <w:top w:val="nil"/>
              <w:left w:val="nil"/>
              <w:bottom w:val="nil"/>
              <w:right w:val="nil"/>
            </w:tcBorders>
            <w:vAlign w:val="center"/>
          </w:tcPr>
          <w:p>
            <w:pPr>
              <w:pStyle w:val="TableNAm"/>
              <w:rPr>
                <w:sz w:val="22"/>
                <w:szCs w:val="22"/>
              </w:rPr>
            </w:pPr>
            <w:r>
              <w:rPr>
                <w:sz w:val="22"/>
                <w:szCs w:val="22"/>
              </w:rPr>
              <w:t>$244.80</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1/7/10 — 30/6/11</w:t>
            </w:r>
          </w:p>
        </w:tc>
        <w:tc>
          <w:tcPr>
            <w:tcW w:w="743" w:type="pct"/>
            <w:tcBorders>
              <w:top w:val="nil"/>
              <w:left w:val="nil"/>
              <w:bottom w:val="nil"/>
              <w:right w:val="nil"/>
            </w:tcBorders>
            <w:vAlign w:val="center"/>
          </w:tcPr>
          <w:p>
            <w:pPr>
              <w:pStyle w:val="TableNAm"/>
              <w:rPr>
                <w:sz w:val="22"/>
                <w:szCs w:val="22"/>
              </w:rPr>
            </w:pPr>
            <w:r>
              <w:rPr>
                <w:sz w:val="22"/>
                <w:szCs w:val="22"/>
              </w:rPr>
              <w:t>$84.05</w:t>
            </w:r>
          </w:p>
        </w:tc>
        <w:tc>
          <w:tcPr>
            <w:tcW w:w="813" w:type="pct"/>
            <w:tcBorders>
              <w:top w:val="nil"/>
              <w:left w:val="nil"/>
              <w:bottom w:val="nil"/>
              <w:right w:val="nil"/>
            </w:tcBorders>
            <w:vAlign w:val="center"/>
          </w:tcPr>
          <w:p>
            <w:pPr>
              <w:pStyle w:val="TableNAm"/>
              <w:rPr>
                <w:sz w:val="22"/>
                <w:szCs w:val="22"/>
              </w:rPr>
            </w:pPr>
            <w:r>
              <w:rPr>
                <w:sz w:val="22"/>
                <w:szCs w:val="22"/>
              </w:rPr>
              <w:t>$169.55</w:t>
            </w:r>
          </w:p>
        </w:tc>
        <w:tc>
          <w:tcPr>
            <w:tcW w:w="813" w:type="pct"/>
            <w:tcBorders>
              <w:top w:val="nil"/>
              <w:left w:val="nil"/>
              <w:bottom w:val="nil"/>
              <w:right w:val="nil"/>
            </w:tcBorders>
            <w:vAlign w:val="center"/>
          </w:tcPr>
          <w:p>
            <w:pPr>
              <w:pStyle w:val="TableNAm"/>
              <w:rPr>
                <w:sz w:val="22"/>
                <w:szCs w:val="22"/>
              </w:rPr>
            </w:pPr>
            <w:r>
              <w:rPr>
                <w:sz w:val="22"/>
                <w:szCs w:val="22"/>
              </w:rPr>
              <w:t>$23.80</w:t>
            </w:r>
          </w:p>
        </w:tc>
        <w:tc>
          <w:tcPr>
            <w:tcW w:w="795" w:type="pct"/>
            <w:tcBorders>
              <w:top w:val="nil"/>
              <w:left w:val="nil"/>
              <w:bottom w:val="nil"/>
              <w:right w:val="nil"/>
            </w:tcBorders>
            <w:vAlign w:val="center"/>
          </w:tcPr>
          <w:p>
            <w:pPr>
              <w:pStyle w:val="TableNAm"/>
              <w:rPr>
                <w:sz w:val="22"/>
                <w:szCs w:val="22"/>
              </w:rPr>
            </w:pPr>
            <w:r>
              <w:rPr>
                <w:sz w:val="22"/>
                <w:szCs w:val="22"/>
              </w:rPr>
              <w:t>$249.95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1/7/11 — 30/6/12</w:t>
            </w:r>
          </w:p>
        </w:tc>
        <w:tc>
          <w:tcPr>
            <w:tcW w:w="743" w:type="pct"/>
            <w:tcBorders>
              <w:top w:val="nil"/>
              <w:left w:val="nil"/>
              <w:bottom w:val="nil"/>
              <w:right w:val="nil"/>
            </w:tcBorders>
            <w:vAlign w:val="center"/>
          </w:tcPr>
          <w:p>
            <w:pPr>
              <w:pStyle w:val="TableNAm"/>
              <w:rPr>
                <w:sz w:val="22"/>
                <w:szCs w:val="22"/>
              </w:rPr>
            </w:pPr>
            <w:r>
              <w:rPr>
                <w:sz w:val="22"/>
                <w:szCs w:val="22"/>
              </w:rPr>
              <w:t>$86.60</w:t>
            </w:r>
          </w:p>
        </w:tc>
        <w:tc>
          <w:tcPr>
            <w:tcW w:w="813" w:type="pct"/>
            <w:tcBorders>
              <w:top w:val="nil"/>
              <w:left w:val="nil"/>
              <w:bottom w:val="nil"/>
              <w:right w:val="nil"/>
            </w:tcBorders>
            <w:vAlign w:val="center"/>
          </w:tcPr>
          <w:p>
            <w:pPr>
              <w:pStyle w:val="TableNAm"/>
              <w:rPr>
                <w:sz w:val="22"/>
                <w:szCs w:val="22"/>
              </w:rPr>
            </w:pPr>
            <w:r>
              <w:rPr>
                <w:sz w:val="22"/>
                <w:szCs w:val="22"/>
              </w:rPr>
              <w:t>$175.75</w:t>
            </w:r>
          </w:p>
        </w:tc>
        <w:tc>
          <w:tcPr>
            <w:tcW w:w="813" w:type="pct"/>
            <w:tcBorders>
              <w:top w:val="nil"/>
              <w:left w:val="nil"/>
              <w:bottom w:val="nil"/>
              <w:right w:val="nil"/>
            </w:tcBorders>
            <w:vAlign w:val="center"/>
          </w:tcPr>
          <w:p>
            <w:pPr>
              <w:pStyle w:val="TableNAm"/>
              <w:rPr>
                <w:sz w:val="22"/>
                <w:szCs w:val="22"/>
              </w:rPr>
            </w:pPr>
            <w:r>
              <w:rPr>
                <w:sz w:val="22"/>
                <w:szCs w:val="22"/>
              </w:rPr>
              <w:t>$23.35</w:t>
            </w:r>
          </w:p>
        </w:tc>
        <w:tc>
          <w:tcPr>
            <w:tcW w:w="795" w:type="pct"/>
            <w:tcBorders>
              <w:top w:val="nil"/>
              <w:left w:val="nil"/>
              <w:bottom w:val="nil"/>
              <w:right w:val="nil"/>
            </w:tcBorders>
            <w:vAlign w:val="center"/>
          </w:tcPr>
          <w:p>
            <w:pPr>
              <w:pStyle w:val="TableNAm"/>
              <w:rPr>
                <w:sz w:val="22"/>
                <w:szCs w:val="22"/>
              </w:rPr>
            </w:pPr>
            <w:r>
              <w:rPr>
                <w:sz w:val="22"/>
                <w:szCs w:val="22"/>
              </w:rPr>
              <w:t>$257.45</w:t>
            </w:r>
          </w:p>
        </w:tc>
        <w:tc>
          <w:tcPr>
            <w:tcW w:w="1054" w:type="pct"/>
            <w:tcBorders>
              <w:top w:val="nil"/>
              <w:left w:val="nil"/>
              <w:bottom w:val="nil"/>
            </w:tcBorders>
            <w:vAlign w:val="center"/>
          </w:tcPr>
          <w:p>
            <w:pPr>
              <w:pStyle w:val="TableNAm"/>
              <w:rPr>
                <w:sz w:val="22"/>
                <w:szCs w:val="22"/>
              </w:rPr>
            </w:pPr>
            <w:r>
              <w:rPr>
                <w:sz w:val="22"/>
                <w:szCs w:val="22"/>
              </w:rPr>
              <w:t>NA</w:t>
            </w:r>
          </w:p>
        </w:tc>
      </w:tr>
      <w:tr>
        <w:tc>
          <w:tcPr>
            <w:tcW w:w="782" w:type="pct"/>
            <w:tcBorders>
              <w:top w:val="nil"/>
              <w:bottom w:val="nil"/>
              <w:right w:val="nil"/>
            </w:tcBorders>
            <w:vAlign w:val="center"/>
          </w:tcPr>
          <w:p>
            <w:pPr>
              <w:pStyle w:val="TableNAm"/>
              <w:rPr>
                <w:sz w:val="22"/>
                <w:szCs w:val="22"/>
              </w:rPr>
            </w:pPr>
            <w:r>
              <w:rPr>
                <w:sz w:val="22"/>
                <w:szCs w:val="22"/>
              </w:rPr>
              <w:t>1/7/12 — 30/6/13</w:t>
            </w:r>
          </w:p>
        </w:tc>
        <w:tc>
          <w:tcPr>
            <w:tcW w:w="743" w:type="pct"/>
            <w:tcBorders>
              <w:top w:val="nil"/>
              <w:left w:val="nil"/>
              <w:bottom w:val="nil"/>
              <w:right w:val="nil"/>
            </w:tcBorders>
            <w:vAlign w:val="center"/>
          </w:tcPr>
          <w:p>
            <w:pPr>
              <w:pStyle w:val="TableNAm"/>
              <w:rPr>
                <w:sz w:val="22"/>
                <w:szCs w:val="22"/>
              </w:rPr>
            </w:pPr>
            <w:r>
              <w:rPr>
                <w:sz w:val="22"/>
                <w:szCs w:val="22"/>
              </w:rPr>
              <w:t>$89.75</w:t>
            </w:r>
          </w:p>
        </w:tc>
        <w:tc>
          <w:tcPr>
            <w:tcW w:w="813" w:type="pct"/>
            <w:tcBorders>
              <w:top w:val="nil"/>
              <w:left w:val="nil"/>
              <w:bottom w:val="nil"/>
              <w:right w:val="nil"/>
            </w:tcBorders>
            <w:vAlign w:val="center"/>
          </w:tcPr>
          <w:p>
            <w:pPr>
              <w:pStyle w:val="TableNAm"/>
              <w:rPr>
                <w:sz w:val="22"/>
                <w:szCs w:val="22"/>
              </w:rPr>
            </w:pPr>
            <w:r>
              <w:rPr>
                <w:sz w:val="22"/>
                <w:szCs w:val="22"/>
              </w:rPr>
              <w:t>$184.70</w:t>
            </w:r>
          </w:p>
        </w:tc>
        <w:tc>
          <w:tcPr>
            <w:tcW w:w="813" w:type="pct"/>
            <w:tcBorders>
              <w:top w:val="nil"/>
              <w:left w:val="nil"/>
              <w:bottom w:val="nil"/>
              <w:right w:val="nil"/>
            </w:tcBorders>
            <w:vAlign w:val="center"/>
          </w:tcPr>
          <w:p>
            <w:pPr>
              <w:pStyle w:val="TableNAm"/>
              <w:rPr>
                <w:sz w:val="22"/>
                <w:szCs w:val="22"/>
              </w:rPr>
            </w:pPr>
            <w:r>
              <w:rPr>
                <w:sz w:val="22"/>
                <w:szCs w:val="22"/>
              </w:rPr>
              <w:t>$24.05</w:t>
            </w:r>
          </w:p>
        </w:tc>
        <w:tc>
          <w:tcPr>
            <w:tcW w:w="795" w:type="pct"/>
            <w:tcBorders>
              <w:top w:val="nil"/>
              <w:left w:val="nil"/>
              <w:bottom w:val="nil"/>
              <w:right w:val="nil"/>
            </w:tcBorders>
            <w:vAlign w:val="center"/>
          </w:tcPr>
          <w:p>
            <w:pPr>
              <w:pStyle w:val="TableNAm"/>
              <w:rPr>
                <w:sz w:val="22"/>
                <w:szCs w:val="22"/>
              </w:rPr>
            </w:pPr>
            <w:r>
              <w:rPr>
                <w:sz w:val="22"/>
                <w:szCs w:val="22"/>
              </w:rPr>
              <w:t>$264.65</w:t>
            </w:r>
          </w:p>
        </w:tc>
        <w:tc>
          <w:tcPr>
            <w:tcW w:w="1054" w:type="pct"/>
            <w:tcBorders>
              <w:top w:val="nil"/>
              <w:left w:val="nil"/>
              <w:bottom w:val="nil"/>
            </w:tcBorders>
            <w:vAlign w:val="center"/>
          </w:tcPr>
          <w:p>
            <w:pPr>
              <w:pStyle w:val="TableNAm"/>
              <w:rPr>
                <w:sz w:val="22"/>
                <w:szCs w:val="22"/>
              </w:rPr>
            </w:pPr>
            <w:r>
              <w:rPr>
                <w:sz w:val="22"/>
                <w:szCs w:val="22"/>
              </w:rPr>
              <w:t>$264.65</w:t>
            </w:r>
          </w:p>
        </w:tc>
      </w:tr>
      <w:tr>
        <w:tc>
          <w:tcPr>
            <w:tcW w:w="782" w:type="pct"/>
            <w:tcBorders>
              <w:top w:val="nil"/>
              <w:bottom w:val="single" w:sz="4" w:space="0" w:color="auto"/>
              <w:right w:val="nil"/>
            </w:tcBorders>
            <w:vAlign w:val="center"/>
          </w:tcPr>
          <w:p>
            <w:pPr>
              <w:pStyle w:val="TableNAm"/>
              <w:rPr>
                <w:sz w:val="22"/>
                <w:szCs w:val="22"/>
              </w:rPr>
            </w:pPr>
            <w:r>
              <w:rPr>
                <w:sz w:val="22"/>
                <w:szCs w:val="22"/>
              </w:rPr>
              <w:t>1/7/13 — 30/6/14</w:t>
            </w:r>
          </w:p>
        </w:tc>
        <w:tc>
          <w:tcPr>
            <w:tcW w:w="743" w:type="pct"/>
            <w:tcBorders>
              <w:top w:val="nil"/>
              <w:left w:val="nil"/>
              <w:bottom w:val="single" w:sz="4" w:space="0" w:color="auto"/>
              <w:right w:val="nil"/>
            </w:tcBorders>
            <w:vAlign w:val="center"/>
          </w:tcPr>
          <w:p>
            <w:pPr>
              <w:pStyle w:val="TableNAm"/>
              <w:rPr>
                <w:sz w:val="22"/>
                <w:szCs w:val="22"/>
              </w:rPr>
            </w:pPr>
            <w:r>
              <w:rPr>
                <w:sz w:val="22"/>
                <w:szCs w:val="22"/>
              </w:rPr>
              <w:t>$98.19</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$195.13</w:t>
            </w:r>
          </w:p>
        </w:tc>
        <w:tc>
          <w:tcPr>
            <w:tcW w:w="813" w:type="pct"/>
            <w:tcBorders>
              <w:top w:val="nil"/>
              <w:left w:val="nil"/>
              <w:bottom w:val="single" w:sz="4" w:space="0" w:color="auto"/>
              <w:right w:val="nil"/>
            </w:tcBorders>
            <w:vAlign w:val="center"/>
          </w:tcPr>
          <w:p>
            <w:pPr>
              <w:pStyle w:val="TableNAm"/>
              <w:rPr>
                <w:sz w:val="22"/>
                <w:szCs w:val="22"/>
              </w:rPr>
            </w:pPr>
            <w:r>
              <w:rPr>
                <w:sz w:val="22"/>
                <w:szCs w:val="22"/>
              </w:rPr>
              <w:t>$25.51</w:t>
            </w:r>
          </w:p>
        </w:tc>
        <w:tc>
          <w:tcPr>
            <w:tcW w:w="795" w:type="pct"/>
            <w:tcBorders>
              <w:top w:val="nil"/>
              <w:left w:val="nil"/>
              <w:bottom w:val="single" w:sz="4" w:space="0" w:color="auto"/>
              <w:right w:val="nil"/>
            </w:tcBorders>
            <w:vAlign w:val="center"/>
          </w:tcPr>
          <w:p>
            <w:pPr>
              <w:pStyle w:val="TableNAm"/>
              <w:rPr>
                <w:sz w:val="22"/>
                <w:szCs w:val="22"/>
              </w:rPr>
            </w:pPr>
            <w:r>
              <w:rPr>
                <w:sz w:val="22"/>
                <w:szCs w:val="22"/>
              </w:rPr>
              <w:t>$269.94</w:t>
            </w:r>
          </w:p>
        </w:tc>
        <w:tc>
          <w:tcPr>
            <w:tcW w:w="1054" w:type="pct"/>
            <w:tcBorders>
              <w:top w:val="nil"/>
              <w:left w:val="nil"/>
              <w:bottom w:val="single" w:sz="4" w:space="0" w:color="auto"/>
            </w:tcBorders>
            <w:vAlign w:val="center"/>
          </w:tcPr>
          <w:p>
            <w:pPr>
              <w:pStyle w:val="TableNAm"/>
              <w:rPr>
                <w:sz w:val="22"/>
                <w:szCs w:val="22"/>
              </w:rPr>
            </w:pPr>
            <w:r>
              <w:rPr>
                <w:sz w:val="22"/>
                <w:szCs w:val="22"/>
              </w:rPr>
              <w:t>$269.94</w:t>
            </w:r>
          </w:p>
        </w:tc>
      </w:tr>
    </w:tbl>
    <w:p>
      <w:pPr>
        <w:pStyle w:val="Footnotesection"/>
      </w:pPr>
      <w:r>
        <w:tab/>
        <w:t>[Regulation 3 inserted in Gazette 29 Jun 2012 p. 2967; amended in Gazette 18 Jun 2013 p. 2310.]</w:t>
      </w:r>
    </w:p>
    <w:p>
      <w:pPr>
        <w:pStyle w:val="Ednotesection"/>
      </w:pPr>
      <w:r>
        <w:t>[</w:t>
      </w:r>
      <w:r>
        <w:rPr>
          <w:b/>
          <w:bCs/>
        </w:rPr>
        <w:t>4.</w:t>
      </w:r>
      <w:r>
        <w:tab/>
        <w:t xml:space="preserve">Deleted in Gazette </w:t>
      </w:r>
      <w:r>
        <w:rPr>
          <w:sz w:val="22"/>
        </w:rPr>
        <w:t>26 Jun 2009 p. 2574.</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7" w:name="_Toc383521282"/>
      <w:bookmarkStart w:id="8" w:name="_Toc384200225"/>
      <w:r>
        <w:t>Notes</w:t>
      </w:r>
      <w:bookmarkEnd w:id="7"/>
      <w:bookmarkEnd w:id="8"/>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384200226"/>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z w:val="19"/>
              </w:rPr>
              <w:t>r. 1 and 2: 26 Jun 2009 (see r. 2(a));</w:t>
            </w:r>
            <w:r>
              <w:rPr>
                <w:snapToGrid w:val="0"/>
                <w:sz w:val="19"/>
              </w:rPr>
              <w:br/>
              <w:t>Regulations other than r. 1 and 2: 1 Jul 2009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(No. 2) 2010</w:t>
            </w:r>
          </w:p>
        </w:tc>
        <w:tc>
          <w:tcPr>
            <w:tcW w:w="1276" w:type="dxa"/>
          </w:tcPr>
          <w:p>
            <w:pPr>
              <w:pStyle w:val="nTable"/>
              <w:keepNext/>
              <w:keepLines/>
              <w:spacing w:after="40"/>
              <w:rPr>
                <w:sz w:val="19"/>
              </w:rPr>
            </w:pPr>
            <w:r>
              <w:rPr>
                <w:sz w:val="19"/>
              </w:rPr>
              <w:t>25 Jun 2010 p. 2880-1</w:t>
            </w:r>
          </w:p>
        </w:tc>
        <w:tc>
          <w:tcPr>
            <w:tcW w:w="2693" w:type="dxa"/>
          </w:tcPr>
          <w:p>
            <w:pPr>
              <w:pStyle w:val="nTable"/>
              <w:keepNext/>
              <w:keepLines/>
              <w:spacing w:after="40"/>
              <w:rPr>
                <w:sz w:val="19"/>
              </w:rPr>
            </w:pPr>
            <w:r>
              <w:rPr>
                <w:snapToGrid w:val="0"/>
                <w:spacing w:val="-2"/>
                <w:sz w:val="19"/>
              </w:rPr>
              <w:t>r</w:t>
            </w:r>
            <w:r>
              <w:rPr>
                <w:snapToGrid w:val="0"/>
                <w:sz w:val="19"/>
              </w:rPr>
              <w:t>. 1 and 2: 25 Jun 2010 (see r. 2(a));</w:t>
            </w:r>
            <w:r>
              <w:rPr>
                <w:snapToGrid w:val="0"/>
                <w:sz w:val="19"/>
              </w:rPr>
              <w:br/>
              <w:t>Regulations other than r. 1 and 2: 1 Jul 2010 (see r. 2(b))</w:t>
            </w:r>
          </w:p>
        </w:tc>
      </w:tr>
      <w:tr>
        <w:trPr>
          <w:cantSplit/>
        </w:trPr>
        <w:tc>
          <w:tcPr>
            <w:tcW w:w="3119" w:type="dxa"/>
          </w:tcPr>
          <w:p>
            <w:pPr>
              <w:pStyle w:val="nTable"/>
              <w:spacing w:after="40"/>
              <w:ind w:right="113"/>
              <w:rPr>
                <w:i/>
                <w:sz w:val="19"/>
              </w:rPr>
            </w:pPr>
            <w:r>
              <w:rPr>
                <w:i/>
                <w:sz w:val="19"/>
              </w:rPr>
              <w:t>Rates and Charges (Rebates and Deferments) Amendment Regulations (No. 2) 2011</w:t>
            </w:r>
          </w:p>
        </w:tc>
        <w:tc>
          <w:tcPr>
            <w:tcW w:w="1276" w:type="dxa"/>
          </w:tcPr>
          <w:p>
            <w:pPr>
              <w:pStyle w:val="nTable"/>
              <w:keepNext/>
              <w:keepLines/>
              <w:spacing w:after="40"/>
              <w:rPr>
                <w:sz w:val="19"/>
              </w:rPr>
            </w:pPr>
            <w:r>
              <w:rPr>
                <w:sz w:val="19"/>
              </w:rPr>
              <w:t>17 Jun 2011 p. 2170</w:t>
            </w:r>
          </w:p>
        </w:tc>
        <w:tc>
          <w:tcPr>
            <w:tcW w:w="2693" w:type="dxa"/>
          </w:tcPr>
          <w:p>
            <w:pPr>
              <w:pStyle w:val="nTable"/>
              <w:keepNext/>
              <w:keepLines/>
              <w:spacing w:after="40"/>
              <w:rPr>
                <w:snapToGrid w:val="0"/>
                <w:sz w:val="19"/>
              </w:rPr>
            </w:pPr>
            <w:r>
              <w:rPr>
                <w:snapToGrid w:val="0"/>
                <w:sz w:val="19"/>
              </w:rPr>
              <w:t>r. 1 and 2: 17 Jun 2011 (see r. 2(a));</w:t>
            </w:r>
            <w:r>
              <w:rPr>
                <w:snapToGrid w:val="0"/>
                <w:sz w:val="19"/>
              </w:rPr>
              <w:br/>
              <w:t>Regulations other than r. 1 and 2: 1 Jul 2011 (see r. 2(b))</w:t>
            </w:r>
          </w:p>
        </w:tc>
      </w:tr>
      <w:tr>
        <w:trPr>
          <w:cantSplit/>
        </w:trPr>
        <w:tc>
          <w:tcPr>
            <w:tcW w:w="3119" w:type="dxa"/>
          </w:tcPr>
          <w:p>
            <w:pPr>
              <w:pStyle w:val="nTable"/>
              <w:spacing w:after="40"/>
              <w:ind w:right="113"/>
              <w:rPr>
                <w:i/>
                <w:sz w:val="19"/>
              </w:rPr>
            </w:pPr>
            <w:r>
              <w:rPr>
                <w:i/>
                <w:sz w:val="19"/>
              </w:rPr>
              <w:t>Rates and Charges (Rebates and Deferments) Amendment Regulations 2012</w:t>
            </w:r>
          </w:p>
        </w:tc>
        <w:tc>
          <w:tcPr>
            <w:tcW w:w="1276" w:type="dxa"/>
          </w:tcPr>
          <w:p>
            <w:pPr>
              <w:pStyle w:val="nTable"/>
              <w:keepNext/>
              <w:keepLines/>
              <w:spacing w:after="40"/>
              <w:rPr>
                <w:sz w:val="19"/>
              </w:rPr>
            </w:pPr>
            <w:r>
              <w:rPr>
                <w:sz w:val="19"/>
              </w:rPr>
              <w:t>29 Jun 2012 p. 2966</w:t>
            </w:r>
            <w:r>
              <w:rPr>
                <w:sz w:val="19"/>
              </w:rPr>
              <w:noBreakHyphen/>
              <w:t>7</w:t>
            </w:r>
          </w:p>
        </w:tc>
        <w:tc>
          <w:tcPr>
            <w:tcW w:w="2693" w:type="dxa"/>
          </w:tcPr>
          <w:p>
            <w:pPr>
              <w:pStyle w:val="nTable"/>
              <w:keepNext/>
              <w:keepLines/>
              <w:spacing w:after="40"/>
              <w:rPr>
                <w:snapToGrid w:val="0"/>
                <w:sz w:val="19"/>
              </w:rPr>
            </w:pPr>
            <w:r>
              <w:rPr>
                <w:snapToGrid w:val="0"/>
                <w:sz w:val="19"/>
              </w:rPr>
              <w:t>r. 1 and 2: 29 Jun 2012 (see r. 2(a));</w:t>
            </w:r>
            <w:r>
              <w:rPr>
                <w:snapToGrid w:val="0"/>
                <w:sz w:val="19"/>
              </w:rPr>
              <w:br/>
              <w:t>Regulations other than r. 1 and 2: 1 Jul 2012 (see r. 2(b))</w:t>
            </w:r>
          </w:p>
        </w:tc>
      </w:tr>
      <w:tr>
        <w:trPr>
          <w:cantSplit/>
        </w:trPr>
        <w:tc>
          <w:tcPr>
            <w:tcW w:w="3119" w:type="dxa"/>
          </w:tcPr>
          <w:p>
            <w:pPr>
              <w:pStyle w:val="nTable"/>
              <w:spacing w:after="40"/>
              <w:ind w:right="113"/>
              <w:rPr>
                <w:i/>
                <w:sz w:val="19"/>
              </w:rPr>
            </w:pPr>
            <w:r>
              <w:rPr>
                <w:i/>
                <w:sz w:val="19"/>
              </w:rPr>
              <w:t>Rates and Charges (Rebates and Deferments) Amendment Regulations 2013</w:t>
            </w:r>
          </w:p>
        </w:tc>
        <w:tc>
          <w:tcPr>
            <w:tcW w:w="1276" w:type="dxa"/>
          </w:tcPr>
          <w:p>
            <w:pPr>
              <w:pStyle w:val="nTable"/>
              <w:keepNext/>
              <w:keepLines/>
              <w:spacing w:after="40"/>
              <w:rPr>
                <w:sz w:val="19"/>
              </w:rPr>
            </w:pPr>
            <w:r>
              <w:rPr>
                <w:sz w:val="19"/>
              </w:rPr>
              <w:t>18 Jun 2013 p. 2309-10</w:t>
            </w:r>
          </w:p>
        </w:tc>
        <w:tc>
          <w:tcPr>
            <w:tcW w:w="2693" w:type="dxa"/>
          </w:tcPr>
          <w:p>
            <w:pPr>
              <w:pStyle w:val="nTable"/>
              <w:keepNext/>
              <w:keepLines/>
              <w:spacing w:after="40"/>
              <w:rPr>
                <w:i/>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tcPr>
          <w:p>
            <w:pPr>
              <w:pStyle w:val="nTable"/>
              <w:spacing w:after="40"/>
              <w:ind w:right="113"/>
              <w:rPr>
                <w:i/>
                <w:sz w:val="19"/>
              </w:rPr>
            </w:pPr>
            <w:r>
              <w:rPr>
                <w:i/>
                <w:sz w:val="19"/>
              </w:rPr>
              <w:t>Rates and Charges (Rebates and Deferments) Amendment Regulations (No. 2) 2013</w:t>
            </w:r>
          </w:p>
        </w:tc>
        <w:tc>
          <w:tcPr>
            <w:tcW w:w="1276" w:type="dxa"/>
          </w:tcPr>
          <w:p>
            <w:pPr>
              <w:pStyle w:val="nTable"/>
              <w:keepNext/>
              <w:keepLines/>
              <w:spacing w:after="40"/>
              <w:rPr>
                <w:sz w:val="19"/>
              </w:rPr>
            </w:pPr>
            <w:r>
              <w:rPr>
                <w:sz w:val="19"/>
              </w:rPr>
              <w:t>14 Nov 2013 p. 5061</w:t>
            </w:r>
            <w:r>
              <w:rPr>
                <w:sz w:val="19"/>
              </w:rPr>
              <w:noBreakHyphen/>
              <w:t>2</w:t>
            </w:r>
          </w:p>
        </w:tc>
        <w:tc>
          <w:tcPr>
            <w:tcW w:w="2693" w:type="dxa"/>
          </w:tcPr>
          <w:p>
            <w:pPr>
              <w:pStyle w:val="nTable"/>
              <w:keepNext/>
              <w:keepLines/>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cantSplit/>
        </w:trPr>
        <w:tc>
          <w:tcPr>
            <w:tcW w:w="7088" w:type="dxa"/>
            <w:gridSpan w:val="3"/>
            <w:tcBorders>
              <w:bottom w:val="single" w:sz="8" w:space="0" w:color="auto"/>
            </w:tcBorders>
            <w:shd w:val="clear" w:color="auto" w:fill="auto"/>
          </w:tcPr>
          <w:p>
            <w:pPr>
              <w:pStyle w:val="nTable"/>
              <w:keepNext/>
              <w:keepLines/>
              <w:spacing w:after="40"/>
              <w:rPr>
                <w:bCs/>
                <w:snapToGrid w:val="0"/>
                <w:spacing w:val="-2"/>
                <w:sz w:val="19"/>
              </w:rPr>
            </w:pPr>
            <w:r>
              <w:rPr>
                <w:b/>
                <w:sz w:val="19"/>
              </w:rPr>
              <w:t xml:space="preserve">Reprint 4:  The </w:t>
            </w:r>
            <w:r>
              <w:rPr>
                <w:b/>
                <w:i/>
                <w:sz w:val="19"/>
              </w:rPr>
              <w:t>Rates and Charges (Rebates and Deferments) Regulations 1992</w:t>
            </w:r>
            <w:r>
              <w:rPr>
                <w:b/>
                <w:sz w:val="19"/>
              </w:rPr>
              <w:t xml:space="preserve"> as at 2 May 2014</w:t>
            </w:r>
            <w:r>
              <w:rPr>
                <w:bCs/>
                <w:sz w:val="19"/>
              </w:rPr>
              <w:t xml:space="preserve"> (includes amendments listed above)</w:t>
            </w:r>
          </w:p>
        </w:tc>
      </w:tr>
    </w:tbl>
    <w:p/>
    <w:p/>
    <w:p>
      <w:pPr>
        <w:sectPr>
          <w:footerReference w:type="default" r:id="rId30"/>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21456"/>
    <w:docVar w:name="WAFER_20140114160955" w:val="RemoveTocBookmarks,RemoveUnusedBookmarks,RemoveLanguageTags,UsedStyles,ResetPageSize,UpdateArrangement"/>
    <w:docVar w:name="WAFER_20140114160955_GUID" w:val="7ddeaf17-e76d-4399-9c3b-2b739acaebc1"/>
    <w:docVar w:name="WAFER_20140114162305" w:val="RemoveTocBookmarks,RunningHeaders"/>
    <w:docVar w:name="WAFER_20140114162305_GUID" w:val="bc79b160-656d-4f10-99df-22bec89998f2"/>
    <w:docVar w:name="WAFER_20140325121456" w:val="RemoveTocBookmarks,RemoveUnusedBookmarks,RemoveLanguageTags,UsedStyles,ResetPageSize,RemoveCustomizations,UpdateArrangement"/>
    <w:docVar w:name="WAFER_20140325121456_GUID" w:val="ee418b1e-0546-4fca-874d-7e3321c85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1716</Words>
  <Characters>8254</Characters>
  <Application>Microsoft Office Word</Application>
  <DocSecurity>0</DocSecurity>
  <Lines>434</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1992 - 04-00-00</dc:title>
  <dc:subject/>
  <dc:creator/>
  <cp:keywords/>
  <dc:description/>
  <cp:lastModifiedBy>svcMRProcess</cp:lastModifiedBy>
  <cp:revision>4</cp:revision>
  <cp:lastPrinted>2014-05-09T06:45:00Z</cp:lastPrinted>
  <dcterms:created xsi:type="dcterms:W3CDTF">2020-04-23T03:25:00Z</dcterms:created>
  <dcterms:modified xsi:type="dcterms:W3CDTF">2020-04-23T03:25:00Z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4731</vt:i4>
  </property>
  <property fmtid="{D5CDD505-2E9C-101B-9397-08002B2CF9AE}" pid="6" name="AsAtDate">
    <vt:lpwstr>02 May 2014</vt:lpwstr>
  </property>
  <property fmtid="{D5CDD505-2E9C-101B-9397-08002B2CF9AE}" pid="7" name="Suffix">
    <vt:lpwstr>04-00-00</vt:lpwstr>
  </property>
  <property fmtid="{D5CDD505-2E9C-101B-9397-08002B2CF9AE}" pid="8" name="ReprintNo">
    <vt:lpwstr>4</vt:lpwstr>
  </property>
  <property fmtid="{D5CDD505-2E9C-101B-9397-08002B2CF9AE}" pid="9" name="ReprintedAsAt">
    <vt:filetime>2014-05-01T16:00:00Z</vt:filetime>
  </property>
</Properties>
</file>