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Salaries and Allowances Act 1975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Salaries and Allowances Act 1975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The Tribunal</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_Toc377565132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_Toc377565133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_Toc377565134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Establishment of Tribunal</w:t>
      </w:r>
      <w:r>
        <w:tab/>
      </w:r>
      <w:r>
        <w:fldChar w:fldCharType="begin"/>
      </w:r>
      <w:r>
        <w:instrText xml:space="preserve"> PAGEREF _Toc377565135 \h </w:instrText>
      </w:r>
      <w:r>
        <w:fldChar w:fldCharType="separate"/>
      </w:r>
      <w:r>
        <w:t>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Inquiry into and determination of remuneration of Governor</w:t>
      </w:r>
      <w:r>
        <w:tab/>
      </w:r>
      <w:r>
        <w:fldChar w:fldCharType="begin"/>
      </w:r>
      <w:r>
        <w:instrText xml:space="preserve"> PAGEREF _Toc377565136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Other inquiries into and determinations of remuneration</w:t>
      </w:r>
      <w:r>
        <w:tab/>
      </w:r>
      <w:r>
        <w:fldChar w:fldCharType="begin"/>
      </w:r>
      <w:r>
        <w:instrText xml:space="preserve"> PAGEREF _Toc377565137 \h </w:instrText>
      </w:r>
      <w:r>
        <w:fldChar w:fldCharType="separate"/>
      </w:r>
      <w:r>
        <w:t>6</w:t>
      </w:r>
      <w:r>
        <w:fldChar w:fldCharType="end"/>
      </w:r>
    </w:p>
    <w:p>
      <w:pPr>
        <w:pStyle w:val="TOC8"/>
        <w:rPr>
          <w:rFonts w:asciiTheme="minorHAnsi" w:eastAsiaTheme="minorEastAsia" w:hAnsiTheme="minorHAnsi" w:cstheme="minorBidi"/>
          <w:szCs w:val="22"/>
        </w:rPr>
      </w:pPr>
      <w:r>
        <w:t>6A.</w:t>
      </w:r>
      <w:r>
        <w:tab/>
        <w:t xml:space="preserve">Tribunal’s functions under </w:t>
      </w:r>
      <w:r>
        <w:rPr>
          <w:i/>
        </w:rPr>
        <w:t>Parliamentary Superannuation Act 1970</w:t>
      </w:r>
      <w:r>
        <w:tab/>
      </w:r>
      <w:r>
        <w:fldChar w:fldCharType="begin"/>
      </w:r>
      <w:r>
        <w:instrText xml:space="preserve"> PAGEREF _Toc377565138 \h </w:instrText>
      </w:r>
      <w:r>
        <w:fldChar w:fldCharType="separate"/>
      </w:r>
      <w:r>
        <w:t>10</w:t>
      </w:r>
      <w:r>
        <w:fldChar w:fldCharType="end"/>
      </w:r>
    </w:p>
    <w:p>
      <w:pPr>
        <w:pStyle w:val="TOC8"/>
        <w:rPr>
          <w:rFonts w:asciiTheme="minorHAnsi" w:eastAsiaTheme="minorEastAsia" w:hAnsiTheme="minorHAnsi" w:cstheme="minorBidi"/>
          <w:szCs w:val="22"/>
        </w:rPr>
      </w:pPr>
      <w:r>
        <w:t>6AA.</w:t>
      </w:r>
      <w:r>
        <w:tab/>
        <w:t>Redundancy benefits for members of Parliament</w:t>
      </w:r>
      <w:r>
        <w:tab/>
      </w:r>
      <w:r>
        <w:fldChar w:fldCharType="begin"/>
      </w:r>
      <w:r>
        <w:instrText xml:space="preserve"> PAGEREF _Toc377565139 \h </w:instrText>
      </w:r>
      <w:r>
        <w:fldChar w:fldCharType="separate"/>
      </w:r>
      <w:r>
        <w:t>10</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Determinations relating to entitlements of former Premiers, Ministers and members of Parliament</w:t>
      </w:r>
      <w:r>
        <w:tab/>
      </w:r>
      <w:r>
        <w:fldChar w:fldCharType="begin"/>
      </w:r>
      <w:r>
        <w:instrText xml:space="preserve"> PAGEREF _Toc377565140 \h </w:instrText>
      </w:r>
      <w:r>
        <w:fldChar w:fldCharType="separate"/>
      </w:r>
      <w:r>
        <w:t>11</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Forfeiture of former office entitlements</w:t>
      </w:r>
      <w:r>
        <w:tab/>
      </w:r>
      <w:r>
        <w:fldChar w:fldCharType="begin"/>
      </w:r>
      <w:r>
        <w:instrText xml:space="preserve"> PAGEREF _Toc377565141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Inquiry into and report on judicial salaries</w:t>
      </w:r>
      <w:r>
        <w:tab/>
      </w:r>
      <w:r>
        <w:fldChar w:fldCharType="begin"/>
      </w:r>
      <w:r>
        <w:instrText xml:space="preserve"> PAGEREF _Toc377565142 \h </w:instrText>
      </w:r>
      <w:r>
        <w:fldChar w:fldCharType="separate"/>
      </w:r>
      <w:r>
        <w:t>12</w:t>
      </w:r>
      <w:r>
        <w:fldChar w:fldCharType="end"/>
      </w:r>
    </w:p>
    <w:p>
      <w:pPr>
        <w:pStyle w:val="TOC8"/>
        <w:rPr>
          <w:rFonts w:asciiTheme="minorHAnsi" w:eastAsiaTheme="minorEastAsia" w:hAnsiTheme="minorHAnsi" w:cstheme="minorBidi"/>
          <w:szCs w:val="22"/>
        </w:rPr>
      </w:pPr>
      <w:r>
        <w:t>7A.</w:t>
      </w:r>
      <w:r>
        <w:tab/>
        <w:t>Determinations as to remuneration of local government CEOs</w:t>
      </w:r>
      <w:r>
        <w:tab/>
      </w:r>
      <w:r>
        <w:fldChar w:fldCharType="begin"/>
      </w:r>
      <w:r>
        <w:instrText xml:space="preserve"> PAGEREF _Toc377565143 \h </w:instrText>
      </w:r>
      <w:r>
        <w:fldChar w:fldCharType="separate"/>
      </w:r>
      <w:r>
        <w:t>14</w:t>
      </w:r>
      <w:r>
        <w:fldChar w:fldCharType="end"/>
      </w:r>
    </w:p>
    <w:p>
      <w:pPr>
        <w:pStyle w:val="TOC8"/>
        <w:rPr>
          <w:rFonts w:asciiTheme="minorHAnsi" w:eastAsiaTheme="minorEastAsia" w:hAnsiTheme="minorHAnsi" w:cstheme="minorBidi"/>
          <w:szCs w:val="22"/>
        </w:rPr>
      </w:pPr>
      <w:r>
        <w:t>7B.</w:t>
      </w:r>
      <w:r>
        <w:tab/>
        <w:t>Determinations as to fees and allowances of local government councillors</w:t>
      </w:r>
      <w:r>
        <w:tab/>
      </w:r>
      <w:r>
        <w:fldChar w:fldCharType="begin"/>
      </w:r>
      <w:r>
        <w:instrText xml:space="preserve"> PAGEREF _Toc377565144 \h </w:instrText>
      </w:r>
      <w:r>
        <w:fldChar w:fldCharType="separate"/>
      </w:r>
      <w:r>
        <w:t>14</w:t>
      </w:r>
      <w:r>
        <w:fldChar w:fldCharType="end"/>
      </w:r>
    </w:p>
    <w:p>
      <w:pPr>
        <w:pStyle w:val="TOC8"/>
        <w:rPr>
          <w:rFonts w:asciiTheme="minorHAnsi" w:eastAsiaTheme="minorEastAsia" w:hAnsiTheme="minorHAnsi" w:cstheme="minorBidi"/>
          <w:szCs w:val="22"/>
        </w:rPr>
      </w:pPr>
      <w:r>
        <w:t>8.</w:t>
      </w:r>
      <w:r>
        <w:tab/>
        <w:t>Tribunal to report and make a determination annually</w:t>
      </w:r>
      <w:r>
        <w:tab/>
      </w:r>
      <w:r>
        <w:fldChar w:fldCharType="begin"/>
      </w:r>
      <w:r>
        <w:instrText xml:space="preserve"> PAGEREF _Toc377565145 \h </w:instrText>
      </w:r>
      <w:r>
        <w:fldChar w:fldCharType="separate"/>
      </w:r>
      <w:r>
        <w:t>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Meetings of Tribunal</w:t>
      </w:r>
      <w:r>
        <w:tab/>
      </w:r>
      <w:r>
        <w:fldChar w:fldCharType="begin"/>
      </w:r>
      <w:r>
        <w:instrText xml:space="preserve"> PAGEREF _Toc377565146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Method of inquiry by Tribunal</w:t>
      </w:r>
      <w:r>
        <w:tab/>
      </w:r>
      <w:r>
        <w:fldChar w:fldCharType="begin"/>
      </w:r>
      <w:r>
        <w:instrText xml:space="preserve"> PAGEREF _Toc377565147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Fees and allowances</w:t>
      </w:r>
      <w:r>
        <w:tab/>
      </w:r>
      <w:r>
        <w:fldChar w:fldCharType="begin"/>
      </w:r>
      <w:r>
        <w:instrText xml:space="preserve"> PAGEREF _Toc377565148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Part IA — General</w:t>
      </w:r>
    </w:p>
    <w:p>
      <w:pPr>
        <w:pStyle w:val="TOC8"/>
        <w:rPr>
          <w:rFonts w:asciiTheme="minorHAnsi" w:eastAsiaTheme="minorEastAsia" w:hAnsiTheme="minorHAnsi" w:cstheme="minorBidi"/>
          <w:szCs w:val="22"/>
        </w:rPr>
      </w:pPr>
      <w:r>
        <w:t>11A</w:t>
      </w:r>
      <w:r>
        <w:rPr>
          <w:snapToGrid w:val="0"/>
        </w:rPr>
        <w:t>.</w:t>
      </w:r>
      <w:r>
        <w:rPr>
          <w:snapToGrid w:val="0"/>
        </w:rPr>
        <w:tab/>
        <w:t>Arrangements for payment of travelling expenses by Treasurer</w:t>
      </w:r>
      <w:r>
        <w:tab/>
      </w:r>
      <w:r>
        <w:fldChar w:fldCharType="begin"/>
      </w:r>
      <w:r>
        <w:instrText xml:space="preserve"> PAGEREF _Toc377565150 \h </w:instrText>
      </w:r>
      <w:r>
        <w:fldChar w:fldCharType="separate"/>
      </w:r>
      <w:r>
        <w:t>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w:t>
      </w:r>
      <w:r>
        <w:tab/>
      </w:r>
      <w:r>
        <w:fldChar w:fldCharType="begin"/>
      </w:r>
      <w:r>
        <w:instrText xml:space="preserve"> PAGEREF _Toc377565151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Schedule 1 — Offences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_Toc377565154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pPr>
      <w:r>
        <w:t xml:space="preserve">Salaries and Allowances Act 1975 </w:t>
      </w:r>
    </w:p>
    <w:p>
      <w:pPr>
        <w:pStyle w:val="LongTitle"/>
        <w:rPr>
          <w:snapToGrid w:val="0"/>
        </w:rPr>
      </w:pPr>
      <w:r>
        <w:rPr>
          <w:snapToGrid w:val="0"/>
        </w:rPr>
        <w:t xml:space="preserve">An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by No. 34 of 1980 s. 2; No. 58 of 1986 s. 14; No. 19 of 1989 s. 7; No. 68 of 1992 s. 4(3).] </w:t>
      </w:r>
    </w:p>
    <w:p>
      <w:pPr>
        <w:pStyle w:val="Heading2"/>
      </w:pPr>
      <w:bookmarkStart w:id="1" w:name="_Toc377565131"/>
      <w:r>
        <w:rPr>
          <w:rStyle w:val="CharPartNo"/>
        </w:rPr>
        <w:t>Part I</w:t>
      </w:r>
      <w:r>
        <w:rPr>
          <w:rStyle w:val="CharDivNo"/>
        </w:rPr>
        <w:t> </w:t>
      </w:r>
      <w:r>
        <w:t>—</w:t>
      </w:r>
      <w:r>
        <w:rPr>
          <w:rStyle w:val="CharDivText"/>
        </w:rPr>
        <w:t> </w:t>
      </w:r>
      <w:r>
        <w:rPr>
          <w:rStyle w:val="CharPartText"/>
        </w:rPr>
        <w:t>The Tribunal</w:t>
      </w:r>
      <w:bookmarkEnd w:id="1"/>
      <w:r>
        <w:rPr>
          <w:rStyle w:val="CharPartText"/>
        </w:rPr>
        <w:t xml:space="preserve"> </w:t>
      </w:r>
    </w:p>
    <w:p>
      <w:pPr>
        <w:pStyle w:val="Heading5"/>
        <w:rPr>
          <w:snapToGrid w:val="0"/>
        </w:rPr>
      </w:pPr>
      <w:bookmarkStart w:id="2" w:name="_Toc377565132"/>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 xml:space="preserve">[Section 1 amended by No. 34 of 1980 s. 3.] </w:t>
      </w:r>
    </w:p>
    <w:p>
      <w:pPr>
        <w:pStyle w:val="Heading5"/>
        <w:rPr>
          <w:snapToGrid w:val="0"/>
        </w:rPr>
      </w:pPr>
      <w:bookmarkStart w:id="3" w:name="_Toc377565133"/>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t xml:space="preserve">Deleted by No. 58 of 1986 s. 15.] </w:t>
      </w:r>
    </w:p>
    <w:p>
      <w:pPr>
        <w:pStyle w:val="Heading5"/>
        <w:rPr>
          <w:snapToGrid w:val="0"/>
        </w:rPr>
      </w:pPr>
      <w:bookmarkStart w:id="4" w:name="_Toc377565134"/>
      <w:r>
        <w:rPr>
          <w:rStyle w:val="CharSectno"/>
        </w:rPr>
        <w:t>4</w:t>
      </w:r>
      <w:r>
        <w:rPr>
          <w:snapToGrid w:val="0"/>
        </w:rPr>
        <w:t>.</w:t>
      </w:r>
      <w:r>
        <w:rPr>
          <w:snapToGrid w:val="0"/>
        </w:rPr>
        <w:tab/>
        <w:t>Terms used</w:t>
      </w:r>
      <w:bookmarkEnd w:id="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temporarily in place of the Chairman pursuant to section 34 of the </w:t>
      </w:r>
      <w:r>
        <w:rPr>
          <w:i/>
        </w:rPr>
        <w:t>Interpretation Act 1918</w:t>
      </w:r>
      <w:r>
        <w:t xml:space="preserve"> </w:t>
      </w:r>
      <w:r>
        <w:rPr>
          <w:vertAlign w:val="superscript"/>
        </w:rPr>
        <w:t>3</w:t>
      </w:r>
      <w:r>
        <w:t>;</w:t>
      </w:r>
    </w:p>
    <w:p>
      <w:pPr>
        <w:pStyle w:val="Defstart"/>
      </w:pPr>
      <w:r>
        <w:rPr>
          <w:b/>
        </w:rPr>
        <w:tab/>
      </w:r>
      <w:r>
        <w:rPr>
          <w:rStyle w:val="CharDefText"/>
        </w:rPr>
        <w:t>member</w:t>
      </w:r>
      <w:r>
        <w:t xml:space="preserve"> means a member of the Tribunal and includes a person appointed temporarily in place of a member under section 34 of the </w:t>
      </w:r>
      <w:r>
        <w:rPr>
          <w:i/>
        </w:rPr>
        <w:t>Interpretation Act 1918</w:t>
      </w:r>
      <w:r>
        <w:t xml:space="preserve"> </w:t>
      </w:r>
      <w:r>
        <w:rPr>
          <w:vertAlign w:val="superscript"/>
        </w:rPr>
        <w:t>3</w:t>
      </w:r>
      <w:r>
        <w:t>;</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 xml:space="preserve">[Section 4 amended by No. 78 of 1984 s. 20; No. 34 of 1986 s. 4; No. 19 of 1989 s. 8; No. 38 of 1990 s. 7; No. 68 of 1992 s. 4(1) and (2); No. 56 of 2006 s. 6.] </w:t>
      </w:r>
    </w:p>
    <w:p>
      <w:pPr>
        <w:pStyle w:val="Heading5"/>
        <w:rPr>
          <w:snapToGrid w:val="0"/>
        </w:rPr>
      </w:pPr>
      <w:bookmarkStart w:id="5" w:name="_Toc377565135"/>
      <w:r>
        <w:rPr>
          <w:rStyle w:val="CharSectno"/>
        </w:rPr>
        <w:t>5</w:t>
      </w:r>
      <w:r>
        <w:rPr>
          <w:snapToGrid w:val="0"/>
        </w:rPr>
        <w:t>.</w:t>
      </w:r>
      <w:r>
        <w:rPr>
          <w:snapToGrid w:val="0"/>
        </w:rPr>
        <w:tab/>
        <w:t>Establishment of Tribunal</w:t>
      </w:r>
      <w:bookmarkEnd w:id="5"/>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by No. 63 of 1978 s. 2; No. 42 of 1997 s. 8; No. 18 of 2009 s. 78.] </w:t>
      </w:r>
    </w:p>
    <w:p>
      <w:pPr>
        <w:pStyle w:val="Heading5"/>
        <w:rPr>
          <w:snapToGrid w:val="0"/>
        </w:rPr>
      </w:pPr>
      <w:bookmarkStart w:id="6" w:name="_Toc377565136"/>
      <w:r>
        <w:rPr>
          <w:rStyle w:val="CharSectno"/>
        </w:rPr>
        <w:t>5A</w:t>
      </w:r>
      <w:r>
        <w:rPr>
          <w:snapToGrid w:val="0"/>
        </w:rPr>
        <w:t>.</w:t>
      </w:r>
      <w:r>
        <w:rPr>
          <w:snapToGrid w:val="0"/>
        </w:rPr>
        <w:tab/>
        <w:t>Inquiry into and determination of remuneration of Governor</w:t>
      </w:r>
      <w:bookmarkEnd w:id="6"/>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w:t>
      </w:r>
      <w:r>
        <w:rPr>
          <w:snapToGrid w:val="0"/>
          <w:vertAlign w:val="superscript"/>
        </w:rPr>
        <w:t>1</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by No. 19 of 1989 s. 9; amended by No. 77 of 2006 s. 4.] </w:t>
      </w:r>
    </w:p>
    <w:p>
      <w:pPr>
        <w:pStyle w:val="Heading5"/>
        <w:rPr>
          <w:snapToGrid w:val="0"/>
        </w:rPr>
      </w:pPr>
      <w:bookmarkStart w:id="7" w:name="_Toc377565137"/>
      <w:r>
        <w:rPr>
          <w:rStyle w:val="CharSectno"/>
        </w:rPr>
        <w:t>6</w:t>
      </w:r>
      <w:r>
        <w:rPr>
          <w:snapToGrid w:val="0"/>
        </w:rPr>
        <w:t>.</w:t>
      </w:r>
      <w:r>
        <w:rPr>
          <w:snapToGrid w:val="0"/>
        </w:rPr>
        <w:tab/>
        <w:t>Other inquiries into and determinations of remuneration</w:t>
      </w:r>
      <w:bookmarkEnd w:id="7"/>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p>
    <w:p>
      <w:pPr>
        <w:pStyle w:val="Indenta"/>
        <w:rPr>
          <w:snapToGrid w:val="0"/>
        </w:rPr>
      </w:pPr>
      <w:r>
        <w:rPr>
          <w:snapToGrid w:val="0"/>
        </w:rPr>
        <w:tab/>
        <w:t>(c)</w:t>
      </w:r>
      <w:r>
        <w:rPr>
          <w:snapToGrid w:val="0"/>
        </w:rPr>
        <w:tab/>
        <w:t>Clerk of the Legislative Council or Clerk of the Legislative Assembly or the Deputy Clerk of either House;</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rPr>
          <w:rStyle w:val="CharDefText"/>
        </w:rPr>
        <w:t>the 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t xml:space="preserve">Where a member of Parliament (not being a Minister of the Crown, a Parliamentary Secretary appointed under section 44A(1) of the </w:t>
      </w:r>
      <w:r>
        <w:rPr>
          <w:i/>
          <w:snapToGrid w:val="0"/>
        </w:rPr>
        <w:t>Constitution Acts Amendment Act 1899</w:t>
      </w:r>
      <w:r>
        <w:rPr>
          <w:snapToGrid w:val="0"/>
        </w:rPr>
        <w:t>, or the Parliamentary Secretary of the Cabinet) travels in this State or elsewhere in order to perform any duty or function as a representative of the Government or of a Minister of the Crown —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ind w:left="890" w:hanging="890"/>
      </w:pPr>
      <w:r>
        <w:tab/>
        <w:t xml:space="preserve">[Section 6 amended by No. 33 of 1979 s. 2; No. 34 of 1980 s. 5; No. 78 of 1984 s. 21; No. 40 of 1987 s. 104; No. 38 of 1990 s. 8; No. 49 of 1991 s. 3; No. 68 of 1992 s. 4(3) and 5; No. 6 of 1993 s. 11; No. 1 of 1995 s. 37; No. 49 of 1996 s. 64; No. 36 of 2000 </w:t>
      </w:r>
      <w:r>
        <w:rPr>
          <w:spacing w:val="-2"/>
        </w:rPr>
        <w:t>s</w:t>
      </w:r>
      <w:r>
        <w:t>. 57; No. 22 of 2001 s. 3; No. 1 of 2005 s. 10(2); No. 56 of 2006 s. 7; No. 77 of 2006 s. 4; amended in Gazette 15 Aug 2003 p. 3691.]</w:t>
      </w:r>
    </w:p>
    <w:p>
      <w:pPr>
        <w:pStyle w:val="Heading5"/>
        <w:spacing w:before="180"/>
      </w:pPr>
      <w:bookmarkStart w:id="8" w:name="_Toc377565138"/>
      <w:r>
        <w:rPr>
          <w:rStyle w:val="CharSectno"/>
        </w:rPr>
        <w:t>6A</w:t>
      </w:r>
      <w:r>
        <w:t>.</w:t>
      </w:r>
      <w:r>
        <w:tab/>
        <w:t xml:space="preserve">Tribunal’s functions under </w:t>
      </w:r>
      <w:r>
        <w:rPr>
          <w:i/>
        </w:rPr>
        <w:t>Parliamentary Superannuation Act 1970</w:t>
      </w:r>
      <w:bookmarkEnd w:id="8"/>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by No. 37 of 2000 s. 20.]</w:t>
      </w:r>
    </w:p>
    <w:p>
      <w:pPr>
        <w:pStyle w:val="Heading5"/>
        <w:spacing w:before="180"/>
      </w:pPr>
      <w:bookmarkStart w:id="9" w:name="_Toc377565139"/>
      <w:r>
        <w:rPr>
          <w:rStyle w:val="CharSectno"/>
        </w:rPr>
        <w:t>6AA</w:t>
      </w:r>
      <w:r>
        <w:t>.</w:t>
      </w:r>
      <w:r>
        <w:tab/>
        <w:t>Redundancy benefits for members of Parliament</w:t>
      </w:r>
      <w:bookmarkEnd w:id="9"/>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by No. 37 of 2000 s. 20; amended by No. 77 of 2006 s. 4.]</w:t>
      </w:r>
    </w:p>
    <w:p>
      <w:pPr>
        <w:pStyle w:val="Heading5"/>
        <w:rPr>
          <w:snapToGrid w:val="0"/>
        </w:rPr>
      </w:pPr>
      <w:bookmarkStart w:id="10" w:name="_Toc377565140"/>
      <w:r>
        <w:rPr>
          <w:rStyle w:val="CharSectno"/>
        </w:rPr>
        <w:t>6B</w:t>
      </w:r>
      <w:r>
        <w:rPr>
          <w:snapToGrid w:val="0"/>
        </w:rPr>
        <w:t>.</w:t>
      </w:r>
      <w:r>
        <w:rPr>
          <w:snapToGrid w:val="0"/>
        </w:rPr>
        <w:tab/>
        <w:t>Determinations relating to entitlements of former Premiers, Ministers and members of Parliament</w:t>
      </w:r>
      <w:bookmarkEnd w:id="10"/>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by No. 13 of 1987 s. 3; amended by No. 6 of 1993 s. 11; No. 73 of 1994 s. 4; No. 49 of 1996 s. 64; No. 77 of 2006 s. 4.] </w:t>
      </w:r>
    </w:p>
    <w:p>
      <w:pPr>
        <w:pStyle w:val="Heading5"/>
        <w:rPr>
          <w:snapToGrid w:val="0"/>
        </w:rPr>
      </w:pPr>
      <w:bookmarkStart w:id="11" w:name="_Toc377565141"/>
      <w:r>
        <w:rPr>
          <w:rStyle w:val="CharSectno"/>
        </w:rPr>
        <w:t>6C</w:t>
      </w:r>
      <w:r>
        <w:rPr>
          <w:snapToGrid w:val="0"/>
        </w:rPr>
        <w:t>.</w:t>
      </w:r>
      <w:r>
        <w:rPr>
          <w:snapToGrid w:val="0"/>
        </w:rPr>
        <w:tab/>
        <w:t>Forfeiture of former office entitlements</w:t>
      </w:r>
      <w:bookmarkEnd w:id="1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by No. 45 of 1995 s. 4</w:t>
      </w:r>
      <w:r>
        <w:rPr>
          <w:vertAlign w:val="superscript"/>
        </w:rPr>
        <w:t xml:space="preserve"> </w:t>
      </w:r>
      <w:r>
        <w:rPr>
          <w:i w:val="0"/>
          <w:iCs/>
          <w:vertAlign w:val="superscript"/>
        </w:rPr>
        <w:t>4</w:t>
      </w:r>
      <w:r>
        <w:t xml:space="preserve">.] </w:t>
      </w:r>
    </w:p>
    <w:p>
      <w:pPr>
        <w:pStyle w:val="Heading5"/>
        <w:rPr>
          <w:snapToGrid w:val="0"/>
        </w:rPr>
      </w:pPr>
      <w:bookmarkStart w:id="12" w:name="_Toc377565142"/>
      <w:r>
        <w:rPr>
          <w:rStyle w:val="CharSectno"/>
        </w:rPr>
        <w:t>7</w:t>
      </w:r>
      <w:r>
        <w:rPr>
          <w:snapToGrid w:val="0"/>
        </w:rPr>
        <w:t>.</w:t>
      </w:r>
      <w:r>
        <w:rPr>
          <w:snapToGrid w:val="0"/>
        </w:rPr>
        <w:tab/>
        <w:t>Inquiry into and report on judicial salaries</w:t>
      </w:r>
      <w:bookmarkEnd w:id="12"/>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and Crime Commission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by No. 89 of 1975 s. 3; No. 33 of 1979 s. 3; No. 34 of 1980 s. 6; No. 68 of 1992 s. 4(3) and 6; No. 14 of 1994 s. 20; No. 29 of 1996 s. 26; No. 23 of 1997 s. 19; No. 48 of 2003 s. 62; No. 78 of 2003 s. 74(2); No. 45 of 2004 s. 37; No. 8 of 2009 s. 114.] </w:t>
      </w:r>
    </w:p>
    <w:p>
      <w:pPr>
        <w:pStyle w:val="Heading5"/>
      </w:pPr>
      <w:bookmarkStart w:id="13" w:name="_Toc377565143"/>
      <w:r>
        <w:rPr>
          <w:rStyle w:val="CharSectno"/>
        </w:rPr>
        <w:t>7A</w:t>
      </w:r>
      <w:r>
        <w:t>.</w:t>
      </w:r>
      <w:r>
        <w:tab/>
        <w:t>Determinations as to remuneration of local government CEOs</w:t>
      </w:r>
      <w:bookmarkEnd w:id="13"/>
    </w:p>
    <w:p>
      <w:pPr>
        <w:pStyle w:val="Subsection"/>
      </w:pPr>
      <w:r>
        <w:tab/>
        <w:t>(1)</w:t>
      </w:r>
      <w:r>
        <w:tab/>
        <w:t>The Tribunal is to, from time to time as provided by this Act, inquire into and determine, the amount of remuneration, or the minimum and maximum amounts of remuneration, to be paid or provided to chief executive officers of local governments.</w:t>
      </w:r>
    </w:p>
    <w:p>
      <w:pPr>
        <w:pStyle w:val="Subsection"/>
      </w:pPr>
      <w:r>
        <w:tab/>
        <w:t>(2)</w:t>
      </w:r>
      <w:r>
        <w:tab/>
        <w:t>Section 6(2) and (3) apply to a determination under this section.</w:t>
      </w:r>
    </w:p>
    <w:p>
      <w:pPr>
        <w:pStyle w:val="Footnotesection"/>
      </w:pPr>
      <w:r>
        <w:tab/>
        <w:t>[Section 7A inserted by No. 2 of 2012 s. 38.]</w:t>
      </w:r>
    </w:p>
    <w:p>
      <w:pPr>
        <w:pStyle w:val="Heading5"/>
      </w:pPr>
      <w:bookmarkStart w:id="14" w:name="_Toc377565144"/>
      <w:r>
        <w:rPr>
          <w:rStyle w:val="CharSectno"/>
        </w:rPr>
        <w:t>7B</w:t>
      </w:r>
      <w:r>
        <w:t>.</w:t>
      </w:r>
      <w:r>
        <w:tab/>
        <w:t>Determinations as to fees and allowances of local government councillors</w:t>
      </w:r>
      <w:bookmarkEnd w:id="14"/>
    </w:p>
    <w:p>
      <w:pPr>
        <w:pStyle w:val="Subsection"/>
      </w:pPr>
      <w:r>
        <w:tab/>
        <w:t>(1)</w:t>
      </w:r>
      <w:r>
        <w:tab/>
        <w:t xml:space="preserve">In this section — </w:t>
      </w:r>
    </w:p>
    <w:p>
      <w:pPr>
        <w:pStyle w:val="Defstart"/>
      </w:pPr>
      <w:r>
        <w:tab/>
      </w:r>
      <w:r>
        <w:rPr>
          <w:rStyle w:val="CharDefText"/>
        </w:rPr>
        <w:t>elected council member</w:t>
      </w:r>
      <w:r>
        <w:t xml:space="preserve"> means a person elected under the </w:t>
      </w:r>
      <w:r>
        <w:rPr>
          <w:i/>
        </w:rPr>
        <w:t>Local Government Act 1995</w:t>
      </w:r>
      <w:r>
        <w:t xml:space="preserve"> as a member of the council of a local government.</w:t>
      </w:r>
    </w:p>
    <w:p>
      <w:pPr>
        <w:pStyle w:val="Subsection"/>
      </w:pPr>
      <w:r>
        <w:tab/>
        <w:t>(2)</w:t>
      </w:r>
      <w:r>
        <w:tab/>
        <w:t xml:space="preserve">The Tribunal is to, from time to time as provided by this Act, inquire into and determine — </w:t>
      </w:r>
    </w:p>
    <w:p>
      <w:pPr>
        <w:pStyle w:val="Indenta"/>
      </w:pPr>
      <w:r>
        <w:tab/>
        <w:t>(a)</w:t>
      </w:r>
      <w:r>
        <w:tab/>
        <w:t xml:space="preserve">the amount of fees, or the minimum and maximum amounts of fees, to be paid under the </w:t>
      </w:r>
      <w:r>
        <w:rPr>
          <w:i/>
        </w:rPr>
        <w:t>Local Government Act 1995</w:t>
      </w:r>
      <w:r>
        <w:t xml:space="preserve"> to elected council members for attendance at meetings; and</w:t>
      </w:r>
    </w:p>
    <w:p>
      <w:pPr>
        <w:pStyle w:val="Indenta"/>
      </w:pPr>
      <w:r>
        <w:tab/>
        <w:t>(b)</w:t>
      </w:r>
      <w:r>
        <w:tab/>
        <w:t xml:space="preserve">the amount of expenses, or the minimum and maximum amounts of expenses, to be reimbursed under the </w:t>
      </w:r>
      <w:r>
        <w:rPr>
          <w:i/>
        </w:rPr>
        <w:t>Local Government Act 1995</w:t>
      </w:r>
      <w:r>
        <w:t xml:space="preserve"> to elected council members; and</w:t>
      </w:r>
    </w:p>
    <w:p>
      <w:pPr>
        <w:pStyle w:val="Indenta"/>
      </w:pPr>
      <w:r>
        <w:tab/>
        <w:t>(c)</w:t>
      </w:r>
      <w:r>
        <w:tab/>
        <w:t xml:space="preserve">the amount of allowances, or the minimum and maximum amounts of allowances, to be paid under the </w:t>
      </w:r>
      <w:r>
        <w:rPr>
          <w:i/>
        </w:rPr>
        <w:t xml:space="preserve">Local Government Act 1995 </w:t>
      </w:r>
      <w:r>
        <w:t>to elected council members.</w:t>
      </w:r>
    </w:p>
    <w:p>
      <w:pPr>
        <w:pStyle w:val="Subsection"/>
      </w:pPr>
      <w:r>
        <w:tab/>
        <w:t>(3)</w:t>
      </w:r>
      <w:r>
        <w:tab/>
        <w:t>Section 6(2) and (3) apply to a determination under this section.</w:t>
      </w:r>
    </w:p>
    <w:p>
      <w:pPr>
        <w:pStyle w:val="Footnotesection"/>
      </w:pPr>
      <w:r>
        <w:tab/>
        <w:t>[Section 7B inserted by No. 2 of 2012 s. 39.]</w:t>
      </w:r>
    </w:p>
    <w:p>
      <w:pPr>
        <w:pStyle w:val="Heading5"/>
        <w:spacing w:before="180"/>
      </w:pPr>
      <w:bookmarkStart w:id="15" w:name="_Toc377565145"/>
      <w:r>
        <w:rPr>
          <w:rStyle w:val="CharSectno"/>
        </w:rPr>
        <w:t>8</w:t>
      </w:r>
      <w:r>
        <w:t>.</w:t>
      </w:r>
      <w:r>
        <w:tab/>
        <w:t>Tribunal to report and make a determination annually</w:t>
      </w:r>
      <w:bookmarkEnd w:id="15"/>
    </w:p>
    <w:p>
      <w:pPr>
        <w:pStyle w:val="Subsection"/>
      </w:pPr>
      <w:r>
        <w:tab/>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 and</w:t>
      </w:r>
    </w:p>
    <w:p>
      <w:pPr>
        <w:pStyle w:val="Indenta"/>
      </w:pPr>
      <w:r>
        <w:tab/>
        <w:t>(b)</w:t>
      </w:r>
      <w:r>
        <w:tab/>
        <w:t>not more than a year elapses between one report under section 7(1) and another; and</w:t>
      </w:r>
    </w:p>
    <w:p>
      <w:pPr>
        <w:pStyle w:val="Indenta"/>
      </w:pPr>
      <w:r>
        <w:tab/>
        <w:t>(c)</w:t>
      </w:r>
      <w:r>
        <w:tab/>
        <w:t>not more than a year elapses between one determination under section 7A and another; and</w:t>
      </w:r>
    </w:p>
    <w:p>
      <w:pPr>
        <w:pStyle w:val="Indenta"/>
      </w:pPr>
      <w:r>
        <w:tab/>
        <w:t>(d)</w:t>
      </w:r>
      <w:r>
        <w:tab/>
        <w:t>not more than a year elapses between one determination under section 7B(2) and another.</w:t>
      </w:r>
    </w:p>
    <w:p>
      <w:pPr>
        <w:pStyle w:val="Footnotesection"/>
      </w:pPr>
      <w:r>
        <w:tab/>
        <w:t>[Section 8 inserted by No. 37 of 2000 s. 21; amended by No. 49 of 2004 s. 13; No. 2 of 2012 s. 40.]</w:t>
      </w:r>
    </w:p>
    <w:p>
      <w:pPr>
        <w:pStyle w:val="Heading5"/>
        <w:rPr>
          <w:snapToGrid w:val="0"/>
        </w:rPr>
      </w:pPr>
      <w:bookmarkStart w:id="16" w:name="_Toc377565146"/>
      <w:r>
        <w:rPr>
          <w:rStyle w:val="CharSectno"/>
        </w:rPr>
        <w:t>9</w:t>
      </w:r>
      <w:r>
        <w:rPr>
          <w:snapToGrid w:val="0"/>
        </w:rPr>
        <w:t>.</w:t>
      </w:r>
      <w:r>
        <w:rPr>
          <w:snapToGrid w:val="0"/>
        </w:rPr>
        <w:tab/>
        <w:t>Meetings of Tribunal</w:t>
      </w:r>
      <w:bookmarkEnd w:id="16"/>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w:t>
      </w:r>
    </w:p>
    <w:p>
      <w:pPr>
        <w:pStyle w:val="Indenta"/>
        <w:rPr>
          <w:snapToGrid w:val="0"/>
        </w:rPr>
      </w:pPr>
      <w:r>
        <w:rPr>
          <w:snapToGrid w:val="0"/>
        </w:rPr>
        <w:tab/>
        <w:t>(b)</w:t>
      </w:r>
      <w:r>
        <w:rPr>
          <w:snapToGrid w:val="0"/>
        </w:rPr>
        <w:tab/>
        <w:t>2 members constitute a quorum;</w:t>
      </w:r>
    </w:p>
    <w:p>
      <w:pPr>
        <w:pStyle w:val="Indenta"/>
        <w:rPr>
          <w:snapToGrid w:val="0"/>
        </w:rPr>
      </w:pPr>
      <w:r>
        <w:rPr>
          <w:snapToGrid w:val="0"/>
        </w:rPr>
        <w:tab/>
        <w:t>(c)</w:t>
      </w:r>
      <w:r>
        <w:rPr>
          <w:snapToGrid w:val="0"/>
        </w:rPr>
        <w:tab/>
        <w:t>all questions shall be decided by a majority of the votes of the members present and voting;</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17" w:name="_Toc377565147"/>
      <w:r>
        <w:rPr>
          <w:rStyle w:val="CharSectno"/>
        </w:rPr>
        <w:t>10</w:t>
      </w:r>
      <w:r>
        <w:rPr>
          <w:snapToGrid w:val="0"/>
        </w:rPr>
        <w:t>.</w:t>
      </w:r>
      <w:r>
        <w:rPr>
          <w:snapToGrid w:val="0"/>
        </w:rPr>
        <w:tab/>
        <w:t>Method of inquiry by Tribunal</w:t>
      </w:r>
      <w:bookmarkEnd w:id="17"/>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w:t>
      </w:r>
    </w:p>
    <w:p>
      <w:pPr>
        <w:pStyle w:val="Indenta"/>
        <w:rPr>
          <w:snapToGrid w:val="0"/>
        </w:rPr>
      </w:pPr>
      <w:r>
        <w:rPr>
          <w:snapToGrid w:val="0"/>
        </w:rPr>
        <w:tab/>
        <w:t>(b)</w:t>
      </w:r>
      <w:r>
        <w:rPr>
          <w:snapToGrid w:val="0"/>
        </w:rPr>
        <w:tab/>
        <w:t>the Tribunal may receive written or oral statements;</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w:t>
      </w:r>
    </w:p>
    <w:p>
      <w:pPr>
        <w:pStyle w:val="Indenta"/>
      </w:pPr>
      <w:r>
        <w:rPr>
          <w:snapToGrid w:val="0"/>
        </w:rPr>
        <w:tab/>
        <w:t>(b)</w:t>
      </w:r>
      <w:r>
        <w:rPr>
          <w:snapToGrid w:val="0"/>
        </w:rPr>
        <w:tab/>
        <w:t xml:space="preserve">appoint a person nominated from time to time in writing by the </w:t>
      </w:r>
      <w:r>
        <w:t>Public Sector Commissioner</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 </w:t>
      </w:r>
    </w:p>
    <w:p>
      <w:pPr>
        <w:pStyle w:val="Indenti"/>
      </w:pPr>
      <w:r>
        <w:tab/>
        <w:t>(i)</w:t>
      </w:r>
      <w:r>
        <w:tab/>
        <w:t>the remuneration to be paid or provided to chief executive officers of local governments referred to in section 7A; or</w:t>
      </w:r>
    </w:p>
    <w:p>
      <w:pPr>
        <w:pStyle w:val="Indenti"/>
      </w:pPr>
      <w:r>
        <w:tab/>
        <w:t>(ii)</w:t>
      </w:r>
      <w:r>
        <w:tab/>
        <w:t>the fees, expenses and allowances to be paid to elected council members referred to in section 7B.</w:t>
      </w:r>
    </w:p>
    <w:p>
      <w:pPr>
        <w:pStyle w:val="Footnotesection"/>
      </w:pPr>
      <w:r>
        <w:tab/>
        <w:t xml:space="preserve">[Section 10 amended by No. 33 of 1979 s. 4; No. 38 of 1990 s. 9; No. 68 of 1992 s. 4(3); No. 32 of 1994 s. 19; No. 73 of 1994 s. 4; No. 49 of 2004 s. 13; No. 39 of 2010 s. 83; No. 2 of 2012 s. 41.] </w:t>
      </w:r>
    </w:p>
    <w:p>
      <w:pPr>
        <w:pStyle w:val="Heading5"/>
        <w:rPr>
          <w:snapToGrid w:val="0"/>
        </w:rPr>
      </w:pPr>
      <w:bookmarkStart w:id="18" w:name="_Toc377565148"/>
      <w:r>
        <w:rPr>
          <w:rStyle w:val="CharSectno"/>
        </w:rPr>
        <w:t>11</w:t>
      </w:r>
      <w:r>
        <w:rPr>
          <w:snapToGrid w:val="0"/>
        </w:rPr>
        <w:t>.</w:t>
      </w:r>
      <w:r>
        <w:rPr>
          <w:snapToGrid w:val="0"/>
        </w:rPr>
        <w:tab/>
        <w:t>Fees and allowances</w:t>
      </w:r>
      <w:bookmarkEnd w:id="18"/>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19" w:name="_Toc377565149"/>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General</w:t>
      </w:r>
      <w:bookmarkEnd w:id="19"/>
      <w:r>
        <w:rPr>
          <w:rStyle w:val="CharPartText"/>
        </w:rPr>
        <w:t xml:space="preserve"> </w:t>
      </w:r>
    </w:p>
    <w:p>
      <w:pPr>
        <w:pStyle w:val="Footnoteheading"/>
        <w:ind w:left="890"/>
        <w:rPr>
          <w:snapToGrid w:val="0"/>
        </w:rPr>
      </w:pPr>
      <w:r>
        <w:rPr>
          <w:snapToGrid w:val="0"/>
        </w:rPr>
        <w:tab/>
        <w:t xml:space="preserve">[Heading inserted by No. 34 of 1980 s. 7.] </w:t>
      </w:r>
    </w:p>
    <w:p>
      <w:pPr>
        <w:pStyle w:val="Heading5"/>
        <w:rPr>
          <w:snapToGrid w:val="0"/>
        </w:rPr>
      </w:pPr>
      <w:bookmarkStart w:id="20" w:name="_Toc377565150"/>
      <w:r>
        <w:rPr>
          <w:rStyle w:val="CharSectno"/>
        </w:rPr>
        <w:t>11A</w:t>
      </w:r>
      <w:r>
        <w:rPr>
          <w:snapToGrid w:val="0"/>
        </w:rPr>
        <w:t>.</w:t>
      </w:r>
      <w:r>
        <w:rPr>
          <w:snapToGrid w:val="0"/>
        </w:rPr>
        <w:tab/>
        <w:t>Arrangements for payment of travelling expenses by Treasurer</w:t>
      </w:r>
      <w:bookmarkEnd w:id="20"/>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by No. 34 of 1980 s. 7; amended by No. 6 of 1993 s. 11; No. 49 of 1996 s. 64; No. 36 of 2000 s. 26; No. 77 of 2006 s. 4.] </w:t>
      </w:r>
    </w:p>
    <w:p>
      <w:pPr>
        <w:pStyle w:val="Heading5"/>
        <w:rPr>
          <w:snapToGrid w:val="0"/>
        </w:rPr>
      </w:pPr>
      <w:bookmarkStart w:id="21" w:name="_Toc377565151"/>
      <w:r>
        <w:rPr>
          <w:rStyle w:val="CharSectno"/>
        </w:rPr>
        <w:t>12</w:t>
      </w:r>
      <w:r>
        <w:rPr>
          <w:snapToGrid w:val="0"/>
        </w:rPr>
        <w:t>.</w:t>
      </w:r>
      <w:r>
        <w:rPr>
          <w:snapToGrid w:val="0"/>
        </w:rPr>
        <w:tab/>
        <w:t>Regulations</w:t>
      </w:r>
      <w:bookmarkEnd w:id="21"/>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by No. 37 of 2000 s. 22.]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2" w:name="_Toc377565152"/>
      <w:r>
        <w:rPr>
          <w:rStyle w:val="CharSchNo"/>
        </w:rPr>
        <w:t>Schedule 1</w:t>
      </w:r>
      <w:r>
        <w:t> — </w:t>
      </w:r>
      <w:r>
        <w:rPr>
          <w:rStyle w:val="CharSchText"/>
        </w:rPr>
        <w:t>Offences</w:t>
      </w:r>
      <w:bookmarkEnd w:id="22"/>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by No. 45 of 1995 s. 5.]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3" w:name="_Toc377565153"/>
      <w:r>
        <w:t>Notes</w:t>
      </w:r>
      <w:bookmarkEnd w:id="23"/>
    </w:p>
    <w:p>
      <w:pPr>
        <w:pStyle w:val="nSubsection"/>
        <w:rPr>
          <w:snapToGrid w:val="0"/>
        </w:rPr>
      </w:pPr>
      <w:r>
        <w:rPr>
          <w:snapToGrid w:val="0"/>
          <w:vertAlign w:val="superscript"/>
        </w:rPr>
        <w:t>1</w:t>
      </w:r>
      <w:r>
        <w:rPr>
          <w:snapToGrid w:val="0"/>
        </w:rPr>
        <w:tab/>
        <w:t xml:space="preserve">This is a compilation of the </w:t>
      </w:r>
      <w:r>
        <w:rPr>
          <w:i/>
          <w:noProof/>
          <w:snapToGrid w:val="0"/>
        </w:rPr>
        <w:t>Salaries and Allowances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4" w:name="_Toc377565154"/>
      <w:r>
        <w:t>Compilation table</w:t>
      </w:r>
      <w:bookmarkEnd w:id="24"/>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19"/>
        <w:gridCol w:w="1115"/>
        <w:gridCol w:w="19"/>
        <w:gridCol w:w="1115"/>
        <w:gridCol w:w="19"/>
        <w:gridCol w:w="2532"/>
        <w:gridCol w:w="24"/>
      </w:tblGrid>
      <w:tr>
        <w:trPr>
          <w:gridBefore w:val="1"/>
          <w:wBefore w:w="21" w:type="dxa"/>
          <w:cantSplit/>
          <w:tblHeader/>
        </w:trPr>
        <w:tc>
          <w:tcPr>
            <w:tcW w:w="2267" w:type="dxa"/>
            <w:gridSpan w:val="2"/>
            <w:tcBorders>
              <w:top w:val="single" w:sz="8" w:space="0" w:color="auto"/>
              <w:bottom w:val="single" w:sz="8" w:space="0" w:color="auto"/>
            </w:tcBorders>
            <w:shd w:val="clear" w:color="auto" w:fill="auto"/>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6"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21" w:type="dxa"/>
          <w:cantSplit/>
        </w:trPr>
        <w:tc>
          <w:tcPr>
            <w:tcW w:w="2267" w:type="dxa"/>
            <w:gridSpan w:val="2"/>
            <w:tcBorders>
              <w:top w:val="single" w:sz="8" w:space="0" w:color="auto"/>
            </w:tcBorders>
          </w:tcPr>
          <w:p>
            <w:pPr>
              <w:pStyle w:val="nTable"/>
              <w:spacing w:after="40"/>
              <w:ind w:right="170"/>
              <w:rPr>
                <w:sz w:val="19"/>
                <w:vertAlign w:val="superscript"/>
              </w:rPr>
            </w:pPr>
            <w:r>
              <w:rPr>
                <w:i/>
                <w:sz w:val="19"/>
              </w:rPr>
              <w:t>Salaries and Allowances Tribunal Act 1975</w:t>
            </w:r>
            <w:r>
              <w:rPr>
                <w:sz w:val="19"/>
                <w:vertAlign w:val="superscript"/>
              </w:rPr>
              <w:t> 5</w:t>
            </w:r>
          </w:p>
        </w:tc>
        <w:tc>
          <w:tcPr>
            <w:tcW w:w="1134" w:type="dxa"/>
            <w:gridSpan w:val="2"/>
            <w:tcBorders>
              <w:top w:val="single" w:sz="8" w:space="0" w:color="auto"/>
            </w:tcBorders>
          </w:tcPr>
          <w:p>
            <w:pPr>
              <w:pStyle w:val="nTable"/>
              <w:spacing w:after="40"/>
              <w:rPr>
                <w:sz w:val="19"/>
              </w:rPr>
            </w:pPr>
            <w:r>
              <w:rPr>
                <w:sz w:val="19"/>
              </w:rPr>
              <w:t>27 of 1975</w:t>
            </w:r>
          </w:p>
        </w:tc>
        <w:tc>
          <w:tcPr>
            <w:tcW w:w="1134" w:type="dxa"/>
            <w:gridSpan w:val="2"/>
            <w:tcBorders>
              <w:top w:val="single" w:sz="8" w:space="0" w:color="auto"/>
            </w:tcBorders>
          </w:tcPr>
          <w:p>
            <w:pPr>
              <w:pStyle w:val="nTable"/>
              <w:spacing w:after="40"/>
              <w:rPr>
                <w:sz w:val="19"/>
              </w:rPr>
            </w:pPr>
            <w:r>
              <w:rPr>
                <w:sz w:val="19"/>
              </w:rPr>
              <w:t>16 May 1975</w:t>
            </w:r>
          </w:p>
        </w:tc>
        <w:tc>
          <w:tcPr>
            <w:tcW w:w="2556" w:type="dxa"/>
            <w:gridSpan w:val="2"/>
            <w:tcBorders>
              <w:top w:val="single" w:sz="8" w:space="0" w:color="auto"/>
            </w:tcBorders>
          </w:tcPr>
          <w:p>
            <w:pPr>
              <w:pStyle w:val="nTable"/>
              <w:spacing w:after="40"/>
              <w:rPr>
                <w:sz w:val="19"/>
              </w:rPr>
            </w:pPr>
            <w:r>
              <w:rPr>
                <w:sz w:val="19"/>
              </w:rPr>
              <w:t xml:space="preserve">Act other than s. 13: 16 May 1975 (see s. 2(1)); </w:t>
            </w:r>
            <w:r>
              <w:rPr>
                <w:sz w:val="19"/>
              </w:rPr>
              <w:br/>
              <w:t xml:space="preserve">s. 13: 8 Aug 1975 (see s. 2(2) and </w:t>
            </w:r>
            <w:r>
              <w:rPr>
                <w:i/>
                <w:sz w:val="19"/>
              </w:rPr>
              <w:t>Gazette</w:t>
            </w:r>
            <w:r>
              <w:rPr>
                <w:sz w:val="19"/>
              </w:rPr>
              <w:t xml:space="preserve"> 12 Aug 1975 p. 2951)</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1975</w:t>
            </w:r>
          </w:p>
        </w:tc>
        <w:tc>
          <w:tcPr>
            <w:tcW w:w="1134" w:type="dxa"/>
            <w:gridSpan w:val="2"/>
          </w:tcPr>
          <w:p>
            <w:pPr>
              <w:pStyle w:val="nTable"/>
              <w:spacing w:after="40"/>
              <w:rPr>
                <w:sz w:val="19"/>
              </w:rPr>
            </w:pPr>
            <w:r>
              <w:rPr>
                <w:sz w:val="19"/>
              </w:rPr>
              <w:t>89 of 1975</w:t>
            </w:r>
          </w:p>
        </w:tc>
        <w:tc>
          <w:tcPr>
            <w:tcW w:w="1134" w:type="dxa"/>
            <w:gridSpan w:val="2"/>
          </w:tcPr>
          <w:p>
            <w:pPr>
              <w:pStyle w:val="nTable"/>
              <w:spacing w:after="40"/>
              <w:rPr>
                <w:sz w:val="19"/>
              </w:rPr>
            </w:pPr>
            <w:r>
              <w:rPr>
                <w:sz w:val="19"/>
              </w:rPr>
              <w:t>20 Nov 1975</w:t>
            </w:r>
          </w:p>
        </w:tc>
        <w:tc>
          <w:tcPr>
            <w:tcW w:w="2556" w:type="dxa"/>
            <w:gridSpan w:val="2"/>
          </w:tcPr>
          <w:p>
            <w:pPr>
              <w:pStyle w:val="nTable"/>
              <w:spacing w:after="40"/>
              <w:rPr>
                <w:sz w:val="19"/>
              </w:rPr>
            </w:pPr>
            <w:r>
              <w:rPr>
                <w:sz w:val="19"/>
              </w:rPr>
              <w:t>19 Sep 1975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1978</w:t>
            </w:r>
          </w:p>
        </w:tc>
        <w:tc>
          <w:tcPr>
            <w:tcW w:w="1134" w:type="dxa"/>
            <w:gridSpan w:val="2"/>
          </w:tcPr>
          <w:p>
            <w:pPr>
              <w:pStyle w:val="nTable"/>
              <w:spacing w:after="40"/>
              <w:rPr>
                <w:sz w:val="19"/>
              </w:rPr>
            </w:pPr>
            <w:r>
              <w:rPr>
                <w:sz w:val="19"/>
              </w:rPr>
              <w:t>63 of 1978</w:t>
            </w:r>
          </w:p>
        </w:tc>
        <w:tc>
          <w:tcPr>
            <w:tcW w:w="1134" w:type="dxa"/>
            <w:gridSpan w:val="2"/>
          </w:tcPr>
          <w:p>
            <w:pPr>
              <w:pStyle w:val="nTable"/>
              <w:spacing w:after="40"/>
              <w:rPr>
                <w:sz w:val="19"/>
              </w:rPr>
            </w:pPr>
            <w:r>
              <w:rPr>
                <w:sz w:val="19"/>
              </w:rPr>
              <w:t>22 Sep 1978</w:t>
            </w:r>
          </w:p>
        </w:tc>
        <w:tc>
          <w:tcPr>
            <w:tcW w:w="2556" w:type="dxa"/>
            <w:gridSpan w:val="2"/>
          </w:tcPr>
          <w:p>
            <w:pPr>
              <w:pStyle w:val="nTable"/>
              <w:spacing w:after="40"/>
              <w:rPr>
                <w:sz w:val="19"/>
              </w:rPr>
            </w:pPr>
            <w:r>
              <w:rPr>
                <w:sz w:val="19"/>
              </w:rPr>
              <w:t>22 Sep 1978</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1979</w:t>
            </w:r>
          </w:p>
        </w:tc>
        <w:tc>
          <w:tcPr>
            <w:tcW w:w="1134" w:type="dxa"/>
            <w:gridSpan w:val="2"/>
          </w:tcPr>
          <w:p>
            <w:pPr>
              <w:pStyle w:val="nTable"/>
              <w:spacing w:after="40"/>
              <w:rPr>
                <w:sz w:val="19"/>
              </w:rPr>
            </w:pPr>
            <w:r>
              <w:rPr>
                <w:sz w:val="19"/>
              </w:rPr>
              <w:t>33 of 1979</w:t>
            </w:r>
          </w:p>
        </w:tc>
        <w:tc>
          <w:tcPr>
            <w:tcW w:w="1134" w:type="dxa"/>
            <w:gridSpan w:val="2"/>
          </w:tcPr>
          <w:p>
            <w:pPr>
              <w:pStyle w:val="nTable"/>
              <w:spacing w:after="40"/>
              <w:rPr>
                <w:sz w:val="19"/>
              </w:rPr>
            </w:pPr>
            <w:r>
              <w:rPr>
                <w:sz w:val="19"/>
              </w:rPr>
              <w:t>11 Oct 1979</w:t>
            </w:r>
          </w:p>
        </w:tc>
        <w:tc>
          <w:tcPr>
            <w:tcW w:w="2556" w:type="dxa"/>
            <w:gridSpan w:val="2"/>
          </w:tcPr>
          <w:p>
            <w:pPr>
              <w:pStyle w:val="nTable"/>
              <w:spacing w:after="40"/>
              <w:rPr>
                <w:sz w:val="19"/>
              </w:rPr>
            </w:pPr>
            <w:r>
              <w:rPr>
                <w:sz w:val="19"/>
              </w:rPr>
              <w:t>11 Oct 1979</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Amendment Act 1980</w:t>
            </w:r>
          </w:p>
        </w:tc>
        <w:tc>
          <w:tcPr>
            <w:tcW w:w="1134" w:type="dxa"/>
            <w:gridSpan w:val="2"/>
          </w:tcPr>
          <w:p>
            <w:pPr>
              <w:pStyle w:val="nTable"/>
              <w:spacing w:after="40"/>
              <w:rPr>
                <w:sz w:val="19"/>
              </w:rPr>
            </w:pPr>
            <w:r>
              <w:rPr>
                <w:sz w:val="19"/>
              </w:rPr>
              <w:t>34 of 1980</w:t>
            </w:r>
          </w:p>
        </w:tc>
        <w:tc>
          <w:tcPr>
            <w:tcW w:w="1134" w:type="dxa"/>
            <w:gridSpan w:val="2"/>
          </w:tcPr>
          <w:p>
            <w:pPr>
              <w:pStyle w:val="nTable"/>
              <w:spacing w:after="40"/>
              <w:rPr>
                <w:sz w:val="19"/>
              </w:rPr>
            </w:pPr>
            <w:r>
              <w:rPr>
                <w:sz w:val="19"/>
              </w:rPr>
              <w:t>5 Nov 1980</w:t>
            </w:r>
          </w:p>
        </w:tc>
        <w:tc>
          <w:tcPr>
            <w:tcW w:w="2556" w:type="dxa"/>
            <w:gridSpan w:val="2"/>
          </w:tcPr>
          <w:p>
            <w:pPr>
              <w:pStyle w:val="nTable"/>
              <w:spacing w:after="40"/>
              <w:rPr>
                <w:sz w:val="19"/>
              </w:rPr>
            </w:pPr>
            <w:r>
              <w:rPr>
                <w:sz w:val="19"/>
              </w:rPr>
              <w:t>5 Nov 1980</w:t>
            </w:r>
          </w:p>
        </w:tc>
      </w:tr>
      <w:tr>
        <w:trPr>
          <w:gridBefore w:val="1"/>
          <w:wBefore w:w="21" w:type="dxa"/>
          <w:cantSplit/>
        </w:trPr>
        <w:tc>
          <w:tcPr>
            <w:tcW w:w="2267" w:type="dxa"/>
            <w:gridSpan w:val="2"/>
          </w:tcPr>
          <w:p>
            <w:pPr>
              <w:pStyle w:val="nTable"/>
              <w:spacing w:after="40"/>
              <w:ind w:right="170"/>
              <w:rPr>
                <w:sz w:val="19"/>
              </w:rPr>
            </w:pPr>
            <w:r>
              <w:rPr>
                <w:i/>
                <w:sz w:val="19"/>
              </w:rPr>
              <w:t>Acts Amendment and Repeal (Disqualification for Parliament) Act 1984</w:t>
            </w:r>
            <w:r>
              <w:rPr>
                <w:sz w:val="19"/>
              </w:rPr>
              <w:t xml:space="preserve"> Pt. X</w:t>
            </w:r>
          </w:p>
        </w:tc>
        <w:tc>
          <w:tcPr>
            <w:tcW w:w="1134" w:type="dxa"/>
            <w:gridSpan w:val="2"/>
          </w:tcPr>
          <w:p>
            <w:pPr>
              <w:pStyle w:val="nTable"/>
              <w:spacing w:after="40"/>
              <w:rPr>
                <w:sz w:val="19"/>
              </w:rPr>
            </w:pPr>
            <w:r>
              <w:rPr>
                <w:sz w:val="19"/>
              </w:rPr>
              <w:t>78 of 1984</w:t>
            </w:r>
          </w:p>
        </w:tc>
        <w:tc>
          <w:tcPr>
            <w:tcW w:w="1134" w:type="dxa"/>
            <w:gridSpan w:val="2"/>
          </w:tcPr>
          <w:p>
            <w:pPr>
              <w:pStyle w:val="nTable"/>
              <w:spacing w:after="40"/>
              <w:rPr>
                <w:sz w:val="19"/>
              </w:rPr>
            </w:pPr>
            <w:r>
              <w:rPr>
                <w:sz w:val="19"/>
              </w:rPr>
              <w:t>14 Nov 1984</w:t>
            </w:r>
          </w:p>
        </w:tc>
        <w:tc>
          <w:tcPr>
            <w:tcW w:w="255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1986</w:t>
            </w:r>
          </w:p>
        </w:tc>
        <w:tc>
          <w:tcPr>
            <w:tcW w:w="1134" w:type="dxa"/>
            <w:gridSpan w:val="2"/>
          </w:tcPr>
          <w:p>
            <w:pPr>
              <w:pStyle w:val="nTable"/>
              <w:keepNext/>
              <w:spacing w:after="40"/>
              <w:rPr>
                <w:sz w:val="19"/>
              </w:rPr>
            </w:pPr>
            <w:r>
              <w:rPr>
                <w:sz w:val="19"/>
              </w:rPr>
              <w:t>34 of 1986</w:t>
            </w:r>
          </w:p>
        </w:tc>
        <w:tc>
          <w:tcPr>
            <w:tcW w:w="1134" w:type="dxa"/>
            <w:gridSpan w:val="2"/>
          </w:tcPr>
          <w:p>
            <w:pPr>
              <w:pStyle w:val="nTable"/>
              <w:keepNext/>
              <w:spacing w:after="40"/>
              <w:rPr>
                <w:sz w:val="19"/>
              </w:rPr>
            </w:pPr>
            <w:r>
              <w:rPr>
                <w:sz w:val="19"/>
              </w:rPr>
              <w:t>1 Aug 1986</w:t>
            </w:r>
          </w:p>
        </w:tc>
        <w:tc>
          <w:tcPr>
            <w:tcW w:w="2556" w:type="dxa"/>
            <w:gridSpan w:val="2"/>
          </w:tcPr>
          <w:p>
            <w:pPr>
              <w:pStyle w:val="nTable"/>
              <w:keepNext/>
              <w:spacing w:after="40"/>
              <w:rPr>
                <w:sz w:val="19"/>
              </w:rPr>
            </w:pPr>
            <w:r>
              <w:rPr>
                <w:sz w:val="19"/>
              </w:rPr>
              <w:t>1 Aug 1986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1986</w:t>
            </w:r>
            <w:r>
              <w:rPr>
                <w:sz w:val="19"/>
              </w:rPr>
              <w:t xml:space="preserve"> Pt. II</w:t>
            </w:r>
          </w:p>
        </w:tc>
        <w:tc>
          <w:tcPr>
            <w:tcW w:w="1134" w:type="dxa"/>
            <w:gridSpan w:val="2"/>
          </w:tcPr>
          <w:p>
            <w:pPr>
              <w:pStyle w:val="nTable"/>
              <w:keepNext/>
              <w:spacing w:after="40"/>
              <w:rPr>
                <w:sz w:val="19"/>
              </w:rPr>
            </w:pPr>
            <w:r>
              <w:rPr>
                <w:sz w:val="19"/>
              </w:rPr>
              <w:t>58 of 1986</w:t>
            </w:r>
          </w:p>
        </w:tc>
        <w:tc>
          <w:tcPr>
            <w:tcW w:w="1134" w:type="dxa"/>
            <w:gridSpan w:val="2"/>
          </w:tcPr>
          <w:p>
            <w:pPr>
              <w:pStyle w:val="nTable"/>
              <w:spacing w:after="40"/>
              <w:rPr>
                <w:sz w:val="19"/>
              </w:rPr>
            </w:pPr>
            <w:r>
              <w:rPr>
                <w:sz w:val="19"/>
              </w:rPr>
              <w:t>26 Nov 1986</w:t>
            </w:r>
          </w:p>
        </w:tc>
        <w:tc>
          <w:tcPr>
            <w:tcW w:w="2556" w:type="dxa"/>
            <w:gridSpan w:val="2"/>
          </w:tcPr>
          <w:p>
            <w:pPr>
              <w:pStyle w:val="nTable"/>
              <w:spacing w:after="40"/>
              <w:rPr>
                <w:sz w:val="19"/>
              </w:rPr>
            </w:pPr>
            <w:r>
              <w:rPr>
                <w:sz w:val="19"/>
              </w:rPr>
              <w:t>24 Dec 1986</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1987</w:t>
            </w:r>
          </w:p>
        </w:tc>
        <w:tc>
          <w:tcPr>
            <w:tcW w:w="1134" w:type="dxa"/>
            <w:gridSpan w:val="2"/>
          </w:tcPr>
          <w:p>
            <w:pPr>
              <w:pStyle w:val="nTable"/>
              <w:spacing w:after="40"/>
              <w:rPr>
                <w:sz w:val="19"/>
              </w:rPr>
            </w:pPr>
            <w:r>
              <w:rPr>
                <w:sz w:val="19"/>
              </w:rPr>
              <w:t>13 of 1987</w:t>
            </w:r>
          </w:p>
        </w:tc>
        <w:tc>
          <w:tcPr>
            <w:tcW w:w="1134" w:type="dxa"/>
            <w:gridSpan w:val="2"/>
          </w:tcPr>
          <w:p>
            <w:pPr>
              <w:pStyle w:val="nTable"/>
              <w:spacing w:after="40"/>
              <w:rPr>
                <w:sz w:val="19"/>
              </w:rPr>
            </w:pPr>
            <w:r>
              <w:rPr>
                <w:sz w:val="19"/>
              </w:rPr>
              <w:t>25 Jun 1987</w:t>
            </w:r>
          </w:p>
        </w:tc>
        <w:tc>
          <w:tcPr>
            <w:tcW w:w="2556" w:type="dxa"/>
            <w:gridSpan w:val="2"/>
          </w:tcPr>
          <w:p>
            <w:pPr>
              <w:pStyle w:val="nTable"/>
              <w:spacing w:after="40"/>
              <w:rPr>
                <w:sz w:val="19"/>
              </w:rPr>
            </w:pPr>
            <w:r>
              <w:rPr>
                <w:sz w:val="19"/>
              </w:rPr>
              <w:t>25 Jun 1987 (see s. 2)</w:t>
            </w:r>
          </w:p>
        </w:tc>
      </w:tr>
      <w:tr>
        <w:trPr>
          <w:gridBefore w:val="1"/>
          <w:wBefore w:w="21" w:type="dxa"/>
          <w:cantSplit/>
        </w:trPr>
        <w:tc>
          <w:tcPr>
            <w:tcW w:w="2267" w:type="dxa"/>
            <w:gridSpan w:val="2"/>
          </w:tcPr>
          <w:p>
            <w:pPr>
              <w:pStyle w:val="nTable"/>
              <w:spacing w:after="40"/>
              <w:ind w:right="170"/>
              <w:rPr>
                <w:sz w:val="19"/>
              </w:rPr>
            </w:pPr>
            <w:r>
              <w:rPr>
                <w:i/>
                <w:sz w:val="19"/>
              </w:rPr>
              <w:t>Acts Amendment (Electoral Reform) Act 1987</w:t>
            </w:r>
            <w:r>
              <w:rPr>
                <w:sz w:val="19"/>
              </w:rPr>
              <w:t xml:space="preserve"> Pt. VII</w:t>
            </w:r>
          </w:p>
        </w:tc>
        <w:tc>
          <w:tcPr>
            <w:tcW w:w="1134" w:type="dxa"/>
            <w:gridSpan w:val="2"/>
          </w:tcPr>
          <w:p>
            <w:pPr>
              <w:pStyle w:val="nTable"/>
              <w:spacing w:after="40"/>
              <w:rPr>
                <w:sz w:val="19"/>
              </w:rPr>
            </w:pPr>
            <w:r>
              <w:rPr>
                <w:sz w:val="19"/>
              </w:rPr>
              <w:t>40 of 1987</w:t>
            </w:r>
          </w:p>
        </w:tc>
        <w:tc>
          <w:tcPr>
            <w:tcW w:w="1134" w:type="dxa"/>
            <w:gridSpan w:val="2"/>
          </w:tcPr>
          <w:p>
            <w:pPr>
              <w:pStyle w:val="nTable"/>
              <w:spacing w:after="40"/>
              <w:rPr>
                <w:sz w:val="19"/>
              </w:rPr>
            </w:pPr>
            <w:r>
              <w:rPr>
                <w:sz w:val="19"/>
              </w:rPr>
              <w:t>12 Jul 1987</w:t>
            </w:r>
          </w:p>
        </w:tc>
        <w:tc>
          <w:tcPr>
            <w:tcW w:w="255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1987</w:t>
            </w:r>
            <w:r>
              <w:rPr>
                <w:sz w:val="19"/>
              </w:rPr>
              <w:t xml:space="preserve"> Pt. II</w:t>
            </w:r>
          </w:p>
        </w:tc>
        <w:tc>
          <w:tcPr>
            <w:tcW w:w="1134" w:type="dxa"/>
            <w:gridSpan w:val="2"/>
          </w:tcPr>
          <w:p>
            <w:pPr>
              <w:pStyle w:val="nTable"/>
              <w:spacing w:after="40"/>
              <w:rPr>
                <w:sz w:val="19"/>
              </w:rPr>
            </w:pPr>
            <w:r>
              <w:rPr>
                <w:sz w:val="19"/>
              </w:rPr>
              <w:t>103 of 1987</w:t>
            </w:r>
          </w:p>
        </w:tc>
        <w:tc>
          <w:tcPr>
            <w:tcW w:w="1134" w:type="dxa"/>
            <w:gridSpan w:val="2"/>
          </w:tcPr>
          <w:p>
            <w:pPr>
              <w:pStyle w:val="nTable"/>
              <w:spacing w:after="40"/>
              <w:rPr>
                <w:sz w:val="19"/>
              </w:rPr>
            </w:pPr>
            <w:r>
              <w:rPr>
                <w:sz w:val="19"/>
              </w:rPr>
              <w:t>16 Dec 1987</w:t>
            </w:r>
          </w:p>
        </w:tc>
        <w:tc>
          <w:tcPr>
            <w:tcW w:w="2556" w:type="dxa"/>
            <w:gridSpan w:val="2"/>
          </w:tcPr>
          <w:p>
            <w:pPr>
              <w:pStyle w:val="nTable"/>
              <w:spacing w:after="40"/>
              <w:rPr>
                <w:sz w:val="19"/>
              </w:rPr>
            </w:pPr>
            <w:r>
              <w:rPr>
                <w:sz w:val="19"/>
              </w:rPr>
              <w:t>16 Dec 1987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and Transitional Arrangements Act 1988</w:t>
            </w:r>
            <w:r>
              <w:rPr>
                <w:sz w:val="19"/>
              </w:rPr>
              <w:t xml:space="preserve"> Pt. 2</w:t>
            </w:r>
          </w:p>
        </w:tc>
        <w:tc>
          <w:tcPr>
            <w:tcW w:w="1134" w:type="dxa"/>
            <w:gridSpan w:val="2"/>
          </w:tcPr>
          <w:p>
            <w:pPr>
              <w:pStyle w:val="nTable"/>
              <w:spacing w:after="40"/>
              <w:rPr>
                <w:sz w:val="19"/>
              </w:rPr>
            </w:pPr>
            <w:r>
              <w:rPr>
                <w:sz w:val="19"/>
              </w:rPr>
              <w:t>6 of 1988</w:t>
            </w:r>
          </w:p>
        </w:tc>
        <w:tc>
          <w:tcPr>
            <w:tcW w:w="1134" w:type="dxa"/>
            <w:gridSpan w:val="2"/>
          </w:tcPr>
          <w:p>
            <w:pPr>
              <w:pStyle w:val="nTable"/>
              <w:spacing w:after="40"/>
              <w:rPr>
                <w:sz w:val="19"/>
              </w:rPr>
            </w:pPr>
            <w:r>
              <w:rPr>
                <w:sz w:val="19"/>
              </w:rPr>
              <w:t>30 Jun 1988</w:t>
            </w:r>
          </w:p>
        </w:tc>
        <w:tc>
          <w:tcPr>
            <w:tcW w:w="2556" w:type="dxa"/>
            <w:gridSpan w:val="2"/>
          </w:tcPr>
          <w:p>
            <w:pPr>
              <w:pStyle w:val="nTable"/>
              <w:spacing w:after="40"/>
              <w:rPr>
                <w:sz w:val="19"/>
              </w:rPr>
            </w:pPr>
            <w:r>
              <w:rPr>
                <w:sz w:val="19"/>
              </w:rPr>
              <w:t>30 Jun 1988 (see s. 2(1))</w:t>
            </w:r>
          </w:p>
        </w:tc>
      </w:tr>
      <w:tr>
        <w:trPr>
          <w:gridBefore w:val="1"/>
          <w:wBefore w:w="21" w:type="dxa"/>
          <w:cantSplit/>
        </w:trPr>
        <w:tc>
          <w:tcPr>
            <w:tcW w:w="7091"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16 Nov 1988</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z w:val="19"/>
              </w:rPr>
            </w:pPr>
            <w:r>
              <w:rPr>
                <w:i/>
                <w:sz w:val="19"/>
              </w:rPr>
              <w:t>Acts Amendment (Remuneration of Governor) Act 1989</w:t>
            </w:r>
            <w:r>
              <w:rPr>
                <w:sz w:val="19"/>
              </w:rPr>
              <w:t xml:space="preserve"> Pt. 3</w:t>
            </w:r>
          </w:p>
        </w:tc>
        <w:tc>
          <w:tcPr>
            <w:tcW w:w="1134" w:type="dxa"/>
            <w:gridSpan w:val="2"/>
          </w:tcPr>
          <w:p>
            <w:pPr>
              <w:pStyle w:val="nTable"/>
              <w:spacing w:after="40"/>
              <w:rPr>
                <w:sz w:val="19"/>
              </w:rPr>
            </w:pPr>
            <w:r>
              <w:rPr>
                <w:sz w:val="19"/>
              </w:rPr>
              <w:t>19 of 1989</w:t>
            </w:r>
          </w:p>
        </w:tc>
        <w:tc>
          <w:tcPr>
            <w:tcW w:w="1134" w:type="dxa"/>
            <w:gridSpan w:val="2"/>
          </w:tcPr>
          <w:p>
            <w:pPr>
              <w:pStyle w:val="nTable"/>
              <w:spacing w:after="40"/>
              <w:rPr>
                <w:sz w:val="19"/>
              </w:rPr>
            </w:pPr>
            <w:r>
              <w:rPr>
                <w:sz w:val="19"/>
              </w:rPr>
              <w:t>1 Dec 1989</w:t>
            </w:r>
          </w:p>
        </w:tc>
        <w:tc>
          <w:tcPr>
            <w:tcW w:w="2556" w:type="dxa"/>
            <w:gridSpan w:val="2"/>
          </w:tcPr>
          <w:p>
            <w:pPr>
              <w:pStyle w:val="nTable"/>
              <w:spacing w:after="40"/>
              <w:rPr>
                <w:sz w:val="19"/>
              </w:rPr>
            </w:pPr>
            <w:r>
              <w:rPr>
                <w:sz w:val="19"/>
              </w:rPr>
              <w:t>1 Dec 1989 (see s. 2(1))</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1989</w:t>
            </w:r>
            <w:r>
              <w:rPr>
                <w:sz w:val="19"/>
              </w:rPr>
              <w:t xml:space="preserve"> Pt. 5</w:t>
            </w:r>
          </w:p>
        </w:tc>
        <w:tc>
          <w:tcPr>
            <w:tcW w:w="1134" w:type="dxa"/>
            <w:gridSpan w:val="2"/>
          </w:tcPr>
          <w:p>
            <w:pPr>
              <w:pStyle w:val="nTable"/>
              <w:spacing w:after="40"/>
              <w:rPr>
                <w:sz w:val="19"/>
              </w:rPr>
            </w:pPr>
            <w:r>
              <w:rPr>
                <w:sz w:val="19"/>
              </w:rPr>
              <w:t>31 of 1989</w:t>
            </w:r>
          </w:p>
        </w:tc>
        <w:tc>
          <w:tcPr>
            <w:tcW w:w="1134" w:type="dxa"/>
            <w:gridSpan w:val="2"/>
          </w:tcPr>
          <w:p>
            <w:pPr>
              <w:pStyle w:val="nTable"/>
              <w:spacing w:after="40"/>
              <w:rPr>
                <w:sz w:val="19"/>
              </w:rPr>
            </w:pPr>
            <w:r>
              <w:rPr>
                <w:sz w:val="19"/>
              </w:rPr>
              <w:t>15 Dec 1989</w:t>
            </w:r>
          </w:p>
        </w:tc>
        <w:tc>
          <w:tcPr>
            <w:tcW w:w="2556" w:type="dxa"/>
            <w:gridSpan w:val="2"/>
          </w:tcPr>
          <w:p>
            <w:pPr>
              <w:pStyle w:val="nTable"/>
              <w:spacing w:after="40"/>
              <w:rPr>
                <w:sz w:val="19"/>
              </w:rPr>
            </w:pPr>
            <w:r>
              <w:rPr>
                <w:sz w:val="19"/>
              </w:rPr>
              <w:t>15 Dec 1989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Secretaries) Act 1990</w:t>
            </w:r>
            <w:r>
              <w:rPr>
                <w:sz w:val="19"/>
              </w:rPr>
              <w:t xml:space="preserve"> Pt. 3 </w:t>
            </w:r>
          </w:p>
        </w:tc>
        <w:tc>
          <w:tcPr>
            <w:tcW w:w="1134" w:type="dxa"/>
            <w:gridSpan w:val="2"/>
          </w:tcPr>
          <w:p>
            <w:pPr>
              <w:pStyle w:val="nTable"/>
              <w:keepNext/>
              <w:spacing w:after="40"/>
              <w:rPr>
                <w:sz w:val="19"/>
              </w:rPr>
            </w:pPr>
            <w:r>
              <w:rPr>
                <w:sz w:val="19"/>
              </w:rPr>
              <w:t>38 of 1990</w:t>
            </w:r>
          </w:p>
        </w:tc>
        <w:tc>
          <w:tcPr>
            <w:tcW w:w="1134" w:type="dxa"/>
            <w:gridSpan w:val="2"/>
          </w:tcPr>
          <w:p>
            <w:pPr>
              <w:pStyle w:val="nTable"/>
              <w:keepNext/>
              <w:spacing w:after="40"/>
              <w:rPr>
                <w:sz w:val="19"/>
              </w:rPr>
            </w:pPr>
            <w:r>
              <w:rPr>
                <w:sz w:val="19"/>
              </w:rPr>
              <w:t>8 Nov 1990</w:t>
            </w:r>
          </w:p>
        </w:tc>
        <w:tc>
          <w:tcPr>
            <w:tcW w:w="2556" w:type="dxa"/>
            <w:gridSpan w:val="2"/>
          </w:tcPr>
          <w:p>
            <w:pPr>
              <w:pStyle w:val="nTable"/>
              <w:keepNext/>
              <w:spacing w:after="40"/>
              <w:rPr>
                <w:sz w:val="19"/>
              </w:rPr>
            </w:pPr>
            <w:r>
              <w:rPr>
                <w:sz w:val="19"/>
              </w:rPr>
              <w:t>8 Nov 1990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1991</w:t>
            </w:r>
          </w:p>
        </w:tc>
        <w:tc>
          <w:tcPr>
            <w:tcW w:w="1134" w:type="dxa"/>
            <w:gridSpan w:val="2"/>
          </w:tcPr>
          <w:p>
            <w:pPr>
              <w:pStyle w:val="nTable"/>
              <w:spacing w:after="40"/>
              <w:rPr>
                <w:sz w:val="19"/>
              </w:rPr>
            </w:pPr>
            <w:r>
              <w:rPr>
                <w:sz w:val="19"/>
              </w:rPr>
              <w:t>49 of 1991</w:t>
            </w:r>
          </w:p>
        </w:tc>
        <w:tc>
          <w:tcPr>
            <w:tcW w:w="1134" w:type="dxa"/>
            <w:gridSpan w:val="2"/>
          </w:tcPr>
          <w:p>
            <w:pPr>
              <w:pStyle w:val="nTable"/>
              <w:spacing w:after="40"/>
              <w:rPr>
                <w:sz w:val="19"/>
              </w:rPr>
            </w:pPr>
            <w:r>
              <w:rPr>
                <w:sz w:val="19"/>
              </w:rPr>
              <w:t>17 Dec 1991</w:t>
            </w:r>
          </w:p>
        </w:tc>
        <w:tc>
          <w:tcPr>
            <w:tcW w:w="2556" w:type="dxa"/>
            <w:gridSpan w:val="2"/>
          </w:tcPr>
          <w:p>
            <w:pPr>
              <w:pStyle w:val="nTable"/>
              <w:spacing w:after="40"/>
              <w:rPr>
                <w:sz w:val="19"/>
              </w:rPr>
            </w:pPr>
            <w:r>
              <w:rPr>
                <w:sz w:val="19"/>
              </w:rPr>
              <w:t>17 Dec 1991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1992</w:t>
            </w:r>
          </w:p>
        </w:tc>
        <w:tc>
          <w:tcPr>
            <w:tcW w:w="1134" w:type="dxa"/>
            <w:gridSpan w:val="2"/>
          </w:tcPr>
          <w:p>
            <w:pPr>
              <w:pStyle w:val="nTable"/>
              <w:spacing w:after="40"/>
              <w:rPr>
                <w:sz w:val="19"/>
              </w:rPr>
            </w:pPr>
            <w:r>
              <w:rPr>
                <w:sz w:val="19"/>
              </w:rPr>
              <w:t>68 of 1992</w:t>
            </w:r>
          </w:p>
        </w:tc>
        <w:tc>
          <w:tcPr>
            <w:tcW w:w="1134" w:type="dxa"/>
            <w:gridSpan w:val="2"/>
          </w:tcPr>
          <w:p>
            <w:pPr>
              <w:pStyle w:val="nTable"/>
              <w:spacing w:after="40"/>
              <w:rPr>
                <w:sz w:val="19"/>
              </w:rPr>
            </w:pPr>
            <w:r>
              <w:rPr>
                <w:sz w:val="19"/>
              </w:rPr>
              <w:t>11 Dec 1992</w:t>
            </w:r>
          </w:p>
        </w:tc>
        <w:tc>
          <w:tcPr>
            <w:tcW w:w="2556" w:type="dxa"/>
            <w:gridSpan w:val="2"/>
          </w:tcPr>
          <w:p>
            <w:pPr>
              <w:pStyle w:val="nTable"/>
              <w:spacing w:after="40"/>
              <w:rPr>
                <w:sz w:val="19"/>
              </w:rPr>
            </w:pPr>
            <w:r>
              <w:rPr>
                <w:sz w:val="19"/>
              </w:rPr>
              <w:t>11 Dec 1992 (see s. 2)</w:t>
            </w:r>
          </w:p>
        </w:tc>
      </w:tr>
      <w:tr>
        <w:trPr>
          <w:gridBefore w:val="1"/>
          <w:wBefore w:w="21" w:type="dxa"/>
          <w:cantSplit/>
        </w:trPr>
        <w:tc>
          <w:tcPr>
            <w:tcW w:w="2267" w:type="dxa"/>
            <w:gridSpan w:val="2"/>
          </w:tcPr>
          <w:p>
            <w:pPr>
              <w:pStyle w:val="nTable"/>
              <w:spacing w:after="40"/>
              <w:ind w:right="17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6" w:type="dxa"/>
            <w:gridSpan w:val="2"/>
          </w:tcPr>
          <w:p>
            <w:pPr>
              <w:pStyle w:val="nTable"/>
              <w:spacing w:after="40"/>
              <w:rPr>
                <w:sz w:val="19"/>
              </w:rPr>
            </w:pPr>
            <w:r>
              <w:rPr>
                <w:sz w:val="19"/>
              </w:rPr>
              <w:t>1 Jul 1993 (see s. 2(1))</w:t>
            </w:r>
          </w:p>
        </w:tc>
      </w:tr>
      <w:tr>
        <w:trPr>
          <w:gridBefore w:val="1"/>
          <w:wBefore w:w="21" w:type="dxa"/>
          <w:cantSplit/>
        </w:trPr>
        <w:tc>
          <w:tcPr>
            <w:tcW w:w="2267" w:type="dxa"/>
            <w:gridSpan w:val="2"/>
          </w:tcPr>
          <w:p>
            <w:pPr>
              <w:pStyle w:val="nTable"/>
              <w:spacing w:after="40"/>
              <w:ind w:right="170"/>
              <w:rPr>
                <w:sz w:val="19"/>
              </w:rPr>
            </w:pPr>
            <w:r>
              <w:rPr>
                <w:i/>
                <w:sz w:val="19"/>
              </w:rPr>
              <w:t>Acts Amendment (Official Corruption Commission) Act 1994</w:t>
            </w:r>
            <w:r>
              <w:rPr>
                <w:sz w:val="19"/>
              </w:rPr>
              <w:t xml:space="preserve"> s. 20</w:t>
            </w:r>
          </w:p>
        </w:tc>
        <w:tc>
          <w:tcPr>
            <w:tcW w:w="1134" w:type="dxa"/>
            <w:gridSpan w:val="2"/>
          </w:tcPr>
          <w:p>
            <w:pPr>
              <w:pStyle w:val="nTable"/>
              <w:spacing w:after="40"/>
              <w:rPr>
                <w:sz w:val="19"/>
              </w:rPr>
            </w:pPr>
            <w:r>
              <w:rPr>
                <w:sz w:val="19"/>
              </w:rPr>
              <w:t>14 of 1994</w:t>
            </w:r>
          </w:p>
        </w:tc>
        <w:tc>
          <w:tcPr>
            <w:tcW w:w="1134" w:type="dxa"/>
            <w:gridSpan w:val="2"/>
          </w:tcPr>
          <w:p>
            <w:pPr>
              <w:pStyle w:val="nTable"/>
              <w:spacing w:after="40"/>
              <w:rPr>
                <w:sz w:val="19"/>
              </w:rPr>
            </w:pPr>
            <w:r>
              <w:rPr>
                <w:sz w:val="19"/>
              </w:rPr>
              <w:t>22 Apr 1994</w:t>
            </w:r>
          </w:p>
        </w:tc>
        <w:tc>
          <w:tcPr>
            <w:tcW w:w="2556" w:type="dxa"/>
            <w:gridSpan w:val="2"/>
          </w:tcPr>
          <w:p>
            <w:pPr>
              <w:pStyle w:val="nTable"/>
              <w:spacing w:after="40"/>
              <w:rPr>
                <w:sz w:val="19"/>
              </w:rPr>
            </w:pPr>
            <w:r>
              <w:rPr>
                <w:sz w:val="19"/>
              </w:rPr>
              <w:t xml:space="preserve">24 May 1994 (see s. 2 and </w:t>
            </w:r>
            <w:r>
              <w:rPr>
                <w:i/>
                <w:sz w:val="19"/>
              </w:rPr>
              <w:t>Gazette</w:t>
            </w:r>
            <w:r>
              <w:rPr>
                <w:sz w:val="19"/>
              </w:rPr>
              <w:t xml:space="preserve"> 24 May 1994 p. 2193)</w:t>
            </w:r>
          </w:p>
        </w:tc>
      </w:tr>
      <w:tr>
        <w:trPr>
          <w:gridBefore w:val="1"/>
          <w:wBefore w:w="21" w:type="dxa"/>
          <w:cantSplit/>
        </w:trPr>
        <w:tc>
          <w:tcPr>
            <w:tcW w:w="7091"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26 Apr 1994</w:t>
            </w:r>
            <w:r>
              <w:rPr>
                <w:sz w:val="19"/>
              </w:rPr>
              <w:t xml:space="preserve"> (includes amendments listed above except the </w:t>
            </w:r>
            <w:r>
              <w:rPr>
                <w:i/>
                <w:sz w:val="19"/>
              </w:rPr>
              <w:t>Acts Amendment (Official Corruption Commission) Act 1994</w:t>
            </w:r>
            <w:r>
              <w:rPr>
                <w:sz w:val="19"/>
              </w:rPr>
              <w:t>)</w:t>
            </w:r>
          </w:p>
        </w:tc>
      </w:tr>
      <w:tr>
        <w:trPr>
          <w:gridBefore w:val="1"/>
          <w:wBefore w:w="21" w:type="dxa"/>
          <w:cantSplit/>
        </w:trPr>
        <w:tc>
          <w:tcPr>
            <w:tcW w:w="2267" w:type="dxa"/>
            <w:gridSpan w:val="2"/>
          </w:tcPr>
          <w:p>
            <w:pPr>
              <w:pStyle w:val="nTable"/>
              <w:spacing w:after="40"/>
              <w:ind w:right="17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7" w:type="dxa"/>
            <w:gridSpan w:val="2"/>
          </w:tcPr>
          <w:p>
            <w:pPr>
              <w:pStyle w:val="nTable"/>
              <w:spacing w:after="40"/>
              <w:ind w:right="170"/>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6" w:type="dxa"/>
            <w:gridSpan w:val="2"/>
          </w:tcPr>
          <w:p>
            <w:pPr>
              <w:pStyle w:val="nTable"/>
              <w:spacing w:after="40"/>
              <w:rPr>
                <w:sz w:val="19"/>
              </w:rPr>
            </w:pPr>
            <w:r>
              <w:rPr>
                <w:sz w:val="19"/>
              </w:rPr>
              <w:t>9 Dec 1994 (see s. 2)</w:t>
            </w:r>
          </w:p>
        </w:tc>
      </w:tr>
      <w:tr>
        <w:trPr>
          <w:gridBefore w:val="1"/>
          <w:wBefore w:w="21" w:type="dxa"/>
          <w:cantSplit/>
        </w:trPr>
        <w:tc>
          <w:tcPr>
            <w:tcW w:w="2267" w:type="dxa"/>
            <w:gridSpan w:val="2"/>
          </w:tcPr>
          <w:p>
            <w:pPr>
              <w:pStyle w:val="nTable"/>
              <w:spacing w:after="40"/>
              <w:ind w:right="170"/>
              <w:rPr>
                <w:sz w:val="19"/>
              </w:rPr>
            </w:pPr>
            <w:r>
              <w:rPr>
                <w:i/>
                <w:sz w:val="19"/>
              </w:rPr>
              <w:t>Industrial Legislation Amendment Act 1995</w:t>
            </w:r>
            <w:r>
              <w:rPr>
                <w:sz w:val="19"/>
              </w:rPr>
              <w:t xml:space="preserve"> s. 37</w:t>
            </w:r>
          </w:p>
        </w:tc>
        <w:tc>
          <w:tcPr>
            <w:tcW w:w="1134" w:type="dxa"/>
            <w:gridSpan w:val="2"/>
          </w:tcPr>
          <w:p>
            <w:pPr>
              <w:pStyle w:val="nTable"/>
              <w:spacing w:after="40"/>
              <w:rPr>
                <w:sz w:val="19"/>
              </w:rPr>
            </w:pPr>
            <w:r>
              <w:rPr>
                <w:sz w:val="19"/>
              </w:rPr>
              <w:t>1 of 1995</w:t>
            </w:r>
          </w:p>
        </w:tc>
        <w:tc>
          <w:tcPr>
            <w:tcW w:w="1134" w:type="dxa"/>
            <w:gridSpan w:val="2"/>
          </w:tcPr>
          <w:p>
            <w:pPr>
              <w:pStyle w:val="nTable"/>
              <w:spacing w:after="40"/>
              <w:rPr>
                <w:sz w:val="19"/>
              </w:rPr>
            </w:pPr>
            <w:r>
              <w:rPr>
                <w:sz w:val="19"/>
              </w:rPr>
              <w:t>9 May 1995</w:t>
            </w:r>
          </w:p>
        </w:tc>
        <w:tc>
          <w:tcPr>
            <w:tcW w:w="2556" w:type="dxa"/>
            <w:gridSpan w:val="2"/>
          </w:tcPr>
          <w:p>
            <w:pPr>
              <w:pStyle w:val="nTable"/>
              <w:spacing w:after="40"/>
              <w:rPr>
                <w:sz w:val="19"/>
              </w:rPr>
            </w:pPr>
            <w:r>
              <w:rPr>
                <w:sz w:val="19"/>
              </w:rPr>
              <w:t>9 May 1995 (see s. 2(1))</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1995</w:t>
            </w:r>
            <w:r>
              <w:rPr>
                <w:sz w:val="19"/>
                <w:vertAlign w:val="superscript"/>
              </w:rPr>
              <w:t> 4</w:t>
            </w:r>
          </w:p>
        </w:tc>
        <w:tc>
          <w:tcPr>
            <w:tcW w:w="1134" w:type="dxa"/>
            <w:gridSpan w:val="2"/>
          </w:tcPr>
          <w:p>
            <w:pPr>
              <w:pStyle w:val="nTable"/>
              <w:spacing w:after="40"/>
              <w:rPr>
                <w:sz w:val="19"/>
              </w:rPr>
            </w:pPr>
            <w:r>
              <w:rPr>
                <w:sz w:val="19"/>
              </w:rPr>
              <w:t>45 of 1995</w:t>
            </w:r>
          </w:p>
        </w:tc>
        <w:tc>
          <w:tcPr>
            <w:tcW w:w="1134" w:type="dxa"/>
            <w:gridSpan w:val="2"/>
          </w:tcPr>
          <w:p>
            <w:pPr>
              <w:pStyle w:val="nTable"/>
              <w:spacing w:after="40"/>
              <w:rPr>
                <w:sz w:val="19"/>
              </w:rPr>
            </w:pPr>
            <w:r>
              <w:rPr>
                <w:sz w:val="19"/>
              </w:rPr>
              <w:t>18 Oct 1995</w:t>
            </w:r>
          </w:p>
        </w:tc>
        <w:tc>
          <w:tcPr>
            <w:tcW w:w="2556" w:type="dxa"/>
            <w:gridSpan w:val="2"/>
          </w:tcPr>
          <w:p>
            <w:pPr>
              <w:pStyle w:val="nTable"/>
              <w:spacing w:after="40"/>
              <w:rPr>
                <w:sz w:val="19"/>
              </w:rPr>
            </w:pPr>
            <w:r>
              <w:rPr>
                <w:sz w:val="19"/>
              </w:rPr>
              <w:t>18 Oct 1995 (see s. 2)</w:t>
            </w:r>
          </w:p>
        </w:tc>
      </w:tr>
      <w:tr>
        <w:trPr>
          <w:gridBefore w:val="1"/>
          <w:wBefore w:w="21" w:type="dxa"/>
          <w:cantSplit/>
        </w:trPr>
        <w:tc>
          <w:tcPr>
            <w:tcW w:w="2267" w:type="dxa"/>
            <w:gridSpan w:val="2"/>
          </w:tcPr>
          <w:p>
            <w:pPr>
              <w:pStyle w:val="nTable"/>
              <w:spacing w:after="40"/>
              <w:ind w:right="170"/>
              <w:rPr>
                <w:sz w:val="19"/>
              </w:rPr>
            </w:pPr>
            <w:r>
              <w:rPr>
                <w:i/>
                <w:sz w:val="19"/>
              </w:rPr>
              <w:t>Official Corruption Commission Amendment Act 1996</w:t>
            </w:r>
            <w:r>
              <w:rPr>
                <w:sz w:val="19"/>
              </w:rPr>
              <w:t xml:space="preserve"> s. 26</w:t>
            </w:r>
          </w:p>
        </w:tc>
        <w:tc>
          <w:tcPr>
            <w:tcW w:w="1134" w:type="dxa"/>
            <w:gridSpan w:val="2"/>
          </w:tcPr>
          <w:p>
            <w:pPr>
              <w:pStyle w:val="nTable"/>
              <w:keepNext/>
              <w:spacing w:after="40"/>
              <w:rPr>
                <w:sz w:val="19"/>
              </w:rPr>
            </w:pPr>
            <w:r>
              <w:rPr>
                <w:sz w:val="19"/>
              </w:rPr>
              <w:t>29 of 1996</w:t>
            </w:r>
          </w:p>
        </w:tc>
        <w:tc>
          <w:tcPr>
            <w:tcW w:w="1134" w:type="dxa"/>
            <w:gridSpan w:val="2"/>
          </w:tcPr>
          <w:p>
            <w:pPr>
              <w:pStyle w:val="nTable"/>
              <w:keepNext/>
              <w:spacing w:after="40"/>
              <w:rPr>
                <w:sz w:val="19"/>
              </w:rPr>
            </w:pPr>
            <w:r>
              <w:rPr>
                <w:sz w:val="19"/>
              </w:rPr>
              <w:t>28 Aug 1996</w:t>
            </w:r>
          </w:p>
        </w:tc>
        <w:tc>
          <w:tcPr>
            <w:tcW w:w="2556" w:type="dxa"/>
            <w:gridSpan w:val="2"/>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gridBefore w:val="1"/>
          <w:wBefore w:w="21" w:type="dxa"/>
          <w:cantSplit/>
        </w:trPr>
        <w:tc>
          <w:tcPr>
            <w:tcW w:w="2267" w:type="dxa"/>
            <w:gridSpan w:val="2"/>
          </w:tcPr>
          <w:p>
            <w:pPr>
              <w:pStyle w:val="nTable"/>
              <w:spacing w:after="40"/>
              <w:ind w:right="17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6" w:type="dxa"/>
            <w:gridSpan w:val="2"/>
          </w:tcPr>
          <w:p>
            <w:pPr>
              <w:pStyle w:val="nTable"/>
              <w:spacing w:after="40"/>
              <w:rPr>
                <w:sz w:val="19"/>
              </w:rPr>
            </w:pPr>
            <w:r>
              <w:rPr>
                <w:sz w:val="19"/>
              </w:rPr>
              <w:t>25 Oct 1996 (see s. 2(1))</w:t>
            </w:r>
          </w:p>
        </w:tc>
      </w:tr>
      <w:tr>
        <w:trPr>
          <w:gridBefore w:val="1"/>
          <w:wBefore w:w="21" w:type="dxa"/>
          <w:cantSplit/>
        </w:trPr>
        <w:tc>
          <w:tcPr>
            <w:tcW w:w="2267" w:type="dxa"/>
            <w:gridSpan w:val="2"/>
          </w:tcPr>
          <w:p>
            <w:pPr>
              <w:pStyle w:val="nTable"/>
              <w:spacing w:after="40"/>
              <w:ind w:right="170"/>
              <w:rPr>
                <w:sz w:val="19"/>
              </w:rPr>
            </w:pPr>
            <w:r>
              <w:rPr>
                <w:i/>
                <w:sz w:val="19"/>
              </w:rPr>
              <w:t>Acts Amendment (Auxiliary Judges) Act 1997</w:t>
            </w:r>
            <w:r>
              <w:rPr>
                <w:sz w:val="19"/>
              </w:rPr>
              <w:t xml:space="preserve"> Pt. 9</w:t>
            </w:r>
          </w:p>
        </w:tc>
        <w:tc>
          <w:tcPr>
            <w:tcW w:w="1134" w:type="dxa"/>
            <w:gridSpan w:val="2"/>
          </w:tcPr>
          <w:p>
            <w:pPr>
              <w:pStyle w:val="nTable"/>
              <w:spacing w:after="40"/>
              <w:rPr>
                <w:sz w:val="19"/>
              </w:rPr>
            </w:pPr>
            <w:r>
              <w:rPr>
                <w:sz w:val="19"/>
              </w:rPr>
              <w:t>23 of 1997</w:t>
            </w:r>
          </w:p>
        </w:tc>
        <w:tc>
          <w:tcPr>
            <w:tcW w:w="1134" w:type="dxa"/>
            <w:gridSpan w:val="2"/>
          </w:tcPr>
          <w:p>
            <w:pPr>
              <w:pStyle w:val="nTable"/>
              <w:spacing w:after="40"/>
              <w:rPr>
                <w:sz w:val="19"/>
              </w:rPr>
            </w:pPr>
            <w:r>
              <w:rPr>
                <w:sz w:val="19"/>
              </w:rPr>
              <w:t>18 Sep 1997</w:t>
            </w:r>
          </w:p>
        </w:tc>
        <w:tc>
          <w:tcPr>
            <w:tcW w:w="2556" w:type="dxa"/>
            <w:gridSpan w:val="2"/>
          </w:tcPr>
          <w:p>
            <w:pPr>
              <w:pStyle w:val="nTable"/>
              <w:spacing w:after="40"/>
              <w:rPr>
                <w:sz w:val="19"/>
              </w:rPr>
            </w:pPr>
            <w:r>
              <w:rPr>
                <w:sz w:val="19"/>
              </w:rPr>
              <w:t>18 Sep 1997 (see s. 2)</w:t>
            </w:r>
          </w:p>
        </w:tc>
      </w:tr>
      <w:tr>
        <w:trPr>
          <w:gridBefore w:val="1"/>
          <w:wBefore w:w="21" w:type="dxa"/>
          <w:cantSplit/>
        </w:trPr>
        <w:tc>
          <w:tcPr>
            <w:tcW w:w="2267" w:type="dxa"/>
            <w:gridSpan w:val="2"/>
          </w:tcPr>
          <w:p>
            <w:pPr>
              <w:pStyle w:val="nTable"/>
              <w:spacing w:after="40"/>
              <w:ind w:right="170"/>
              <w:rPr>
                <w:sz w:val="19"/>
              </w:rPr>
            </w:pPr>
            <w:r>
              <w:rPr>
                <w:i/>
                <w:sz w:val="19"/>
              </w:rPr>
              <w:t>Equal Opportunity Amendment Act (No. 3) 1997</w:t>
            </w:r>
            <w:r>
              <w:rPr>
                <w:sz w:val="19"/>
              </w:rPr>
              <w:t xml:space="preserve"> s. 8</w:t>
            </w:r>
          </w:p>
        </w:tc>
        <w:tc>
          <w:tcPr>
            <w:tcW w:w="1134" w:type="dxa"/>
            <w:gridSpan w:val="2"/>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56" w:type="dxa"/>
            <w:gridSpan w:val="2"/>
          </w:tcPr>
          <w:p>
            <w:pPr>
              <w:pStyle w:val="nTable"/>
              <w:spacing w:after="40"/>
              <w:rPr>
                <w:sz w:val="19"/>
              </w:rPr>
            </w:pPr>
            <w:r>
              <w:rPr>
                <w:sz w:val="19"/>
              </w:rPr>
              <w:t>6 Jan 1998 (see s. 2(1))</w:t>
            </w:r>
          </w:p>
        </w:tc>
      </w:tr>
      <w:tr>
        <w:trPr>
          <w:gridBefore w:val="1"/>
          <w:wBefore w:w="21" w:type="dxa"/>
          <w:cantSplit/>
        </w:trPr>
        <w:tc>
          <w:tcPr>
            <w:tcW w:w="7091"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8 Sep 2000</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z w:val="19"/>
              </w:rPr>
            </w:pPr>
            <w:r>
              <w:rPr>
                <w:i/>
                <w:sz w:val="19"/>
              </w:rPr>
              <w:t xml:space="preserve">Electoral Amendment Act 2000 </w:t>
            </w:r>
            <w:r>
              <w:rPr>
                <w:sz w:val="19"/>
              </w:rPr>
              <w:t>s. 26 and 57</w:t>
            </w:r>
          </w:p>
        </w:tc>
        <w:tc>
          <w:tcPr>
            <w:tcW w:w="1134" w:type="dxa"/>
            <w:gridSpan w:val="2"/>
          </w:tcPr>
          <w:p>
            <w:pPr>
              <w:pStyle w:val="nTable"/>
              <w:spacing w:after="40"/>
              <w:rPr>
                <w:sz w:val="19"/>
              </w:rPr>
            </w:pPr>
            <w:r>
              <w:rPr>
                <w:sz w:val="19"/>
              </w:rPr>
              <w:t>36 of 2000</w:t>
            </w:r>
          </w:p>
        </w:tc>
        <w:tc>
          <w:tcPr>
            <w:tcW w:w="1134" w:type="dxa"/>
            <w:gridSpan w:val="2"/>
          </w:tcPr>
          <w:p>
            <w:pPr>
              <w:pStyle w:val="nTable"/>
              <w:spacing w:after="40"/>
              <w:rPr>
                <w:sz w:val="19"/>
              </w:rPr>
            </w:pPr>
            <w:r>
              <w:rPr>
                <w:sz w:val="19"/>
              </w:rPr>
              <w:t>10 Oct 2000</w:t>
            </w:r>
          </w:p>
        </w:tc>
        <w:tc>
          <w:tcPr>
            <w:tcW w:w="2556" w:type="dxa"/>
            <w:gridSpan w:val="2"/>
          </w:tcPr>
          <w:p>
            <w:pPr>
              <w:pStyle w:val="nTable"/>
              <w:spacing w:after="40"/>
              <w:rPr>
                <w:sz w:val="19"/>
              </w:rPr>
            </w:pPr>
            <w:r>
              <w:rPr>
                <w:sz w:val="19"/>
              </w:rPr>
              <w:t xml:space="preserve">21 Oct 2000 (see s. 2 and </w:t>
            </w:r>
            <w:r>
              <w:rPr>
                <w:i/>
                <w:sz w:val="19"/>
              </w:rPr>
              <w:t>Gazette</w:t>
            </w:r>
            <w:r>
              <w:rPr>
                <w:sz w:val="19"/>
              </w:rPr>
              <w:t xml:space="preserve"> 20 Oct 2000 p. 5899)</w:t>
            </w:r>
          </w:p>
        </w:tc>
      </w:tr>
      <w:tr>
        <w:trPr>
          <w:gridBefore w:val="1"/>
          <w:wBefore w:w="21" w:type="dxa"/>
          <w:cantSplit/>
        </w:trPr>
        <w:tc>
          <w:tcPr>
            <w:tcW w:w="2267" w:type="dxa"/>
            <w:gridSpan w:val="2"/>
          </w:tcPr>
          <w:p>
            <w:pPr>
              <w:pStyle w:val="nTable"/>
              <w:spacing w:after="40"/>
              <w:ind w:right="170"/>
              <w:rPr>
                <w:i/>
                <w:sz w:val="19"/>
              </w:rPr>
            </w:pPr>
            <w:r>
              <w:rPr>
                <w:i/>
                <w:sz w:val="19"/>
              </w:rPr>
              <w:t xml:space="preserve">Parliamentary Superannuation Legislation Amendment Act 2000 </w:t>
            </w:r>
            <w:r>
              <w:rPr>
                <w:sz w:val="19"/>
              </w:rPr>
              <w:t>Pt. 3</w:t>
            </w:r>
          </w:p>
        </w:tc>
        <w:tc>
          <w:tcPr>
            <w:tcW w:w="1134" w:type="dxa"/>
            <w:gridSpan w:val="2"/>
          </w:tcPr>
          <w:p>
            <w:pPr>
              <w:pStyle w:val="nTable"/>
              <w:spacing w:after="40"/>
              <w:rPr>
                <w:sz w:val="19"/>
              </w:rPr>
            </w:pPr>
            <w:r>
              <w:rPr>
                <w:sz w:val="19"/>
              </w:rPr>
              <w:t>37 of 2000</w:t>
            </w:r>
          </w:p>
        </w:tc>
        <w:tc>
          <w:tcPr>
            <w:tcW w:w="1134" w:type="dxa"/>
            <w:gridSpan w:val="2"/>
          </w:tcPr>
          <w:p>
            <w:pPr>
              <w:pStyle w:val="nTable"/>
              <w:spacing w:after="40"/>
              <w:rPr>
                <w:sz w:val="19"/>
              </w:rPr>
            </w:pPr>
            <w:r>
              <w:rPr>
                <w:sz w:val="19"/>
              </w:rPr>
              <w:t>10 Oct 2000</w:t>
            </w:r>
          </w:p>
        </w:tc>
        <w:tc>
          <w:tcPr>
            <w:tcW w:w="2556" w:type="dxa"/>
            <w:gridSpan w:val="2"/>
          </w:tcPr>
          <w:p>
            <w:pPr>
              <w:pStyle w:val="nTable"/>
              <w:spacing w:after="40"/>
              <w:rPr>
                <w:sz w:val="19"/>
              </w:rPr>
            </w:pPr>
            <w:r>
              <w:rPr>
                <w:sz w:val="19"/>
              </w:rPr>
              <w:t>10 Oct 2000 (see s. 2)</w:t>
            </w:r>
          </w:p>
        </w:tc>
      </w:tr>
      <w:tr>
        <w:trPr>
          <w:gridBefore w:val="1"/>
          <w:wBefore w:w="21" w:type="dxa"/>
          <w:cantSplit/>
        </w:trPr>
        <w:tc>
          <w:tcPr>
            <w:tcW w:w="2267" w:type="dxa"/>
            <w:gridSpan w:val="2"/>
          </w:tcPr>
          <w:p>
            <w:pPr>
              <w:pStyle w:val="nTable"/>
              <w:spacing w:after="40"/>
              <w:ind w:right="170"/>
              <w:rPr>
                <w:i/>
                <w:sz w:val="19"/>
              </w:rPr>
            </w:pPr>
            <w:r>
              <w:rPr>
                <w:i/>
                <w:sz w:val="19"/>
              </w:rPr>
              <w:t>Salaries and Allowances Amendment Act 2001</w:t>
            </w:r>
          </w:p>
        </w:tc>
        <w:tc>
          <w:tcPr>
            <w:tcW w:w="1134" w:type="dxa"/>
            <w:gridSpan w:val="2"/>
          </w:tcPr>
          <w:p>
            <w:pPr>
              <w:pStyle w:val="nTable"/>
              <w:spacing w:after="40"/>
              <w:rPr>
                <w:sz w:val="19"/>
              </w:rPr>
            </w:pPr>
            <w:r>
              <w:rPr>
                <w:sz w:val="19"/>
              </w:rPr>
              <w:t>22 of 2001</w:t>
            </w:r>
          </w:p>
        </w:tc>
        <w:tc>
          <w:tcPr>
            <w:tcW w:w="1134" w:type="dxa"/>
            <w:gridSpan w:val="2"/>
          </w:tcPr>
          <w:p>
            <w:pPr>
              <w:pStyle w:val="nTable"/>
              <w:spacing w:after="40"/>
              <w:rPr>
                <w:sz w:val="19"/>
              </w:rPr>
            </w:pPr>
            <w:r>
              <w:rPr>
                <w:sz w:val="19"/>
              </w:rPr>
              <w:t>26 Nov 2001</w:t>
            </w:r>
          </w:p>
        </w:tc>
        <w:tc>
          <w:tcPr>
            <w:tcW w:w="2556" w:type="dxa"/>
            <w:gridSpan w:val="2"/>
          </w:tcPr>
          <w:p>
            <w:pPr>
              <w:pStyle w:val="nTable"/>
              <w:spacing w:after="40"/>
              <w:rPr>
                <w:sz w:val="19"/>
              </w:rPr>
            </w:pPr>
            <w:r>
              <w:rPr>
                <w:sz w:val="19"/>
              </w:rPr>
              <w:t>26 Nov 2001 (see s. 2)</w:t>
            </w:r>
          </w:p>
        </w:tc>
      </w:tr>
      <w:tr>
        <w:trPr>
          <w:gridBefore w:val="1"/>
          <w:wBefore w:w="21" w:type="dxa"/>
          <w:cantSplit/>
        </w:trPr>
        <w:tc>
          <w:tcPr>
            <w:tcW w:w="2267" w:type="dxa"/>
            <w:gridSpan w:val="2"/>
          </w:tcPr>
          <w:p>
            <w:pPr>
              <w:pStyle w:val="nTable"/>
              <w:spacing w:after="40"/>
              <w:ind w:right="170"/>
              <w:rPr>
                <w:sz w:val="19"/>
              </w:rPr>
            </w:pPr>
            <w:r>
              <w:rPr>
                <w:i/>
                <w:sz w:val="19"/>
              </w:rPr>
              <w:t>Corruption and Crime Commission Act 2003</w:t>
            </w:r>
            <w:r>
              <w:rPr>
                <w:sz w:val="19"/>
              </w:rPr>
              <w:t xml:space="preserve"> s. 62</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5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1" w:type="dxa"/>
          <w:cantSplit/>
        </w:trPr>
        <w:tc>
          <w:tcPr>
            <w:tcW w:w="4535" w:type="dxa"/>
            <w:gridSpan w:val="6"/>
          </w:tcPr>
          <w:p>
            <w:pPr>
              <w:pStyle w:val="nTable"/>
              <w:spacing w:after="40"/>
              <w:rPr>
                <w:sz w:val="19"/>
              </w:rPr>
            </w:pPr>
            <w:r>
              <w:rPr>
                <w:i/>
                <w:spacing w:val="-2"/>
                <w:sz w:val="19"/>
              </w:rPr>
              <w:t>Labour Relations Reform (Consequential Amendments) Regulations 2003</w:t>
            </w:r>
            <w:r>
              <w:rPr>
                <w:spacing w:val="-2"/>
                <w:sz w:val="19"/>
              </w:rPr>
              <w:t xml:space="preserve"> r. 17 published in </w:t>
            </w:r>
            <w:r>
              <w:rPr>
                <w:i/>
                <w:spacing w:val="-2"/>
                <w:sz w:val="19"/>
              </w:rPr>
              <w:t>Gazette</w:t>
            </w:r>
            <w:r>
              <w:rPr>
                <w:spacing w:val="-2"/>
                <w:sz w:val="19"/>
              </w:rPr>
              <w:t xml:space="preserve"> </w:t>
            </w:r>
            <w:r>
              <w:rPr>
                <w:sz w:val="19"/>
              </w:rPr>
              <w:t>15 Aug 2003 p. 3685</w:t>
            </w:r>
            <w:r>
              <w:rPr>
                <w:sz w:val="19"/>
              </w:rPr>
              <w:noBreakHyphen/>
              <w:t>92</w:t>
            </w:r>
          </w:p>
        </w:tc>
        <w:tc>
          <w:tcPr>
            <w:tcW w:w="2556" w:type="dxa"/>
            <w:gridSpan w:val="2"/>
          </w:tcPr>
          <w:p>
            <w:pPr>
              <w:pStyle w:val="nTable"/>
              <w:spacing w:after="40"/>
              <w:rPr>
                <w:sz w:val="19"/>
              </w:rPr>
            </w:pPr>
            <w:r>
              <w:rPr>
                <w:spacing w:val="-2"/>
                <w:sz w:val="19"/>
              </w:rPr>
              <w:t>15 Sep 2003 (see r. 2)</w:t>
            </w:r>
          </w:p>
        </w:tc>
      </w:tr>
      <w:tr>
        <w:trPr>
          <w:gridBefore w:val="1"/>
          <w:wBefore w:w="21" w:type="dxa"/>
          <w:cantSplit/>
        </w:trPr>
        <w:tc>
          <w:tcPr>
            <w:tcW w:w="2267" w:type="dxa"/>
            <w:gridSpan w:val="2"/>
          </w:tcPr>
          <w:p>
            <w:pPr>
              <w:pStyle w:val="nTable"/>
              <w:spacing w:after="40"/>
              <w:ind w:right="170"/>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6" w:type="dxa"/>
            <w:gridSpan w:val="2"/>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Before w:val="1"/>
          <w:wBefore w:w="21" w:type="dxa"/>
          <w:cantSplit/>
        </w:trPr>
        <w:tc>
          <w:tcPr>
            <w:tcW w:w="2267" w:type="dxa"/>
            <w:gridSpan w:val="2"/>
          </w:tcPr>
          <w:p>
            <w:pPr>
              <w:pStyle w:val="nTable"/>
              <w:spacing w:after="40"/>
              <w:ind w:right="170"/>
              <w:rPr>
                <w:i/>
                <w:sz w:val="19"/>
              </w:rPr>
            </w:pPr>
            <w:r>
              <w:rPr>
                <w:i/>
                <w:snapToGrid w:val="0"/>
                <w:sz w:val="19"/>
              </w:rPr>
              <w:t>Acts Amendment (Court of Appeal) Act 2004</w:t>
            </w:r>
            <w:r>
              <w:rPr>
                <w:snapToGrid w:val="0"/>
                <w:sz w:val="19"/>
              </w:rPr>
              <w:t xml:space="preserve"> s. 37</w:t>
            </w:r>
          </w:p>
        </w:tc>
        <w:tc>
          <w:tcPr>
            <w:tcW w:w="1134" w:type="dxa"/>
            <w:gridSpan w:val="2"/>
          </w:tcPr>
          <w:p>
            <w:pPr>
              <w:pStyle w:val="nTable"/>
              <w:spacing w:after="40"/>
              <w:rPr>
                <w:sz w:val="19"/>
              </w:rPr>
            </w:pPr>
            <w:r>
              <w:rPr>
                <w:snapToGrid w:val="0"/>
                <w:sz w:val="19"/>
              </w:rPr>
              <w:t>45 of 2004</w:t>
            </w:r>
          </w:p>
        </w:tc>
        <w:tc>
          <w:tcPr>
            <w:tcW w:w="1134" w:type="dxa"/>
            <w:gridSpan w:val="2"/>
          </w:tcPr>
          <w:p>
            <w:pPr>
              <w:pStyle w:val="nTable"/>
              <w:spacing w:after="40"/>
              <w:rPr>
                <w:sz w:val="19"/>
              </w:rPr>
            </w:pPr>
            <w:r>
              <w:rPr>
                <w:sz w:val="19"/>
              </w:rPr>
              <w:t>9 Nov 2004</w:t>
            </w:r>
          </w:p>
        </w:tc>
        <w:tc>
          <w:tcPr>
            <w:tcW w:w="2556" w:type="dxa"/>
            <w:gridSpan w:val="2"/>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Before w:val="1"/>
          <w:wBefore w:w="21" w:type="dxa"/>
          <w:cantSplit/>
        </w:trPr>
        <w:tc>
          <w:tcPr>
            <w:tcW w:w="2267" w:type="dxa"/>
            <w:gridSpan w:val="2"/>
          </w:tcPr>
          <w:p>
            <w:pPr>
              <w:pStyle w:val="nTable"/>
              <w:spacing w:after="40"/>
              <w:ind w:right="170"/>
              <w:rPr>
                <w:i/>
                <w:snapToGrid w:val="0"/>
                <w:sz w:val="19"/>
              </w:rPr>
            </w:pPr>
            <w:r>
              <w:rPr>
                <w:i/>
                <w:snapToGrid w:val="0"/>
                <w:sz w:val="19"/>
              </w:rPr>
              <w:t>Local Government Amendment Act 2004</w:t>
            </w:r>
            <w:r>
              <w:rPr>
                <w:snapToGrid w:val="0"/>
                <w:sz w:val="19"/>
              </w:rPr>
              <w:t xml:space="preserve"> s. 13</w:t>
            </w:r>
          </w:p>
        </w:tc>
        <w:tc>
          <w:tcPr>
            <w:tcW w:w="1134" w:type="dxa"/>
            <w:gridSpan w:val="2"/>
          </w:tcPr>
          <w:p>
            <w:pPr>
              <w:pStyle w:val="nTable"/>
              <w:spacing w:after="40"/>
              <w:rPr>
                <w:snapToGrid w:val="0"/>
                <w:sz w:val="19"/>
              </w:rPr>
            </w:pPr>
            <w:r>
              <w:rPr>
                <w:sz w:val="19"/>
              </w:rPr>
              <w:t>49 of 2004</w:t>
            </w:r>
          </w:p>
        </w:tc>
        <w:tc>
          <w:tcPr>
            <w:tcW w:w="1134" w:type="dxa"/>
            <w:gridSpan w:val="2"/>
          </w:tcPr>
          <w:p>
            <w:pPr>
              <w:pStyle w:val="nTable"/>
              <w:spacing w:after="40"/>
              <w:rPr>
                <w:sz w:val="19"/>
              </w:rPr>
            </w:pPr>
            <w:r>
              <w:rPr>
                <w:sz w:val="19"/>
              </w:rPr>
              <w:t>12 Nov 2004</w:t>
            </w:r>
          </w:p>
        </w:tc>
        <w:tc>
          <w:tcPr>
            <w:tcW w:w="2556" w:type="dxa"/>
            <w:gridSpan w:val="2"/>
          </w:tcPr>
          <w:p>
            <w:pPr>
              <w:pStyle w:val="nTable"/>
              <w:spacing w:after="40"/>
              <w:rPr>
                <w:snapToGrid w:val="0"/>
                <w:sz w:val="19"/>
              </w:rPr>
            </w:pPr>
            <w:r>
              <w:rPr>
                <w:sz w:val="19"/>
              </w:rPr>
              <w:t xml:space="preserve">1 Apr 2005 (see s. 2 and </w:t>
            </w:r>
            <w:r>
              <w:rPr>
                <w:i/>
                <w:sz w:val="19"/>
              </w:rPr>
              <w:t>Gazette</w:t>
            </w:r>
            <w:r>
              <w:rPr>
                <w:sz w:val="19"/>
              </w:rPr>
              <w:t xml:space="preserve"> 31 Mar 2005 p. 1029)</w:t>
            </w:r>
          </w:p>
        </w:tc>
      </w:tr>
      <w:tr>
        <w:trPr>
          <w:gridBefore w:val="1"/>
          <w:wBefore w:w="21" w:type="dxa"/>
          <w:cantSplit/>
        </w:trPr>
        <w:tc>
          <w:tcPr>
            <w:tcW w:w="2267" w:type="dxa"/>
            <w:gridSpan w:val="2"/>
          </w:tcPr>
          <w:p>
            <w:pPr>
              <w:pStyle w:val="nTable"/>
              <w:spacing w:after="40"/>
              <w:ind w:right="170"/>
              <w:rPr>
                <w:i/>
                <w:snapToGrid w:val="0"/>
                <w:sz w:val="19"/>
              </w:rPr>
            </w:pPr>
            <w:r>
              <w:rPr>
                <w:i/>
                <w:snapToGrid w:val="0"/>
                <w:sz w:val="19"/>
              </w:rPr>
              <w:t>Electoral Amendment and Repeal Act 2005</w:t>
            </w:r>
            <w:r>
              <w:rPr>
                <w:snapToGrid w:val="0"/>
                <w:sz w:val="19"/>
              </w:rPr>
              <w:t xml:space="preserve"> s. 10</w:t>
            </w:r>
          </w:p>
        </w:tc>
        <w:tc>
          <w:tcPr>
            <w:tcW w:w="1134" w:type="dxa"/>
            <w:gridSpan w:val="2"/>
          </w:tcPr>
          <w:p>
            <w:pPr>
              <w:pStyle w:val="nTable"/>
              <w:spacing w:after="40"/>
              <w:rPr>
                <w:sz w:val="19"/>
              </w:rPr>
            </w:pPr>
            <w:r>
              <w:rPr>
                <w:snapToGrid w:val="0"/>
                <w:sz w:val="19"/>
              </w:rPr>
              <w:t>1 of 2005</w:t>
            </w:r>
          </w:p>
        </w:tc>
        <w:tc>
          <w:tcPr>
            <w:tcW w:w="1134" w:type="dxa"/>
            <w:gridSpan w:val="2"/>
          </w:tcPr>
          <w:p>
            <w:pPr>
              <w:pStyle w:val="nTable"/>
              <w:spacing w:after="40"/>
              <w:rPr>
                <w:sz w:val="19"/>
              </w:rPr>
            </w:pPr>
            <w:r>
              <w:rPr>
                <w:sz w:val="19"/>
              </w:rPr>
              <w:t>20 May 2005</w:t>
            </w:r>
          </w:p>
        </w:tc>
        <w:tc>
          <w:tcPr>
            <w:tcW w:w="2556" w:type="dxa"/>
            <w:gridSpan w:val="2"/>
          </w:tcPr>
          <w:p>
            <w:pPr>
              <w:pStyle w:val="nTable"/>
              <w:spacing w:after="40"/>
              <w:rPr>
                <w:sz w:val="19"/>
              </w:rPr>
            </w:pPr>
            <w:r>
              <w:rPr>
                <w:snapToGrid w:val="0"/>
                <w:sz w:val="19"/>
              </w:rPr>
              <w:t>20 May 2005 (see s. 2)</w:t>
            </w:r>
          </w:p>
        </w:tc>
      </w:tr>
      <w:tr>
        <w:trPr>
          <w:gridBefore w:val="1"/>
          <w:wBefore w:w="21" w:type="dxa"/>
          <w:cantSplit/>
        </w:trPr>
        <w:tc>
          <w:tcPr>
            <w:tcW w:w="7091" w:type="dxa"/>
            <w:gridSpan w:val="8"/>
          </w:tcPr>
          <w:p>
            <w:pPr>
              <w:pStyle w:val="nTable"/>
              <w:spacing w:after="40"/>
              <w:rPr>
                <w:snapToGrid w:val="0"/>
                <w:sz w:val="19"/>
              </w:rPr>
            </w:pPr>
            <w:r>
              <w:rPr>
                <w:b/>
                <w:sz w:val="19"/>
              </w:rPr>
              <w:t xml:space="preserve">Reprint 4: The </w:t>
            </w:r>
            <w:r>
              <w:rPr>
                <w:b/>
                <w:i/>
                <w:sz w:val="19"/>
              </w:rPr>
              <w:t>Salaries and Allowances Act 1975</w:t>
            </w:r>
            <w:r>
              <w:rPr>
                <w:b/>
                <w:sz w:val="19"/>
              </w:rPr>
              <w:t xml:space="preserve"> as at 10 Jun 2005</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napToGrid w:val="0"/>
                <w:sz w:val="19"/>
              </w:rPr>
            </w:pPr>
            <w:r>
              <w:rPr>
                <w:i/>
                <w:snapToGrid w:val="0"/>
                <w:sz w:val="19"/>
              </w:rPr>
              <w:t>Parliamentary Legislation Amendment Act 2006</w:t>
            </w:r>
            <w:r>
              <w:rPr>
                <w:snapToGrid w:val="0"/>
                <w:sz w:val="19"/>
              </w:rPr>
              <w:t xml:space="preserve"> Pt. 3</w:t>
            </w:r>
          </w:p>
        </w:tc>
        <w:tc>
          <w:tcPr>
            <w:tcW w:w="1134" w:type="dxa"/>
            <w:gridSpan w:val="2"/>
          </w:tcPr>
          <w:p>
            <w:pPr>
              <w:pStyle w:val="nTable"/>
              <w:spacing w:after="40"/>
              <w:rPr>
                <w:sz w:val="19"/>
              </w:rPr>
            </w:pPr>
            <w:r>
              <w:rPr>
                <w:snapToGrid w:val="0"/>
                <w:sz w:val="19"/>
              </w:rPr>
              <w:t>56 of 2006</w:t>
            </w:r>
          </w:p>
        </w:tc>
        <w:tc>
          <w:tcPr>
            <w:tcW w:w="1134" w:type="dxa"/>
            <w:gridSpan w:val="2"/>
          </w:tcPr>
          <w:p>
            <w:pPr>
              <w:pStyle w:val="nTable"/>
              <w:spacing w:after="40"/>
              <w:rPr>
                <w:sz w:val="19"/>
              </w:rPr>
            </w:pPr>
            <w:r>
              <w:rPr>
                <w:sz w:val="19"/>
              </w:rPr>
              <w:t>16 Nov 2006</w:t>
            </w:r>
          </w:p>
        </w:tc>
        <w:tc>
          <w:tcPr>
            <w:tcW w:w="2556" w:type="dxa"/>
            <w:gridSpan w:val="2"/>
          </w:tcPr>
          <w:p>
            <w:pPr>
              <w:pStyle w:val="nTable"/>
              <w:spacing w:after="40"/>
              <w:rPr>
                <w:sz w:val="19"/>
              </w:rPr>
            </w:pPr>
            <w:r>
              <w:rPr>
                <w:snapToGrid w:val="0"/>
                <w:sz w:val="19"/>
              </w:rPr>
              <w:t>17 Nov 2006 (see s. 2)</w:t>
            </w:r>
          </w:p>
        </w:tc>
      </w:tr>
      <w:tr>
        <w:trPr>
          <w:gridBefore w:val="1"/>
          <w:wBefore w:w="21" w:type="dxa"/>
          <w:cantSplit/>
        </w:trPr>
        <w:tc>
          <w:tcPr>
            <w:tcW w:w="2267" w:type="dxa"/>
            <w:gridSpan w:val="2"/>
          </w:tcPr>
          <w:p>
            <w:pPr>
              <w:pStyle w:val="nTable"/>
              <w:spacing w:after="40"/>
              <w:ind w:right="170"/>
              <w:rPr>
                <w:i/>
                <w:snapToGrid w:val="0"/>
                <w:sz w:val="19"/>
              </w:rPr>
            </w:pPr>
            <w:r>
              <w:rPr>
                <w:i/>
                <w:snapToGrid w:val="0"/>
                <w:sz w:val="19"/>
              </w:rPr>
              <w:t>Financial Legislation Amendment and Repeal Act 2006</w:t>
            </w:r>
            <w:r>
              <w:rPr>
                <w:snapToGrid w:val="0"/>
                <w:sz w:val="19"/>
              </w:rPr>
              <w:t xml:space="preserve"> s. 4</w:t>
            </w:r>
          </w:p>
        </w:tc>
        <w:tc>
          <w:tcPr>
            <w:tcW w:w="1134" w:type="dxa"/>
            <w:gridSpan w:val="2"/>
          </w:tcPr>
          <w:p>
            <w:pPr>
              <w:pStyle w:val="nTable"/>
              <w:spacing w:after="40"/>
              <w:rPr>
                <w:snapToGrid w:val="0"/>
                <w:sz w:val="19"/>
              </w:rPr>
            </w:pPr>
            <w:r>
              <w:rPr>
                <w:snapToGrid w:val="0"/>
                <w:sz w:val="19"/>
              </w:rPr>
              <w:t>77 of 2006</w:t>
            </w:r>
          </w:p>
        </w:tc>
        <w:tc>
          <w:tcPr>
            <w:tcW w:w="1134" w:type="dxa"/>
            <w:gridSpan w:val="2"/>
          </w:tcPr>
          <w:p>
            <w:pPr>
              <w:pStyle w:val="nTable"/>
              <w:spacing w:after="40"/>
              <w:rPr>
                <w:sz w:val="19"/>
              </w:rPr>
            </w:pPr>
            <w:r>
              <w:rPr>
                <w:sz w:val="19"/>
              </w:rPr>
              <w:t>21 Dec 2006</w:t>
            </w:r>
          </w:p>
        </w:tc>
        <w:tc>
          <w:tcPr>
            <w:tcW w:w="2556" w:type="dxa"/>
            <w:gridSpan w:val="2"/>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gridAfter w:val="1"/>
          <w:wAfter w:w="24" w:type="dxa"/>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114</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24" w:type="dxa"/>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78</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17 Sep 2009 (see s. 2(b))</w:t>
            </w:r>
          </w:p>
        </w:tc>
      </w:tr>
      <w:tr>
        <w:trPr>
          <w:gridAfter w:val="1"/>
          <w:wAfter w:w="24" w:type="dxa"/>
          <w:cantSplit/>
        </w:trPr>
        <w:tc>
          <w:tcPr>
            <w:tcW w:w="7088" w:type="dxa"/>
            <w:gridSpan w:val="8"/>
          </w:tcPr>
          <w:p>
            <w:pPr>
              <w:pStyle w:val="nTable"/>
              <w:spacing w:after="40"/>
              <w:rPr>
                <w:sz w:val="19"/>
              </w:rPr>
            </w:pPr>
            <w:r>
              <w:rPr>
                <w:b/>
                <w:sz w:val="19"/>
              </w:rPr>
              <w:t xml:space="preserve">Reprint 5: The </w:t>
            </w:r>
            <w:r>
              <w:rPr>
                <w:b/>
                <w:i/>
                <w:sz w:val="19"/>
              </w:rPr>
              <w:t>Salaries and Allowances Act 1975</w:t>
            </w:r>
            <w:r>
              <w:rPr>
                <w:b/>
                <w:sz w:val="19"/>
              </w:rPr>
              <w:t xml:space="preserve"> as at 2 Jul 2010 </w:t>
            </w:r>
            <w:r>
              <w:rPr>
                <w:sz w:val="19"/>
              </w:rPr>
              <w:t>(includes amendments listed above)</w:t>
            </w:r>
          </w:p>
        </w:tc>
      </w:tr>
      <w:tr>
        <w:trPr>
          <w:gridAfter w:val="1"/>
          <w:wAfter w:w="24" w:type="dxa"/>
          <w:cantSplit/>
        </w:trPr>
        <w:tc>
          <w:tcPr>
            <w:tcW w:w="2269" w:type="dxa"/>
            <w:gridSpan w:val="2"/>
          </w:tcPr>
          <w:p>
            <w:pPr>
              <w:pStyle w:val="nTable"/>
              <w:spacing w:after="40"/>
              <w:rPr>
                <w:iCs/>
                <w:snapToGrid w:val="0"/>
                <w:sz w:val="19"/>
              </w:rPr>
            </w:pPr>
            <w:r>
              <w:rPr>
                <w:i/>
                <w:snapToGrid w:val="0"/>
                <w:sz w:val="19"/>
              </w:rPr>
              <w:t>Public Sector Reform Act 2010</w:t>
            </w:r>
            <w:r>
              <w:rPr>
                <w:iCs/>
                <w:snapToGrid w:val="0"/>
                <w:sz w:val="19"/>
              </w:rPr>
              <w:t xml:space="preserve"> s. 83</w:t>
            </w:r>
          </w:p>
        </w:tc>
        <w:tc>
          <w:tcPr>
            <w:tcW w:w="1134" w:type="dxa"/>
            <w:gridSpan w:val="2"/>
          </w:tcPr>
          <w:p>
            <w:pPr>
              <w:pStyle w:val="nTable"/>
              <w:spacing w:after="40"/>
              <w:rPr>
                <w:sz w:val="19"/>
              </w:rPr>
            </w:pPr>
            <w:r>
              <w:rPr>
                <w:snapToGrid w:val="0"/>
                <w:sz w:val="19"/>
              </w:rPr>
              <w:t>39 of 2010</w:t>
            </w:r>
          </w:p>
        </w:tc>
        <w:tc>
          <w:tcPr>
            <w:tcW w:w="1134" w:type="dxa"/>
            <w:gridSpan w:val="2"/>
          </w:tcPr>
          <w:p>
            <w:pPr>
              <w:pStyle w:val="nTable"/>
              <w:spacing w:after="40"/>
              <w:rPr>
                <w:sz w:val="19"/>
              </w:rPr>
            </w:pPr>
            <w:r>
              <w:rPr>
                <w:sz w:val="19"/>
              </w:rPr>
              <w:t>1 Oct 2010</w:t>
            </w:r>
          </w:p>
        </w:tc>
        <w:tc>
          <w:tcPr>
            <w:tcW w:w="2551" w:type="dxa"/>
            <w:gridSpan w:val="2"/>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gridAfter w:val="1"/>
          <w:wAfter w:w="24" w:type="dxa"/>
          <w:cantSplit/>
        </w:trPr>
        <w:tc>
          <w:tcPr>
            <w:tcW w:w="2269" w:type="dxa"/>
            <w:gridSpan w:val="2"/>
            <w:tcBorders>
              <w:bottom w:val="single" w:sz="8" w:space="0" w:color="auto"/>
            </w:tcBorders>
            <w:shd w:val="clear" w:color="auto" w:fill="auto"/>
          </w:tcPr>
          <w:p>
            <w:pPr>
              <w:pStyle w:val="nTable"/>
              <w:spacing w:after="40"/>
              <w:rPr>
                <w:i/>
                <w:snapToGrid w:val="0"/>
                <w:sz w:val="19"/>
              </w:rPr>
            </w:pPr>
            <w:r>
              <w:rPr>
                <w:i/>
                <w:snapToGrid w:val="0"/>
                <w:sz w:val="19"/>
              </w:rPr>
              <w:t xml:space="preserve">Local Government Amendment Act 2012 </w:t>
            </w:r>
            <w:r>
              <w:rPr>
                <w:snapToGrid w:val="0"/>
                <w:sz w:val="19"/>
              </w:rPr>
              <w:t>Pt. 4 (s. 38-41)</w:t>
            </w:r>
          </w:p>
        </w:tc>
        <w:tc>
          <w:tcPr>
            <w:tcW w:w="1134" w:type="dxa"/>
            <w:gridSpan w:val="2"/>
            <w:tcBorders>
              <w:bottom w:val="single" w:sz="8" w:space="0" w:color="auto"/>
            </w:tcBorders>
            <w:shd w:val="clear" w:color="auto" w:fill="auto"/>
          </w:tcPr>
          <w:p>
            <w:pPr>
              <w:pStyle w:val="nTable"/>
              <w:spacing w:after="40"/>
              <w:rPr>
                <w:snapToGrid w:val="0"/>
                <w:sz w:val="19"/>
              </w:rPr>
            </w:pPr>
            <w:r>
              <w:rPr>
                <w:snapToGrid w:val="0"/>
                <w:sz w:val="19"/>
              </w:rPr>
              <w:t>2 of 2012</w:t>
            </w:r>
          </w:p>
        </w:tc>
        <w:tc>
          <w:tcPr>
            <w:tcW w:w="1134" w:type="dxa"/>
            <w:gridSpan w:val="2"/>
            <w:tcBorders>
              <w:bottom w:val="single" w:sz="8" w:space="0" w:color="auto"/>
            </w:tcBorders>
            <w:shd w:val="clear" w:color="auto" w:fill="auto"/>
          </w:tcPr>
          <w:p>
            <w:pPr>
              <w:pStyle w:val="nTable"/>
              <w:spacing w:after="40"/>
              <w:rPr>
                <w:sz w:val="19"/>
              </w:rPr>
            </w:pPr>
            <w:r>
              <w:rPr>
                <w:sz w:val="19"/>
              </w:rPr>
              <w:t>4 Apr 2012</w:t>
            </w:r>
          </w:p>
        </w:tc>
        <w:tc>
          <w:tcPr>
            <w:tcW w:w="2551" w:type="dxa"/>
            <w:gridSpan w:val="2"/>
            <w:tcBorders>
              <w:bottom w:val="single" w:sz="8" w:space="0" w:color="auto"/>
            </w:tcBorders>
            <w:shd w:val="clear" w:color="auto" w:fill="auto"/>
          </w:tcPr>
          <w:p>
            <w:pPr>
              <w:pStyle w:val="nTable"/>
              <w:spacing w:after="40"/>
              <w:rPr>
                <w:i/>
                <w:snapToGrid w:val="0"/>
                <w:sz w:val="19"/>
              </w:rPr>
            </w:pPr>
            <w:r>
              <w:rPr>
                <w:snapToGrid w:val="0"/>
                <w:sz w:val="19"/>
              </w:rPr>
              <w:t xml:space="preserve">s. 38, 40(a), (c) and 41 to the extent that it inserts s. 10(4)(c)(i): 21 Apr 2012 (see s. 2(b) and </w:t>
            </w:r>
            <w:r>
              <w:rPr>
                <w:i/>
                <w:snapToGrid w:val="0"/>
                <w:sz w:val="19"/>
              </w:rPr>
              <w:t>Gazette</w:t>
            </w:r>
            <w:r>
              <w:rPr>
                <w:snapToGrid w:val="0"/>
                <w:sz w:val="19"/>
              </w:rPr>
              <w:t xml:space="preserve"> 20 Apr 2012 p. 1695);</w:t>
            </w:r>
            <w:r>
              <w:rPr>
                <w:snapToGrid w:val="0"/>
                <w:sz w:val="19"/>
              </w:rPr>
              <w:br/>
              <w:t xml:space="preserve">s. 39, 40(b) and 41 to the extent that it inserts s. 10(4)(c)(ii): 9 Feb 2013 (see s. 2(b) and </w:t>
            </w:r>
            <w:r>
              <w:rPr>
                <w:i/>
                <w:snapToGrid w:val="0"/>
                <w:sz w:val="19"/>
              </w:rPr>
              <w:t xml:space="preserve">Gazette </w:t>
            </w:r>
            <w:r>
              <w:rPr>
                <w:snapToGrid w:val="0"/>
                <w:sz w:val="19"/>
              </w:rPr>
              <w:t>8 Feb 2013 p. 863)</w:t>
            </w:r>
          </w:p>
        </w:tc>
      </w:tr>
    </w:tbl>
    <w:p>
      <w:pPr>
        <w:pStyle w:val="nSubsection"/>
        <w:spacing w:before="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25" w:name="_Toc378842334"/>
      <w:r>
        <w:rPr>
          <w:snapToGrid w:val="0"/>
        </w:rPr>
        <w:t>Provisions that have not come into operation</w:t>
      </w:r>
      <w:bookmarkEnd w:id="25"/>
    </w:p>
    <w:tbl>
      <w:tblPr>
        <w:tblW w:w="7139" w:type="dxa"/>
        <w:tblInd w:w="28" w:type="dxa"/>
        <w:tblLayout w:type="fixed"/>
        <w:tblCellMar>
          <w:left w:w="56" w:type="dxa"/>
          <w:right w:w="56" w:type="dxa"/>
        </w:tblCellMar>
        <w:tblLook w:val="0000" w:firstRow="0" w:lastRow="0" w:firstColumn="0" w:lastColumn="0" w:noHBand="0" w:noVBand="0"/>
      </w:tblPr>
      <w:tblGrid>
        <w:gridCol w:w="2252"/>
        <w:gridCol w:w="1136"/>
        <w:gridCol w:w="1232"/>
        <w:gridCol w:w="2519"/>
      </w:tblGrid>
      <w:tr>
        <w:trPr>
          <w:cantSplit/>
          <w:tblHeader/>
        </w:trPr>
        <w:tc>
          <w:tcPr>
            <w:tcW w:w="2252" w:type="dxa"/>
            <w:tcBorders>
              <w:top w:val="single" w:sz="8" w:space="0" w:color="auto"/>
              <w:bottom w:val="single" w:sz="4" w:space="0" w:color="auto"/>
            </w:tcBorders>
          </w:tcPr>
          <w:p>
            <w:pPr>
              <w:pStyle w:val="nTable"/>
              <w:keepNext/>
              <w:keepLines/>
              <w:spacing w:after="40"/>
              <w:ind w:right="113"/>
              <w:rPr>
                <w:b/>
                <w:sz w:val="19"/>
              </w:rPr>
            </w:pPr>
            <w:r>
              <w:rPr>
                <w:b/>
                <w:sz w:val="19"/>
              </w:rPr>
              <w:t>Short title</w:t>
            </w:r>
          </w:p>
        </w:tc>
        <w:tc>
          <w:tcPr>
            <w:tcW w:w="1136"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232"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19"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52" w:type="dxa"/>
            <w:tcBorders>
              <w:bottom w:val="single" w:sz="4" w:space="0" w:color="auto"/>
            </w:tcBorders>
          </w:tcPr>
          <w:p>
            <w:pPr>
              <w:pStyle w:val="nTable"/>
              <w:spacing w:after="40"/>
              <w:ind w:right="113"/>
              <w:rPr>
                <w:sz w:val="19"/>
              </w:rPr>
            </w:pPr>
            <w:r>
              <w:rPr>
                <w:i/>
                <w:sz w:val="19"/>
              </w:rPr>
              <w:t>Workforce Reform Act 2014</w:t>
            </w:r>
            <w:r>
              <w:rPr>
                <w:sz w:val="19"/>
              </w:rPr>
              <w:t xml:space="preserve"> Pt. 4</w:t>
            </w:r>
            <w:r>
              <w:rPr>
                <w:sz w:val="19"/>
                <w:vertAlign w:val="superscript"/>
              </w:rPr>
              <w:t> 6</w:t>
            </w:r>
          </w:p>
        </w:tc>
        <w:tc>
          <w:tcPr>
            <w:tcW w:w="1136" w:type="dxa"/>
            <w:tcBorders>
              <w:bottom w:val="single" w:sz="4" w:space="0" w:color="auto"/>
            </w:tcBorders>
          </w:tcPr>
          <w:p>
            <w:pPr>
              <w:pStyle w:val="nTable"/>
              <w:spacing w:after="40"/>
              <w:rPr>
                <w:sz w:val="19"/>
              </w:rPr>
            </w:pPr>
            <w:r>
              <w:rPr>
                <w:sz w:val="19"/>
              </w:rPr>
              <w:t>8 of 2014</w:t>
            </w:r>
          </w:p>
        </w:tc>
        <w:tc>
          <w:tcPr>
            <w:tcW w:w="1232" w:type="dxa"/>
            <w:tcBorders>
              <w:bottom w:val="single" w:sz="4" w:space="0" w:color="auto"/>
            </w:tcBorders>
          </w:tcPr>
          <w:p>
            <w:pPr>
              <w:pStyle w:val="nTable"/>
              <w:spacing w:after="40"/>
              <w:rPr>
                <w:sz w:val="19"/>
              </w:rPr>
            </w:pPr>
            <w:r>
              <w:rPr>
                <w:sz w:val="19"/>
              </w:rPr>
              <w:t>20 May 2014</w:t>
            </w:r>
          </w:p>
        </w:tc>
        <w:tc>
          <w:tcPr>
            <w:tcW w:w="2519" w:type="dxa"/>
            <w:tcBorders>
              <w:bottom w:val="single" w:sz="4" w:space="0" w:color="auto"/>
            </w:tcBorders>
          </w:tcPr>
          <w:p>
            <w:pPr>
              <w:pStyle w:val="nTable"/>
              <w:spacing w:after="40"/>
              <w:rPr>
                <w:sz w:val="19"/>
              </w:rPr>
            </w:pPr>
            <w:r>
              <w:rPr>
                <w:sz w:val="19"/>
              </w:rPr>
              <w:t>To be proclaimed (see s. 2(b))</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Subsection"/>
        <w:rPr>
          <w:snapToGrid w:val="0"/>
        </w:rPr>
      </w:pPr>
      <w:r>
        <w:rPr>
          <w:snapToGrid w:val="0"/>
          <w:vertAlign w:val="superscript"/>
        </w:rPr>
        <w:t>3</w:t>
      </w:r>
      <w:r>
        <w:rPr>
          <w:snapToGrid w:val="0"/>
        </w:rPr>
        <w:tab/>
        <w:t xml:space="preserve">Now see the </w:t>
      </w:r>
      <w:r>
        <w:rPr>
          <w:i/>
          <w:snapToGrid w:val="0"/>
        </w:rPr>
        <w:t>Interpretation Act 1984</w:t>
      </w:r>
      <w:r>
        <w:rPr>
          <w:iCs/>
          <w:snapToGrid w:val="0"/>
        </w:rPr>
        <w:t xml:space="preserve"> s. 52</w:t>
      </w:r>
      <w:r>
        <w:rPr>
          <w:snapToGrid w:val="0"/>
        </w:rPr>
        <w:t>.</w:t>
      </w:r>
    </w:p>
    <w:p>
      <w:pPr>
        <w:pStyle w:val="nSubsection"/>
        <w:keepNext/>
        <w:rPr>
          <w:snapToGrid w:val="0"/>
        </w:rPr>
      </w:pPr>
      <w:r>
        <w:rPr>
          <w:vertAlign w:val="superscript"/>
        </w:rPr>
        <w:t>4</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Subsection"/>
      </w:pPr>
      <w:r>
        <w:rPr>
          <w:vertAlign w:val="superscript"/>
        </w:rPr>
        <w:t>5</w:t>
      </w:r>
      <w:r>
        <w:tab/>
        <w:t xml:space="preserve">Now known as the </w:t>
      </w:r>
      <w:r>
        <w:rPr>
          <w:i/>
        </w:rPr>
        <w:t>Salaries and Allowances Act 1975</w:t>
      </w:r>
      <w:r>
        <w:t>; short title changed (see note under s. 1).</w:t>
      </w:r>
    </w:p>
    <w:p>
      <w:pPr>
        <w:pStyle w:val="nSubsection"/>
      </w:pPr>
      <w:r>
        <w:rPr>
          <w:vertAlign w:val="superscript"/>
        </w:rPr>
        <w:t>6</w:t>
      </w:r>
      <w:r>
        <w:tab/>
      </w:r>
      <w:r>
        <w:rPr>
          <w:snapToGrid w:val="0"/>
        </w:rPr>
        <w:t xml:space="preserve">On the date as at which this compilation was prepared, </w:t>
      </w:r>
      <w:r>
        <w:t xml:space="preserve">the </w:t>
      </w:r>
      <w:r>
        <w:rPr>
          <w:i/>
        </w:rPr>
        <w:t>Workforce Reform Act 2014</w:t>
      </w:r>
      <w:r>
        <w:t xml:space="preserve"> Pt. 4 had not come into operation.  It reads as follows:</w:t>
      </w:r>
    </w:p>
    <w:p>
      <w:pPr>
        <w:pStyle w:val="BlankOpen"/>
      </w:pPr>
    </w:p>
    <w:p>
      <w:pPr>
        <w:pStyle w:val="nzHeading2"/>
        <w:rPr>
          <w:rStyle w:val="CharPartText"/>
        </w:rPr>
      </w:pPr>
      <w:bookmarkStart w:id="26" w:name="_Toc369528652"/>
      <w:bookmarkStart w:id="27" w:name="_Toc369528680"/>
      <w:bookmarkStart w:id="28" w:name="_Toc369528708"/>
      <w:bookmarkStart w:id="29" w:name="_Toc369529138"/>
      <w:bookmarkStart w:id="30" w:name="_Toc369529536"/>
      <w:bookmarkStart w:id="31" w:name="_Toc369529568"/>
      <w:bookmarkStart w:id="32" w:name="_Toc369529788"/>
      <w:bookmarkStart w:id="33" w:name="_Toc369592948"/>
      <w:bookmarkStart w:id="34" w:name="_Toc370110627"/>
      <w:bookmarkStart w:id="35" w:name="_Toc387224139"/>
      <w:bookmarkStart w:id="36" w:name="_Toc387226884"/>
      <w:bookmarkStart w:id="37" w:name="_Toc387227526"/>
      <w:bookmarkStart w:id="38" w:name="_Toc387744402"/>
      <w:bookmarkStart w:id="39" w:name="_Toc388361568"/>
      <w:bookmarkStart w:id="40" w:name="_Toc388363287"/>
      <w:r>
        <w:rPr>
          <w:rStyle w:val="CharPartNo"/>
        </w:rPr>
        <w:t>Part 4</w:t>
      </w:r>
      <w:r>
        <w:rPr>
          <w:rStyle w:val="CharDivNo"/>
        </w:rPr>
        <w:t> </w:t>
      </w:r>
      <w:r>
        <w:t>—</w:t>
      </w:r>
      <w:r>
        <w:rPr>
          <w:rStyle w:val="CharDivText"/>
        </w:rPr>
        <w:t> </w:t>
      </w:r>
      <w:r>
        <w:rPr>
          <w:rStyle w:val="CharPartText"/>
          <w:i/>
        </w:rPr>
        <w:t>Salaries and Allowances Act 1975</w:t>
      </w:r>
      <w:r>
        <w:rPr>
          <w:rStyle w:val="CharPartText"/>
        </w:rPr>
        <w:t xml:space="preserve"> amended</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nzHeading5"/>
      </w:pPr>
      <w:bookmarkStart w:id="41" w:name="_Toc388361569"/>
      <w:bookmarkStart w:id="42" w:name="_Toc388363288"/>
      <w:r>
        <w:rPr>
          <w:rStyle w:val="CharSectno"/>
        </w:rPr>
        <w:t>18</w:t>
      </w:r>
      <w:r>
        <w:t>.</w:t>
      </w:r>
      <w:r>
        <w:tab/>
        <w:t>Act amended</w:t>
      </w:r>
      <w:bookmarkEnd w:id="41"/>
      <w:bookmarkEnd w:id="42"/>
    </w:p>
    <w:p>
      <w:pPr>
        <w:pStyle w:val="nzSubsection"/>
      </w:pPr>
      <w:r>
        <w:tab/>
      </w:r>
      <w:r>
        <w:tab/>
        <w:t xml:space="preserve">This Part amends the </w:t>
      </w:r>
      <w:r>
        <w:rPr>
          <w:i/>
        </w:rPr>
        <w:t>Salaries and Allowances Act 1975</w:t>
      </w:r>
      <w:r>
        <w:t>.</w:t>
      </w:r>
    </w:p>
    <w:p>
      <w:pPr>
        <w:pStyle w:val="nzHeading5"/>
      </w:pPr>
      <w:bookmarkStart w:id="43" w:name="_Toc388361570"/>
      <w:bookmarkStart w:id="44" w:name="_Toc388363289"/>
      <w:r>
        <w:rPr>
          <w:rStyle w:val="CharSectno"/>
        </w:rPr>
        <w:t>19</w:t>
      </w:r>
      <w:r>
        <w:t>.</w:t>
      </w:r>
      <w:r>
        <w:tab/>
        <w:t>Section 10A inserted</w:t>
      </w:r>
      <w:bookmarkEnd w:id="43"/>
      <w:bookmarkEnd w:id="44"/>
    </w:p>
    <w:p>
      <w:pPr>
        <w:pStyle w:val="nzSubsection"/>
      </w:pPr>
      <w:r>
        <w:tab/>
      </w:r>
      <w:r>
        <w:tab/>
        <w:t>After section 10 insert:</w:t>
      </w:r>
    </w:p>
    <w:p>
      <w:pPr>
        <w:pStyle w:val="BlankOpen"/>
      </w:pPr>
    </w:p>
    <w:p>
      <w:pPr>
        <w:pStyle w:val="nzHeading5"/>
      </w:pPr>
      <w:bookmarkStart w:id="45" w:name="_Toc388361571"/>
      <w:bookmarkStart w:id="46" w:name="_Toc388363290"/>
      <w:r>
        <w:t>10A.</w:t>
      </w:r>
      <w:r>
        <w:tab/>
        <w:t>Tribunal to have regard to government financial matters</w:t>
      </w:r>
      <w:bookmarkEnd w:id="45"/>
      <w:bookmarkEnd w:id="46"/>
    </w:p>
    <w:p>
      <w:pPr>
        <w:pStyle w:val="nzSubsection"/>
      </w:pPr>
      <w:r>
        <w:tab/>
        <w:t>(1)</w:t>
      </w:r>
      <w:r>
        <w:tab/>
        <w:t xml:space="preserve">In this section — </w:t>
      </w:r>
    </w:p>
    <w:p>
      <w:pPr>
        <w:pStyle w:val="nzDefstart"/>
      </w:pPr>
      <w:r>
        <w:tab/>
      </w:r>
      <w:r>
        <w:rPr>
          <w:b/>
          <w:i/>
        </w:rPr>
        <w:t>Government Financial Projections Statement</w:t>
      </w:r>
      <w:r>
        <w:t xml:space="preserve"> means whichever is the most recent of the following — </w:t>
      </w:r>
    </w:p>
    <w:p>
      <w:pPr>
        <w:pStyle w:val="nzDefpara"/>
      </w:pPr>
      <w:r>
        <w:tab/>
        <w:t>(a)</w:t>
      </w:r>
      <w:r>
        <w:tab/>
        <w:t xml:space="preserve">the most recent Government Financial Projections Statement that is — </w:t>
      </w:r>
    </w:p>
    <w:p>
      <w:pPr>
        <w:pStyle w:val="nzIndenti"/>
      </w:pPr>
      <w:r>
        <w:tab/>
        <w:t>(i)</w:t>
      </w:r>
      <w:r>
        <w:tab/>
        <w:t xml:space="preserve">released under the </w:t>
      </w:r>
      <w:r>
        <w:rPr>
          <w:i/>
        </w:rPr>
        <w:t>Government Financial Responsibility Act 2000</w:t>
      </w:r>
      <w:r>
        <w:t xml:space="preserve"> section 12(1); and</w:t>
      </w:r>
    </w:p>
    <w:p>
      <w:pPr>
        <w:pStyle w:val="nzIndenti"/>
      </w:pPr>
      <w:r>
        <w:tab/>
        <w:t>(ii)</w:t>
      </w:r>
      <w:r>
        <w:tab/>
        <w:t>made publicly available in the budget papers tabled in the Legislative Assembly under the title “Economic and Fiscal Outlook” or, if the regulations prescribe another part of the budget papers, that other part;</w:t>
      </w:r>
    </w:p>
    <w:p>
      <w:pPr>
        <w:pStyle w:val="nzDefpara"/>
      </w:pPr>
      <w:r>
        <w:tab/>
        <w:t>(b)</w:t>
      </w:r>
      <w:r>
        <w:tab/>
        <w:t xml:space="preserve">the most recent Government Mid-year Financial Projections Statement that is — </w:t>
      </w:r>
    </w:p>
    <w:p>
      <w:pPr>
        <w:pStyle w:val="nzIndenti"/>
      </w:pPr>
      <w:r>
        <w:tab/>
        <w:t>(i)</w:t>
      </w:r>
      <w:r>
        <w:tab/>
        <w:t xml:space="preserve">released under the </w:t>
      </w:r>
      <w:r>
        <w:rPr>
          <w:i/>
        </w:rPr>
        <w:t>Government Financial Responsibility Act 2000</w:t>
      </w:r>
      <w:r>
        <w:t xml:space="preserve"> section 13(1); and</w:t>
      </w:r>
    </w:p>
    <w:p>
      <w:pPr>
        <w:pStyle w:val="nzIndenti"/>
      </w:pPr>
      <w:r>
        <w:tab/>
        <w:t>(ii)</w:t>
      </w:r>
      <w:r>
        <w:tab/>
        <w:t>made publicly available under section 9 of that Act;</w:t>
      </w:r>
    </w:p>
    <w:p>
      <w:pPr>
        <w:pStyle w:val="nzDefstart"/>
      </w:pPr>
      <w:r>
        <w:tab/>
      </w:r>
      <w:r>
        <w:rPr>
          <w:rStyle w:val="CharDefText"/>
        </w:rPr>
        <w:t xml:space="preserve">Public Sector Wages Policy Statement </w:t>
      </w:r>
      <w:r>
        <w:t xml:space="preserve">means — </w:t>
      </w:r>
    </w:p>
    <w:p>
      <w:pPr>
        <w:pStyle w:val="nzDefpara"/>
      </w:pPr>
      <w:r>
        <w:tab/>
        <w:t>(a)</w:t>
      </w:r>
      <w:r>
        <w:tab/>
        <w:t>the Public Sector Wages Policy Statement 2014 issued by the State government that applies to industrial agreements expiring after 1 November 2013; or</w:t>
      </w:r>
    </w:p>
    <w:p>
      <w:pPr>
        <w:pStyle w:val="nzDefpara"/>
      </w:pPr>
      <w:r>
        <w:tab/>
        <w:t>(b)</w:t>
      </w:r>
      <w:r>
        <w:tab/>
        <w:t>if any Public Sector Wages Policy Statement is issued in substitution for that statement, the later statement.</w:t>
      </w:r>
    </w:p>
    <w:p>
      <w:pPr>
        <w:pStyle w:val="nzSubsection"/>
      </w:pPr>
      <w:r>
        <w:tab/>
        <w:t>(2)</w:t>
      </w:r>
      <w:r>
        <w:tab/>
        <w:t xml:space="preserve">In making a determination under section 6(1)(a), (ab), (d) or (e) the Tribunal must take into consideration the following — </w:t>
      </w:r>
    </w:p>
    <w:p>
      <w:pPr>
        <w:pStyle w:val="nzIndenta"/>
      </w:pPr>
      <w:r>
        <w:tab/>
        <w:t>(a)</w:t>
      </w:r>
      <w:r>
        <w:tab/>
        <w:t>any Public Sector Wages Policy Statement, irrespective of whether or not the statement applies to a person or office in respect of whom or which the determination is made;</w:t>
      </w:r>
    </w:p>
    <w:p>
      <w:pPr>
        <w:pStyle w:val="nzIndenta"/>
      </w:pPr>
      <w:r>
        <w:tab/>
        <w:t>(b)</w:t>
      </w:r>
      <w:r>
        <w:tab/>
        <w:t xml:space="preserve">the financial position and fiscal strategy of the State as set out in the following — </w:t>
      </w:r>
    </w:p>
    <w:p>
      <w:pPr>
        <w:pStyle w:val="nzIndenti"/>
      </w:pPr>
      <w:r>
        <w:tab/>
        <w:t>(i)</w:t>
      </w:r>
      <w:r>
        <w:tab/>
        <w:t xml:space="preserve">the most recent Government Financial Strategy Statement released under the </w:t>
      </w:r>
      <w:r>
        <w:rPr>
          <w:i/>
        </w:rPr>
        <w:t>Government Financial Responsibility Act 2000</w:t>
      </w:r>
      <w:r>
        <w:t xml:space="preserve"> section 11(1) and made publicly available under section 9 of that Act;</w:t>
      </w:r>
    </w:p>
    <w:p>
      <w:pPr>
        <w:pStyle w:val="nzIndenti"/>
      </w:pPr>
      <w:r>
        <w:tab/>
        <w:t>(ii)</w:t>
      </w:r>
      <w:r>
        <w:tab/>
        <w:t>the Government Financial Projections Statement;</w:t>
      </w:r>
    </w:p>
    <w:p>
      <w:pPr>
        <w:pStyle w:val="nzIndenti"/>
      </w:pPr>
      <w:r>
        <w:tab/>
        <w:t>(iii)</w:t>
      </w:r>
      <w:r>
        <w:tab/>
        <w:t>any submissions made to the Tribunal on behalf of the State government.</w:t>
      </w:r>
    </w:p>
    <w:p>
      <w:pPr>
        <w:pStyle w:val="BlankClose"/>
      </w:pPr>
    </w:p>
    <w:p>
      <w:pPr>
        <w:pStyle w:val="BlankClose"/>
        <w:rPr>
          <w:snapToGrid w:val="0"/>
        </w:rPr>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47" w:name="_Toc377565155"/>
      <w:r>
        <w:rPr>
          <w:sz w:val="28"/>
        </w:rPr>
        <w:t>Defined Terms</w:t>
      </w:r>
      <w:bookmarkEnd w:id="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8" w:name="DefinedTerms"/>
      <w:bookmarkEnd w:id="48"/>
      <w:r>
        <w:t>Chairman</w:t>
      </w:r>
      <w:r>
        <w:tab/>
        <w:t>4(1)</w:t>
      </w:r>
    </w:p>
    <w:p>
      <w:pPr>
        <w:pStyle w:val="DefinedTerms"/>
      </w:pPr>
      <w:r>
        <w:t>elected council member</w:t>
      </w:r>
      <w:r>
        <w:tab/>
        <w:t>7B</w:t>
      </w:r>
    </w:p>
    <w:p>
      <w:pPr>
        <w:pStyle w:val="DefinedTerms"/>
      </w:pPr>
      <w:r>
        <w:t>former office entitlement</w:t>
      </w:r>
      <w:r>
        <w:tab/>
        <w:t>6C(1)</w:t>
      </w:r>
    </w:p>
    <w:p>
      <w:pPr>
        <w:pStyle w:val="DefinedTerms"/>
      </w:pPr>
      <w:r>
        <w:t>holding public office</w:t>
      </w:r>
      <w:r>
        <w:tab/>
        <w:t>6C(1)</w:t>
      </w:r>
    </w:p>
    <w:p>
      <w:pPr>
        <w:pStyle w:val="DefinedTerms"/>
      </w:pPr>
      <w:r>
        <w:t>member</w:t>
      </w:r>
      <w:r>
        <w:tab/>
        <w:t>4(1)</w:t>
      </w:r>
    </w:p>
    <w:p>
      <w:pPr>
        <w:pStyle w:val="DefinedTerms"/>
      </w:pPr>
      <w:r>
        <w:t>Minister of the Crown</w:t>
      </w:r>
      <w:r>
        <w:tab/>
        <w:t>4(1)</w:t>
      </w:r>
    </w:p>
    <w:p>
      <w:pPr>
        <w:pStyle w:val="DefinedTerms"/>
      </w:pPr>
      <w:r>
        <w:t>remuneration</w:t>
      </w:r>
      <w:r>
        <w:tab/>
        <w:t>4(1)</w:t>
      </w:r>
    </w:p>
    <w:p>
      <w:pPr>
        <w:pStyle w:val="DefinedTerms"/>
      </w:pPr>
      <w:r>
        <w:t>Schedule 1 offence</w:t>
      </w:r>
      <w:r>
        <w:tab/>
        <w:t>6C(1)</w:t>
      </w:r>
    </w:p>
    <w:p>
      <w:pPr>
        <w:pStyle w:val="DefinedTerms"/>
      </w:pPr>
      <w:r>
        <w:t>section</w:t>
      </w:r>
      <w:r>
        <w:tab/>
        <w:t>4(1)</w:t>
      </w:r>
    </w:p>
    <w:p>
      <w:pPr>
        <w:pStyle w:val="DefinedTerms"/>
      </w:pPr>
      <w:r>
        <w:t>the fresh election</w:t>
      </w:r>
      <w:r>
        <w:tab/>
        <w:t>6(5b)(b)</w:t>
      </w:r>
    </w:p>
    <w:p>
      <w:pPr>
        <w:pStyle w:val="DefinedTerms"/>
      </w:pPr>
      <w:r>
        <w:t>Tribunal</w:t>
      </w:r>
      <w:r>
        <w:tab/>
        <w:t>4(1)</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Salaries and Allowances Act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Salaries and Allowances Act 1975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Salaries and Allowances Act 1975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82823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372B85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5160148"/>
    <w:docVar w:name="WAFER_20140115152853" w:val="RemoveTocBookmarks,RemoveUnusedBookmarks,RemoveLanguageTags,UsedStyles,ResetPageSize,UpdateArrangement"/>
    <w:docVar w:name="WAFER_20140115152853_GUID" w:val="9421f146-8649-461a-baad-f74b3324ad31"/>
    <w:docVar w:name="WAFER_20140115160148" w:val="RemoveTocBookmarks,RunningHeaders"/>
    <w:docVar w:name="WAFER_20140115160148_GUID" w:val="829f7262-d7b5-4fe6-adf5-945624fe94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7379</Words>
  <Characters>34244</Characters>
  <Application>Microsoft Office Word</Application>
  <DocSecurity>0</DocSecurity>
  <Lines>1070</Lines>
  <Paragraphs>594</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41029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1975 - 05-h0-01</dc:title>
  <dc:subject/>
  <dc:creator/>
  <cp:keywords/>
  <dc:description/>
  <cp:lastModifiedBy>svcMRProcess</cp:lastModifiedBy>
  <cp:revision>4</cp:revision>
  <cp:lastPrinted>2010-06-23T03:13:00Z</cp:lastPrinted>
  <dcterms:created xsi:type="dcterms:W3CDTF">2018-09-07T20:47:00Z</dcterms:created>
  <dcterms:modified xsi:type="dcterms:W3CDTF">2018-09-07T20:47:00Z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CommencementDate">
    <vt:lpwstr>20140520</vt:lpwstr>
  </property>
  <property fmtid="{D5CDD505-2E9C-101B-9397-08002B2CF9AE}" pid="4" name="DocumentType">
    <vt:lpwstr>Act</vt:lpwstr>
  </property>
  <property fmtid="{D5CDD505-2E9C-101B-9397-08002B2CF9AE}" pid="5" name="OwlsUID">
    <vt:i4>725</vt:i4>
  </property>
  <property fmtid="{D5CDD505-2E9C-101B-9397-08002B2CF9AE}" pid="6" name="AsAtDate">
    <vt:lpwstr>20 May 2014</vt:lpwstr>
  </property>
  <property fmtid="{D5CDD505-2E9C-101B-9397-08002B2CF9AE}" pid="7" name="Suffix">
    <vt:lpwstr>05-h0-01</vt:lpwstr>
  </property>
  <property fmtid="{D5CDD505-2E9C-101B-9397-08002B2CF9AE}" pid="8" name="ReprintNo">
    <vt:lpwstr>5</vt:lpwstr>
  </property>
</Properties>
</file>