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Electronic Conveyancing Act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Electronic Conveyancing Act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_Toc416783588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_Toc416783589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_Toc416783590 \h </w:instrText>
      </w:r>
      <w:r>
        <w:fldChar w:fldCharType="separate"/>
      </w:r>
      <w:r>
        <w:t>2</w:t>
      </w:r>
      <w:r>
        <w:fldChar w:fldCharType="end"/>
      </w:r>
    </w:p>
    <w:p>
      <w:pPr>
        <w:pStyle w:val="TOC8"/>
        <w:rPr>
          <w:rFonts w:asciiTheme="minorHAnsi" w:eastAsiaTheme="minorEastAsia" w:hAnsiTheme="minorHAnsi" w:cstheme="minorBidi"/>
          <w:szCs w:val="22"/>
        </w:rPr>
      </w:pPr>
      <w:r>
        <w:t>4.</w:t>
      </w:r>
      <w:r>
        <w:tab/>
        <w:t>Interpretation generally</w:t>
      </w:r>
      <w:r>
        <w:tab/>
      </w:r>
      <w:r>
        <w:fldChar w:fldCharType="begin"/>
      </w:r>
      <w:r>
        <w:instrText xml:space="preserve"> PAGEREF _Toc416783591 \h </w:instrText>
      </w:r>
      <w:r>
        <w:fldChar w:fldCharType="separate"/>
      </w:r>
      <w:r>
        <w:t>7</w:t>
      </w:r>
      <w:r>
        <w:fldChar w:fldCharType="end"/>
      </w:r>
    </w:p>
    <w:p>
      <w:pPr>
        <w:pStyle w:val="TOC8"/>
        <w:rPr>
          <w:rFonts w:asciiTheme="minorHAnsi" w:eastAsiaTheme="minorEastAsia" w:hAnsiTheme="minorHAnsi" w:cstheme="minorBidi"/>
          <w:szCs w:val="22"/>
        </w:rPr>
      </w:pPr>
      <w:r>
        <w:t>5.</w:t>
      </w:r>
      <w:r>
        <w:tab/>
        <w:t>Exclusion of interpretation legislation of this jurisdiction</w:t>
      </w:r>
      <w:r>
        <w:tab/>
      </w:r>
      <w:r>
        <w:fldChar w:fldCharType="begin"/>
      </w:r>
      <w:r>
        <w:instrText xml:space="preserve"> PAGEREF _Toc416783592 \h </w:instrText>
      </w:r>
      <w:r>
        <w:fldChar w:fldCharType="separate"/>
      </w:r>
      <w:r>
        <w:t>7</w:t>
      </w:r>
      <w:r>
        <w:fldChar w:fldCharType="end"/>
      </w:r>
    </w:p>
    <w:p>
      <w:pPr>
        <w:pStyle w:val="TOC8"/>
        <w:rPr>
          <w:rFonts w:asciiTheme="minorHAnsi" w:eastAsiaTheme="minorEastAsia" w:hAnsiTheme="minorHAnsi" w:cstheme="minorBidi"/>
          <w:szCs w:val="22"/>
        </w:rPr>
      </w:pPr>
      <w:r>
        <w:t>6A.</w:t>
      </w:r>
      <w:r>
        <w:tab/>
        <w:t>Numbering</w:t>
      </w:r>
      <w:r>
        <w:tab/>
      </w:r>
      <w:r>
        <w:fldChar w:fldCharType="begin"/>
      </w:r>
      <w:r>
        <w:instrText xml:space="preserve"> PAGEREF _Toc416783593 \h </w:instrText>
      </w:r>
      <w:r>
        <w:fldChar w:fldCharType="separate"/>
      </w:r>
      <w:r>
        <w:t>7</w:t>
      </w:r>
      <w:r>
        <w:fldChar w:fldCharType="end"/>
      </w:r>
    </w:p>
    <w:p>
      <w:pPr>
        <w:pStyle w:val="TOC8"/>
        <w:rPr>
          <w:rFonts w:asciiTheme="minorHAnsi" w:eastAsiaTheme="minorEastAsia" w:hAnsiTheme="minorHAnsi" w:cstheme="minorBidi"/>
          <w:szCs w:val="22"/>
        </w:rPr>
      </w:pPr>
      <w:r>
        <w:t>6.</w:t>
      </w:r>
      <w:r>
        <w:tab/>
        <w:t>Purpose</w:t>
      </w:r>
      <w:r>
        <w:tab/>
      </w:r>
      <w:r>
        <w:fldChar w:fldCharType="begin"/>
      </w:r>
      <w:r>
        <w:instrText xml:space="preserve"> PAGEREF _Toc416783594 \h </w:instrText>
      </w:r>
      <w:r>
        <w:fldChar w:fldCharType="separate"/>
      </w:r>
      <w:r>
        <w:t>8</w:t>
      </w:r>
      <w:r>
        <w:fldChar w:fldCharType="end"/>
      </w:r>
    </w:p>
    <w:p>
      <w:pPr>
        <w:pStyle w:val="TOC8"/>
        <w:rPr>
          <w:rFonts w:asciiTheme="minorHAnsi" w:eastAsiaTheme="minorEastAsia" w:hAnsiTheme="minorHAnsi" w:cstheme="minorBidi"/>
          <w:szCs w:val="22"/>
        </w:rPr>
      </w:pPr>
      <w:r>
        <w:t>7A.</w:t>
      </w:r>
      <w:r>
        <w:tab/>
        <w:t>Act binds the State</w:t>
      </w:r>
      <w:r>
        <w:tab/>
      </w:r>
      <w:r>
        <w:fldChar w:fldCharType="begin"/>
      </w:r>
      <w:r>
        <w:instrText xml:space="preserve"> PAGEREF _Toc416783595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Electronic conveyancing</w:t>
      </w:r>
    </w:p>
    <w:p>
      <w:pPr>
        <w:pStyle w:val="TOC4"/>
        <w:tabs>
          <w:tab w:val="right" w:leader="dot" w:pos="7077"/>
        </w:tabs>
        <w:rPr>
          <w:rFonts w:asciiTheme="minorHAnsi" w:eastAsiaTheme="minorEastAsia" w:hAnsiTheme="minorHAnsi" w:cstheme="minorBidi"/>
          <w:b w:val="0"/>
          <w:szCs w:val="22"/>
        </w:rPr>
      </w:pPr>
      <w:r>
        <w:t>Division 1 — Electronic lodgment</w:t>
      </w:r>
    </w:p>
    <w:p>
      <w:pPr>
        <w:pStyle w:val="TOC8"/>
        <w:rPr>
          <w:rFonts w:asciiTheme="minorHAnsi" w:eastAsiaTheme="minorEastAsia" w:hAnsiTheme="minorHAnsi" w:cstheme="minorBidi"/>
          <w:szCs w:val="22"/>
        </w:rPr>
      </w:pPr>
      <w:r>
        <w:t>7.</w:t>
      </w:r>
      <w:r>
        <w:tab/>
        <w:t>Documents may be lodged electronically (cf. ECNL s. 7)</w:t>
      </w:r>
      <w:r>
        <w:tab/>
      </w:r>
      <w:r>
        <w:fldChar w:fldCharType="begin"/>
      </w:r>
      <w:r>
        <w:instrText xml:space="preserve"> PAGEREF _Toc416783598 \h </w:instrText>
      </w:r>
      <w:r>
        <w:fldChar w:fldCharType="separate"/>
      </w:r>
      <w:r>
        <w:t>10</w:t>
      </w:r>
      <w:r>
        <w:fldChar w:fldCharType="end"/>
      </w:r>
    </w:p>
    <w:p>
      <w:pPr>
        <w:pStyle w:val="TOC8"/>
        <w:rPr>
          <w:rFonts w:asciiTheme="minorHAnsi" w:eastAsiaTheme="minorEastAsia" w:hAnsiTheme="minorHAnsi" w:cstheme="minorBidi"/>
          <w:szCs w:val="22"/>
        </w:rPr>
      </w:pPr>
      <w:r>
        <w:t>8.</w:t>
      </w:r>
      <w:r>
        <w:tab/>
        <w:t>Registrar, Commissioner or Authority to process documents lodged electronically (cf. ECNL s. 8)</w:t>
      </w:r>
      <w:r>
        <w:tab/>
      </w:r>
      <w:r>
        <w:fldChar w:fldCharType="begin"/>
      </w:r>
      <w:r>
        <w:instrText xml:space="preserve"> PAGEREF _Toc416783599 \h </w:instrText>
      </w:r>
      <w:r>
        <w:fldChar w:fldCharType="separate"/>
      </w:r>
      <w:r>
        <w:t>10</w:t>
      </w:r>
      <w:r>
        <w:fldChar w:fldCharType="end"/>
      </w:r>
    </w:p>
    <w:p>
      <w:pPr>
        <w:pStyle w:val="TOC8"/>
        <w:rPr>
          <w:rFonts w:asciiTheme="minorHAnsi" w:eastAsiaTheme="minorEastAsia" w:hAnsiTheme="minorHAnsi" w:cstheme="minorBidi"/>
          <w:szCs w:val="22"/>
        </w:rPr>
      </w:pPr>
      <w:r>
        <w:t>9.</w:t>
      </w:r>
      <w:r>
        <w:tab/>
        <w:t>Status of electronic registry instruments (cf. ECNL s. 9)</w:t>
      </w:r>
      <w:r>
        <w:tab/>
      </w:r>
      <w:r>
        <w:fldChar w:fldCharType="begin"/>
      </w:r>
      <w:r>
        <w:instrText xml:space="preserve"> PAGEREF _Toc416783600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Client authorisations and digital signatures</w:t>
      </w:r>
    </w:p>
    <w:p>
      <w:pPr>
        <w:pStyle w:val="TOC6"/>
        <w:tabs>
          <w:tab w:val="right" w:leader="dot" w:pos="7077"/>
        </w:tabs>
        <w:rPr>
          <w:rFonts w:asciiTheme="minorHAnsi" w:eastAsiaTheme="minorEastAsia" w:hAnsiTheme="minorHAnsi" w:cstheme="minorBidi"/>
          <w:b w:val="0"/>
          <w:sz w:val="22"/>
          <w:szCs w:val="22"/>
        </w:rPr>
      </w:pPr>
      <w:r>
        <w:t>Subdivision 1 — Client authorisations</w:t>
      </w:r>
    </w:p>
    <w:p>
      <w:pPr>
        <w:pStyle w:val="TOC8"/>
        <w:rPr>
          <w:rFonts w:asciiTheme="minorHAnsi" w:eastAsiaTheme="minorEastAsia" w:hAnsiTheme="minorHAnsi" w:cstheme="minorBidi"/>
          <w:szCs w:val="22"/>
        </w:rPr>
      </w:pPr>
      <w:r>
        <w:t>10.</w:t>
      </w:r>
      <w:r>
        <w:tab/>
        <w:t>Client authorisations (cf. ECNL s. 10)</w:t>
      </w:r>
      <w:r>
        <w:tab/>
      </w:r>
      <w:r>
        <w:fldChar w:fldCharType="begin"/>
      </w:r>
      <w:r>
        <w:instrText xml:space="preserve"> PAGEREF _Toc416783603 \h </w:instrText>
      </w:r>
      <w:r>
        <w:fldChar w:fldCharType="separate"/>
      </w:r>
      <w:r>
        <w:t>11</w:t>
      </w:r>
      <w:r>
        <w:fldChar w:fldCharType="end"/>
      </w:r>
    </w:p>
    <w:p>
      <w:pPr>
        <w:pStyle w:val="TOC8"/>
        <w:rPr>
          <w:rFonts w:asciiTheme="minorHAnsi" w:eastAsiaTheme="minorEastAsia" w:hAnsiTheme="minorHAnsi" w:cstheme="minorBidi"/>
          <w:szCs w:val="22"/>
        </w:rPr>
      </w:pPr>
      <w:r>
        <w:t>11.</w:t>
      </w:r>
      <w:r>
        <w:tab/>
        <w:t>Effect of client authorisation (cf. ECNL s. 11)</w:t>
      </w:r>
      <w:r>
        <w:tab/>
      </w:r>
      <w:r>
        <w:fldChar w:fldCharType="begin"/>
      </w:r>
      <w:r>
        <w:instrText xml:space="preserve"> PAGEREF _Toc416783604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Digital signatures</w:t>
      </w:r>
    </w:p>
    <w:p>
      <w:pPr>
        <w:pStyle w:val="TOC8"/>
        <w:rPr>
          <w:rFonts w:asciiTheme="minorHAnsi" w:eastAsiaTheme="minorEastAsia" w:hAnsiTheme="minorHAnsi" w:cstheme="minorBidi"/>
          <w:szCs w:val="22"/>
        </w:rPr>
      </w:pPr>
      <w:r>
        <w:t>12.</w:t>
      </w:r>
      <w:r>
        <w:tab/>
        <w:t>Reliance on, and repudiation of, digital signatures (cf. ECNL s. 12)</w:t>
      </w:r>
      <w:r>
        <w:tab/>
      </w:r>
      <w:r>
        <w:fldChar w:fldCharType="begin"/>
      </w:r>
      <w:r>
        <w:instrText xml:space="preserve"> PAGEREF _Toc416783606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Electronic Lodgment Networks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w:t>
      </w:r>
      <w:r>
        <w:tab/>
        <w:t>Electronic Lodgment Network (cf. ECNL s. 13)</w:t>
      </w:r>
      <w:r>
        <w:tab/>
      </w:r>
      <w:r>
        <w:fldChar w:fldCharType="begin"/>
      </w:r>
      <w:r>
        <w:instrText xml:space="preserve"> PAGEREF _Toc416783609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Operation of Electronic Lodgment Networks</w:t>
      </w:r>
    </w:p>
    <w:p>
      <w:pPr>
        <w:pStyle w:val="TOC8"/>
        <w:rPr>
          <w:rFonts w:asciiTheme="minorHAnsi" w:eastAsiaTheme="minorEastAsia" w:hAnsiTheme="minorHAnsi" w:cstheme="minorBidi"/>
          <w:szCs w:val="22"/>
        </w:rPr>
      </w:pPr>
      <w:r>
        <w:t>14.</w:t>
      </w:r>
      <w:r>
        <w:tab/>
        <w:t>Authority may provide and operate ELN (cf. ECNL s. 14)</w:t>
      </w:r>
      <w:r>
        <w:tab/>
      </w:r>
      <w:r>
        <w:fldChar w:fldCharType="begin"/>
      </w:r>
      <w:r>
        <w:instrText xml:space="preserve"> PAGEREF _Toc416783611 \h </w:instrText>
      </w:r>
      <w:r>
        <w:fldChar w:fldCharType="separate"/>
      </w:r>
      <w:r>
        <w:t>15</w:t>
      </w:r>
      <w:r>
        <w:fldChar w:fldCharType="end"/>
      </w:r>
    </w:p>
    <w:p>
      <w:pPr>
        <w:pStyle w:val="TOC8"/>
        <w:rPr>
          <w:rFonts w:asciiTheme="minorHAnsi" w:eastAsiaTheme="minorEastAsia" w:hAnsiTheme="minorHAnsi" w:cstheme="minorBidi"/>
          <w:szCs w:val="22"/>
        </w:rPr>
      </w:pPr>
      <w:r>
        <w:t>15.</w:t>
      </w:r>
      <w:r>
        <w:tab/>
        <w:t>Authority may approve ELNO to provide and operate ELN (cf. ECNL s. 15)</w:t>
      </w:r>
      <w:r>
        <w:tab/>
      </w:r>
      <w:r>
        <w:fldChar w:fldCharType="begin"/>
      </w:r>
      <w:r>
        <w:instrText xml:space="preserve"> PAGEREF _Toc416783612 \h </w:instrText>
      </w:r>
      <w:r>
        <w:fldChar w:fldCharType="separate"/>
      </w:r>
      <w:r>
        <w:t>15</w:t>
      </w:r>
      <w:r>
        <w:fldChar w:fldCharType="end"/>
      </w:r>
    </w:p>
    <w:p>
      <w:pPr>
        <w:pStyle w:val="TOC8"/>
        <w:rPr>
          <w:rFonts w:asciiTheme="minorHAnsi" w:eastAsiaTheme="minorEastAsia" w:hAnsiTheme="minorHAnsi" w:cstheme="minorBidi"/>
          <w:szCs w:val="22"/>
        </w:rPr>
      </w:pPr>
      <w:r>
        <w:t>16.</w:t>
      </w:r>
      <w:r>
        <w:tab/>
        <w:t>Conditions of approval as ELNO (cf. ECNL s. 16)</w:t>
      </w:r>
      <w:r>
        <w:tab/>
      </w:r>
      <w:r>
        <w:fldChar w:fldCharType="begin"/>
      </w:r>
      <w:r>
        <w:instrText xml:space="preserve"> PAGEREF _Toc416783613 \h </w:instrText>
      </w:r>
      <w:r>
        <w:fldChar w:fldCharType="separate"/>
      </w:r>
      <w:r>
        <w:t>16</w:t>
      </w:r>
      <w:r>
        <w:fldChar w:fldCharType="end"/>
      </w:r>
    </w:p>
    <w:p>
      <w:pPr>
        <w:pStyle w:val="TOC8"/>
        <w:rPr>
          <w:rFonts w:asciiTheme="minorHAnsi" w:eastAsiaTheme="minorEastAsia" w:hAnsiTheme="minorHAnsi" w:cstheme="minorBidi"/>
          <w:szCs w:val="22"/>
        </w:rPr>
      </w:pPr>
      <w:r>
        <w:t>17.</w:t>
      </w:r>
      <w:r>
        <w:tab/>
        <w:t>Effect of approval as ELNO (cf. ECNL s. 17)</w:t>
      </w:r>
      <w:r>
        <w:tab/>
      </w:r>
      <w:r>
        <w:fldChar w:fldCharType="begin"/>
      </w:r>
      <w:r>
        <w:instrText xml:space="preserve"> PAGEREF _Toc416783614 \h </w:instrText>
      </w:r>
      <w:r>
        <w:fldChar w:fldCharType="separate"/>
      </w:r>
      <w:r>
        <w:t>16</w:t>
      </w:r>
      <w:r>
        <w:fldChar w:fldCharType="end"/>
      </w:r>
    </w:p>
    <w:p>
      <w:pPr>
        <w:pStyle w:val="TOC8"/>
        <w:rPr>
          <w:rFonts w:asciiTheme="minorHAnsi" w:eastAsiaTheme="minorEastAsia" w:hAnsiTheme="minorHAnsi" w:cstheme="minorBidi"/>
          <w:szCs w:val="22"/>
        </w:rPr>
      </w:pPr>
      <w:r>
        <w:t>18.</w:t>
      </w:r>
      <w:r>
        <w:tab/>
        <w:t>ELNO required to comply with operating requirements (cf. ECNL s. 18)</w:t>
      </w:r>
      <w:r>
        <w:tab/>
      </w:r>
      <w:r>
        <w:fldChar w:fldCharType="begin"/>
      </w:r>
      <w:r>
        <w:instrText xml:space="preserve"> PAGEREF _Toc416783615 \h </w:instrText>
      </w:r>
      <w:r>
        <w:fldChar w:fldCharType="separate"/>
      </w:r>
      <w:r>
        <w:t>16</w:t>
      </w:r>
      <w:r>
        <w:fldChar w:fldCharType="end"/>
      </w:r>
    </w:p>
    <w:p>
      <w:pPr>
        <w:pStyle w:val="TOC8"/>
        <w:rPr>
          <w:rFonts w:asciiTheme="minorHAnsi" w:eastAsiaTheme="minorEastAsia" w:hAnsiTheme="minorHAnsi" w:cstheme="minorBidi"/>
          <w:szCs w:val="22"/>
        </w:rPr>
      </w:pPr>
      <w:r>
        <w:t>19.</w:t>
      </w:r>
      <w:r>
        <w:tab/>
        <w:t>Renewal of approval as ELNO (cf. ECNL s. 19)</w:t>
      </w:r>
      <w:r>
        <w:tab/>
      </w:r>
      <w:r>
        <w:fldChar w:fldCharType="begin"/>
      </w:r>
      <w:r>
        <w:instrText xml:space="preserve"> PAGEREF _Toc416783616 \h </w:instrText>
      </w:r>
      <w:r>
        <w:fldChar w:fldCharType="separate"/>
      </w:r>
      <w:r>
        <w:t>17</w:t>
      </w:r>
      <w:r>
        <w:fldChar w:fldCharType="end"/>
      </w:r>
    </w:p>
    <w:p>
      <w:pPr>
        <w:pStyle w:val="TOC8"/>
        <w:rPr>
          <w:rFonts w:asciiTheme="minorHAnsi" w:eastAsiaTheme="minorEastAsia" w:hAnsiTheme="minorHAnsi" w:cstheme="minorBidi"/>
          <w:szCs w:val="22"/>
        </w:rPr>
      </w:pPr>
      <w:r>
        <w:t>20.</w:t>
      </w:r>
      <w:r>
        <w:tab/>
        <w:t>Revocation or suspension of approval as ELNO (cf. ECNL s. 20)</w:t>
      </w:r>
      <w:r>
        <w:tab/>
      </w:r>
      <w:r>
        <w:fldChar w:fldCharType="begin"/>
      </w:r>
      <w:r>
        <w:instrText xml:space="preserve"> PAGEREF _Toc416783617 \h </w:instrText>
      </w:r>
      <w:r>
        <w:fldChar w:fldCharType="separate"/>
      </w:r>
      <w:r>
        <w:t>17</w:t>
      </w:r>
      <w:r>
        <w:fldChar w:fldCharType="end"/>
      </w:r>
    </w:p>
    <w:p>
      <w:pPr>
        <w:pStyle w:val="TOC8"/>
        <w:rPr>
          <w:rFonts w:asciiTheme="minorHAnsi" w:eastAsiaTheme="minorEastAsia" w:hAnsiTheme="minorHAnsi" w:cstheme="minorBidi"/>
          <w:szCs w:val="22"/>
        </w:rPr>
      </w:pPr>
      <w:r>
        <w:t>21.</w:t>
      </w:r>
      <w:r>
        <w:tab/>
        <w:t>Monitoring of activities in ELN (cf. ECNL s. 21)</w:t>
      </w:r>
      <w:r>
        <w:tab/>
      </w:r>
      <w:r>
        <w:fldChar w:fldCharType="begin"/>
      </w:r>
      <w:r>
        <w:instrText xml:space="preserve"> PAGEREF _Toc416783618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Operating requirements and participation rules</w:t>
      </w:r>
    </w:p>
    <w:p>
      <w:pPr>
        <w:pStyle w:val="TOC8"/>
        <w:rPr>
          <w:rFonts w:asciiTheme="minorHAnsi" w:eastAsiaTheme="minorEastAsia" w:hAnsiTheme="minorHAnsi" w:cstheme="minorBidi"/>
          <w:szCs w:val="22"/>
        </w:rPr>
      </w:pPr>
      <w:r>
        <w:t>22.</w:t>
      </w:r>
      <w:r>
        <w:tab/>
        <w:t>Operating requirements for ELNOs (cf. ECNL s. 22)</w:t>
      </w:r>
      <w:r>
        <w:tab/>
      </w:r>
      <w:r>
        <w:fldChar w:fldCharType="begin"/>
      </w:r>
      <w:r>
        <w:instrText xml:space="preserve"> PAGEREF _Toc416783620 \h </w:instrText>
      </w:r>
      <w:r>
        <w:fldChar w:fldCharType="separate"/>
      </w:r>
      <w:r>
        <w:t>17</w:t>
      </w:r>
      <w:r>
        <w:fldChar w:fldCharType="end"/>
      </w:r>
    </w:p>
    <w:p>
      <w:pPr>
        <w:pStyle w:val="TOC8"/>
        <w:rPr>
          <w:rFonts w:asciiTheme="minorHAnsi" w:eastAsiaTheme="minorEastAsia" w:hAnsiTheme="minorHAnsi" w:cstheme="minorBidi"/>
          <w:szCs w:val="22"/>
        </w:rPr>
      </w:pPr>
      <w:r>
        <w:t>23.</w:t>
      </w:r>
      <w:r>
        <w:tab/>
        <w:t>Participation rules (cf. ECNL s. 23)</w:t>
      </w:r>
      <w:r>
        <w:tab/>
      </w:r>
      <w:r>
        <w:fldChar w:fldCharType="begin"/>
      </w:r>
      <w:r>
        <w:instrText xml:space="preserve"> PAGEREF _Toc416783621 \h </w:instrText>
      </w:r>
      <w:r>
        <w:fldChar w:fldCharType="separate"/>
      </w:r>
      <w:r>
        <w:t>18</w:t>
      </w:r>
      <w:r>
        <w:fldChar w:fldCharType="end"/>
      </w:r>
    </w:p>
    <w:p>
      <w:pPr>
        <w:pStyle w:val="TOC8"/>
        <w:rPr>
          <w:rFonts w:asciiTheme="minorHAnsi" w:eastAsiaTheme="minorEastAsia" w:hAnsiTheme="minorHAnsi" w:cstheme="minorBidi"/>
          <w:szCs w:val="22"/>
        </w:rPr>
      </w:pPr>
      <w:r>
        <w:t>24.</w:t>
      </w:r>
      <w:r>
        <w:tab/>
        <w:t>Registrar to have regard to nationally agreed model operating requirements and participation rules (cf. ECNL s. 24)</w:t>
      </w:r>
      <w:r>
        <w:tab/>
      </w:r>
      <w:r>
        <w:fldChar w:fldCharType="begin"/>
      </w:r>
      <w:r>
        <w:instrText xml:space="preserve"> PAGEREF _Toc416783622 \h </w:instrText>
      </w:r>
      <w:r>
        <w:fldChar w:fldCharType="separate"/>
      </w:r>
      <w:r>
        <w:t>19</w:t>
      </w:r>
      <w:r>
        <w:fldChar w:fldCharType="end"/>
      </w:r>
    </w:p>
    <w:p>
      <w:pPr>
        <w:pStyle w:val="TOC8"/>
        <w:rPr>
          <w:rFonts w:asciiTheme="minorHAnsi" w:eastAsiaTheme="minorEastAsia" w:hAnsiTheme="minorHAnsi" w:cstheme="minorBidi"/>
          <w:szCs w:val="22"/>
        </w:rPr>
      </w:pPr>
      <w:r>
        <w:t>25.</w:t>
      </w:r>
      <w:r>
        <w:tab/>
        <w:t>Publication of operating requirements and participation rules (cf. ECNL s. 25)</w:t>
      </w:r>
      <w:r>
        <w:tab/>
      </w:r>
      <w:r>
        <w:fldChar w:fldCharType="begin"/>
      </w:r>
      <w:r>
        <w:instrText xml:space="preserve"> PAGEREF _Toc416783623 \h </w:instrText>
      </w:r>
      <w:r>
        <w:fldChar w:fldCharType="separate"/>
      </w:r>
      <w:r>
        <w:t>19</w:t>
      </w:r>
      <w:r>
        <w:fldChar w:fldCharType="end"/>
      </w:r>
    </w:p>
    <w:p>
      <w:pPr>
        <w:pStyle w:val="TOC8"/>
        <w:rPr>
          <w:rFonts w:asciiTheme="minorHAnsi" w:eastAsiaTheme="minorEastAsia" w:hAnsiTheme="minorHAnsi" w:cstheme="minorBidi"/>
          <w:szCs w:val="22"/>
        </w:rPr>
      </w:pPr>
      <w:r>
        <w:t>26.</w:t>
      </w:r>
      <w:r>
        <w:tab/>
        <w:t>Subscribers required to comply with participation rules (cf. ECNL s. 26)</w:t>
      </w:r>
      <w:r>
        <w:tab/>
      </w:r>
      <w:r>
        <w:fldChar w:fldCharType="begin"/>
      </w:r>
      <w:r>
        <w:instrText xml:space="preserve"> PAGEREF _Toc416783624 \h </w:instrText>
      </w:r>
      <w:r>
        <w:fldChar w:fldCharType="separate"/>
      </w:r>
      <w:r>
        <w:t>20</w:t>
      </w:r>
      <w:r>
        <w:fldChar w:fldCharType="end"/>
      </w:r>
    </w:p>
    <w:p>
      <w:pPr>
        <w:pStyle w:val="TOC8"/>
        <w:rPr>
          <w:rFonts w:asciiTheme="minorHAnsi" w:eastAsiaTheme="minorEastAsia" w:hAnsiTheme="minorHAnsi" w:cstheme="minorBidi"/>
          <w:szCs w:val="22"/>
        </w:rPr>
      </w:pPr>
      <w:r>
        <w:t>27.</w:t>
      </w:r>
      <w:r>
        <w:tab/>
        <w:t>Waiving compliance with operating requirements or participation rules (cf. ECNL s. 27)</w:t>
      </w:r>
      <w:r>
        <w:tab/>
      </w:r>
      <w:r>
        <w:fldChar w:fldCharType="begin"/>
      </w:r>
      <w:r>
        <w:instrText xml:space="preserve"> PAGEREF _Toc416783625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 — Appeals</w:t>
      </w:r>
    </w:p>
    <w:p>
      <w:pPr>
        <w:pStyle w:val="TOC8"/>
        <w:rPr>
          <w:rFonts w:asciiTheme="minorHAnsi" w:eastAsiaTheme="minorEastAsia" w:hAnsiTheme="minorHAnsi" w:cstheme="minorBidi"/>
          <w:szCs w:val="22"/>
        </w:rPr>
      </w:pPr>
      <w:r>
        <w:t>28.</w:t>
      </w:r>
      <w:r>
        <w:tab/>
        <w:t>Appeal against decisions of Authority or Registrar (cf. ECNL s. 28)</w:t>
      </w:r>
      <w:r>
        <w:tab/>
      </w:r>
      <w:r>
        <w:fldChar w:fldCharType="begin"/>
      </w:r>
      <w:r>
        <w:instrText xml:space="preserve"> PAGEREF _Toc416783627 \h </w:instrText>
      </w:r>
      <w:r>
        <w:fldChar w:fldCharType="separate"/>
      </w:r>
      <w:r>
        <w:t>22</w:t>
      </w:r>
      <w:r>
        <w:fldChar w:fldCharType="end"/>
      </w:r>
    </w:p>
    <w:p>
      <w:pPr>
        <w:pStyle w:val="TOC8"/>
        <w:rPr>
          <w:rFonts w:asciiTheme="minorHAnsi" w:eastAsiaTheme="minorEastAsia" w:hAnsiTheme="minorHAnsi" w:cstheme="minorBidi"/>
          <w:szCs w:val="22"/>
        </w:rPr>
      </w:pPr>
      <w:r>
        <w:t>29.</w:t>
      </w:r>
      <w:r>
        <w:tab/>
        <w:t>Determination of appeal (cf. ECNL s. 29)</w:t>
      </w:r>
      <w:r>
        <w:tab/>
      </w:r>
      <w:r>
        <w:fldChar w:fldCharType="begin"/>
      </w:r>
      <w:r>
        <w:instrText xml:space="preserve"> PAGEREF _Toc416783628 \h </w:instrText>
      </w:r>
      <w:r>
        <w:fldChar w:fldCharType="separate"/>
      </w:r>
      <w:r>
        <w:t>23</w:t>
      </w:r>
      <w:r>
        <w:fldChar w:fldCharType="end"/>
      </w:r>
    </w:p>
    <w:p>
      <w:pPr>
        <w:pStyle w:val="TOC8"/>
        <w:rPr>
          <w:rFonts w:asciiTheme="minorHAnsi" w:eastAsiaTheme="minorEastAsia" w:hAnsiTheme="minorHAnsi" w:cstheme="minorBidi"/>
          <w:szCs w:val="22"/>
        </w:rPr>
      </w:pPr>
      <w:r>
        <w:t>30A.</w:t>
      </w:r>
      <w:r>
        <w:tab/>
        <w:t>Responsible tribunal to consider Government policy relating to ELNOs</w:t>
      </w:r>
      <w:r>
        <w:tab/>
      </w:r>
      <w:r>
        <w:fldChar w:fldCharType="begin"/>
      </w:r>
      <w:r>
        <w:instrText xml:space="preserve"> PAGEREF _Toc416783629 \h </w:instrText>
      </w:r>
      <w:r>
        <w:fldChar w:fldCharType="separate"/>
      </w:r>
      <w:r>
        <w:t>24</w:t>
      </w:r>
      <w:r>
        <w:fldChar w:fldCharType="end"/>
      </w:r>
    </w:p>
    <w:p>
      <w:pPr>
        <w:pStyle w:val="TOC8"/>
        <w:rPr>
          <w:rFonts w:asciiTheme="minorHAnsi" w:eastAsiaTheme="minorEastAsia" w:hAnsiTheme="minorHAnsi" w:cstheme="minorBidi"/>
          <w:szCs w:val="22"/>
        </w:rPr>
      </w:pPr>
      <w:r>
        <w:t>30.</w:t>
      </w:r>
      <w:r>
        <w:tab/>
        <w:t>Costs (cf. ECNL s. 30) (not used)</w:t>
      </w:r>
      <w:r>
        <w:tab/>
      </w:r>
      <w:r>
        <w:fldChar w:fldCharType="begin"/>
      </w:r>
      <w:r>
        <w:instrText xml:space="preserve"> PAGEREF _Toc416783630 \h </w:instrText>
      </w:r>
      <w:r>
        <w:fldChar w:fldCharType="separate"/>
      </w:r>
      <w:r>
        <w:t>24</w:t>
      </w:r>
      <w:r>
        <w:fldChar w:fldCharType="end"/>
      </w:r>
    </w:p>
    <w:p>
      <w:pPr>
        <w:pStyle w:val="TOC8"/>
        <w:rPr>
          <w:rFonts w:asciiTheme="minorHAnsi" w:eastAsiaTheme="minorEastAsia" w:hAnsiTheme="minorHAnsi" w:cstheme="minorBidi"/>
          <w:szCs w:val="22"/>
        </w:rPr>
      </w:pPr>
      <w:r>
        <w:t>31.</w:t>
      </w:r>
      <w:r>
        <w:tab/>
        <w:t>Relationship with Act establishing responsible tribunal (cf. ECNL s. 31)</w:t>
      </w:r>
      <w:r>
        <w:tab/>
      </w:r>
      <w:r>
        <w:fldChar w:fldCharType="begin"/>
      </w:r>
      <w:r>
        <w:instrText xml:space="preserve"> PAGEREF _Toc416783631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Compliance examinations</w:t>
      </w:r>
    </w:p>
    <w:p>
      <w:pPr>
        <w:pStyle w:val="TOC8"/>
        <w:rPr>
          <w:rFonts w:asciiTheme="minorHAnsi" w:eastAsiaTheme="minorEastAsia" w:hAnsiTheme="minorHAnsi" w:cstheme="minorBidi"/>
          <w:szCs w:val="22"/>
        </w:rPr>
      </w:pPr>
      <w:r>
        <w:t>32.</w:t>
      </w:r>
      <w:r>
        <w:tab/>
        <w:t>Definitions (cf. ECNL s. 32)</w:t>
      </w:r>
      <w:r>
        <w:tab/>
      </w:r>
      <w:r>
        <w:fldChar w:fldCharType="begin"/>
      </w:r>
      <w:r>
        <w:instrText xml:space="preserve"> PAGEREF _Toc416783633 \h </w:instrText>
      </w:r>
      <w:r>
        <w:fldChar w:fldCharType="separate"/>
      </w:r>
      <w:r>
        <w:t>26</w:t>
      </w:r>
      <w:r>
        <w:fldChar w:fldCharType="end"/>
      </w:r>
    </w:p>
    <w:p>
      <w:pPr>
        <w:pStyle w:val="TOC8"/>
        <w:rPr>
          <w:rFonts w:asciiTheme="minorHAnsi" w:eastAsiaTheme="minorEastAsia" w:hAnsiTheme="minorHAnsi" w:cstheme="minorBidi"/>
          <w:szCs w:val="22"/>
        </w:rPr>
      </w:pPr>
      <w:r>
        <w:t>33.</w:t>
      </w:r>
      <w:r>
        <w:tab/>
        <w:t>Compliance examinations (cf. ECNL s. 33)</w:t>
      </w:r>
      <w:r>
        <w:tab/>
      </w:r>
      <w:r>
        <w:fldChar w:fldCharType="begin"/>
      </w:r>
      <w:r>
        <w:instrText xml:space="preserve"> PAGEREF _Toc416783634 \h </w:instrText>
      </w:r>
      <w:r>
        <w:fldChar w:fldCharType="separate"/>
      </w:r>
      <w:r>
        <w:t>26</w:t>
      </w:r>
      <w:r>
        <w:fldChar w:fldCharType="end"/>
      </w:r>
    </w:p>
    <w:p>
      <w:pPr>
        <w:pStyle w:val="TOC8"/>
        <w:rPr>
          <w:rFonts w:asciiTheme="minorHAnsi" w:eastAsiaTheme="minorEastAsia" w:hAnsiTheme="minorHAnsi" w:cstheme="minorBidi"/>
          <w:szCs w:val="22"/>
        </w:rPr>
      </w:pPr>
      <w:r>
        <w:t>34.</w:t>
      </w:r>
      <w:r>
        <w:tab/>
        <w:t>Obligation to cooperate with examination (cf. ECNL s. 34)</w:t>
      </w:r>
      <w:r>
        <w:tab/>
      </w:r>
      <w:r>
        <w:fldChar w:fldCharType="begin"/>
      </w:r>
      <w:r>
        <w:instrText xml:space="preserve"> PAGEREF _Toc416783635 \h </w:instrText>
      </w:r>
      <w:r>
        <w:fldChar w:fldCharType="separate"/>
      </w:r>
      <w:r>
        <w:t>27</w:t>
      </w:r>
      <w:r>
        <w:fldChar w:fldCharType="end"/>
      </w:r>
    </w:p>
    <w:p>
      <w:pPr>
        <w:pStyle w:val="TOC8"/>
        <w:rPr>
          <w:rFonts w:asciiTheme="minorHAnsi" w:eastAsiaTheme="minorEastAsia" w:hAnsiTheme="minorHAnsi" w:cstheme="minorBidi"/>
          <w:szCs w:val="22"/>
        </w:rPr>
      </w:pPr>
      <w:r>
        <w:t>35.</w:t>
      </w:r>
      <w:r>
        <w:tab/>
        <w:t>Registrar may refer matter to appropriate authority (cf. ECNL s. 35)</w:t>
      </w:r>
      <w:r>
        <w:tab/>
      </w:r>
      <w:r>
        <w:fldChar w:fldCharType="begin"/>
      </w:r>
      <w:r>
        <w:instrText xml:space="preserve"> PAGEREF _Toc416783636 \h </w:instrText>
      </w:r>
      <w:r>
        <w:fldChar w:fldCharType="separate"/>
      </w:r>
      <w:r>
        <w:t>29</w:t>
      </w:r>
      <w:r>
        <w:fldChar w:fldCharType="end"/>
      </w:r>
    </w:p>
    <w:p>
      <w:pPr>
        <w:pStyle w:val="TOC8"/>
        <w:rPr>
          <w:rFonts w:asciiTheme="minorHAnsi" w:eastAsiaTheme="minorEastAsia" w:hAnsiTheme="minorHAnsi" w:cstheme="minorBidi"/>
          <w:szCs w:val="22"/>
        </w:rPr>
      </w:pPr>
      <w:r>
        <w:t>36.</w:t>
      </w:r>
      <w:r>
        <w:tab/>
        <w:t>Land titles legislation not limited (cf. ECNL s. 36)</w:t>
      </w:r>
      <w:r>
        <w:tab/>
      </w:r>
      <w:r>
        <w:fldChar w:fldCharType="begin"/>
      </w:r>
      <w:r>
        <w:instrText xml:space="preserve"> PAGEREF _Toc416783637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4"/>
        <w:tabs>
          <w:tab w:val="right" w:leader="dot" w:pos="7077"/>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37.</w:t>
      </w:r>
      <w:r>
        <w:tab/>
        <w:t>Delegation (cf. ECNL s. 37)</w:t>
      </w:r>
      <w:r>
        <w:tab/>
      </w:r>
      <w:r>
        <w:fldChar w:fldCharType="begin"/>
      </w:r>
      <w:r>
        <w:instrText xml:space="preserve"> PAGEREF _Toc416783640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Liability of Authority, Registrar and Commissioner</w:t>
      </w:r>
    </w:p>
    <w:p>
      <w:pPr>
        <w:pStyle w:val="TOC8"/>
        <w:rPr>
          <w:rFonts w:asciiTheme="minorHAnsi" w:eastAsiaTheme="minorEastAsia" w:hAnsiTheme="minorHAnsi" w:cstheme="minorBidi"/>
          <w:szCs w:val="22"/>
        </w:rPr>
      </w:pPr>
      <w:r>
        <w:t>38.</w:t>
      </w:r>
      <w:r>
        <w:tab/>
        <w:t>No obligation to monitor ELN or conduct compliance examination (cf. ECNL s. 38)</w:t>
      </w:r>
      <w:r>
        <w:tab/>
      </w:r>
      <w:r>
        <w:fldChar w:fldCharType="begin"/>
      </w:r>
      <w:r>
        <w:instrText xml:space="preserve"> PAGEREF _Toc416783642 \h </w:instrText>
      </w:r>
      <w:r>
        <w:fldChar w:fldCharType="separate"/>
      </w:r>
      <w:r>
        <w:t>30</w:t>
      </w:r>
      <w:r>
        <w:fldChar w:fldCharType="end"/>
      </w:r>
    </w:p>
    <w:p>
      <w:pPr>
        <w:pStyle w:val="TOC8"/>
        <w:rPr>
          <w:rFonts w:asciiTheme="minorHAnsi" w:eastAsiaTheme="minorEastAsia" w:hAnsiTheme="minorHAnsi" w:cstheme="minorBidi"/>
          <w:szCs w:val="22"/>
        </w:rPr>
      </w:pPr>
      <w:r>
        <w:t>39.</w:t>
      </w:r>
      <w:r>
        <w:tab/>
        <w:t>No compensation (cf. ECNL s. 39)</w:t>
      </w:r>
      <w:r>
        <w:tab/>
      </w:r>
      <w:r>
        <w:fldChar w:fldCharType="begin"/>
      </w:r>
      <w:r>
        <w:instrText xml:space="preserve"> PAGEREF _Toc416783643 \h </w:instrText>
      </w:r>
      <w:r>
        <w:fldChar w:fldCharType="separate"/>
      </w:r>
      <w:r>
        <w:t>30</w:t>
      </w:r>
      <w:r>
        <w:fldChar w:fldCharType="end"/>
      </w:r>
    </w:p>
    <w:p>
      <w:pPr>
        <w:pStyle w:val="TOC8"/>
        <w:rPr>
          <w:rFonts w:asciiTheme="minorHAnsi" w:eastAsiaTheme="minorEastAsia" w:hAnsiTheme="minorHAnsi" w:cstheme="minorBidi"/>
          <w:szCs w:val="22"/>
        </w:rPr>
      </w:pPr>
      <w:r>
        <w:t>40.</w:t>
      </w:r>
      <w:r>
        <w:tab/>
        <w:t>Authority and Registrar not responsible for additional services provided by ELNO (cf. ECNL s. 40)</w:t>
      </w:r>
      <w:r>
        <w:tab/>
      </w:r>
      <w:r>
        <w:fldChar w:fldCharType="begin"/>
      </w:r>
      <w:r>
        <w:instrText xml:space="preserve"> PAGEREF _Toc416783644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Relationship with other laws</w:t>
      </w:r>
    </w:p>
    <w:p>
      <w:pPr>
        <w:pStyle w:val="TOC8"/>
        <w:rPr>
          <w:rFonts w:asciiTheme="minorHAnsi" w:eastAsiaTheme="minorEastAsia" w:hAnsiTheme="minorHAnsi" w:cstheme="minorBidi"/>
          <w:szCs w:val="22"/>
        </w:rPr>
      </w:pPr>
      <w:r>
        <w:t>41.</w:t>
      </w:r>
      <w:r>
        <w:tab/>
        <w:t>Other laws relating to electronic transactions not affected (cf. ECNL s. 41)</w:t>
      </w:r>
      <w:r>
        <w:tab/>
      </w:r>
      <w:r>
        <w:fldChar w:fldCharType="begin"/>
      </w:r>
      <w:r>
        <w:instrText xml:space="preserve"> PAGEREF _Toc416783646 \h </w:instrText>
      </w:r>
      <w:r>
        <w:fldChar w:fldCharType="separate"/>
      </w:r>
      <w:r>
        <w:t>31</w:t>
      </w:r>
      <w:r>
        <w:fldChar w:fldCharType="end"/>
      </w:r>
    </w:p>
    <w:p>
      <w:pPr>
        <w:pStyle w:val="TOC8"/>
        <w:rPr>
          <w:rFonts w:asciiTheme="minorHAnsi" w:eastAsiaTheme="minorEastAsia" w:hAnsiTheme="minorHAnsi" w:cstheme="minorBidi"/>
          <w:szCs w:val="22"/>
        </w:rPr>
      </w:pPr>
      <w:r>
        <w:t>42.</w:t>
      </w:r>
      <w:r>
        <w:tab/>
        <w:t>Powers may be exercised for purposes of this Act (cf. ECNL s. 42)</w:t>
      </w:r>
      <w:r>
        <w:tab/>
      </w:r>
      <w:r>
        <w:fldChar w:fldCharType="begin"/>
      </w:r>
      <w:r>
        <w:instrText xml:space="preserve"> PAGEREF _Toc416783647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43.</w:t>
      </w:r>
      <w:r>
        <w:tab/>
        <w:t>Notification, tabling and disallowance of operating requirements and participation rules</w:t>
      </w:r>
      <w:r>
        <w:tab/>
      </w:r>
      <w:r>
        <w:fldChar w:fldCharType="begin"/>
      </w:r>
      <w:r>
        <w:instrText xml:space="preserve"> PAGEREF _Toc416783649 \h </w:instrText>
      </w:r>
      <w:r>
        <w:fldChar w:fldCharType="separate"/>
      </w:r>
      <w:r>
        <w:t>32</w:t>
      </w:r>
      <w:r>
        <w:fldChar w:fldCharType="end"/>
      </w:r>
    </w:p>
    <w:p>
      <w:pPr>
        <w:pStyle w:val="TOC8"/>
        <w:rPr>
          <w:rFonts w:asciiTheme="minorHAnsi" w:eastAsiaTheme="minorEastAsia" w:hAnsiTheme="minorHAnsi" w:cstheme="minorBidi"/>
          <w:szCs w:val="22"/>
        </w:rPr>
      </w:pPr>
      <w:r>
        <w:t>44.</w:t>
      </w:r>
      <w:r>
        <w:tab/>
        <w:t>Proof of operating requirements and participation rules</w:t>
      </w:r>
      <w:r>
        <w:tab/>
      </w:r>
      <w:r>
        <w:fldChar w:fldCharType="begin"/>
      </w:r>
      <w:r>
        <w:instrText xml:space="preserve"> PAGEREF _Toc416783650 \h </w:instrText>
      </w:r>
      <w:r>
        <w:fldChar w:fldCharType="separate"/>
      </w:r>
      <w:r>
        <w:t>33</w:t>
      </w:r>
      <w:r>
        <w:fldChar w:fldCharType="end"/>
      </w:r>
    </w:p>
    <w:p>
      <w:pPr>
        <w:pStyle w:val="TOC8"/>
        <w:rPr>
          <w:rFonts w:asciiTheme="minorHAnsi" w:eastAsiaTheme="minorEastAsia" w:hAnsiTheme="minorHAnsi" w:cstheme="minorBidi"/>
          <w:szCs w:val="22"/>
        </w:rPr>
      </w:pPr>
      <w:r>
        <w:t>45.</w:t>
      </w:r>
      <w:r>
        <w:tab/>
        <w:t>Giving false or misleading information, answer or document an offence</w:t>
      </w:r>
      <w:r>
        <w:tab/>
      </w:r>
      <w:r>
        <w:fldChar w:fldCharType="begin"/>
      </w:r>
      <w:r>
        <w:instrText xml:space="preserve"> PAGEREF _Toc416783651 \h </w:instrText>
      </w:r>
      <w:r>
        <w:fldChar w:fldCharType="separate"/>
      </w:r>
      <w:r>
        <w:t>33</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_Toc416783652 \h </w:instrText>
      </w:r>
      <w:r>
        <w:fldChar w:fldCharType="separate"/>
      </w:r>
      <w:r>
        <w:t>35</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_Toc416783653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Duties Act 2008</w:t>
      </w:r>
      <w:r>
        <w:t xml:space="preserve"> amended</w:t>
      </w:r>
    </w:p>
    <w:p>
      <w:pPr>
        <w:pStyle w:val="TOC8"/>
        <w:rPr>
          <w:rFonts w:asciiTheme="minorHAnsi" w:eastAsiaTheme="minorEastAsia" w:hAnsiTheme="minorHAnsi" w:cstheme="minorBidi"/>
          <w:szCs w:val="22"/>
        </w:rPr>
      </w:pPr>
      <w:r>
        <w:t>48.</w:t>
      </w:r>
      <w:r>
        <w:tab/>
        <w:t>Act amended</w:t>
      </w:r>
      <w:r>
        <w:tab/>
      </w:r>
      <w:r>
        <w:fldChar w:fldCharType="begin"/>
      </w:r>
      <w:r>
        <w:instrText xml:space="preserve"> PAGEREF _Toc416783655 \h </w:instrText>
      </w:r>
      <w:r>
        <w:fldChar w:fldCharType="separate"/>
      </w:r>
      <w:r>
        <w:t>36</w:t>
      </w:r>
      <w:r>
        <w:fldChar w:fldCharType="end"/>
      </w:r>
    </w:p>
    <w:p>
      <w:pPr>
        <w:pStyle w:val="TOC8"/>
        <w:rPr>
          <w:rFonts w:asciiTheme="minorHAnsi" w:eastAsiaTheme="minorEastAsia" w:hAnsiTheme="minorHAnsi" w:cstheme="minorBidi"/>
          <w:szCs w:val="22"/>
        </w:rPr>
      </w:pPr>
      <w:r>
        <w:t>49.</w:t>
      </w:r>
      <w:r>
        <w:tab/>
        <w:t>Section 3 amended</w:t>
      </w:r>
      <w:r>
        <w:tab/>
      </w:r>
      <w:r>
        <w:fldChar w:fldCharType="begin"/>
      </w:r>
      <w:r>
        <w:instrText xml:space="preserve"> PAGEREF _Toc416783656 \h </w:instrText>
      </w:r>
      <w:r>
        <w:fldChar w:fldCharType="separate"/>
      </w:r>
      <w:r>
        <w:t>36</w:t>
      </w:r>
      <w:r>
        <w:fldChar w:fldCharType="end"/>
      </w:r>
    </w:p>
    <w:p>
      <w:pPr>
        <w:pStyle w:val="TOC8"/>
        <w:rPr>
          <w:rFonts w:asciiTheme="minorHAnsi" w:eastAsiaTheme="minorEastAsia" w:hAnsiTheme="minorHAnsi" w:cstheme="minorBidi"/>
          <w:szCs w:val="22"/>
        </w:rPr>
      </w:pPr>
      <w:r>
        <w:t>50.</w:t>
      </w:r>
      <w:r>
        <w:tab/>
        <w:t>Section 22A inserted</w:t>
      </w:r>
      <w:r>
        <w:tab/>
      </w:r>
      <w:r>
        <w:fldChar w:fldCharType="begin"/>
      </w:r>
      <w:r>
        <w:instrText xml:space="preserve"> PAGEREF _Toc416783657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22A.</w:t>
      </w:r>
      <w:r>
        <w:rPr>
          <w:noProof/>
        </w:rPr>
        <w:tab/>
        <w:t>Terms used</w:t>
      </w:r>
      <w:r>
        <w:rPr>
          <w:noProof/>
        </w:rPr>
        <w:tab/>
      </w:r>
      <w:r>
        <w:rPr>
          <w:noProof/>
        </w:rPr>
        <w:fldChar w:fldCharType="begin"/>
      </w:r>
      <w:r>
        <w:rPr>
          <w:noProof/>
        </w:rPr>
        <w:instrText xml:space="preserve"> PAGEREF _Toc416783658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51.</w:t>
      </w:r>
      <w:r>
        <w:tab/>
        <w:t>Section 22 amended</w:t>
      </w:r>
      <w:r>
        <w:tab/>
      </w:r>
      <w:r>
        <w:fldChar w:fldCharType="begin"/>
      </w:r>
      <w:r>
        <w:instrText xml:space="preserve"> PAGEREF _Toc416783659 \h </w:instrText>
      </w:r>
      <w:r>
        <w:fldChar w:fldCharType="separate"/>
      </w:r>
      <w:r>
        <w:t>36</w:t>
      </w:r>
      <w:r>
        <w:fldChar w:fldCharType="end"/>
      </w:r>
    </w:p>
    <w:p>
      <w:pPr>
        <w:pStyle w:val="TOC8"/>
        <w:rPr>
          <w:rFonts w:asciiTheme="minorHAnsi" w:eastAsiaTheme="minorEastAsia" w:hAnsiTheme="minorHAnsi" w:cstheme="minorBidi"/>
          <w:szCs w:val="22"/>
        </w:rPr>
      </w:pPr>
      <w:r>
        <w:t>52.</w:t>
      </w:r>
      <w:r>
        <w:tab/>
        <w:t>Section 23 amended</w:t>
      </w:r>
      <w:r>
        <w:tab/>
      </w:r>
      <w:r>
        <w:fldChar w:fldCharType="begin"/>
      </w:r>
      <w:r>
        <w:instrText xml:space="preserve"> PAGEREF _Toc416783660 \h </w:instrText>
      </w:r>
      <w:r>
        <w:fldChar w:fldCharType="separate"/>
      </w:r>
      <w:r>
        <w:t>37</w:t>
      </w:r>
      <w:r>
        <w:fldChar w:fldCharType="end"/>
      </w:r>
    </w:p>
    <w:p>
      <w:pPr>
        <w:pStyle w:val="TOC8"/>
        <w:rPr>
          <w:rFonts w:asciiTheme="minorHAnsi" w:eastAsiaTheme="minorEastAsia" w:hAnsiTheme="minorHAnsi" w:cstheme="minorBidi"/>
          <w:szCs w:val="22"/>
        </w:rPr>
      </w:pPr>
      <w:r>
        <w:t>53.</w:t>
      </w:r>
      <w:r>
        <w:tab/>
        <w:t>Section 107 amended</w:t>
      </w:r>
      <w:r>
        <w:tab/>
      </w:r>
      <w:r>
        <w:fldChar w:fldCharType="begin"/>
      </w:r>
      <w:r>
        <w:instrText xml:space="preserve"> PAGEREF _Toc416783661 \h </w:instrText>
      </w:r>
      <w:r>
        <w:fldChar w:fldCharType="separate"/>
      </w:r>
      <w:r>
        <w:t>37</w:t>
      </w:r>
      <w:r>
        <w:fldChar w:fldCharType="end"/>
      </w:r>
    </w:p>
    <w:p>
      <w:pPr>
        <w:pStyle w:val="TOC8"/>
        <w:rPr>
          <w:rFonts w:asciiTheme="minorHAnsi" w:eastAsiaTheme="minorEastAsia" w:hAnsiTheme="minorHAnsi" w:cstheme="minorBidi"/>
          <w:szCs w:val="22"/>
        </w:rPr>
      </w:pPr>
      <w:r>
        <w:t>54.</w:t>
      </w:r>
      <w:r>
        <w:tab/>
        <w:t>Section 273A inserted</w:t>
      </w:r>
      <w:r>
        <w:tab/>
      </w:r>
      <w:r>
        <w:fldChar w:fldCharType="begin"/>
      </w:r>
      <w:r>
        <w:instrText xml:space="preserve"> PAGEREF _Toc416783662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273A.</w:t>
      </w:r>
      <w:r>
        <w:rPr>
          <w:noProof/>
        </w:rPr>
        <w:tab/>
        <w:t>Duty endorsement: electronic conveyancing instruments</w:t>
      </w:r>
      <w:r>
        <w:rPr>
          <w:noProof/>
        </w:rPr>
        <w:tab/>
      </w:r>
      <w:r>
        <w:rPr>
          <w:noProof/>
        </w:rPr>
        <w:fldChar w:fldCharType="begin"/>
      </w:r>
      <w:r>
        <w:rPr>
          <w:noProof/>
        </w:rPr>
        <w:instrText xml:space="preserve"> PAGEREF _Toc416783663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55.</w:t>
      </w:r>
      <w:r>
        <w:tab/>
        <w:t>Section 278 amended</w:t>
      </w:r>
      <w:r>
        <w:tab/>
      </w:r>
      <w:r>
        <w:fldChar w:fldCharType="begin"/>
      </w:r>
      <w:r>
        <w:instrText xml:space="preserve"> PAGEREF _Toc416783664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Settlement Agents Act 1981</w:t>
      </w:r>
      <w:r>
        <w:t xml:space="preserve"> amended</w:t>
      </w:r>
    </w:p>
    <w:p>
      <w:pPr>
        <w:pStyle w:val="TOC8"/>
        <w:rPr>
          <w:rFonts w:asciiTheme="minorHAnsi" w:eastAsiaTheme="minorEastAsia" w:hAnsiTheme="minorHAnsi" w:cstheme="minorBidi"/>
          <w:szCs w:val="22"/>
        </w:rPr>
      </w:pPr>
      <w:r>
        <w:t>56.</w:t>
      </w:r>
      <w:r>
        <w:tab/>
        <w:t>Act amended</w:t>
      </w:r>
      <w:r>
        <w:tab/>
      </w:r>
      <w:r>
        <w:fldChar w:fldCharType="begin"/>
      </w:r>
      <w:r>
        <w:instrText xml:space="preserve"> PAGEREF _Toc416783666 \h </w:instrText>
      </w:r>
      <w:r>
        <w:fldChar w:fldCharType="separate"/>
      </w:r>
      <w:r>
        <w:t>40</w:t>
      </w:r>
      <w:r>
        <w:fldChar w:fldCharType="end"/>
      </w:r>
    </w:p>
    <w:p>
      <w:pPr>
        <w:pStyle w:val="TOC8"/>
        <w:rPr>
          <w:rFonts w:asciiTheme="minorHAnsi" w:eastAsiaTheme="minorEastAsia" w:hAnsiTheme="minorHAnsi" w:cstheme="minorBidi"/>
          <w:szCs w:val="22"/>
        </w:rPr>
      </w:pPr>
      <w:r>
        <w:t>57.</w:t>
      </w:r>
      <w:r>
        <w:tab/>
        <w:t>Section 46 amended</w:t>
      </w:r>
      <w:r>
        <w:tab/>
      </w:r>
      <w:r>
        <w:fldChar w:fldCharType="begin"/>
      </w:r>
      <w:r>
        <w:instrText xml:space="preserve"> PAGEREF _Toc416783667 \h </w:instrText>
      </w:r>
      <w:r>
        <w:fldChar w:fldCharType="separate"/>
      </w:r>
      <w:r>
        <w:t>40</w:t>
      </w:r>
      <w:r>
        <w:fldChar w:fldCharType="end"/>
      </w:r>
    </w:p>
    <w:p>
      <w:pPr>
        <w:pStyle w:val="TOC8"/>
        <w:rPr>
          <w:rFonts w:asciiTheme="minorHAnsi" w:eastAsiaTheme="minorEastAsia" w:hAnsiTheme="minorHAnsi" w:cstheme="minorBidi"/>
          <w:szCs w:val="22"/>
        </w:rPr>
      </w:pPr>
      <w:r>
        <w:t>58.</w:t>
      </w:r>
      <w:r>
        <w:tab/>
        <w:t>Schedule 2 amended</w:t>
      </w:r>
      <w:r>
        <w:tab/>
      </w:r>
      <w:r>
        <w:fldChar w:fldCharType="begin"/>
      </w:r>
      <w:r>
        <w:instrText xml:space="preserve"> PAGEREF _Toc416783668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Taxation Administration Act 2003</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_Toc416783670 \h </w:instrText>
      </w:r>
      <w:r>
        <w:fldChar w:fldCharType="separate"/>
      </w:r>
      <w:r>
        <w:t>43</w:t>
      </w:r>
      <w:r>
        <w:fldChar w:fldCharType="end"/>
      </w:r>
    </w:p>
    <w:p>
      <w:pPr>
        <w:pStyle w:val="TOC8"/>
        <w:rPr>
          <w:rFonts w:asciiTheme="minorHAnsi" w:eastAsiaTheme="minorEastAsia" w:hAnsiTheme="minorHAnsi" w:cstheme="minorBidi"/>
          <w:szCs w:val="22"/>
        </w:rPr>
      </w:pPr>
      <w:r>
        <w:t>60.</w:t>
      </w:r>
      <w:r>
        <w:tab/>
        <w:t>Section 114 amended</w:t>
      </w:r>
      <w:r>
        <w:tab/>
      </w:r>
      <w:r>
        <w:fldChar w:fldCharType="begin"/>
      </w:r>
      <w:r>
        <w:instrText xml:space="preserve"> PAGEREF _Toc416783671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rPr>
        <w:t>Transfer of Land Act 1893</w:t>
      </w:r>
      <w:r>
        <w:t xml:space="preserve"> amended</w:t>
      </w:r>
    </w:p>
    <w:p>
      <w:pPr>
        <w:pStyle w:val="TOC8"/>
        <w:rPr>
          <w:rFonts w:asciiTheme="minorHAnsi" w:eastAsiaTheme="minorEastAsia" w:hAnsiTheme="minorHAnsi" w:cstheme="minorBidi"/>
          <w:szCs w:val="22"/>
        </w:rPr>
      </w:pPr>
      <w:r>
        <w:t>61</w:t>
      </w:r>
      <w:r>
        <w:rPr>
          <w:snapToGrid w:val="0"/>
        </w:rPr>
        <w:t>.</w:t>
      </w:r>
      <w:r>
        <w:rPr>
          <w:snapToGrid w:val="0"/>
        </w:rPr>
        <w:tab/>
        <w:t>Act amended</w:t>
      </w:r>
      <w:r>
        <w:tab/>
      </w:r>
      <w:r>
        <w:fldChar w:fldCharType="begin"/>
      </w:r>
      <w:r>
        <w:instrText xml:space="preserve"> PAGEREF _Toc416783673 \h </w:instrText>
      </w:r>
      <w:r>
        <w:fldChar w:fldCharType="separate"/>
      </w:r>
      <w:r>
        <w:t>44</w:t>
      </w:r>
      <w:r>
        <w:fldChar w:fldCharType="end"/>
      </w:r>
    </w:p>
    <w:p>
      <w:pPr>
        <w:pStyle w:val="TOC8"/>
        <w:rPr>
          <w:rFonts w:asciiTheme="minorHAnsi" w:eastAsiaTheme="minorEastAsia" w:hAnsiTheme="minorHAnsi" w:cstheme="minorBidi"/>
          <w:szCs w:val="22"/>
        </w:rPr>
      </w:pPr>
      <w:r>
        <w:t>62.</w:t>
      </w:r>
      <w:r>
        <w:tab/>
        <w:t>Section 3 amended</w:t>
      </w:r>
      <w:r>
        <w:tab/>
      </w:r>
      <w:r>
        <w:fldChar w:fldCharType="begin"/>
      </w:r>
      <w:r>
        <w:instrText xml:space="preserve"> PAGEREF _Toc416783674 \h </w:instrText>
      </w:r>
      <w:r>
        <w:fldChar w:fldCharType="separate"/>
      </w:r>
      <w:r>
        <w:t>44</w:t>
      </w:r>
      <w:r>
        <w:fldChar w:fldCharType="end"/>
      </w:r>
    </w:p>
    <w:p>
      <w:pPr>
        <w:pStyle w:val="TOC8"/>
        <w:rPr>
          <w:rFonts w:asciiTheme="minorHAnsi" w:eastAsiaTheme="minorEastAsia" w:hAnsiTheme="minorHAnsi" w:cstheme="minorBidi"/>
          <w:szCs w:val="22"/>
        </w:rPr>
      </w:pPr>
      <w:r>
        <w:t>63.</w:t>
      </w:r>
      <w:r>
        <w:tab/>
        <w:t>Section 4 amended</w:t>
      </w:r>
      <w:r>
        <w:tab/>
      </w:r>
      <w:r>
        <w:fldChar w:fldCharType="begin"/>
      </w:r>
      <w:r>
        <w:instrText xml:space="preserve"> PAGEREF _Toc416783675 \h </w:instrText>
      </w:r>
      <w:r>
        <w:fldChar w:fldCharType="separate"/>
      </w:r>
      <w:r>
        <w:t>44</w:t>
      </w:r>
      <w:r>
        <w:fldChar w:fldCharType="end"/>
      </w:r>
    </w:p>
    <w:p>
      <w:pPr>
        <w:pStyle w:val="TOC8"/>
        <w:rPr>
          <w:rFonts w:asciiTheme="minorHAnsi" w:eastAsiaTheme="minorEastAsia" w:hAnsiTheme="minorHAnsi" w:cstheme="minorBidi"/>
          <w:szCs w:val="22"/>
        </w:rPr>
      </w:pPr>
      <w:r>
        <w:t>64.</w:t>
      </w:r>
      <w:r>
        <w:tab/>
        <w:t>Section 14 replaced</w:t>
      </w:r>
      <w:r>
        <w:tab/>
      </w:r>
      <w:r>
        <w:fldChar w:fldCharType="begin"/>
      </w:r>
      <w:r>
        <w:instrText xml:space="preserve"> PAGEREF _Toc416783676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14.</w:t>
      </w:r>
      <w:r>
        <w:rPr>
          <w:noProof/>
        </w:rPr>
        <w:tab/>
        <w:t>Commissioner and Registrar may exercise functions electronically</w:t>
      </w:r>
      <w:r>
        <w:rPr>
          <w:noProof/>
        </w:rPr>
        <w:tab/>
      </w:r>
      <w:r>
        <w:rPr>
          <w:noProof/>
        </w:rPr>
        <w:fldChar w:fldCharType="begin"/>
      </w:r>
      <w:r>
        <w:rPr>
          <w:noProof/>
        </w:rPr>
        <w:instrText xml:space="preserve"> PAGEREF _Toc416783677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65.</w:t>
      </w:r>
      <w:r>
        <w:tab/>
        <w:t>Section 30 amended</w:t>
      </w:r>
      <w:r>
        <w:tab/>
      </w:r>
      <w:r>
        <w:fldChar w:fldCharType="begin"/>
      </w:r>
      <w:r>
        <w:instrText xml:space="preserve"> PAGEREF _Toc416783678 \h </w:instrText>
      </w:r>
      <w:r>
        <w:fldChar w:fldCharType="separate"/>
      </w:r>
      <w:r>
        <w:t>47</w:t>
      </w:r>
      <w:r>
        <w:fldChar w:fldCharType="end"/>
      </w:r>
    </w:p>
    <w:p>
      <w:pPr>
        <w:pStyle w:val="TOC8"/>
        <w:rPr>
          <w:rFonts w:asciiTheme="minorHAnsi" w:eastAsiaTheme="minorEastAsia" w:hAnsiTheme="minorHAnsi" w:cstheme="minorBidi"/>
          <w:szCs w:val="22"/>
        </w:rPr>
      </w:pPr>
      <w:r>
        <w:t>66.</w:t>
      </w:r>
      <w:r>
        <w:tab/>
        <w:t>Section 48B amended</w:t>
      </w:r>
      <w:r>
        <w:tab/>
      </w:r>
      <w:r>
        <w:fldChar w:fldCharType="begin"/>
      </w:r>
      <w:r>
        <w:instrText xml:space="preserve"> PAGEREF _Toc416783679 \h </w:instrText>
      </w:r>
      <w:r>
        <w:fldChar w:fldCharType="separate"/>
      </w:r>
      <w:r>
        <w:t>47</w:t>
      </w:r>
      <w:r>
        <w:fldChar w:fldCharType="end"/>
      </w:r>
    </w:p>
    <w:p>
      <w:pPr>
        <w:pStyle w:val="TOC8"/>
        <w:rPr>
          <w:rFonts w:asciiTheme="minorHAnsi" w:eastAsiaTheme="minorEastAsia" w:hAnsiTheme="minorHAnsi" w:cstheme="minorBidi"/>
          <w:szCs w:val="22"/>
        </w:rPr>
      </w:pPr>
      <w:r>
        <w:t>67.</w:t>
      </w:r>
      <w:r>
        <w:tab/>
        <w:t>Section 52 amended</w:t>
      </w:r>
      <w:r>
        <w:tab/>
      </w:r>
      <w:r>
        <w:fldChar w:fldCharType="begin"/>
      </w:r>
      <w:r>
        <w:instrText xml:space="preserve"> PAGEREF _Toc416783680 \h </w:instrText>
      </w:r>
      <w:r>
        <w:fldChar w:fldCharType="separate"/>
      </w:r>
      <w:r>
        <w:t>48</w:t>
      </w:r>
      <w:r>
        <w:fldChar w:fldCharType="end"/>
      </w:r>
    </w:p>
    <w:p>
      <w:pPr>
        <w:pStyle w:val="TOC8"/>
        <w:rPr>
          <w:rFonts w:asciiTheme="minorHAnsi" w:eastAsiaTheme="minorEastAsia" w:hAnsiTheme="minorHAnsi" w:cstheme="minorBidi"/>
          <w:szCs w:val="22"/>
        </w:rPr>
      </w:pPr>
      <w:r>
        <w:t>68.</w:t>
      </w:r>
      <w:r>
        <w:tab/>
        <w:t>Section 54 amended</w:t>
      </w:r>
      <w:r>
        <w:tab/>
      </w:r>
      <w:r>
        <w:fldChar w:fldCharType="begin"/>
      </w:r>
      <w:r>
        <w:instrText xml:space="preserve"> PAGEREF _Toc416783681 \h </w:instrText>
      </w:r>
      <w:r>
        <w:fldChar w:fldCharType="separate"/>
      </w:r>
      <w:r>
        <w:t>49</w:t>
      </w:r>
      <w:r>
        <w:fldChar w:fldCharType="end"/>
      </w:r>
    </w:p>
    <w:p>
      <w:pPr>
        <w:pStyle w:val="TOC8"/>
        <w:rPr>
          <w:rFonts w:asciiTheme="minorHAnsi" w:eastAsiaTheme="minorEastAsia" w:hAnsiTheme="minorHAnsi" w:cstheme="minorBidi"/>
          <w:szCs w:val="22"/>
        </w:rPr>
      </w:pPr>
      <w:r>
        <w:t>69.</w:t>
      </w:r>
      <w:r>
        <w:tab/>
        <w:t>Section 57 amended</w:t>
      </w:r>
      <w:r>
        <w:tab/>
      </w:r>
      <w:r>
        <w:fldChar w:fldCharType="begin"/>
      </w:r>
      <w:r>
        <w:instrText xml:space="preserve"> PAGEREF _Toc416783682 \h </w:instrText>
      </w:r>
      <w:r>
        <w:fldChar w:fldCharType="separate"/>
      </w:r>
      <w:r>
        <w:t>49</w:t>
      </w:r>
      <w:r>
        <w:fldChar w:fldCharType="end"/>
      </w:r>
    </w:p>
    <w:p>
      <w:pPr>
        <w:pStyle w:val="TOC8"/>
        <w:rPr>
          <w:rFonts w:asciiTheme="minorHAnsi" w:eastAsiaTheme="minorEastAsia" w:hAnsiTheme="minorHAnsi" w:cstheme="minorBidi"/>
          <w:szCs w:val="22"/>
        </w:rPr>
      </w:pPr>
      <w:r>
        <w:t>70.</w:t>
      </w:r>
      <w:r>
        <w:tab/>
        <w:t>Section 74 amended</w:t>
      </w:r>
      <w:r>
        <w:tab/>
      </w:r>
      <w:r>
        <w:fldChar w:fldCharType="begin"/>
      </w:r>
      <w:r>
        <w:instrText xml:space="preserve"> PAGEREF _Toc416783683 \h </w:instrText>
      </w:r>
      <w:r>
        <w:fldChar w:fldCharType="separate"/>
      </w:r>
      <w:r>
        <w:t>49</w:t>
      </w:r>
      <w:r>
        <w:fldChar w:fldCharType="end"/>
      </w:r>
    </w:p>
    <w:p>
      <w:pPr>
        <w:pStyle w:val="TOC8"/>
        <w:rPr>
          <w:rFonts w:asciiTheme="minorHAnsi" w:eastAsiaTheme="minorEastAsia" w:hAnsiTheme="minorHAnsi" w:cstheme="minorBidi"/>
          <w:szCs w:val="22"/>
        </w:rPr>
      </w:pPr>
      <w:r>
        <w:t>71.</w:t>
      </w:r>
      <w:r>
        <w:tab/>
        <w:t>Section 74B amended</w:t>
      </w:r>
      <w:r>
        <w:tab/>
      </w:r>
      <w:r>
        <w:fldChar w:fldCharType="begin"/>
      </w:r>
      <w:r>
        <w:instrText xml:space="preserve"> PAGEREF _Toc416783684 \h </w:instrText>
      </w:r>
      <w:r>
        <w:fldChar w:fldCharType="separate"/>
      </w:r>
      <w:r>
        <w:t>49</w:t>
      </w:r>
      <w:r>
        <w:fldChar w:fldCharType="end"/>
      </w:r>
    </w:p>
    <w:p>
      <w:pPr>
        <w:pStyle w:val="TOC8"/>
        <w:rPr>
          <w:rFonts w:asciiTheme="minorHAnsi" w:eastAsiaTheme="minorEastAsia" w:hAnsiTheme="minorHAnsi" w:cstheme="minorBidi"/>
          <w:szCs w:val="22"/>
        </w:rPr>
      </w:pPr>
      <w:r>
        <w:t>72.</w:t>
      </w:r>
      <w:r>
        <w:tab/>
        <w:t>Section 81W amended</w:t>
      </w:r>
      <w:r>
        <w:tab/>
      </w:r>
      <w:r>
        <w:fldChar w:fldCharType="begin"/>
      </w:r>
      <w:r>
        <w:instrText xml:space="preserve"> PAGEREF _Toc416783685 \h </w:instrText>
      </w:r>
      <w:r>
        <w:fldChar w:fldCharType="separate"/>
      </w:r>
      <w:r>
        <w:t>50</w:t>
      </w:r>
      <w:r>
        <w:fldChar w:fldCharType="end"/>
      </w:r>
    </w:p>
    <w:p>
      <w:pPr>
        <w:pStyle w:val="TOC8"/>
        <w:rPr>
          <w:rFonts w:asciiTheme="minorHAnsi" w:eastAsiaTheme="minorEastAsia" w:hAnsiTheme="minorHAnsi" w:cstheme="minorBidi"/>
          <w:szCs w:val="22"/>
        </w:rPr>
      </w:pPr>
      <w:r>
        <w:t>73.</w:t>
      </w:r>
      <w:r>
        <w:tab/>
        <w:t>Section 105 amended</w:t>
      </w:r>
      <w:r>
        <w:tab/>
      </w:r>
      <w:r>
        <w:fldChar w:fldCharType="begin"/>
      </w:r>
      <w:r>
        <w:instrText xml:space="preserve"> PAGEREF _Toc416783686 \h </w:instrText>
      </w:r>
      <w:r>
        <w:fldChar w:fldCharType="separate"/>
      </w:r>
      <w:r>
        <w:t>51</w:t>
      </w:r>
      <w:r>
        <w:fldChar w:fldCharType="end"/>
      </w:r>
    </w:p>
    <w:p>
      <w:pPr>
        <w:pStyle w:val="TOC8"/>
        <w:rPr>
          <w:rFonts w:asciiTheme="minorHAnsi" w:eastAsiaTheme="minorEastAsia" w:hAnsiTheme="minorHAnsi" w:cstheme="minorBidi"/>
          <w:szCs w:val="22"/>
        </w:rPr>
      </w:pPr>
      <w:r>
        <w:t>74.</w:t>
      </w:r>
      <w:r>
        <w:tab/>
        <w:t>Section 127A inserted</w:t>
      </w:r>
      <w:r>
        <w:tab/>
      </w:r>
      <w:r>
        <w:fldChar w:fldCharType="begin"/>
      </w:r>
      <w:r>
        <w:instrText xml:space="preserve"> PAGEREF _Toc416783687 \h </w:instrText>
      </w:r>
      <w:r>
        <w:fldChar w:fldCharType="separate"/>
      </w:r>
      <w:r>
        <w:t>52</w:t>
      </w:r>
      <w:r>
        <w:fldChar w:fldCharType="end"/>
      </w:r>
    </w:p>
    <w:p>
      <w:pPr>
        <w:pStyle w:val="TOC9"/>
        <w:rPr>
          <w:rFonts w:asciiTheme="minorHAnsi" w:eastAsiaTheme="minorEastAsia" w:hAnsiTheme="minorHAnsi" w:cstheme="minorBidi"/>
          <w:noProof/>
          <w:sz w:val="22"/>
          <w:szCs w:val="22"/>
        </w:rPr>
      </w:pPr>
      <w:r>
        <w:rPr>
          <w:noProof/>
        </w:rPr>
        <w:t>127A.</w:t>
      </w:r>
      <w:r>
        <w:rPr>
          <w:noProof/>
        </w:rPr>
        <w:tab/>
        <w:t>Subsequent mortgages or charges</w:t>
      </w:r>
      <w:r>
        <w:rPr>
          <w:noProof/>
        </w:rPr>
        <w:tab/>
      </w:r>
      <w:r>
        <w:rPr>
          <w:noProof/>
        </w:rPr>
        <w:fldChar w:fldCharType="begin"/>
      </w:r>
      <w:r>
        <w:rPr>
          <w:noProof/>
        </w:rPr>
        <w:instrText xml:space="preserve"> PAGEREF _Toc416783688 \h </w:instrText>
      </w:r>
      <w:r>
        <w:rPr>
          <w:noProof/>
        </w:rPr>
      </w:r>
      <w:r>
        <w:rPr>
          <w:noProof/>
        </w:rPr>
        <w:fldChar w:fldCharType="separate"/>
      </w:r>
      <w:r>
        <w:rPr>
          <w:noProof/>
        </w:rPr>
        <w:t>52</w:t>
      </w:r>
      <w:r>
        <w:rPr>
          <w:noProof/>
        </w:rPr>
        <w:fldChar w:fldCharType="end"/>
      </w:r>
    </w:p>
    <w:p>
      <w:pPr>
        <w:pStyle w:val="TOC8"/>
        <w:rPr>
          <w:rFonts w:asciiTheme="minorHAnsi" w:eastAsiaTheme="minorEastAsia" w:hAnsiTheme="minorHAnsi" w:cstheme="minorBidi"/>
          <w:szCs w:val="22"/>
        </w:rPr>
      </w:pPr>
      <w:r>
        <w:t>75.</w:t>
      </w:r>
      <w:r>
        <w:tab/>
        <w:t>Section 129A amended</w:t>
      </w:r>
      <w:r>
        <w:tab/>
      </w:r>
      <w:r>
        <w:fldChar w:fldCharType="begin"/>
      </w:r>
      <w:r>
        <w:instrText xml:space="preserve"> PAGEREF _Toc416783689 \h </w:instrText>
      </w:r>
      <w:r>
        <w:fldChar w:fldCharType="separate"/>
      </w:r>
      <w:r>
        <w:t>53</w:t>
      </w:r>
      <w:r>
        <w:fldChar w:fldCharType="end"/>
      </w:r>
    </w:p>
    <w:p>
      <w:pPr>
        <w:pStyle w:val="TOC8"/>
        <w:rPr>
          <w:rFonts w:asciiTheme="minorHAnsi" w:eastAsiaTheme="minorEastAsia" w:hAnsiTheme="minorHAnsi" w:cstheme="minorBidi"/>
          <w:szCs w:val="22"/>
        </w:rPr>
      </w:pPr>
      <w:r>
        <w:t>76.</w:t>
      </w:r>
      <w:r>
        <w:tab/>
        <w:t>Section 137 amended</w:t>
      </w:r>
      <w:r>
        <w:tab/>
      </w:r>
      <w:r>
        <w:fldChar w:fldCharType="begin"/>
      </w:r>
      <w:r>
        <w:instrText xml:space="preserve"> PAGEREF _Toc416783690 \h </w:instrText>
      </w:r>
      <w:r>
        <w:fldChar w:fldCharType="separate"/>
      </w:r>
      <w:r>
        <w:t>53</w:t>
      </w:r>
      <w:r>
        <w:fldChar w:fldCharType="end"/>
      </w:r>
    </w:p>
    <w:p>
      <w:pPr>
        <w:pStyle w:val="TOC8"/>
        <w:rPr>
          <w:rFonts w:asciiTheme="minorHAnsi" w:eastAsiaTheme="minorEastAsia" w:hAnsiTheme="minorHAnsi" w:cstheme="minorBidi"/>
          <w:szCs w:val="22"/>
        </w:rPr>
      </w:pPr>
      <w:r>
        <w:t>77.</w:t>
      </w:r>
      <w:r>
        <w:tab/>
        <w:t>Section 180 replaced</w:t>
      </w:r>
      <w:r>
        <w:tab/>
      </w:r>
      <w:r>
        <w:fldChar w:fldCharType="begin"/>
      </w:r>
      <w:r>
        <w:instrText xml:space="preserve"> PAGEREF _Toc416783691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180.</w:t>
      </w:r>
      <w:r>
        <w:rPr>
          <w:noProof/>
        </w:rPr>
        <w:tab/>
        <w:t>Commissioner may summons people to provide information</w:t>
      </w:r>
      <w:r>
        <w:rPr>
          <w:noProof/>
        </w:rPr>
        <w:tab/>
      </w:r>
      <w:r>
        <w:rPr>
          <w:noProof/>
        </w:rPr>
        <w:fldChar w:fldCharType="begin"/>
      </w:r>
      <w:r>
        <w:rPr>
          <w:noProof/>
        </w:rPr>
        <w:instrText xml:space="preserve"> PAGEREF _Toc416783692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181A.</w:t>
      </w:r>
      <w:r>
        <w:rPr>
          <w:noProof/>
        </w:rPr>
        <w:tab/>
        <w:t>Commissioner and Registrar may require supporting documentation or evidence or verification</w:t>
      </w:r>
      <w:r>
        <w:rPr>
          <w:noProof/>
        </w:rPr>
        <w:tab/>
      </w:r>
      <w:r>
        <w:rPr>
          <w:noProof/>
        </w:rPr>
        <w:fldChar w:fldCharType="begin"/>
      </w:r>
      <w:r>
        <w:rPr>
          <w:noProof/>
        </w:rPr>
        <w:instrText xml:space="preserve"> PAGEREF _Toc416783693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181B.</w:t>
      </w:r>
      <w:r>
        <w:rPr>
          <w:noProof/>
        </w:rPr>
        <w:tab/>
        <w:t>Commissioner and Registrar may require verification by statutory declaration</w:t>
      </w:r>
      <w:r>
        <w:rPr>
          <w:noProof/>
        </w:rPr>
        <w:tab/>
      </w:r>
      <w:r>
        <w:rPr>
          <w:noProof/>
        </w:rPr>
        <w:fldChar w:fldCharType="begin"/>
      </w:r>
      <w:r>
        <w:rPr>
          <w:noProof/>
        </w:rPr>
        <w:instrText xml:space="preserve"> PAGEREF _Toc416783694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78.</w:t>
      </w:r>
      <w:r>
        <w:tab/>
        <w:t>Section 181 amended</w:t>
      </w:r>
      <w:r>
        <w:tab/>
      </w:r>
      <w:r>
        <w:fldChar w:fldCharType="begin"/>
      </w:r>
      <w:r>
        <w:instrText xml:space="preserve"> PAGEREF _Toc416783695 \h </w:instrText>
      </w:r>
      <w:r>
        <w:fldChar w:fldCharType="separate"/>
      </w:r>
      <w:r>
        <w:t>58</w:t>
      </w:r>
      <w:r>
        <w:fldChar w:fldCharType="end"/>
      </w:r>
    </w:p>
    <w:p>
      <w:pPr>
        <w:pStyle w:val="TOC8"/>
        <w:rPr>
          <w:rFonts w:asciiTheme="minorHAnsi" w:eastAsiaTheme="minorEastAsia" w:hAnsiTheme="minorHAnsi" w:cstheme="minorBidi"/>
          <w:szCs w:val="22"/>
        </w:rPr>
      </w:pPr>
      <w:r>
        <w:t>79.</w:t>
      </w:r>
      <w:r>
        <w:tab/>
        <w:t>Sections 182A and 182B inserted</w:t>
      </w:r>
      <w:r>
        <w:tab/>
      </w:r>
      <w:r>
        <w:fldChar w:fldCharType="begin"/>
      </w:r>
      <w:r>
        <w:instrText xml:space="preserve"> PAGEREF _Toc416783696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182A.</w:t>
      </w:r>
      <w:r>
        <w:rPr>
          <w:noProof/>
        </w:rPr>
        <w:tab/>
        <w:t>Commissioner and Registrar may determine requirements</w:t>
      </w:r>
      <w:r>
        <w:rPr>
          <w:noProof/>
        </w:rPr>
        <w:tab/>
      </w:r>
      <w:r>
        <w:rPr>
          <w:noProof/>
        </w:rPr>
        <w:fldChar w:fldCharType="begin"/>
      </w:r>
      <w:r>
        <w:rPr>
          <w:noProof/>
        </w:rPr>
        <w:instrText xml:space="preserve"> PAGEREF _Toc416783697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182B.</w:t>
      </w:r>
      <w:r>
        <w:rPr>
          <w:noProof/>
        </w:rPr>
        <w:tab/>
        <w:t>Publication of requirements</w:t>
      </w:r>
      <w:r>
        <w:rPr>
          <w:noProof/>
        </w:rPr>
        <w:tab/>
      </w:r>
      <w:r>
        <w:rPr>
          <w:noProof/>
        </w:rPr>
        <w:fldChar w:fldCharType="begin"/>
      </w:r>
      <w:r>
        <w:rPr>
          <w:noProof/>
        </w:rPr>
        <w:instrText xml:space="preserve"> PAGEREF _Toc416783698 \h </w:instrText>
      </w:r>
      <w:r>
        <w:rPr>
          <w:noProof/>
        </w:rPr>
      </w:r>
      <w:r>
        <w:rPr>
          <w:noProof/>
        </w:rPr>
        <w:fldChar w:fldCharType="separate"/>
      </w:r>
      <w:r>
        <w:rPr>
          <w:noProof/>
        </w:rPr>
        <w:t>67</w:t>
      </w:r>
      <w:r>
        <w:rPr>
          <w:noProof/>
        </w:rPr>
        <w:fldChar w:fldCharType="end"/>
      </w:r>
    </w:p>
    <w:p>
      <w:pPr>
        <w:pStyle w:val="TOC8"/>
        <w:rPr>
          <w:rFonts w:asciiTheme="minorHAnsi" w:eastAsiaTheme="minorEastAsia" w:hAnsiTheme="minorHAnsi" w:cstheme="minorBidi"/>
          <w:szCs w:val="22"/>
        </w:rPr>
      </w:pPr>
      <w:r>
        <w:t>80.</w:t>
      </w:r>
      <w:r>
        <w:tab/>
        <w:t>Section 188 amended</w:t>
      </w:r>
      <w:r>
        <w:tab/>
      </w:r>
      <w:r>
        <w:fldChar w:fldCharType="begin"/>
      </w:r>
      <w:r>
        <w:instrText xml:space="preserve"> PAGEREF _Toc416783699 \h </w:instrText>
      </w:r>
      <w:r>
        <w:fldChar w:fldCharType="separate"/>
      </w:r>
      <w:r>
        <w:t>68</w:t>
      </w:r>
      <w:r>
        <w:fldChar w:fldCharType="end"/>
      </w:r>
    </w:p>
    <w:p>
      <w:pPr>
        <w:pStyle w:val="TOC8"/>
        <w:rPr>
          <w:rFonts w:asciiTheme="minorHAnsi" w:eastAsiaTheme="minorEastAsia" w:hAnsiTheme="minorHAnsi" w:cstheme="minorBidi"/>
          <w:szCs w:val="22"/>
        </w:rPr>
      </w:pPr>
      <w:r>
        <w:t>81.</w:t>
      </w:r>
      <w:r>
        <w:tab/>
        <w:t>Section 189 amended</w:t>
      </w:r>
      <w:r>
        <w:tab/>
      </w:r>
      <w:r>
        <w:fldChar w:fldCharType="begin"/>
      </w:r>
      <w:r>
        <w:instrText xml:space="preserve"> PAGEREF _Toc416783700 \h </w:instrText>
      </w:r>
      <w:r>
        <w:fldChar w:fldCharType="separate"/>
      </w:r>
      <w:r>
        <w:t>68</w:t>
      </w:r>
      <w:r>
        <w:fldChar w:fldCharType="end"/>
      </w:r>
    </w:p>
    <w:p>
      <w:pPr>
        <w:pStyle w:val="TOC8"/>
        <w:rPr>
          <w:rFonts w:asciiTheme="minorHAnsi" w:eastAsiaTheme="minorEastAsia" w:hAnsiTheme="minorHAnsi" w:cstheme="minorBidi"/>
          <w:szCs w:val="22"/>
        </w:rPr>
      </w:pPr>
      <w:r>
        <w:t>82.</w:t>
      </w:r>
      <w:r>
        <w:tab/>
        <w:t>Sections 192A to 192E inserted</w:t>
      </w:r>
      <w:r>
        <w:tab/>
      </w:r>
      <w:r>
        <w:fldChar w:fldCharType="begin"/>
      </w:r>
      <w:r>
        <w:instrText xml:space="preserve"> PAGEREF _Toc416783701 \h </w:instrText>
      </w:r>
      <w:r>
        <w:fldChar w:fldCharType="separate"/>
      </w:r>
      <w:r>
        <w:t>69</w:t>
      </w:r>
      <w:r>
        <w:fldChar w:fldCharType="end"/>
      </w:r>
    </w:p>
    <w:p>
      <w:pPr>
        <w:pStyle w:val="TOC9"/>
        <w:rPr>
          <w:rFonts w:asciiTheme="minorHAnsi" w:eastAsiaTheme="minorEastAsia" w:hAnsiTheme="minorHAnsi" w:cstheme="minorBidi"/>
          <w:noProof/>
          <w:sz w:val="22"/>
          <w:szCs w:val="22"/>
        </w:rPr>
      </w:pPr>
      <w:r>
        <w:rPr>
          <w:noProof/>
        </w:rPr>
        <w:t>192A.</w:t>
      </w:r>
      <w:r>
        <w:rPr>
          <w:noProof/>
        </w:rPr>
        <w:tab/>
        <w:t>Registrar entitled to assume that lodging party has certain authorities from other interested parties</w:t>
      </w:r>
      <w:r>
        <w:rPr>
          <w:noProof/>
        </w:rPr>
        <w:tab/>
      </w:r>
      <w:r>
        <w:rPr>
          <w:noProof/>
        </w:rPr>
        <w:fldChar w:fldCharType="begin"/>
      </w:r>
      <w:r>
        <w:rPr>
          <w:noProof/>
        </w:rPr>
        <w:instrText xml:space="preserve"> PAGEREF _Toc416783702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192B.</w:t>
      </w:r>
      <w:r>
        <w:rPr>
          <w:noProof/>
        </w:rPr>
        <w:tab/>
        <w:t>Registrar may refuse lodgment for non</w:t>
      </w:r>
      <w:r>
        <w:rPr>
          <w:noProof/>
        </w:rPr>
        <w:noBreakHyphen/>
        <w:t>compliance with certain requirements</w:t>
      </w:r>
      <w:r>
        <w:rPr>
          <w:noProof/>
        </w:rPr>
        <w:tab/>
      </w:r>
      <w:r>
        <w:rPr>
          <w:noProof/>
        </w:rPr>
        <w:fldChar w:fldCharType="begin"/>
      </w:r>
      <w:r>
        <w:rPr>
          <w:noProof/>
        </w:rPr>
        <w:instrText xml:space="preserve"> PAGEREF _Toc416783703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192C.</w:t>
      </w:r>
      <w:r>
        <w:rPr>
          <w:noProof/>
        </w:rPr>
        <w:tab/>
        <w:t>Commissioner may refuse to take action if requirements not complied with</w:t>
      </w:r>
      <w:r>
        <w:rPr>
          <w:noProof/>
        </w:rPr>
        <w:tab/>
      </w:r>
      <w:r>
        <w:rPr>
          <w:noProof/>
        </w:rPr>
        <w:fldChar w:fldCharType="begin"/>
      </w:r>
      <w:r>
        <w:rPr>
          <w:noProof/>
        </w:rPr>
        <w:instrText xml:space="preserve"> PAGEREF _Toc416783704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192D.</w:t>
      </w:r>
      <w:r>
        <w:rPr>
          <w:noProof/>
        </w:rPr>
        <w:tab/>
        <w:t>Registrar may refuse registration, noting or recording for non</w:t>
      </w:r>
      <w:r>
        <w:rPr>
          <w:noProof/>
        </w:rPr>
        <w:noBreakHyphen/>
        <w:t>compliance with requirements</w:t>
      </w:r>
      <w:r>
        <w:rPr>
          <w:noProof/>
        </w:rPr>
        <w:tab/>
      </w:r>
      <w:r>
        <w:rPr>
          <w:noProof/>
        </w:rPr>
        <w:fldChar w:fldCharType="begin"/>
      </w:r>
      <w:r>
        <w:rPr>
          <w:noProof/>
        </w:rPr>
        <w:instrText xml:space="preserve"> PAGEREF _Toc416783705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t>192E.</w:t>
      </w:r>
      <w:r>
        <w:rPr>
          <w:noProof/>
        </w:rPr>
        <w:tab/>
        <w:t>Notice of non</w:t>
      </w:r>
      <w:r>
        <w:rPr>
          <w:noProof/>
        </w:rPr>
        <w:noBreakHyphen/>
        <w:t>compliance under section 192D</w:t>
      </w:r>
      <w:r>
        <w:rPr>
          <w:noProof/>
        </w:rPr>
        <w:tab/>
      </w:r>
      <w:r>
        <w:rPr>
          <w:noProof/>
        </w:rPr>
        <w:fldChar w:fldCharType="begin"/>
      </w:r>
      <w:r>
        <w:rPr>
          <w:noProof/>
        </w:rPr>
        <w:instrText xml:space="preserve"> PAGEREF _Toc416783706 \h </w:instrText>
      </w:r>
      <w:r>
        <w:rPr>
          <w:noProof/>
        </w:rPr>
      </w:r>
      <w:r>
        <w:rPr>
          <w:noProof/>
        </w:rPr>
        <w:fldChar w:fldCharType="separate"/>
      </w:r>
      <w:r>
        <w:rPr>
          <w:noProof/>
        </w:rPr>
        <w:t>73</w:t>
      </w:r>
      <w:r>
        <w:rPr>
          <w:noProof/>
        </w:rPr>
        <w:fldChar w:fldCharType="end"/>
      </w:r>
    </w:p>
    <w:p>
      <w:pPr>
        <w:pStyle w:val="TOC8"/>
        <w:rPr>
          <w:rFonts w:asciiTheme="minorHAnsi" w:eastAsiaTheme="minorEastAsia" w:hAnsiTheme="minorHAnsi" w:cstheme="minorBidi"/>
          <w:szCs w:val="22"/>
        </w:rPr>
      </w:pPr>
      <w:r>
        <w:t>83.</w:t>
      </w:r>
      <w:r>
        <w:tab/>
        <w:t>Section 192 amended</w:t>
      </w:r>
      <w:r>
        <w:tab/>
      </w:r>
      <w:r>
        <w:fldChar w:fldCharType="begin"/>
      </w:r>
      <w:r>
        <w:instrText xml:space="preserve"> PAGEREF _Toc416783707 \h </w:instrText>
      </w:r>
      <w:r>
        <w:fldChar w:fldCharType="separate"/>
      </w:r>
      <w:r>
        <w:t>74</w:t>
      </w:r>
      <w:r>
        <w:fldChar w:fldCharType="end"/>
      </w:r>
    </w:p>
    <w:p>
      <w:pPr>
        <w:pStyle w:val="TOC8"/>
        <w:rPr>
          <w:rFonts w:asciiTheme="minorHAnsi" w:eastAsiaTheme="minorEastAsia" w:hAnsiTheme="minorHAnsi" w:cstheme="minorBidi"/>
          <w:szCs w:val="22"/>
        </w:rPr>
      </w:pPr>
      <w:r>
        <w:t>84.</w:t>
      </w:r>
      <w:r>
        <w:tab/>
        <w:t>Section 193 amended</w:t>
      </w:r>
      <w:r>
        <w:tab/>
      </w:r>
      <w:r>
        <w:fldChar w:fldCharType="begin"/>
      </w:r>
      <w:r>
        <w:instrText xml:space="preserve"> PAGEREF _Toc416783708 \h </w:instrText>
      </w:r>
      <w:r>
        <w:fldChar w:fldCharType="separate"/>
      </w:r>
      <w:r>
        <w:t>74</w:t>
      </w:r>
      <w:r>
        <w:fldChar w:fldCharType="end"/>
      </w:r>
    </w:p>
    <w:p>
      <w:pPr>
        <w:pStyle w:val="TOC8"/>
        <w:rPr>
          <w:rFonts w:asciiTheme="minorHAnsi" w:eastAsiaTheme="minorEastAsia" w:hAnsiTheme="minorHAnsi" w:cstheme="minorBidi"/>
          <w:szCs w:val="22"/>
        </w:rPr>
      </w:pPr>
      <w:r>
        <w:t>85.</w:t>
      </w:r>
      <w:r>
        <w:tab/>
        <w:t>Section 198 amended</w:t>
      </w:r>
      <w:r>
        <w:tab/>
      </w:r>
      <w:r>
        <w:fldChar w:fldCharType="begin"/>
      </w:r>
      <w:r>
        <w:instrText xml:space="preserve"> PAGEREF _Toc416783709 \h </w:instrText>
      </w:r>
      <w:r>
        <w:fldChar w:fldCharType="separate"/>
      </w:r>
      <w:r>
        <w:t>74</w:t>
      </w:r>
      <w:r>
        <w:fldChar w:fldCharType="end"/>
      </w:r>
    </w:p>
    <w:p>
      <w:pPr>
        <w:pStyle w:val="TOC8"/>
        <w:rPr>
          <w:rFonts w:asciiTheme="minorHAnsi" w:eastAsiaTheme="minorEastAsia" w:hAnsiTheme="minorHAnsi" w:cstheme="minorBidi"/>
          <w:szCs w:val="22"/>
        </w:rPr>
      </w:pPr>
      <w:r>
        <w:t>86.</w:t>
      </w:r>
      <w:r>
        <w:tab/>
        <w:t>Sections 214 to 214B replaced</w:t>
      </w:r>
      <w:r>
        <w:tab/>
      </w:r>
      <w:r>
        <w:fldChar w:fldCharType="begin"/>
      </w:r>
      <w:r>
        <w:instrText xml:space="preserve"> PAGEREF _Toc416783710 \h </w:instrText>
      </w:r>
      <w:r>
        <w:fldChar w:fldCharType="separate"/>
      </w:r>
      <w:r>
        <w:t>74</w:t>
      </w:r>
      <w:r>
        <w:fldChar w:fldCharType="end"/>
      </w:r>
    </w:p>
    <w:p>
      <w:pPr>
        <w:pStyle w:val="TOC9"/>
        <w:rPr>
          <w:rFonts w:asciiTheme="minorHAnsi" w:eastAsiaTheme="minorEastAsia" w:hAnsiTheme="minorHAnsi" w:cstheme="minorBidi"/>
          <w:noProof/>
          <w:sz w:val="22"/>
          <w:szCs w:val="22"/>
        </w:rPr>
      </w:pPr>
      <w:r>
        <w:rPr>
          <w:noProof/>
        </w:rPr>
        <w:t>214.</w:t>
      </w:r>
      <w:r>
        <w:rPr>
          <w:noProof/>
        </w:rPr>
        <w:tab/>
        <w:t>Offences</w:t>
      </w:r>
      <w:r>
        <w:rPr>
          <w:noProof/>
        </w:rPr>
        <w:tab/>
      </w:r>
      <w:r>
        <w:rPr>
          <w:noProof/>
        </w:rPr>
        <w:fldChar w:fldCharType="begin"/>
      </w:r>
      <w:r>
        <w:rPr>
          <w:noProof/>
        </w:rPr>
        <w:instrText xml:space="preserve"> PAGEREF _Toc416783711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214A.</w:t>
      </w:r>
      <w:r>
        <w:rPr>
          <w:noProof/>
        </w:rPr>
        <w:tab/>
        <w:t>Effect of fraud</w:t>
      </w:r>
      <w:r>
        <w:rPr>
          <w:noProof/>
        </w:rPr>
        <w:tab/>
      </w:r>
      <w:r>
        <w:rPr>
          <w:noProof/>
        </w:rPr>
        <w:fldChar w:fldCharType="begin"/>
      </w:r>
      <w:r>
        <w:rPr>
          <w:noProof/>
        </w:rPr>
        <w:instrText xml:space="preserve"> PAGEREF _Toc416783712 \h </w:instrText>
      </w:r>
      <w:r>
        <w:rPr>
          <w:noProof/>
        </w:rPr>
      </w:r>
      <w:r>
        <w:rPr>
          <w:noProof/>
        </w:rPr>
        <w:fldChar w:fldCharType="separate"/>
      </w:r>
      <w:r>
        <w:rPr>
          <w:noProof/>
        </w:rPr>
        <w:t>76</w:t>
      </w:r>
      <w:r>
        <w:rPr>
          <w:noProof/>
        </w:rPr>
        <w:fldChar w:fldCharType="end"/>
      </w:r>
    </w:p>
    <w:p>
      <w:pPr>
        <w:pStyle w:val="TOC8"/>
        <w:rPr>
          <w:rFonts w:asciiTheme="minorHAnsi" w:eastAsiaTheme="minorEastAsia" w:hAnsiTheme="minorHAnsi" w:cstheme="minorBidi"/>
          <w:szCs w:val="22"/>
        </w:rPr>
      </w:pPr>
      <w:r>
        <w:t>87.</w:t>
      </w:r>
      <w:r>
        <w:tab/>
        <w:t>Sections 232A and 232B inserted</w:t>
      </w:r>
      <w:r>
        <w:tab/>
      </w:r>
      <w:r>
        <w:fldChar w:fldCharType="begin"/>
      </w:r>
      <w:r>
        <w:instrText xml:space="preserve"> PAGEREF _Toc416783713 \h </w:instrText>
      </w:r>
      <w:r>
        <w:fldChar w:fldCharType="separate"/>
      </w:r>
      <w:r>
        <w:t>77</w:t>
      </w:r>
      <w:r>
        <w:fldChar w:fldCharType="end"/>
      </w:r>
    </w:p>
    <w:p>
      <w:pPr>
        <w:pStyle w:val="TOC9"/>
        <w:rPr>
          <w:rFonts w:asciiTheme="minorHAnsi" w:eastAsiaTheme="minorEastAsia" w:hAnsiTheme="minorHAnsi" w:cstheme="minorBidi"/>
          <w:noProof/>
          <w:sz w:val="22"/>
          <w:szCs w:val="22"/>
        </w:rPr>
      </w:pPr>
      <w:r>
        <w:rPr>
          <w:noProof/>
        </w:rPr>
        <w:t>232A.</w:t>
      </w:r>
      <w:r>
        <w:rPr>
          <w:noProof/>
        </w:rPr>
        <w:tab/>
        <w:t>Effect of dealing with duplicate certificate of title in accordance with requirements as alternative to production</w:t>
      </w:r>
      <w:r>
        <w:rPr>
          <w:noProof/>
        </w:rPr>
        <w:tab/>
      </w:r>
      <w:r>
        <w:rPr>
          <w:noProof/>
        </w:rPr>
        <w:fldChar w:fldCharType="begin"/>
      </w:r>
      <w:r>
        <w:rPr>
          <w:noProof/>
        </w:rPr>
        <w:instrText xml:space="preserve"> PAGEREF _Toc416783714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232B.</w:t>
      </w:r>
      <w:r>
        <w:rPr>
          <w:noProof/>
        </w:rPr>
        <w:tab/>
        <w:t>Effect of using alternative means to provide consent, permission or approval</w:t>
      </w:r>
      <w:r>
        <w:rPr>
          <w:noProof/>
        </w:rPr>
        <w:tab/>
      </w:r>
      <w:r>
        <w:rPr>
          <w:noProof/>
        </w:rPr>
        <w:fldChar w:fldCharType="begin"/>
      </w:r>
      <w:r>
        <w:rPr>
          <w:noProof/>
        </w:rPr>
        <w:instrText xml:space="preserve"> PAGEREF _Toc416783715 \h </w:instrText>
      </w:r>
      <w:r>
        <w:rPr>
          <w:noProof/>
        </w:rPr>
      </w:r>
      <w:r>
        <w:rPr>
          <w:noProof/>
        </w:rPr>
        <w:fldChar w:fldCharType="separate"/>
      </w:r>
      <w:r>
        <w:rPr>
          <w:noProof/>
        </w:rPr>
        <w:t>78</w:t>
      </w:r>
      <w:r>
        <w:rPr>
          <w:noProof/>
        </w:rPr>
        <w:fldChar w:fldCharType="end"/>
      </w:r>
    </w:p>
    <w:p>
      <w:pPr>
        <w:pStyle w:val="TOC8"/>
        <w:rPr>
          <w:rFonts w:asciiTheme="minorHAnsi" w:eastAsiaTheme="minorEastAsia" w:hAnsiTheme="minorHAnsi" w:cstheme="minorBidi"/>
          <w:szCs w:val="22"/>
        </w:rPr>
      </w:pPr>
      <w:r>
        <w:t>88.</w:t>
      </w:r>
      <w:r>
        <w:tab/>
        <w:t>Section 234 amended</w:t>
      </w:r>
      <w:r>
        <w:tab/>
      </w:r>
      <w:r>
        <w:fldChar w:fldCharType="begin"/>
      </w:r>
      <w:r>
        <w:instrText xml:space="preserve"> PAGEREF _Toc416783716 \h </w:instrText>
      </w:r>
      <w:r>
        <w:fldChar w:fldCharType="separate"/>
      </w:r>
      <w:r>
        <w:t>79</w:t>
      </w:r>
      <w:r>
        <w:fldChar w:fldCharType="end"/>
      </w:r>
    </w:p>
    <w:p>
      <w:pPr>
        <w:pStyle w:val="TOC8"/>
        <w:rPr>
          <w:rFonts w:asciiTheme="minorHAnsi" w:eastAsiaTheme="minorEastAsia" w:hAnsiTheme="minorHAnsi" w:cstheme="minorBidi"/>
          <w:szCs w:val="22"/>
        </w:rPr>
      </w:pPr>
      <w:r>
        <w:t>89.</w:t>
      </w:r>
      <w:r>
        <w:tab/>
        <w:t>Sections 238A and 238B inserted</w:t>
      </w:r>
      <w:r>
        <w:tab/>
      </w:r>
      <w:r>
        <w:fldChar w:fldCharType="begin"/>
      </w:r>
      <w:r>
        <w:instrText xml:space="preserve"> PAGEREF _Toc416783717 \h </w:instrText>
      </w:r>
      <w:r>
        <w:fldChar w:fldCharType="separate"/>
      </w:r>
      <w:r>
        <w:t>80</w:t>
      </w:r>
      <w:r>
        <w:fldChar w:fldCharType="end"/>
      </w:r>
    </w:p>
    <w:p>
      <w:pPr>
        <w:pStyle w:val="TOC9"/>
        <w:rPr>
          <w:rFonts w:asciiTheme="minorHAnsi" w:eastAsiaTheme="minorEastAsia" w:hAnsiTheme="minorHAnsi" w:cstheme="minorBidi"/>
          <w:noProof/>
          <w:sz w:val="22"/>
          <w:szCs w:val="22"/>
        </w:rPr>
      </w:pPr>
      <w:r>
        <w:rPr>
          <w:noProof/>
        </w:rPr>
        <w:t>238A.</w:t>
      </w:r>
      <w:r>
        <w:rPr>
          <w:noProof/>
        </w:rPr>
        <w:tab/>
        <w:t>Registrar’s copy to be definitive</w:t>
      </w:r>
      <w:r>
        <w:rPr>
          <w:noProof/>
        </w:rPr>
        <w:tab/>
      </w:r>
      <w:r>
        <w:rPr>
          <w:noProof/>
        </w:rPr>
        <w:fldChar w:fldCharType="begin"/>
      </w:r>
      <w:r>
        <w:rPr>
          <w:noProof/>
        </w:rPr>
        <w:instrText xml:space="preserve"> PAGEREF _Toc416783718 \h </w:instrText>
      </w:r>
      <w:r>
        <w:rPr>
          <w:noProof/>
        </w:rPr>
      </w:r>
      <w:r>
        <w:rPr>
          <w:noProof/>
        </w:rPr>
        <w:fldChar w:fldCharType="separate"/>
      </w:r>
      <w:r>
        <w:rPr>
          <w:noProof/>
        </w:rPr>
        <w:t>80</w:t>
      </w:r>
      <w:r>
        <w:rPr>
          <w:noProof/>
        </w:rPr>
        <w:fldChar w:fldCharType="end"/>
      </w:r>
    </w:p>
    <w:p>
      <w:pPr>
        <w:pStyle w:val="TOC9"/>
        <w:rPr>
          <w:rFonts w:asciiTheme="minorHAnsi" w:eastAsiaTheme="minorEastAsia" w:hAnsiTheme="minorHAnsi" w:cstheme="minorBidi"/>
          <w:noProof/>
          <w:sz w:val="22"/>
          <w:szCs w:val="22"/>
        </w:rPr>
      </w:pPr>
      <w:r>
        <w:rPr>
          <w:noProof/>
        </w:rPr>
        <w:t>238B.</w:t>
      </w:r>
      <w:r>
        <w:rPr>
          <w:noProof/>
        </w:rPr>
        <w:tab/>
        <w:t>Resubmission of document lodged electronically if data capture defective</w:t>
      </w:r>
      <w:r>
        <w:rPr>
          <w:noProof/>
        </w:rPr>
        <w:tab/>
      </w:r>
      <w:r>
        <w:rPr>
          <w:noProof/>
        </w:rPr>
        <w:fldChar w:fldCharType="begin"/>
      </w:r>
      <w:r>
        <w:rPr>
          <w:noProof/>
        </w:rPr>
        <w:instrText xml:space="preserve"> PAGEREF _Toc416783719 \h </w:instrText>
      </w:r>
      <w:r>
        <w:rPr>
          <w:noProof/>
        </w:rPr>
      </w:r>
      <w:r>
        <w:rPr>
          <w:noProof/>
        </w:rPr>
        <w:fldChar w:fldCharType="separate"/>
      </w:r>
      <w:r>
        <w:rPr>
          <w:noProof/>
        </w:rPr>
        <w:t>81</w:t>
      </w:r>
      <w:r>
        <w:rPr>
          <w:noProof/>
        </w:rPr>
        <w:fldChar w:fldCharType="end"/>
      </w:r>
    </w:p>
    <w:p>
      <w:pPr>
        <w:pStyle w:val="TOC8"/>
        <w:rPr>
          <w:rFonts w:asciiTheme="minorHAnsi" w:eastAsiaTheme="minorEastAsia" w:hAnsiTheme="minorHAnsi" w:cstheme="minorBidi"/>
          <w:szCs w:val="22"/>
        </w:rPr>
      </w:pPr>
      <w:r>
        <w:t>90.</w:t>
      </w:r>
      <w:r>
        <w:tab/>
        <w:t>Section 239 amended</w:t>
      </w:r>
      <w:r>
        <w:tab/>
      </w:r>
      <w:r>
        <w:fldChar w:fldCharType="begin"/>
      </w:r>
      <w:r>
        <w:instrText xml:space="preserve"> PAGEREF _Toc416783720 \h </w:instrText>
      </w:r>
      <w:r>
        <w:fldChar w:fldCharType="separate"/>
      </w:r>
      <w:r>
        <w:t>82</w:t>
      </w:r>
      <w:r>
        <w:fldChar w:fldCharType="end"/>
      </w:r>
    </w:p>
    <w:p>
      <w:pPr>
        <w:pStyle w:val="TOC8"/>
        <w:rPr>
          <w:rFonts w:asciiTheme="minorHAnsi" w:eastAsiaTheme="minorEastAsia" w:hAnsiTheme="minorHAnsi" w:cstheme="minorBidi"/>
          <w:szCs w:val="22"/>
        </w:rPr>
      </w:pPr>
      <w:r>
        <w:t>91.</w:t>
      </w:r>
      <w:r>
        <w:tab/>
        <w:t>Section 239B amended</w:t>
      </w:r>
      <w:r>
        <w:tab/>
      </w:r>
      <w:r>
        <w:fldChar w:fldCharType="begin"/>
      </w:r>
      <w:r>
        <w:instrText xml:space="preserve"> PAGEREF _Toc416783721 \h </w:instrText>
      </w:r>
      <w:r>
        <w:fldChar w:fldCharType="separate"/>
      </w:r>
      <w:r>
        <w:t>83</w:t>
      </w:r>
      <w:r>
        <w:fldChar w:fldCharType="end"/>
      </w:r>
    </w:p>
    <w:p>
      <w:pPr>
        <w:pStyle w:val="TOC8"/>
        <w:rPr>
          <w:rFonts w:asciiTheme="minorHAnsi" w:eastAsiaTheme="minorEastAsia" w:hAnsiTheme="minorHAnsi" w:cstheme="minorBidi"/>
          <w:szCs w:val="22"/>
        </w:rPr>
      </w:pPr>
      <w:r>
        <w:t>92.</w:t>
      </w:r>
      <w:r>
        <w:tab/>
        <w:t>Section 240 amended</w:t>
      </w:r>
      <w:r>
        <w:tab/>
      </w:r>
      <w:r>
        <w:fldChar w:fldCharType="begin"/>
      </w:r>
      <w:r>
        <w:instrText xml:space="preserve"> PAGEREF _Toc416783722 \h </w:instrText>
      </w:r>
      <w:r>
        <w:fldChar w:fldCharType="separate"/>
      </w:r>
      <w:r>
        <w:t>83</w:t>
      </w:r>
      <w:r>
        <w:fldChar w:fldCharType="end"/>
      </w:r>
    </w:p>
    <w:p>
      <w:pPr>
        <w:pStyle w:val="TOC8"/>
        <w:rPr>
          <w:rFonts w:asciiTheme="minorHAnsi" w:eastAsiaTheme="minorEastAsia" w:hAnsiTheme="minorHAnsi" w:cstheme="minorBidi"/>
          <w:szCs w:val="22"/>
        </w:rPr>
      </w:pPr>
      <w:r>
        <w:t>93.</w:t>
      </w:r>
      <w:r>
        <w:tab/>
        <w:t>Section 240A replaced</w:t>
      </w:r>
      <w:r>
        <w:tab/>
      </w:r>
      <w:r>
        <w:fldChar w:fldCharType="begin"/>
      </w:r>
      <w:r>
        <w:instrText xml:space="preserve"> PAGEREF _Toc416783723 \h </w:instrText>
      </w:r>
      <w:r>
        <w:fldChar w:fldCharType="separate"/>
      </w:r>
      <w:r>
        <w:t>84</w:t>
      </w:r>
      <w:r>
        <w:fldChar w:fldCharType="end"/>
      </w:r>
    </w:p>
    <w:p>
      <w:pPr>
        <w:pStyle w:val="TOC9"/>
        <w:rPr>
          <w:rFonts w:asciiTheme="minorHAnsi" w:eastAsiaTheme="minorEastAsia" w:hAnsiTheme="minorHAnsi" w:cstheme="minorBidi"/>
          <w:noProof/>
          <w:sz w:val="22"/>
          <w:szCs w:val="22"/>
        </w:rPr>
      </w:pPr>
      <w:r>
        <w:rPr>
          <w:noProof/>
        </w:rPr>
        <w:t>240A.</w:t>
      </w:r>
      <w:r>
        <w:rPr>
          <w:noProof/>
        </w:rPr>
        <w:tab/>
        <w:t>Notification of change of address, fax number or way of receiving notices electronically</w:t>
      </w:r>
      <w:r>
        <w:rPr>
          <w:noProof/>
        </w:rPr>
        <w:tab/>
      </w:r>
      <w:r>
        <w:rPr>
          <w:noProof/>
        </w:rPr>
        <w:fldChar w:fldCharType="begin"/>
      </w:r>
      <w:r>
        <w:rPr>
          <w:noProof/>
        </w:rPr>
        <w:instrText xml:space="preserve"> PAGEREF _Toc416783724 \h </w:instrText>
      </w:r>
      <w:r>
        <w:rPr>
          <w:noProof/>
        </w:rPr>
      </w:r>
      <w:r>
        <w:rPr>
          <w:noProof/>
        </w:rPr>
        <w:fldChar w:fldCharType="separate"/>
      </w:r>
      <w:r>
        <w:rPr>
          <w:noProof/>
        </w:rPr>
        <w:t>84</w:t>
      </w:r>
      <w:r>
        <w:rPr>
          <w:noProof/>
        </w:rPr>
        <w:fldChar w:fldCharType="end"/>
      </w:r>
    </w:p>
    <w:p>
      <w:pPr>
        <w:pStyle w:val="TOC8"/>
        <w:rPr>
          <w:rFonts w:asciiTheme="minorHAnsi" w:eastAsiaTheme="minorEastAsia" w:hAnsiTheme="minorHAnsi" w:cstheme="minorBidi"/>
          <w:szCs w:val="22"/>
        </w:rPr>
      </w:pPr>
      <w:r>
        <w:t>94.</w:t>
      </w:r>
      <w:r>
        <w:tab/>
        <w:t>Part XV inserted</w:t>
      </w:r>
      <w:r>
        <w:tab/>
      </w:r>
      <w:r>
        <w:fldChar w:fldCharType="begin"/>
      </w:r>
      <w:r>
        <w:instrText xml:space="preserve"> PAGEREF _Toc416783725 \h </w:instrText>
      </w:r>
      <w:r>
        <w:fldChar w:fldCharType="separate"/>
      </w:r>
      <w:r>
        <w:t>85</w:t>
      </w:r>
      <w:r>
        <w:fldChar w:fldCharType="end"/>
      </w:r>
    </w:p>
    <w:p>
      <w:pPr>
        <w:pStyle w:val="TOC3"/>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 xml:space="preserve">Transitional provisions for </w:t>
      </w:r>
      <w:r>
        <w:rPr>
          <w:i/>
        </w:rPr>
        <w:t>Electronic Conveyancing Act 2014</w:t>
      </w:r>
    </w:p>
    <w:p>
      <w:pPr>
        <w:pStyle w:val="TOC9"/>
        <w:rPr>
          <w:rFonts w:asciiTheme="minorHAnsi" w:eastAsiaTheme="minorEastAsia" w:hAnsiTheme="minorHAnsi" w:cstheme="minorBidi"/>
          <w:noProof/>
          <w:sz w:val="22"/>
          <w:szCs w:val="22"/>
        </w:rPr>
      </w:pPr>
      <w:r>
        <w:rPr>
          <w:noProof/>
        </w:rPr>
        <w:t>244.</w:t>
      </w:r>
      <w:r>
        <w:rPr>
          <w:noProof/>
        </w:rPr>
        <w:tab/>
        <w:t>Term used: amending Act</w:t>
      </w:r>
      <w:r>
        <w:rPr>
          <w:noProof/>
        </w:rPr>
        <w:tab/>
      </w:r>
      <w:r>
        <w:rPr>
          <w:noProof/>
        </w:rPr>
        <w:fldChar w:fldCharType="begin"/>
      </w:r>
      <w:r>
        <w:rPr>
          <w:noProof/>
        </w:rPr>
        <w:instrText xml:space="preserve"> PAGEREF _Toc416783727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245.</w:t>
      </w:r>
      <w:r>
        <w:rPr>
          <w:noProof/>
        </w:rPr>
        <w:tab/>
        <w:t>Transitional provision for section 52(2)</w:t>
      </w:r>
      <w:r>
        <w:rPr>
          <w:noProof/>
        </w:rPr>
        <w:tab/>
      </w:r>
      <w:r>
        <w:rPr>
          <w:noProof/>
        </w:rPr>
        <w:fldChar w:fldCharType="begin"/>
      </w:r>
      <w:r>
        <w:rPr>
          <w:noProof/>
        </w:rPr>
        <w:instrText xml:space="preserve"> PAGEREF _Toc416783728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246.</w:t>
      </w:r>
      <w:r>
        <w:rPr>
          <w:noProof/>
        </w:rPr>
        <w:tab/>
        <w:t>Transitional provision for section 105(4)</w:t>
      </w:r>
      <w:r>
        <w:rPr>
          <w:noProof/>
        </w:rPr>
        <w:tab/>
      </w:r>
      <w:r>
        <w:rPr>
          <w:noProof/>
        </w:rPr>
        <w:fldChar w:fldCharType="begin"/>
      </w:r>
      <w:r>
        <w:rPr>
          <w:noProof/>
        </w:rPr>
        <w:instrText xml:space="preserve"> PAGEREF _Toc416783729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247.</w:t>
      </w:r>
      <w:r>
        <w:rPr>
          <w:noProof/>
        </w:rPr>
        <w:tab/>
        <w:t>Transitional provision for section 182A (requirements)</w:t>
      </w:r>
      <w:r>
        <w:rPr>
          <w:noProof/>
        </w:rPr>
        <w:tab/>
      </w:r>
      <w:r>
        <w:rPr>
          <w:noProof/>
        </w:rPr>
        <w:fldChar w:fldCharType="begin"/>
      </w:r>
      <w:r>
        <w:rPr>
          <w:noProof/>
        </w:rPr>
        <w:instrText xml:space="preserve"> PAGEREF _Toc416783730 \h </w:instrText>
      </w:r>
      <w:r>
        <w:rPr>
          <w:noProof/>
        </w:rPr>
      </w:r>
      <w:r>
        <w:rPr>
          <w:noProof/>
        </w:rPr>
        <w:fldChar w:fldCharType="separate"/>
      </w:r>
      <w:r>
        <w:rPr>
          <w:noProof/>
        </w:rPr>
        <w:t>86</w:t>
      </w:r>
      <w:r>
        <w:rPr>
          <w:noProof/>
        </w:rPr>
        <w:fldChar w:fldCharType="end"/>
      </w:r>
    </w:p>
    <w:p>
      <w:pPr>
        <w:pStyle w:val="TOC8"/>
        <w:rPr>
          <w:rFonts w:asciiTheme="minorHAnsi" w:eastAsiaTheme="minorEastAsia" w:hAnsiTheme="minorHAnsi" w:cstheme="minorBidi"/>
          <w:szCs w:val="22"/>
        </w:rPr>
      </w:pPr>
      <w:r>
        <w:t>95.</w:t>
      </w:r>
      <w:r>
        <w:tab/>
        <w:t>Twenty</w:t>
      </w:r>
      <w:r>
        <w:noBreakHyphen/>
        <w:t>fifth Schedule deleted</w:t>
      </w:r>
      <w:r>
        <w:tab/>
      </w:r>
      <w:r>
        <w:fldChar w:fldCharType="begin"/>
      </w:r>
      <w:r>
        <w:instrText xml:space="preserve"> PAGEREF _Toc416783731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1 — Miscellaneous provisions relating to interpretation</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_Toc416783734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2 — General</w:t>
      </w:r>
    </w:p>
    <w:p>
      <w:pPr>
        <w:pStyle w:val="TOC8"/>
        <w:rPr>
          <w:rFonts w:asciiTheme="minorHAnsi" w:eastAsiaTheme="minorEastAsia" w:hAnsiTheme="minorHAnsi" w:cstheme="minorBidi"/>
          <w:szCs w:val="22"/>
        </w:rPr>
      </w:pPr>
      <w:r>
        <w:t>2.</w:t>
      </w:r>
      <w:r>
        <w:tab/>
        <w:t>Act to be construed not to exceed legislative power of Legislature</w:t>
      </w:r>
      <w:r>
        <w:tab/>
      </w:r>
      <w:r>
        <w:fldChar w:fldCharType="begin"/>
      </w:r>
      <w:r>
        <w:instrText xml:space="preserve"> PAGEREF _Toc416783736 \h </w:instrText>
      </w:r>
      <w:r>
        <w:fldChar w:fldCharType="separate"/>
      </w:r>
      <w:r>
        <w:t>87</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_Toc416783737 \h </w:instrText>
      </w:r>
      <w:r>
        <w:fldChar w:fldCharType="separate"/>
      </w:r>
      <w:r>
        <w:t>87</w:t>
      </w:r>
      <w:r>
        <w:fldChar w:fldCharType="end"/>
      </w:r>
    </w:p>
    <w:p>
      <w:pPr>
        <w:pStyle w:val="TOC8"/>
        <w:rPr>
          <w:rFonts w:asciiTheme="minorHAnsi" w:eastAsiaTheme="minorEastAsia" w:hAnsiTheme="minorHAnsi" w:cstheme="minorBidi"/>
          <w:szCs w:val="22"/>
        </w:rPr>
      </w:pPr>
      <w:r>
        <w:t>4.</w:t>
      </w:r>
      <w:r>
        <w:tab/>
        <w:t>Material that is, and is not, part of this Act</w:t>
      </w:r>
      <w:r>
        <w:tab/>
      </w:r>
      <w:r>
        <w:fldChar w:fldCharType="begin"/>
      </w:r>
      <w:r>
        <w:instrText xml:space="preserve"> PAGEREF _Toc416783738 \h </w:instrText>
      </w:r>
      <w:r>
        <w:fldChar w:fldCharType="separate"/>
      </w:r>
      <w:r>
        <w:t>87</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_Toc416783739 \h </w:instrText>
      </w:r>
      <w:r>
        <w:fldChar w:fldCharType="separate"/>
      </w:r>
      <w:r>
        <w:t>88</w:t>
      </w:r>
      <w:r>
        <w:fldChar w:fldCharType="end"/>
      </w:r>
    </w:p>
    <w:p>
      <w:pPr>
        <w:pStyle w:val="TOC8"/>
        <w:rPr>
          <w:rFonts w:asciiTheme="minorHAnsi" w:eastAsiaTheme="minorEastAsia" w:hAnsiTheme="minorHAnsi" w:cstheme="minorBidi"/>
          <w:szCs w:val="22"/>
        </w:rPr>
      </w:pPr>
      <w:r>
        <w:t>6.</w:t>
      </w:r>
      <w:r>
        <w:tab/>
        <w:t>References taken to be included in Act citation etc.</w:t>
      </w:r>
      <w:r>
        <w:tab/>
      </w:r>
      <w:r>
        <w:fldChar w:fldCharType="begin"/>
      </w:r>
      <w:r>
        <w:instrText xml:space="preserve"> PAGEREF _Toc416783740 \h </w:instrText>
      </w:r>
      <w:r>
        <w:fldChar w:fldCharType="separate"/>
      </w:r>
      <w:r>
        <w:t>88</w:t>
      </w:r>
      <w:r>
        <w:fldChar w:fldCharType="end"/>
      </w:r>
    </w:p>
    <w:p>
      <w:pPr>
        <w:pStyle w:val="TOC8"/>
        <w:rPr>
          <w:rFonts w:asciiTheme="minorHAnsi" w:eastAsiaTheme="minorEastAsia" w:hAnsiTheme="minorHAnsi" w:cstheme="minorBidi"/>
          <w:szCs w:val="22"/>
        </w:rPr>
      </w:pPr>
      <w:r>
        <w:t>7.</w:t>
      </w:r>
      <w:r>
        <w:tab/>
        <w:t>Interpretation best achieving Act’s purpose</w:t>
      </w:r>
      <w:r>
        <w:tab/>
      </w:r>
      <w:r>
        <w:fldChar w:fldCharType="begin"/>
      </w:r>
      <w:r>
        <w:instrText xml:space="preserve"> PAGEREF _Toc416783741 \h </w:instrText>
      </w:r>
      <w:r>
        <w:fldChar w:fldCharType="separate"/>
      </w:r>
      <w:r>
        <w:t>89</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_Toc416783742 \h </w:instrText>
      </w:r>
      <w:r>
        <w:fldChar w:fldCharType="separate"/>
      </w:r>
      <w:r>
        <w:t>89</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_Toc416783743 \h </w:instrText>
      </w:r>
      <w:r>
        <w:fldChar w:fldCharType="separate"/>
      </w:r>
      <w:r>
        <w:t>91</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_Toc416783744 \h </w:instrText>
      </w:r>
      <w:r>
        <w:fldChar w:fldCharType="separate"/>
      </w:r>
      <w:r>
        <w:t>91</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_Toc416783745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Part 3 — 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_Toc416783747 \h </w:instrText>
      </w:r>
      <w:r>
        <w:fldChar w:fldCharType="separate"/>
      </w:r>
      <w:r>
        <w:t>92</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_Toc416783748 \h </w:instrText>
      </w:r>
      <w:r>
        <w:fldChar w:fldCharType="separate"/>
      </w:r>
      <w:r>
        <w:t>96</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_Toc416783749 \h </w:instrText>
      </w:r>
      <w:r>
        <w:fldChar w:fldCharType="separate"/>
      </w:r>
      <w:r>
        <w:t>96</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_Toc416783750 \h </w:instrText>
      </w:r>
      <w:r>
        <w:fldChar w:fldCharType="separate"/>
      </w:r>
      <w:r>
        <w:t>96</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_Toc416783751 \h </w:instrText>
      </w:r>
      <w:r>
        <w:fldChar w:fldCharType="separate"/>
      </w:r>
      <w:r>
        <w:t>96</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_Toc416783752 \h </w:instrText>
      </w:r>
      <w:r>
        <w:fldChar w:fldCharType="separate"/>
      </w:r>
      <w:r>
        <w:t>97</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_Toc416783753 \h </w:instrText>
      </w:r>
      <w:r>
        <w:fldChar w:fldCharType="separate"/>
      </w:r>
      <w:r>
        <w:t>97</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_Toc416783754 \h </w:instrText>
      </w:r>
      <w:r>
        <w:fldChar w:fldCharType="separate"/>
      </w:r>
      <w:r>
        <w:t>98</w:t>
      </w:r>
      <w:r>
        <w:fldChar w:fldCharType="end"/>
      </w:r>
    </w:p>
    <w:p>
      <w:pPr>
        <w:pStyle w:val="TOC8"/>
        <w:rPr>
          <w:rFonts w:asciiTheme="minorHAnsi" w:eastAsiaTheme="minorEastAsia" w:hAnsiTheme="minorHAnsi" w:cstheme="minorBidi"/>
          <w:szCs w:val="22"/>
        </w:rPr>
      </w:pPr>
      <w:r>
        <w:t>20.</w:t>
      </w:r>
      <w:r>
        <w:tab/>
        <w:t>Reference to certain provisions of Act</w:t>
      </w:r>
      <w:r>
        <w:tab/>
      </w:r>
      <w:r>
        <w:fldChar w:fldCharType="begin"/>
      </w:r>
      <w:r>
        <w:instrText xml:space="preserve"> PAGEREF _Toc416783755 \h </w:instrText>
      </w:r>
      <w:r>
        <w:fldChar w:fldCharType="separate"/>
      </w:r>
      <w:r>
        <w:t>98</w:t>
      </w:r>
      <w:r>
        <w:fldChar w:fldCharType="end"/>
      </w:r>
    </w:p>
    <w:p>
      <w:pPr>
        <w:pStyle w:val="TOC8"/>
        <w:rPr>
          <w:rFonts w:asciiTheme="minorHAnsi" w:eastAsiaTheme="minorEastAsia" w:hAnsiTheme="minorHAnsi" w:cstheme="minorBidi"/>
          <w:szCs w:val="22"/>
        </w:rPr>
      </w:pPr>
      <w:r>
        <w:t>21.</w:t>
      </w:r>
      <w:r>
        <w:tab/>
        <w:t>Reference to provisions of this Act or an Act is inclusive</w:t>
      </w:r>
      <w:r>
        <w:tab/>
      </w:r>
      <w:r>
        <w:fldChar w:fldCharType="begin"/>
      </w:r>
      <w:r>
        <w:instrText xml:space="preserve"> PAGEREF _Toc416783756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Part 4 — 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_Toc416783758 \h </w:instrText>
      </w:r>
      <w:r>
        <w:fldChar w:fldCharType="separate"/>
      </w:r>
      <w:r>
        <w:t>99</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_Toc416783759 \h </w:instrText>
      </w:r>
      <w:r>
        <w:fldChar w:fldCharType="separate"/>
      </w:r>
      <w:r>
        <w:t>100</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_Toc416783760 \h </w:instrText>
      </w:r>
      <w:r>
        <w:fldChar w:fldCharType="separate"/>
      </w:r>
      <w:r>
        <w:t>100</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_Toc416783761 \h </w:instrText>
      </w:r>
      <w:r>
        <w:fldChar w:fldCharType="separate"/>
      </w:r>
      <w:r>
        <w:t>101</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_Toc416783762 \h </w:instrText>
      </w:r>
      <w:r>
        <w:fldChar w:fldCharType="separate"/>
      </w:r>
      <w:r>
        <w:t>101</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_Toc416783763 \h </w:instrText>
      </w:r>
      <w:r>
        <w:fldChar w:fldCharType="separate"/>
      </w:r>
      <w:r>
        <w:t>102</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_Toc416783764 \h </w:instrText>
      </w:r>
      <w:r>
        <w:fldChar w:fldCharType="separate"/>
      </w:r>
      <w:r>
        <w:t>103</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_Toc416783765 \h </w:instrText>
      </w:r>
      <w:r>
        <w:fldChar w:fldCharType="separate"/>
      </w:r>
      <w:r>
        <w:t>104</w:t>
      </w:r>
      <w:r>
        <w:fldChar w:fldCharType="end"/>
      </w:r>
    </w:p>
    <w:p>
      <w:pPr>
        <w:pStyle w:val="TOC8"/>
        <w:rPr>
          <w:rFonts w:asciiTheme="minorHAnsi" w:eastAsiaTheme="minorEastAsia" w:hAnsiTheme="minorHAnsi" w:cstheme="minorBidi"/>
          <w:szCs w:val="22"/>
        </w:rPr>
      </w:pPr>
      <w:r>
        <w:t>30.</w:t>
      </w:r>
      <w:r>
        <w:tab/>
        <w:t>Exercise of powers before commencement</w:t>
      </w:r>
      <w:r>
        <w:tab/>
      </w:r>
      <w:r>
        <w:fldChar w:fldCharType="begin"/>
      </w:r>
      <w:r>
        <w:instrText xml:space="preserve"> PAGEREF _Toc416783766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Part 5 — 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_Toc416783768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Part 6 — Effect of repeal, amendment or expiration</w:t>
      </w:r>
    </w:p>
    <w:p>
      <w:pPr>
        <w:pStyle w:val="TOC8"/>
        <w:rPr>
          <w:rFonts w:asciiTheme="minorHAnsi" w:eastAsiaTheme="minorEastAsia" w:hAnsiTheme="minorHAnsi" w:cstheme="minorBidi"/>
          <w:szCs w:val="22"/>
        </w:rPr>
      </w:pPr>
      <w:r>
        <w:t>32.</w:t>
      </w:r>
      <w:r>
        <w:tab/>
        <w:t>Time of Act ceasing to have effect</w:t>
      </w:r>
      <w:r>
        <w:tab/>
      </w:r>
      <w:r>
        <w:fldChar w:fldCharType="begin"/>
      </w:r>
      <w:r>
        <w:instrText xml:space="preserve"> PAGEREF _Toc416783770 \h </w:instrText>
      </w:r>
      <w:r>
        <w:fldChar w:fldCharType="separate"/>
      </w:r>
      <w:r>
        <w:t>109</w:t>
      </w:r>
      <w:r>
        <w:fldChar w:fldCharType="end"/>
      </w:r>
    </w:p>
    <w:p>
      <w:pPr>
        <w:pStyle w:val="TOC8"/>
        <w:rPr>
          <w:rFonts w:asciiTheme="minorHAnsi" w:eastAsiaTheme="minorEastAsia" w:hAnsiTheme="minorHAnsi" w:cstheme="minorBidi"/>
          <w:szCs w:val="22"/>
        </w:rPr>
      </w:pPr>
      <w:r>
        <w:t>33.</w:t>
      </w:r>
      <w:r>
        <w:tab/>
        <w:t>Repealed Act provisions not revived</w:t>
      </w:r>
      <w:r>
        <w:tab/>
      </w:r>
      <w:r>
        <w:fldChar w:fldCharType="begin"/>
      </w:r>
      <w:r>
        <w:instrText xml:space="preserve"> PAGEREF _Toc416783771 \h </w:instrText>
      </w:r>
      <w:r>
        <w:fldChar w:fldCharType="separate"/>
      </w:r>
      <w:r>
        <w:t>110</w:t>
      </w:r>
      <w:r>
        <w:fldChar w:fldCharType="end"/>
      </w:r>
    </w:p>
    <w:p>
      <w:pPr>
        <w:pStyle w:val="TOC8"/>
        <w:rPr>
          <w:rFonts w:asciiTheme="minorHAnsi" w:eastAsiaTheme="minorEastAsia" w:hAnsiTheme="minorHAnsi" w:cstheme="minorBidi"/>
          <w:szCs w:val="22"/>
        </w:rPr>
      </w:pPr>
      <w:r>
        <w:t>34.</w:t>
      </w:r>
      <w:r>
        <w:tab/>
        <w:t>Saving of operation of repealed Act provisions</w:t>
      </w:r>
      <w:r>
        <w:tab/>
      </w:r>
      <w:r>
        <w:fldChar w:fldCharType="begin"/>
      </w:r>
      <w:r>
        <w:instrText xml:space="preserve"> PAGEREF _Toc416783772 \h </w:instrText>
      </w:r>
      <w:r>
        <w:fldChar w:fldCharType="separate"/>
      </w:r>
      <w:r>
        <w:t>110</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_Toc416783773 \h </w:instrText>
      </w:r>
      <w:r>
        <w:fldChar w:fldCharType="separate"/>
      </w:r>
      <w:r>
        <w:t>110</w:t>
      </w:r>
      <w:r>
        <w:fldChar w:fldCharType="end"/>
      </w:r>
    </w:p>
    <w:p>
      <w:pPr>
        <w:pStyle w:val="TOC8"/>
        <w:rPr>
          <w:rFonts w:asciiTheme="minorHAnsi" w:eastAsiaTheme="minorEastAsia" w:hAnsiTheme="minorHAnsi" w:cstheme="minorBidi"/>
          <w:szCs w:val="22"/>
        </w:rPr>
      </w:pPr>
      <w:r>
        <w:t>36.</w:t>
      </w:r>
      <w:r>
        <w:tab/>
        <w:t>Act and amending Acts to be read as one</w:t>
      </w:r>
      <w:r>
        <w:tab/>
      </w:r>
      <w:r>
        <w:fldChar w:fldCharType="begin"/>
      </w:r>
      <w:r>
        <w:instrText xml:space="preserve"> PAGEREF _Toc416783774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Part 7 — Instruments under Act</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_Toc416783776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_Toc416783778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Electronic Conveyancing Act 2014</w:t>
      </w:r>
    </w:p>
    <w:p>
      <w:pPr>
        <w:pStyle w:val="LongTitle"/>
        <w:suppressLineNumbers/>
        <w:rPr>
          <w:snapToGrid w:val="0"/>
        </w:rPr>
      </w:pPr>
      <w:bookmarkStart w:id="3" w:name="BillCited"/>
      <w:bookmarkEnd w:id="3"/>
      <w:r>
        <w:rPr>
          <w:snapToGrid w:val="0"/>
        </w:rPr>
        <w:t xml:space="preserve">An Act to — </w:t>
      </w:r>
    </w:p>
    <w:p>
      <w:pPr>
        <w:pStyle w:val="LongTitle"/>
        <w:numPr>
          <w:ilvl w:val="0"/>
          <w:numId w:val="15"/>
        </w:numPr>
        <w:suppressLineNumbers/>
        <w:rPr>
          <w:snapToGrid w:val="0"/>
        </w:rPr>
      </w:pPr>
      <w:r>
        <w:rPr>
          <w:snapToGrid w:val="0"/>
        </w:rPr>
        <w:t>provide for electronic conveyancing in Western Australia by enacting provisions that correspond to the Electronic Conveyancing National Law; and</w:t>
      </w:r>
    </w:p>
    <w:p>
      <w:pPr>
        <w:pStyle w:val="LongTitle"/>
        <w:numPr>
          <w:ilvl w:val="0"/>
          <w:numId w:val="15"/>
        </w:numPr>
        <w:suppressLineNumbers/>
        <w:rPr>
          <w:snapToGrid w:val="0"/>
        </w:rPr>
      </w:pPr>
      <w:r>
        <w:rPr>
          <w:snapToGrid w:val="0"/>
        </w:rPr>
        <w:t xml:space="preserve">make consequential and other amendments to the </w:t>
      </w:r>
      <w:r>
        <w:rPr>
          <w:i/>
          <w:snapToGrid w:val="0"/>
        </w:rPr>
        <w:t>Duties Act 2008</w:t>
      </w:r>
      <w:r>
        <w:rPr>
          <w:snapToGrid w:val="0"/>
        </w:rPr>
        <w:t xml:space="preserve">, </w:t>
      </w:r>
      <w:r>
        <w:rPr>
          <w:i/>
          <w:snapToGrid w:val="0"/>
        </w:rPr>
        <w:t>Settlement Agents Act 1981</w:t>
      </w:r>
      <w:r>
        <w:rPr>
          <w:snapToGrid w:val="0"/>
        </w:rPr>
        <w:t xml:space="preserve">, </w:t>
      </w:r>
      <w:r>
        <w:rPr>
          <w:i/>
          <w:snapToGrid w:val="0"/>
        </w:rPr>
        <w:t>Taxation Administration Act 2003</w:t>
      </w:r>
      <w:r>
        <w:rPr>
          <w:snapToGrid w:val="0"/>
        </w:rPr>
        <w:t xml:space="preserve"> and </w:t>
      </w:r>
      <w:r>
        <w:rPr>
          <w:i/>
          <w:snapToGrid w:val="0"/>
        </w:rPr>
        <w:t>Transfer of Land Act 1893</w:t>
      </w:r>
      <w:r>
        <w:rPr>
          <w:snapToGrid w:val="0"/>
        </w:rPr>
        <w:t>,</w:t>
      </w:r>
    </w:p>
    <w:p>
      <w:pPr>
        <w:pStyle w:val="LongTitle"/>
        <w:suppressLineNumbers/>
        <w:rPr>
          <w:snapToGrid w:val="0"/>
        </w:rPr>
      </w:pPr>
      <w:r>
        <w:rPr>
          <w:snapToGrid w:val="0"/>
        </w:rPr>
        <w:t>and for related purposes.</w:t>
      </w:r>
    </w:p>
    <w:p>
      <w:pPr>
        <w:pStyle w:val="Enactment"/>
      </w:pPr>
      <w:r>
        <w:rPr>
          <w:snapToGrid w:val="0"/>
        </w:rPr>
        <w:t xml:space="preserve">The </w:t>
      </w:r>
      <w:r>
        <w:t>Parliament</w:t>
      </w:r>
      <w:r>
        <w:rPr>
          <w:snapToGrid w:val="0"/>
        </w:rPr>
        <w:t xml:space="preserve"> of Western Australia enacts as follows:</w:t>
      </w:r>
    </w:p>
    <w:p>
      <w:pPr>
        <w:sectPr>
          <w:headerReference w:type="even" r:id="rId22"/>
          <w:headerReference w:type="default" r:id="rId23"/>
          <w:footerReference w:type="even" r:id="rId24"/>
          <w:footerReference w:type="default" r:id="rId25"/>
          <w:headerReference w:type="first" r:id="rId26"/>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389042110"/>
      <w:bookmarkStart w:id="5" w:name="_Toc389125976"/>
      <w:bookmarkStart w:id="6" w:name="_Toc416783395"/>
      <w:bookmarkStart w:id="7" w:name="_Toc416783587"/>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389125977"/>
      <w:bookmarkStart w:id="9" w:name="_Toc416783588"/>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Electronic Conveyancing Act 2014</w:t>
      </w:r>
      <w:r>
        <w:rPr>
          <w:snapToGrid w:val="0"/>
        </w:rPr>
        <w:t>.</w:t>
      </w:r>
    </w:p>
    <w:p>
      <w:pPr>
        <w:pStyle w:val="Heading5"/>
        <w:rPr>
          <w:snapToGrid w:val="0"/>
        </w:rPr>
      </w:pPr>
      <w:bookmarkStart w:id="10" w:name="_Toc389125978"/>
      <w:bookmarkStart w:id="11" w:name="_Toc416783589"/>
      <w:r>
        <w:rPr>
          <w:rStyle w:val="CharSectno"/>
        </w:rPr>
        <w:t>2</w:t>
      </w:r>
      <w:r>
        <w:rPr>
          <w:snapToGrid w:val="0"/>
        </w:rPr>
        <w:t>.</w:t>
      </w:r>
      <w:r>
        <w:rPr>
          <w:snapToGrid w:val="0"/>
        </w:rPr>
        <w:tab/>
      </w:r>
      <w:r>
        <w:t>Commencement</w:t>
      </w:r>
      <w:bookmarkEnd w:id="10"/>
      <w:bookmarkEnd w:id="1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7A) — on the day on which this Act receives the Royal Assent;</w:t>
      </w:r>
    </w:p>
    <w:p>
      <w:pPr>
        <w:pStyle w:val="Indenta"/>
      </w:pPr>
      <w:r>
        <w:tab/>
        <w:t>(b)</w:t>
      </w:r>
      <w:r>
        <w:tab/>
        <w:t xml:space="preserve">the following provisions — on the day after that day — </w:t>
      </w:r>
    </w:p>
    <w:p>
      <w:pPr>
        <w:pStyle w:val="Indenti"/>
      </w:pPr>
      <w:r>
        <w:tab/>
        <w:t>(i)</w:t>
      </w:r>
      <w:r>
        <w:tab/>
        <w:t>sections 3 to 7A;</w:t>
      </w:r>
    </w:p>
    <w:p>
      <w:pPr>
        <w:pStyle w:val="Indenti"/>
      </w:pPr>
      <w:r>
        <w:tab/>
        <w:t>(ii)</w:t>
      </w:r>
      <w:r>
        <w:tab/>
        <w:t>Parts 3 to 5;</w:t>
      </w:r>
    </w:p>
    <w:p>
      <w:pPr>
        <w:pStyle w:val="Indenti"/>
      </w:pPr>
      <w:r>
        <w:tab/>
        <w:t>(iii)</w:t>
      </w:r>
      <w:r>
        <w:tab/>
        <w:t>Schedule 1;</w:t>
      </w:r>
    </w:p>
    <w:p>
      <w:pPr>
        <w:pStyle w:val="Indenta"/>
      </w:pPr>
      <w:r>
        <w:tab/>
        <w:t>(c)</w:t>
      </w:r>
      <w:r>
        <w:tab/>
        <w:t>the rest of the Act — on a day fixed by proclamation, and different days may be fixed for different provisions.</w:t>
      </w:r>
    </w:p>
    <w:p>
      <w:pPr>
        <w:pStyle w:val="Heading5"/>
      </w:pPr>
      <w:bookmarkStart w:id="12" w:name="_Toc389125979"/>
      <w:bookmarkStart w:id="13" w:name="_Toc416783590"/>
      <w:r>
        <w:rPr>
          <w:rStyle w:val="CharSectno"/>
        </w:rPr>
        <w:t>3</w:t>
      </w:r>
      <w:r>
        <w:t>.</w:t>
      </w:r>
      <w:r>
        <w:tab/>
        <w:t>Terms used</w:t>
      </w:r>
      <w:bookmarkEnd w:id="12"/>
      <w:bookmarkEnd w:id="13"/>
    </w:p>
    <w:p>
      <w:pPr>
        <w:pStyle w:val="Subsection"/>
      </w:pPr>
      <w:r>
        <w:tab/>
        <w:t>(1)</w:t>
      </w:r>
      <w:r>
        <w:tab/>
        <w:t xml:space="preserve">In this Act — </w:t>
      </w:r>
    </w:p>
    <w:p>
      <w:pPr>
        <w:pStyle w:val="Defstart"/>
      </w:pPr>
      <w:r>
        <w:tab/>
      </w:r>
      <w:r>
        <w:rPr>
          <w:rStyle w:val="CharDefText"/>
        </w:rPr>
        <w:t>ARNECC</w:t>
      </w:r>
      <w:r>
        <w:t xml:space="preserve"> means the Australian Registrars’ National Electronic Conveyancing Council established by the Intergovernmental Agreement;</w:t>
      </w:r>
    </w:p>
    <w:p>
      <w:pPr>
        <w:pStyle w:val="Defstart"/>
      </w:pPr>
      <w:r>
        <w:tab/>
      </w:r>
      <w:r>
        <w:rPr>
          <w:rStyle w:val="CharDefText"/>
        </w:rPr>
        <w:t>associated financial transaction</w:t>
      </w:r>
      <w:r>
        <w:t xml:space="preserve"> means a transaction of a financial nature that is associated with a conveyancing transaction;</w:t>
      </w:r>
    </w:p>
    <w:p>
      <w:pPr>
        <w:pStyle w:val="PermNoteHeading"/>
      </w:pPr>
      <w:r>
        <w:tab/>
        <w:t>Examples for this definition:</w:t>
      </w:r>
    </w:p>
    <w:p>
      <w:pPr>
        <w:pStyle w:val="PermNoteText"/>
      </w:pPr>
      <w:r>
        <w:tab/>
        <w:t>1.</w:t>
      </w:r>
      <w:r>
        <w:tab/>
        <w:t>The payment of the purchase price for the sale and purchase of an interest in land.</w:t>
      </w:r>
    </w:p>
    <w:p>
      <w:pPr>
        <w:pStyle w:val="PermNoteText"/>
      </w:pPr>
      <w:r>
        <w:tab/>
        <w:t>2.</w:t>
      </w:r>
      <w:r>
        <w:tab/>
        <w:t>The advancing of money in return for the granting of a mortgage or charge over an interest in land.</w:t>
      </w:r>
    </w:p>
    <w:p>
      <w:pPr>
        <w:pStyle w:val="PermNoteText"/>
      </w:pPr>
      <w:r>
        <w:tab/>
        <w:t>3.</w:t>
      </w:r>
      <w:r>
        <w:tab/>
        <w:t>The payment of any tax, duty (for example, stamp duty), fee or charge payable in respect of the conveyancing transaction.</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client authorisation</w:t>
      </w:r>
      <w:r>
        <w:t xml:space="preserve"> has the meaning given in section 10;</w:t>
      </w:r>
    </w:p>
    <w:p>
      <w:pPr>
        <w:pStyle w:val="Defstart"/>
      </w:pPr>
      <w:r>
        <w:tab/>
      </w:r>
      <w:r>
        <w:rPr>
          <w:rStyle w:val="CharDefText"/>
        </w:rPr>
        <w:t>Commissioner</w:t>
      </w:r>
      <w:r>
        <w:t xml:space="preserve"> means the Commissioner of Titles under the </w:t>
      </w:r>
      <w:r>
        <w:rPr>
          <w:i/>
        </w:rPr>
        <w:t>Transfer of Land Act 1893</w:t>
      </w:r>
      <w:r>
        <w:t xml:space="preserve"> section 5;</w:t>
      </w:r>
    </w:p>
    <w:p>
      <w:pPr>
        <w:pStyle w:val="Defstart"/>
      </w:pPr>
      <w:r>
        <w:tab/>
      </w:r>
      <w:r>
        <w:rPr>
          <w:rStyle w:val="CharDefText"/>
        </w:rPr>
        <w:t>compliance examination</w:t>
      </w:r>
      <w:r>
        <w:t xml:space="preserve"> has the meaning given in section 33;</w:t>
      </w:r>
    </w:p>
    <w:p>
      <w:pPr>
        <w:pStyle w:val="Defstart"/>
      </w:pPr>
      <w:r>
        <w:tab/>
      </w:r>
      <w:r>
        <w:rPr>
          <w:rStyle w:val="CharDefText"/>
        </w:rPr>
        <w:t>conveyancing transaction</w:t>
      </w:r>
      <w:r>
        <w:t xml:space="preserve"> means a transaction that involves one or more parties and the purpose of which is — </w:t>
      </w:r>
    </w:p>
    <w:p>
      <w:pPr>
        <w:pStyle w:val="Defpara"/>
      </w:pPr>
      <w:r>
        <w:tab/>
        <w:t>(a)</w:t>
      </w:r>
      <w:r>
        <w:tab/>
        <w:t>to create, transfer, dispose of, mortgage, charge, lease or deal with in any other way an estate or interest in land; or</w:t>
      </w:r>
    </w:p>
    <w:p>
      <w:pPr>
        <w:pStyle w:val="Defpara"/>
      </w:pPr>
      <w:r>
        <w:tab/>
        <w:t>(b)</w:t>
      </w:r>
      <w:r>
        <w:tab/>
        <w:t>to get something registered, noted or recorded in the titles register; or</w:t>
      </w:r>
    </w:p>
    <w:p>
      <w:pPr>
        <w:pStyle w:val="Defpara"/>
      </w:pPr>
      <w:r>
        <w:tab/>
        <w:t>(c)</w:t>
      </w:r>
      <w:r>
        <w:tab/>
        <w:t>to get the registration, note or record of something in the titles register changed, withdrawn or removed;</w:t>
      </w:r>
    </w:p>
    <w:p>
      <w:pPr>
        <w:pStyle w:val="Defstart"/>
      </w:pPr>
      <w:r>
        <w:tab/>
      </w:r>
      <w:r>
        <w:rPr>
          <w:rStyle w:val="CharDefText"/>
        </w:rPr>
        <w:t>corresponding law</w:t>
      </w:r>
      <w:r>
        <w:t xml:space="preserve"> — </w:t>
      </w:r>
    </w:p>
    <w:p>
      <w:pPr>
        <w:pStyle w:val="Defpara"/>
      </w:pPr>
      <w:r>
        <w:tab/>
        <w:t>(a)</w:t>
      </w:r>
      <w:r>
        <w:tab/>
        <w:t>means a law of a jurisdiction that corresponds to the ECNL; and</w:t>
      </w:r>
    </w:p>
    <w:p>
      <w:pPr>
        <w:pStyle w:val="Defpara"/>
      </w:pPr>
      <w:r>
        <w:tab/>
        <w:t>(b)</w:t>
      </w:r>
      <w:r>
        <w:tab/>
        <w:t>includes a law of a jurisdiction that is prescribed by regulations made under this Act as a corresponding law;</w:t>
      </w:r>
    </w:p>
    <w:p>
      <w:pPr>
        <w:pStyle w:val="Defstart"/>
      </w:pPr>
      <w:r>
        <w:tab/>
      </w:r>
      <w:r>
        <w:rPr>
          <w:rStyle w:val="CharDefText"/>
        </w:rPr>
        <w:t>digitally sign</w:t>
      </w:r>
      <w:r>
        <w:t>, in relation to an electronic communication or a document, means create a digital signature for the communication or document;</w:t>
      </w:r>
    </w:p>
    <w:p>
      <w:pPr>
        <w:pStyle w:val="Defstart"/>
      </w:pPr>
      <w:r>
        <w:tab/>
      </w:r>
      <w:r>
        <w:rPr>
          <w:rStyle w:val="CharDefText"/>
        </w:rPr>
        <w:t>digital signature</w:t>
      </w:r>
      <w:r>
        <w:t xml:space="preserve"> means encrypted electronic data intended for the exclusive use of a particular person as a means of identifying that person as the sender of an electronic communication or the signer of a document;</w:t>
      </w:r>
    </w:p>
    <w:p>
      <w:pPr>
        <w:pStyle w:val="Defstart"/>
      </w:pPr>
      <w:r>
        <w:tab/>
      </w:r>
      <w:r>
        <w:rPr>
          <w:rStyle w:val="CharDefText"/>
        </w:rPr>
        <w:t>Electronic Conveyancing National Law</w:t>
      </w:r>
      <w:r>
        <w:t xml:space="preserve"> or </w:t>
      </w:r>
      <w:r>
        <w:rPr>
          <w:rStyle w:val="CharDefText"/>
        </w:rPr>
        <w:t>ECNL</w:t>
      </w:r>
      <w:r>
        <w:t xml:space="preserve"> means the law set out in the Appendix to the </w:t>
      </w:r>
      <w:r>
        <w:rPr>
          <w:i/>
        </w:rPr>
        <w:t>Electronic Conveyancing (Adoption of National Law) Act 2012</w:t>
      </w:r>
      <w:r>
        <w:t xml:space="preserve"> (NSW) as that Appendix is in force from time to time;</w:t>
      </w:r>
    </w:p>
    <w:p>
      <w:pPr>
        <w:pStyle w:val="Defstart"/>
      </w:pPr>
      <w:r>
        <w:tab/>
      </w:r>
      <w:r>
        <w:rPr>
          <w:rStyle w:val="CharDefText"/>
        </w:rPr>
        <w:t>ELN</w:t>
      </w:r>
      <w:r>
        <w:t xml:space="preserve"> means Electronic Lodgment Network — see section 13;</w:t>
      </w:r>
    </w:p>
    <w:p>
      <w:pPr>
        <w:pStyle w:val="Defstart"/>
      </w:pPr>
      <w:r>
        <w:tab/>
      </w:r>
      <w:r>
        <w:rPr>
          <w:rStyle w:val="CharDefText"/>
        </w:rPr>
        <w:t>ELNO</w:t>
      </w:r>
      <w:r>
        <w:t xml:space="preserve"> means Electronic Lodgment Network Operator — see section 15;</w:t>
      </w:r>
    </w:p>
    <w:p>
      <w:pPr>
        <w:pStyle w:val="Defstart"/>
      </w:pPr>
      <w:r>
        <w:tab/>
      </w:r>
      <w:r>
        <w:rPr>
          <w:rStyle w:val="CharDefText"/>
        </w:rPr>
        <w:t>Intergovernmental Agreement</w:t>
      </w:r>
      <w:r>
        <w:t xml:space="preserve"> 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 November 2011 and as in force from time to time;</w:t>
      </w:r>
    </w:p>
    <w:p>
      <w:pPr>
        <w:pStyle w:val="Defstart"/>
      </w:pPr>
      <w:r>
        <w:tab/>
      </w:r>
      <w:r>
        <w:rPr>
          <w:rStyle w:val="CharDefText"/>
        </w:rPr>
        <w:t>jurisdiction</w:t>
      </w:r>
      <w:r>
        <w:t xml:space="preserve"> means State;</w:t>
      </w:r>
    </w:p>
    <w:p>
      <w:pPr>
        <w:pStyle w:val="Defstart"/>
      </w:pPr>
      <w:r>
        <w:tab/>
      </w:r>
      <w:r>
        <w:rPr>
          <w:rStyle w:val="CharDefText"/>
        </w:rPr>
        <w:t>land titles legislation</w:t>
      </w:r>
      <w:r>
        <w:t xml:space="preserve"> — </w:t>
      </w:r>
    </w:p>
    <w:p>
      <w:pPr>
        <w:pStyle w:val="Defpara"/>
      </w:pPr>
      <w:r>
        <w:tab/>
        <w:t>(a)</w:t>
      </w:r>
      <w:r>
        <w:tab/>
        <w:t xml:space="preserve">means these Acts — </w:t>
      </w:r>
    </w:p>
    <w:p>
      <w:pPr>
        <w:pStyle w:val="Defsubpara"/>
      </w:pPr>
      <w:r>
        <w:tab/>
        <w:t>(i)</w:t>
      </w:r>
      <w:r>
        <w:tab/>
        <w:t xml:space="preserve">the </w:t>
      </w:r>
      <w:r>
        <w:rPr>
          <w:i/>
        </w:rPr>
        <w:t>Licensed Surveyors Act 1909</w:t>
      </w:r>
      <w:r>
        <w:t>;</w:t>
      </w:r>
    </w:p>
    <w:p>
      <w:pPr>
        <w:pStyle w:val="Defsubpara"/>
      </w:pPr>
      <w:r>
        <w:tab/>
        <w:t>(ii)</w:t>
      </w:r>
      <w:r>
        <w:tab/>
        <w:t xml:space="preserve">the </w:t>
      </w:r>
      <w:r>
        <w:rPr>
          <w:i/>
        </w:rPr>
        <w:t>Strata Titles Act 1985</w:t>
      </w:r>
      <w:r>
        <w:t>;</w:t>
      </w:r>
    </w:p>
    <w:p>
      <w:pPr>
        <w:pStyle w:val="Defsubpara"/>
      </w:pPr>
      <w:r>
        <w:tab/>
        <w:t>(iii)</w:t>
      </w:r>
      <w:r>
        <w:tab/>
        <w:t xml:space="preserve">the </w:t>
      </w:r>
      <w:r>
        <w:rPr>
          <w:i/>
        </w:rPr>
        <w:t>Transfer of Land Act 1893</w:t>
      </w:r>
      <w:r>
        <w:t>;</w:t>
      </w:r>
    </w:p>
    <w:p>
      <w:pPr>
        <w:pStyle w:val="Defsubpara"/>
      </w:pPr>
      <w:r>
        <w:tab/>
        <w:t>(iv)</w:t>
      </w:r>
      <w:r>
        <w:tab/>
        <w:t>any other Act prescribed by regulations made under this Act for the purposes of this definition;</w:t>
      </w:r>
    </w:p>
    <w:p>
      <w:pPr>
        <w:pStyle w:val="Defpara"/>
      </w:pPr>
      <w:r>
        <w:tab/>
      </w:r>
      <w:r>
        <w:tab/>
        <w:t>and</w:t>
      </w:r>
    </w:p>
    <w:p>
      <w:pPr>
        <w:pStyle w:val="Defpara"/>
      </w:pPr>
      <w:r>
        <w:tab/>
        <w:t>(b)</w:t>
      </w:r>
      <w:r>
        <w:tab/>
        <w:t xml:space="preserve">includes any subsidiary legislation (as defined in the </w:t>
      </w:r>
      <w:r>
        <w:rPr>
          <w:i/>
        </w:rPr>
        <w:t>Interpretation Act 1984</w:t>
      </w:r>
      <w:r>
        <w:t xml:space="preserve"> section 5) made under any of those Acts; and</w:t>
      </w:r>
    </w:p>
    <w:p>
      <w:pPr>
        <w:pStyle w:val="Defpara"/>
      </w:pPr>
      <w:r>
        <w:tab/>
        <w:t>(c)</w:t>
      </w:r>
      <w:r>
        <w:tab/>
        <w:t xml:space="preserve">also includes any other written law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keepNext/>
      </w:pPr>
      <w:r>
        <w:tab/>
        <w:t>(d)</w:t>
      </w:r>
      <w:r>
        <w:tab/>
        <w:t xml:space="preserve">also includes any Commonwealth Act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pPr>
      <w:r>
        <w:tab/>
        <w:t>(e)</w:t>
      </w:r>
      <w:r>
        <w:tab/>
        <w:t xml:space="preserve">also includes any legislative instrument (within the meaning of the </w:t>
      </w:r>
      <w:r>
        <w:rPr>
          <w:i/>
        </w:rPr>
        <w:t>Legislative Instruments Act 2003</w:t>
      </w:r>
      <w:r>
        <w:t xml:space="preserve"> (Commonwealth)) made under any Commonwealth Act to which paragraph (d) applies;</w:t>
      </w:r>
    </w:p>
    <w:p>
      <w:pPr>
        <w:pStyle w:val="Defstart"/>
      </w:pPr>
      <w:r>
        <w:tab/>
      </w:r>
      <w:r>
        <w:rPr>
          <w:rStyle w:val="CharDefText"/>
        </w:rPr>
        <w:t>law</w:t>
      </w:r>
      <w:r>
        <w:t>, in relation to a Territory, means a law of, or in force in, that Territory;</w:t>
      </w:r>
    </w:p>
    <w:p>
      <w:pPr>
        <w:pStyle w:val="Defstart"/>
      </w:pPr>
      <w:r>
        <w:tab/>
      </w:r>
      <w:r>
        <w:rPr>
          <w:rStyle w:val="CharDefText"/>
        </w:rPr>
        <w:t>law of this jurisdiction</w:t>
      </w:r>
      <w:r>
        <w:t xml:space="preserve"> includes the principles and rules of common law and equity to the extent that they have effect in this jurisdiction from time to time;</w:t>
      </w:r>
    </w:p>
    <w:p>
      <w:pPr>
        <w:pStyle w:val="Defstart"/>
      </w:pPr>
      <w:r>
        <w:tab/>
      </w:r>
      <w:r>
        <w:rPr>
          <w:rStyle w:val="CharDefText"/>
        </w:rPr>
        <w:t>lodge</w:t>
      </w:r>
      <w:r>
        <w:t xml:space="preserve"> includes deposit, present and file;</w:t>
      </w:r>
    </w:p>
    <w:p>
      <w:pPr>
        <w:pStyle w:val="Defstart"/>
      </w:pPr>
      <w:r>
        <w:tab/>
      </w:r>
      <w:r>
        <w:rPr>
          <w:rStyle w:val="CharDefText"/>
        </w:rPr>
        <w:t>operating requirements</w:t>
      </w:r>
      <w:r>
        <w:t xml:space="preserve"> means the requirements determined under section 22;</w:t>
      </w:r>
    </w:p>
    <w:p>
      <w:pPr>
        <w:pStyle w:val="Defstart"/>
      </w:pPr>
      <w:r>
        <w:tab/>
      </w:r>
      <w:r>
        <w:rPr>
          <w:rStyle w:val="CharDefText"/>
        </w:rPr>
        <w:t>participating jurisdiction</w:t>
      </w:r>
      <w:r>
        <w:t xml:space="preserve"> means a jurisdiction that is a party to the Intergovernmental Agreement and in which — </w:t>
      </w:r>
    </w:p>
    <w:p>
      <w:pPr>
        <w:pStyle w:val="Defpara"/>
      </w:pPr>
      <w:r>
        <w:tab/>
        <w:t>(a)</w:t>
      </w:r>
      <w:r>
        <w:tab/>
        <w:t>the ECNL applies as a law of the jurisdiction, either with or without modifications; or</w:t>
      </w:r>
    </w:p>
    <w:p>
      <w:pPr>
        <w:pStyle w:val="Defpara"/>
      </w:pPr>
      <w:r>
        <w:tab/>
        <w:t>(b)</w:t>
      </w:r>
      <w:r>
        <w:tab/>
        <w:t>there is a corresponding law;</w:t>
      </w:r>
    </w:p>
    <w:p>
      <w:pPr>
        <w:pStyle w:val="Defstart"/>
      </w:pPr>
      <w:r>
        <w:tab/>
      </w:r>
      <w:r>
        <w:rPr>
          <w:rStyle w:val="CharDefText"/>
        </w:rPr>
        <w:t>participation agreement</w:t>
      </w:r>
      <w:r>
        <w:t xml:space="preserve">, in relation to an ELN, means — </w:t>
      </w:r>
    </w:p>
    <w:p>
      <w:pPr>
        <w:pStyle w:val="Defpara"/>
      </w:pPr>
      <w:r>
        <w:tab/>
        <w:t>(a)</w:t>
      </w:r>
      <w:r>
        <w:tab/>
        <w:t>if an ELNO provides and operates the ELN, an agreement between the ELNO and another person under which the other person is authorised to use that ELN; or</w:t>
      </w:r>
    </w:p>
    <w:p>
      <w:pPr>
        <w:pStyle w:val="Defpara"/>
      </w:pPr>
      <w:r>
        <w:tab/>
        <w:t>(b)</w:t>
      </w:r>
      <w:r>
        <w:tab/>
        <w:t>if the Authority provides and operates the ELN, an agreement between the Authority and another person under which the other person is authorised to use that ELN;</w:t>
      </w:r>
    </w:p>
    <w:p>
      <w:pPr>
        <w:pStyle w:val="Defstart"/>
      </w:pPr>
      <w:r>
        <w:tab/>
      </w:r>
      <w:r>
        <w:rPr>
          <w:rStyle w:val="CharDefText"/>
        </w:rPr>
        <w:t>participation rules</w:t>
      </w:r>
      <w:r>
        <w:t xml:space="preserve"> means the rules determined under section 23;</w:t>
      </w:r>
    </w:p>
    <w:p>
      <w:pPr>
        <w:pStyle w:val="Defstart"/>
      </w:pPr>
      <w:r>
        <w:tab/>
      </w:r>
      <w:r>
        <w:rPr>
          <w:rStyle w:val="CharDefText"/>
        </w:rPr>
        <w:t>Registrar</w:t>
      </w:r>
      <w:r>
        <w:t xml:space="preserve"> means the Registrar of Titles under the </w:t>
      </w:r>
      <w:r>
        <w:rPr>
          <w:i/>
        </w:rPr>
        <w:t>Transfer of Land Act 1893</w:t>
      </w:r>
      <w:r>
        <w:t xml:space="preserve"> section 7;</w:t>
      </w:r>
    </w:p>
    <w:p>
      <w:pPr>
        <w:pStyle w:val="Defstart"/>
      </w:pPr>
      <w:r>
        <w:tab/>
      </w:r>
      <w:r>
        <w:rPr>
          <w:rStyle w:val="CharDefText"/>
        </w:rPr>
        <w:t>registry instrument</w:t>
      </w:r>
      <w:r>
        <w:t xml:space="preserve"> means — </w:t>
      </w:r>
    </w:p>
    <w:p>
      <w:pPr>
        <w:pStyle w:val="Defpara"/>
      </w:pPr>
      <w:r>
        <w:tab/>
        <w:t>(a)</w:t>
      </w:r>
      <w:r>
        <w:tab/>
        <w:t xml:space="preserve">any document that may be lodged under the land titles legislation for the purpose of — </w:t>
      </w:r>
    </w:p>
    <w:p>
      <w:pPr>
        <w:pStyle w:val="Defsubpara"/>
      </w:pPr>
      <w:r>
        <w:tab/>
        <w:t>(i)</w:t>
      </w:r>
      <w:r>
        <w:tab/>
        <w:t>creating, transferring, disposing of, mortgaging, charging, leasing or dealing with in any other way an estate or interest in land; or</w:t>
      </w:r>
    </w:p>
    <w:p>
      <w:pPr>
        <w:pStyle w:val="Defsubpara"/>
      </w:pPr>
      <w:r>
        <w:tab/>
        <w:t>(ii)</w:t>
      </w:r>
      <w:r>
        <w:tab/>
        <w:t>getting something registered, noted or recorded in the titles register; or</w:t>
      </w:r>
    </w:p>
    <w:p>
      <w:pPr>
        <w:pStyle w:val="Defsubpara"/>
      </w:pPr>
      <w:r>
        <w:tab/>
        <w:t>(iii)</w:t>
      </w:r>
      <w:r>
        <w:tab/>
        <w:t>getting the registration, note or record of something in the titles register changed, withdrawn or removed;</w:t>
      </w:r>
    </w:p>
    <w:p>
      <w:pPr>
        <w:pStyle w:val="Defpara"/>
      </w:pPr>
      <w:r>
        <w:tab/>
      </w:r>
      <w:r>
        <w:tab/>
        <w:t>or</w:t>
      </w:r>
    </w:p>
    <w:p>
      <w:pPr>
        <w:pStyle w:val="Defpara"/>
      </w:pPr>
      <w:r>
        <w:tab/>
        <w:t>(b)</w:t>
      </w:r>
      <w:r>
        <w:tab/>
        <w:t xml:space="preserve">a document that belongs to a class of document that — </w:t>
      </w:r>
    </w:p>
    <w:p>
      <w:pPr>
        <w:pStyle w:val="Defsubpara"/>
      </w:pPr>
      <w:r>
        <w:tab/>
        <w:t>(i)</w:t>
      </w:r>
      <w:r>
        <w:tab/>
        <w:t>may be lodged under the land titles legislation; and</w:t>
      </w:r>
    </w:p>
    <w:p>
      <w:pPr>
        <w:pStyle w:val="Defsubpara"/>
      </w:pPr>
      <w:r>
        <w:tab/>
        <w:t>(ii)</w:t>
      </w:r>
      <w:r>
        <w:tab/>
        <w:t>is prescribed by regulations made under this Act for the purposes of this definition;</w:t>
      </w:r>
    </w:p>
    <w:p>
      <w:pPr>
        <w:pStyle w:val="Defstart"/>
      </w:pPr>
      <w:r>
        <w:tab/>
      </w:r>
      <w:r>
        <w:rPr>
          <w:rStyle w:val="CharDefText"/>
        </w:rPr>
        <w:t>responsible tribunal</w:t>
      </w:r>
      <w:r>
        <w:t xml:space="preserve"> means the State Administrative Tribunal established under the </w:t>
      </w:r>
      <w:r>
        <w:rPr>
          <w:i/>
        </w:rPr>
        <w:t>State Administrative Tribunal Act 2004</w:t>
      </w:r>
      <w:r>
        <w:t>;</w:t>
      </w:r>
    </w:p>
    <w:p>
      <w:pPr>
        <w:pStyle w:val="Defstart"/>
      </w:pPr>
      <w:r>
        <w:tab/>
      </w:r>
      <w:r>
        <w:rPr>
          <w:rStyle w:val="CharDefText"/>
        </w:rPr>
        <w:t>State</w:t>
      </w:r>
      <w:r>
        <w:t xml:space="preserve"> includes a Territory;</w:t>
      </w:r>
    </w:p>
    <w:p>
      <w:pPr>
        <w:pStyle w:val="Defstart"/>
      </w:pPr>
      <w:r>
        <w:tab/>
      </w:r>
      <w:r>
        <w:rPr>
          <w:rStyle w:val="CharDefText"/>
        </w:rPr>
        <w:t>subscriber</w:t>
      </w:r>
      <w:r>
        <w:t xml:space="preserve"> means a person who is authorised under a participation agreement to use an ELN to complete conveyancing transactions on behalf of another person or on their own behalf;</w:t>
      </w:r>
    </w:p>
    <w:p>
      <w:pPr>
        <w:pStyle w:val="Defstart"/>
      </w:pPr>
      <w:r>
        <w:tab/>
      </w:r>
      <w:r>
        <w:rPr>
          <w:rStyle w:val="CharDefText"/>
        </w:rPr>
        <w:t>Territory</w:t>
      </w:r>
      <w:r>
        <w:t xml:space="preserve"> means the Australian Capital Territory or the Northern Territory of Australia;</w:t>
      </w:r>
    </w:p>
    <w:p>
      <w:pPr>
        <w:pStyle w:val="Defstart"/>
      </w:pPr>
      <w:r>
        <w:tab/>
      </w:r>
      <w:r>
        <w:rPr>
          <w:rStyle w:val="CharDefText"/>
        </w:rPr>
        <w:t>this jurisdiction</w:t>
      </w:r>
      <w:r>
        <w:t xml:space="preserve"> means the State of Western Australia;</w:t>
      </w:r>
    </w:p>
    <w:p>
      <w:pPr>
        <w:pStyle w:val="Defstart"/>
        <w:keepNext/>
      </w:pPr>
      <w:r>
        <w:tab/>
      </w:r>
      <w:r>
        <w:rPr>
          <w:rStyle w:val="CharDefText"/>
        </w:rPr>
        <w:t>titles register</w:t>
      </w:r>
      <w:r>
        <w:t xml:space="preserve"> means — </w:t>
      </w:r>
    </w:p>
    <w:p>
      <w:pPr>
        <w:pStyle w:val="Defpara"/>
      </w:pPr>
      <w:r>
        <w:tab/>
        <w:t>(a)</w:t>
      </w:r>
      <w:r>
        <w:tab/>
        <w:t xml:space="preserve">the Register referred to in the </w:t>
      </w:r>
      <w:r>
        <w:rPr>
          <w:i/>
        </w:rPr>
        <w:t>Transfer of Land Act 1893</w:t>
      </w:r>
      <w:r>
        <w:t xml:space="preserve"> section 48; or</w:t>
      </w:r>
    </w:p>
    <w:p>
      <w:pPr>
        <w:pStyle w:val="Defpara"/>
      </w:pPr>
      <w:r>
        <w:tab/>
        <w:t>(b)</w:t>
      </w:r>
      <w:r>
        <w:tab/>
        <w:t xml:space="preserve">any register, database or system that — </w:t>
      </w:r>
    </w:p>
    <w:p>
      <w:pPr>
        <w:pStyle w:val="Defsubpara"/>
      </w:pPr>
      <w:r>
        <w:tab/>
        <w:t>(i)</w:t>
      </w:r>
      <w:r>
        <w:tab/>
        <w:t>under another Act is a titles register for the purposes of this definition; or</w:t>
      </w:r>
    </w:p>
    <w:p>
      <w:pPr>
        <w:pStyle w:val="Defsubpara"/>
      </w:pPr>
      <w:r>
        <w:tab/>
        <w:t>(ii)</w:t>
      </w:r>
      <w:r>
        <w:tab/>
        <w:t>is prescribed by regulations made under this Act or another Act for the purposes of this definition.</w:t>
      </w:r>
    </w:p>
    <w:p>
      <w:pPr>
        <w:pStyle w:val="Subsection"/>
        <w:spacing w:before="120"/>
      </w:pPr>
      <w:r>
        <w:tab/>
        <w:t>(2)</w:t>
      </w:r>
      <w:r>
        <w:tab/>
        <w:t xml:space="preserve">A term used in this Act (other than Parts 5 to 9) or a statutory instrument and also in the land titles legislation has the same meaning in this Act (other than Parts 5 to 9) or the statutory instrument as it has in that legislation, unless — </w:t>
      </w:r>
    </w:p>
    <w:p>
      <w:pPr>
        <w:pStyle w:val="Indenta"/>
      </w:pPr>
      <w:r>
        <w:tab/>
        <w:t>(a)</w:t>
      </w:r>
      <w:r>
        <w:tab/>
        <w:t>the term is defined in this Act or the statutory instrument; or</w:t>
      </w:r>
    </w:p>
    <w:p>
      <w:pPr>
        <w:pStyle w:val="Indenta"/>
      </w:pPr>
      <w:r>
        <w:tab/>
        <w:t>(b)</w:t>
      </w:r>
      <w:r>
        <w:tab/>
        <w:t>the context requires otherwise.</w:t>
      </w:r>
    </w:p>
    <w:p>
      <w:pPr>
        <w:pStyle w:val="Heading5"/>
      </w:pPr>
      <w:bookmarkStart w:id="14" w:name="_Toc389125980"/>
      <w:bookmarkStart w:id="15" w:name="_Toc416783591"/>
      <w:r>
        <w:rPr>
          <w:rStyle w:val="CharSectno"/>
        </w:rPr>
        <w:t>4</w:t>
      </w:r>
      <w:r>
        <w:t>.</w:t>
      </w:r>
      <w:r>
        <w:tab/>
        <w:t>Interpretation generally</w:t>
      </w:r>
      <w:bookmarkEnd w:id="14"/>
      <w:bookmarkEnd w:id="15"/>
    </w:p>
    <w:p>
      <w:pPr>
        <w:pStyle w:val="Subsection"/>
      </w:pPr>
      <w:r>
        <w:tab/>
      </w:r>
      <w:r>
        <w:tab/>
        <w:t>Schedule 1 applies in relation to this Act (other than Parts 5 to 9).</w:t>
      </w:r>
    </w:p>
    <w:p>
      <w:pPr>
        <w:pStyle w:val="Heading5"/>
      </w:pPr>
      <w:bookmarkStart w:id="16" w:name="_Toc389125981"/>
      <w:bookmarkStart w:id="17" w:name="_Toc416783592"/>
      <w:r>
        <w:rPr>
          <w:rStyle w:val="CharSectno"/>
        </w:rPr>
        <w:t>5</w:t>
      </w:r>
      <w:r>
        <w:t>.</w:t>
      </w:r>
      <w:r>
        <w:tab/>
        <w:t>Exclusion of interpretation legislation of this jurisdiction</w:t>
      </w:r>
      <w:bookmarkEnd w:id="16"/>
      <w:bookmarkEnd w:id="17"/>
    </w:p>
    <w:p>
      <w:pPr>
        <w:pStyle w:val="Subsection"/>
      </w:pPr>
      <w:r>
        <w:tab/>
      </w:r>
      <w:r>
        <w:tab/>
        <w:t xml:space="preserve">The </w:t>
      </w:r>
      <w:r>
        <w:rPr>
          <w:i/>
        </w:rPr>
        <w:t>Interpretation Act 1984</w:t>
      </w:r>
      <w:r>
        <w:t xml:space="preserve"> does not apply to — </w:t>
      </w:r>
    </w:p>
    <w:p>
      <w:pPr>
        <w:pStyle w:val="Indenta"/>
      </w:pPr>
      <w:r>
        <w:tab/>
        <w:t>(a)</w:t>
      </w:r>
      <w:r>
        <w:tab/>
        <w:t>this Act (other than Parts 5 to 9); or</w:t>
      </w:r>
    </w:p>
    <w:p>
      <w:pPr>
        <w:pStyle w:val="Indenta"/>
      </w:pPr>
      <w:r>
        <w:tab/>
        <w:t>(b)</w:t>
      </w:r>
      <w:r>
        <w:tab/>
        <w:t>the instruments made under this Act (other than regulations made under section 46).</w:t>
      </w:r>
    </w:p>
    <w:p>
      <w:pPr>
        <w:pStyle w:val="Heading5"/>
      </w:pPr>
      <w:bookmarkStart w:id="18" w:name="_Toc389125982"/>
      <w:bookmarkStart w:id="19" w:name="_Toc416783593"/>
      <w:r>
        <w:rPr>
          <w:rStyle w:val="CharSectno"/>
        </w:rPr>
        <w:t>6A</w:t>
      </w:r>
      <w:r>
        <w:t>.</w:t>
      </w:r>
      <w:r>
        <w:tab/>
        <w:t>Numbering</w:t>
      </w:r>
      <w:bookmarkEnd w:id="18"/>
      <w:bookmarkEnd w:id="19"/>
    </w:p>
    <w:p>
      <w:pPr>
        <w:pStyle w:val="Subsection"/>
      </w:pPr>
      <w:r>
        <w:tab/>
        <w:t>(1)</w:t>
      </w:r>
      <w:r>
        <w:tab/>
        <w:t>This Act is numbered in order to maintain consistent numbering between the provisions of Parts 2 to 4 of the ECNL and the corresponding provisions of Parts 2 to 4.</w:t>
      </w:r>
    </w:p>
    <w:p>
      <w:pPr>
        <w:pStyle w:val="Subsection"/>
      </w:pPr>
      <w:r>
        <w:tab/>
        <w:t>(2)</w:t>
      </w:r>
      <w:r>
        <w:tab/>
        <w:t>A section in Parts 2 to 4 that corresponds to a section of the ECNL includes in its heading a reference to “ECNL” together with a reference to the corresponding ECNL provision.</w:t>
      </w:r>
    </w:p>
    <w:p>
      <w:pPr>
        <w:pStyle w:val="Subsection"/>
      </w:pPr>
      <w:r>
        <w:tab/>
        <w:t>(3)</w:t>
      </w:r>
      <w:r>
        <w:tab/>
        <w:t>If the ECNL includes a section that is not required in Parts 2 to 4, the section number and heading appearing in the ECNL are included in Parts 2 to 4 even though the body of the section is omitted.</w:t>
      </w:r>
    </w:p>
    <w:p>
      <w:pPr>
        <w:pStyle w:val="Subsection"/>
      </w:pPr>
      <w:r>
        <w:tab/>
        <w:t>(4)</w:t>
      </w:r>
      <w:r>
        <w:tab/>
        <w:t>Schedule 1 corresponds to Schedule 1 to the ECNL.</w:t>
      </w:r>
    </w:p>
    <w:p>
      <w:pPr>
        <w:pStyle w:val="Heading5"/>
      </w:pPr>
      <w:bookmarkStart w:id="20" w:name="_Toc389125983"/>
      <w:bookmarkStart w:id="21" w:name="_Toc416783594"/>
      <w:r>
        <w:rPr>
          <w:rStyle w:val="CharSectno"/>
        </w:rPr>
        <w:t>6</w:t>
      </w:r>
      <w:r>
        <w:t>.</w:t>
      </w:r>
      <w:r>
        <w:tab/>
        <w:t>Purpose</w:t>
      </w:r>
      <w:bookmarkEnd w:id="20"/>
      <w:bookmarkEnd w:id="21"/>
    </w:p>
    <w:p>
      <w:pPr>
        <w:pStyle w:val="Subsection"/>
      </w:pPr>
      <w:r>
        <w:tab/>
        <w:t>(1)</w:t>
      </w:r>
      <w:r>
        <w:tab/>
        <w:t xml:space="preserve">The purpose of this Act is to provide for electronic conveyancing in Western Australia by enacting provisions that correspond to the </w:t>
      </w:r>
      <w:r>
        <w:rPr>
          <w:i/>
        </w:rPr>
        <w:t>Electronic Conveyancing National Law</w:t>
      </w:r>
      <w:r>
        <w:t xml:space="preserve"> and in that way achieve the object of that Law.</w:t>
      </w:r>
    </w:p>
    <w:p>
      <w:pPr>
        <w:pStyle w:val="Subsection"/>
      </w:pPr>
      <w:r>
        <w:tab/>
        <w:t>(2)</w:t>
      </w:r>
      <w:r>
        <w:tab/>
        <w:t xml:space="preserve">The object of the </w:t>
      </w:r>
      <w:r>
        <w:rPr>
          <w:i/>
        </w:rPr>
        <w:t>Electronic Conveyancing National Law</w:t>
      </w:r>
      <w:r>
        <w:t xml:space="preserve"> is to promote efficiency throughout Australia in property conveyancing by providing a common legal framework that — </w:t>
      </w:r>
    </w:p>
    <w:p>
      <w:pPr>
        <w:pStyle w:val="Indenta"/>
      </w:pPr>
      <w:r>
        <w:tab/>
        <w:t>(a)</w:t>
      </w:r>
      <w:r>
        <w:tab/>
        <w:t>enables documents in electronic form to be lodged and processed under the land titles legislation of each participating jurisdiction; but</w:t>
      </w:r>
    </w:p>
    <w:p>
      <w:pPr>
        <w:pStyle w:val="Indenta"/>
      </w:pPr>
      <w:r>
        <w:tab/>
        <w:t>(b)</w:t>
      </w:r>
      <w:r>
        <w:tab/>
        <w:t>does not derogate from the fundamental principles of the Torrens system of land title as incorporated in the land titles legislation of each participating jurisdiction, such as indefeasibility of title.</w:t>
      </w:r>
    </w:p>
    <w:p>
      <w:pPr>
        <w:pStyle w:val="Heading5"/>
      </w:pPr>
      <w:bookmarkStart w:id="22" w:name="_Toc389125984"/>
      <w:bookmarkStart w:id="23" w:name="_Toc416783595"/>
      <w:r>
        <w:rPr>
          <w:rStyle w:val="CharSectno"/>
        </w:rPr>
        <w:t>7A</w:t>
      </w:r>
      <w:r>
        <w:t>.</w:t>
      </w:r>
      <w:r>
        <w:tab/>
        <w:t>Act binds the State</w:t>
      </w:r>
      <w:bookmarkEnd w:id="22"/>
      <w:bookmarkEnd w:id="23"/>
    </w:p>
    <w:p>
      <w:pPr>
        <w:pStyle w:val="Subsection"/>
      </w:pPr>
      <w:r>
        <w:tab/>
        <w:t>(1)</w:t>
      </w:r>
      <w:r>
        <w:tab/>
        <w:t>This Act binds the State.</w:t>
      </w:r>
    </w:p>
    <w:p>
      <w:pPr>
        <w:pStyle w:val="Subsection"/>
      </w:pPr>
      <w:r>
        <w:tab/>
        <w:t>(2)</w:t>
      </w:r>
      <w:r>
        <w:tab/>
        <w:t xml:space="preserve">In this section — </w:t>
      </w:r>
    </w:p>
    <w:p>
      <w:pPr>
        <w:pStyle w:val="Defstart"/>
      </w:pPr>
      <w:r>
        <w:tab/>
      </w:r>
      <w:r>
        <w:rPr>
          <w:rStyle w:val="CharDefText"/>
        </w:rPr>
        <w:t>State</w:t>
      </w:r>
      <w:r>
        <w:t xml:space="preserve"> means the Crown in right of this jurisdiction, and includes — </w:t>
      </w:r>
    </w:p>
    <w:p>
      <w:pPr>
        <w:pStyle w:val="Defpara"/>
      </w:pPr>
      <w:r>
        <w:tab/>
        <w:t>(a)</w:t>
      </w:r>
      <w:r>
        <w:tab/>
        <w:t>the Government of this jurisdiction; and</w:t>
      </w:r>
    </w:p>
    <w:p>
      <w:pPr>
        <w:pStyle w:val="Defpara"/>
      </w:pPr>
      <w:r>
        <w:tab/>
        <w:t>(b)</w:t>
      </w:r>
      <w:r>
        <w:tab/>
        <w:t>a Minister of the Crown in right of this jurisdiction; and</w:t>
      </w:r>
    </w:p>
    <w:p>
      <w:pPr>
        <w:pStyle w:val="Defpara"/>
      </w:pPr>
      <w:r>
        <w:tab/>
        <w:t>(c)</w:t>
      </w:r>
      <w:r>
        <w:tab/>
        <w:t>a statutory corporation, or other entity, representing the Crown in right of this jurisdiction.</w:t>
      </w:r>
    </w:p>
    <w:p>
      <w:pPr>
        <w:pStyle w:val="Heading2"/>
      </w:pPr>
      <w:bookmarkStart w:id="24" w:name="_Toc373331353"/>
      <w:bookmarkStart w:id="25" w:name="_Toc373331544"/>
      <w:bookmarkStart w:id="26" w:name="_Toc382567403"/>
      <w:bookmarkStart w:id="27" w:name="_Toc382568082"/>
      <w:bookmarkStart w:id="28" w:name="_Toc382914377"/>
      <w:bookmarkStart w:id="29" w:name="_Toc382914568"/>
      <w:bookmarkStart w:id="30" w:name="_Toc389042119"/>
      <w:bookmarkStart w:id="31" w:name="_Toc389125985"/>
      <w:bookmarkStart w:id="32" w:name="_Toc416783404"/>
      <w:bookmarkStart w:id="33" w:name="_Toc416783596"/>
      <w:r>
        <w:rPr>
          <w:rStyle w:val="CharPartNo"/>
        </w:rPr>
        <w:t>Part 2</w:t>
      </w:r>
      <w:r>
        <w:t> — </w:t>
      </w:r>
      <w:r>
        <w:rPr>
          <w:rStyle w:val="CharPartText"/>
        </w:rPr>
        <w:t>Electronic conveyancing</w:t>
      </w:r>
      <w:bookmarkEnd w:id="24"/>
      <w:bookmarkEnd w:id="25"/>
      <w:bookmarkEnd w:id="26"/>
      <w:bookmarkEnd w:id="27"/>
      <w:bookmarkEnd w:id="28"/>
      <w:bookmarkEnd w:id="29"/>
      <w:bookmarkEnd w:id="30"/>
      <w:bookmarkEnd w:id="31"/>
      <w:bookmarkEnd w:id="32"/>
      <w:bookmarkEnd w:id="33"/>
    </w:p>
    <w:p>
      <w:pPr>
        <w:pStyle w:val="Heading3"/>
        <w:rPr>
          <w:rStyle w:val="CharDivText"/>
        </w:rPr>
      </w:pPr>
      <w:bookmarkStart w:id="34" w:name="_Toc373331354"/>
      <w:bookmarkStart w:id="35" w:name="_Toc373331545"/>
      <w:bookmarkStart w:id="36" w:name="_Toc382567404"/>
      <w:bookmarkStart w:id="37" w:name="_Toc382568083"/>
      <w:bookmarkStart w:id="38" w:name="_Toc382914378"/>
      <w:bookmarkStart w:id="39" w:name="_Toc382914569"/>
      <w:bookmarkStart w:id="40" w:name="_Toc389042120"/>
      <w:bookmarkStart w:id="41" w:name="_Toc389125986"/>
      <w:bookmarkStart w:id="42" w:name="_Toc416783405"/>
      <w:bookmarkStart w:id="43" w:name="_Toc416783597"/>
      <w:r>
        <w:rPr>
          <w:rStyle w:val="CharDivNo"/>
        </w:rPr>
        <w:t>Division 1</w:t>
      </w:r>
      <w:r>
        <w:t> — </w:t>
      </w:r>
      <w:r>
        <w:rPr>
          <w:rStyle w:val="CharDivText"/>
        </w:rPr>
        <w:t>Electronic lodgment</w:t>
      </w:r>
      <w:bookmarkEnd w:id="34"/>
      <w:bookmarkEnd w:id="35"/>
      <w:bookmarkEnd w:id="36"/>
      <w:bookmarkEnd w:id="37"/>
      <w:bookmarkEnd w:id="38"/>
      <w:bookmarkEnd w:id="39"/>
      <w:bookmarkEnd w:id="40"/>
      <w:bookmarkEnd w:id="41"/>
      <w:bookmarkEnd w:id="42"/>
      <w:bookmarkEnd w:id="43"/>
    </w:p>
    <w:p>
      <w:pPr>
        <w:pStyle w:val="Heading5"/>
      </w:pPr>
      <w:bookmarkStart w:id="44" w:name="_Toc382914570"/>
      <w:bookmarkStart w:id="45" w:name="_Toc389125987"/>
      <w:bookmarkStart w:id="46" w:name="_Toc416783598"/>
      <w:r>
        <w:rPr>
          <w:rStyle w:val="CharSectno"/>
        </w:rPr>
        <w:t>7</w:t>
      </w:r>
      <w:r>
        <w:t>.</w:t>
      </w:r>
      <w:r>
        <w:tab/>
        <w:t>Documents may be lodged electronically (cf. ECNL s. 7)</w:t>
      </w:r>
      <w:bookmarkEnd w:id="44"/>
      <w:bookmarkEnd w:id="45"/>
      <w:bookmarkEnd w:id="46"/>
    </w:p>
    <w:p>
      <w:pPr>
        <w:pStyle w:val="Subsection"/>
        <w:spacing w:before="100"/>
      </w:pPr>
      <w:r>
        <w:tab/>
        <w:t>(1)</w:t>
      </w:r>
      <w:r>
        <w:tab/>
        <w:t xml:space="preserve">A document may be lodged electronically for the purposes of the land titles legislation if the document is lodged — </w:t>
      </w:r>
    </w:p>
    <w:p>
      <w:pPr>
        <w:pStyle w:val="Indenta"/>
      </w:pPr>
      <w:r>
        <w:tab/>
        <w:t>(a)</w:t>
      </w:r>
      <w:r>
        <w:tab/>
        <w:t>in a form approved by the Registrar; and</w:t>
      </w:r>
    </w:p>
    <w:p>
      <w:pPr>
        <w:pStyle w:val="Indenta"/>
      </w:pPr>
      <w:r>
        <w:tab/>
        <w:t>(b)</w:t>
      </w:r>
      <w:r>
        <w:tab/>
        <w:t>by means of an ELN provided and operated under this Act.</w:t>
      </w:r>
    </w:p>
    <w:p>
      <w:pPr>
        <w:pStyle w:val="Subsection"/>
      </w:pPr>
      <w:r>
        <w:tab/>
        <w:t>(2)</w:t>
      </w:r>
      <w:r>
        <w:tab/>
        <w:t>An approval for the purposes of subsection (1)(a) may be given under the land titles legislation or in some other way that the Registrar considers appropriate.</w:t>
      </w:r>
    </w:p>
    <w:p>
      <w:pPr>
        <w:pStyle w:val="Heading5"/>
        <w:spacing w:before="120"/>
      </w:pPr>
      <w:bookmarkStart w:id="47" w:name="_Toc382914571"/>
      <w:bookmarkStart w:id="48" w:name="_Toc389125988"/>
      <w:bookmarkStart w:id="49" w:name="_Toc416783599"/>
      <w:r>
        <w:rPr>
          <w:rStyle w:val="CharSectno"/>
        </w:rPr>
        <w:t>8</w:t>
      </w:r>
      <w:r>
        <w:t>.</w:t>
      </w:r>
      <w:r>
        <w:tab/>
        <w:t>Registrar, Commissioner or Authority to process documents lodged electronically (cf. ECNL s. 8)</w:t>
      </w:r>
      <w:bookmarkEnd w:id="47"/>
      <w:bookmarkEnd w:id="48"/>
      <w:bookmarkEnd w:id="49"/>
    </w:p>
    <w:p>
      <w:pPr>
        <w:pStyle w:val="Subsection"/>
        <w:spacing w:before="100"/>
      </w:pPr>
      <w:r>
        <w:tab/>
        <w:t>(1)</w:t>
      </w:r>
      <w:r>
        <w:tab/>
        <w:t>If a document is lodged electronically in accordance with section 7, the Registrar, the Commissioner or the Authority (whichever is appropriate) must receive and process the document in accordance with the land titles legislation.</w:t>
      </w:r>
    </w:p>
    <w:p>
      <w:pPr>
        <w:pStyle w:val="Subsection"/>
        <w:spacing w:before="100"/>
      </w:pPr>
      <w:r>
        <w:tab/>
        <w:t>(2)</w:t>
      </w:r>
      <w:r>
        <w:tab/>
        <w:t>This section does not limit or affect the need for the document to comply with the requirements of the land titles legislation, this Act or any other law of this jurisdiction.</w:t>
      </w:r>
    </w:p>
    <w:p>
      <w:pPr>
        <w:pStyle w:val="Heading5"/>
      </w:pPr>
      <w:bookmarkStart w:id="50" w:name="_Toc382914572"/>
      <w:bookmarkStart w:id="51" w:name="_Toc389125989"/>
      <w:bookmarkStart w:id="52" w:name="_Toc416783600"/>
      <w:r>
        <w:rPr>
          <w:rStyle w:val="CharSectno"/>
        </w:rPr>
        <w:t>9</w:t>
      </w:r>
      <w:r>
        <w:t>.</w:t>
      </w:r>
      <w:r>
        <w:tab/>
        <w:t>Status of electronic registry instruments (cf. ECNL s. 9)</w:t>
      </w:r>
      <w:bookmarkEnd w:id="50"/>
      <w:bookmarkEnd w:id="51"/>
      <w:bookmarkEnd w:id="52"/>
    </w:p>
    <w:p>
      <w:pPr>
        <w:pStyle w:val="Subsection"/>
        <w:spacing w:before="100"/>
      </w:pPr>
      <w:r>
        <w:tab/>
        <w:t>(1)</w:t>
      </w:r>
      <w:r>
        <w:tab/>
        <w:t>A registry instrument that is in a form in which it can be lodged electronically under section 7 has the same effect as if that instrument were in the form of a paper document.</w:t>
      </w:r>
    </w:p>
    <w:p>
      <w:pPr>
        <w:pStyle w:val="Subsection"/>
        <w:spacing w:before="100"/>
      </w:pPr>
      <w:r>
        <w:tab/>
        <w:t>(2)</w:t>
      </w:r>
      <w:r>
        <w:tab/>
        <w:t xml:space="preserve">A registry instrument that is digitally signed by a subscriber in accordance with the participation rules applicable to that instrument has the same effect as if a paper document having the equivalent effect had been executed by — </w:t>
      </w:r>
    </w:p>
    <w:p>
      <w:pPr>
        <w:pStyle w:val="Indenta"/>
      </w:pPr>
      <w:r>
        <w:tab/>
        <w:t>(a)</w:t>
      </w:r>
      <w:r>
        <w:tab/>
        <w:t>if the subscriber signs under a client authorisation, each person for whom the subscriber signs in accordance with the client authorisation; or</w:t>
      </w:r>
    </w:p>
    <w:p>
      <w:pPr>
        <w:pStyle w:val="Indenta"/>
      </w:pPr>
      <w:r>
        <w:tab/>
        <w:t>(b)</w:t>
      </w:r>
      <w:r>
        <w:tab/>
        <w:t>the subscriber in any other case.</w:t>
      </w:r>
    </w:p>
    <w:p>
      <w:pPr>
        <w:pStyle w:val="Subsection"/>
      </w:pPr>
      <w:r>
        <w:tab/>
        <w:t>(3)</w:t>
      </w:r>
      <w:r>
        <w:tab/>
        <w:t xml:space="preserve">If a registry instrument is digitally signed in accordance with the participation rules applicable to that instrument — </w:t>
      </w:r>
    </w:p>
    <w:p>
      <w:pPr>
        <w:pStyle w:val="Indenta"/>
      </w:pPr>
      <w:r>
        <w:tab/>
        <w:t>(a)</w:t>
      </w:r>
      <w:r>
        <w:tab/>
        <w:t>the instrument is to be taken to be in writing for the purposes of every other law of this jurisdiction; and</w:t>
      </w:r>
    </w:p>
    <w:p>
      <w:pPr>
        <w:pStyle w:val="Indenta"/>
      </w:pPr>
      <w:r>
        <w:tab/>
        <w:t>(b)</w:t>
      </w:r>
      <w:r>
        <w:tab/>
        <w:t>the requirements of any other law of this jurisdiction relating to the execution, signing, witnessing, attestation or sealing of documents must be regarded as having been fully satisfied.</w:t>
      </w:r>
    </w:p>
    <w:p>
      <w:pPr>
        <w:pStyle w:val="Heading3"/>
      </w:pPr>
      <w:bookmarkStart w:id="53" w:name="_Toc373331358"/>
      <w:bookmarkStart w:id="54" w:name="_Toc373331549"/>
      <w:bookmarkStart w:id="55" w:name="_Toc382567408"/>
      <w:bookmarkStart w:id="56" w:name="_Toc382568087"/>
      <w:bookmarkStart w:id="57" w:name="_Toc382914382"/>
      <w:bookmarkStart w:id="58" w:name="_Toc382914573"/>
      <w:bookmarkStart w:id="59" w:name="_Toc389042124"/>
      <w:bookmarkStart w:id="60" w:name="_Toc389125990"/>
      <w:bookmarkStart w:id="61" w:name="_Toc416783409"/>
      <w:bookmarkStart w:id="62" w:name="_Toc416783601"/>
      <w:r>
        <w:rPr>
          <w:rStyle w:val="CharDivNo"/>
        </w:rPr>
        <w:t>Division 2</w:t>
      </w:r>
      <w:r>
        <w:t> — </w:t>
      </w:r>
      <w:r>
        <w:rPr>
          <w:rStyle w:val="CharDivText"/>
        </w:rPr>
        <w:t>Client authorisations and digital signatures</w:t>
      </w:r>
      <w:bookmarkEnd w:id="53"/>
      <w:bookmarkEnd w:id="54"/>
      <w:bookmarkEnd w:id="55"/>
      <w:bookmarkEnd w:id="56"/>
      <w:bookmarkEnd w:id="57"/>
      <w:bookmarkEnd w:id="58"/>
      <w:bookmarkEnd w:id="59"/>
      <w:bookmarkEnd w:id="60"/>
      <w:bookmarkEnd w:id="61"/>
      <w:bookmarkEnd w:id="62"/>
    </w:p>
    <w:p>
      <w:pPr>
        <w:pStyle w:val="Heading4"/>
      </w:pPr>
      <w:bookmarkStart w:id="63" w:name="_Toc373331359"/>
      <w:bookmarkStart w:id="64" w:name="_Toc373331550"/>
      <w:bookmarkStart w:id="65" w:name="_Toc382567409"/>
      <w:bookmarkStart w:id="66" w:name="_Toc382568088"/>
      <w:bookmarkStart w:id="67" w:name="_Toc382914383"/>
      <w:bookmarkStart w:id="68" w:name="_Toc382914574"/>
      <w:bookmarkStart w:id="69" w:name="_Toc389042125"/>
      <w:bookmarkStart w:id="70" w:name="_Toc389125991"/>
      <w:bookmarkStart w:id="71" w:name="_Toc416783410"/>
      <w:bookmarkStart w:id="72" w:name="_Toc416783602"/>
      <w:r>
        <w:t>Subdivision 1 — Client authorisations</w:t>
      </w:r>
      <w:bookmarkEnd w:id="63"/>
      <w:bookmarkEnd w:id="64"/>
      <w:bookmarkEnd w:id="65"/>
      <w:bookmarkEnd w:id="66"/>
      <w:bookmarkEnd w:id="67"/>
      <w:bookmarkEnd w:id="68"/>
      <w:bookmarkEnd w:id="69"/>
      <w:bookmarkEnd w:id="70"/>
      <w:bookmarkEnd w:id="71"/>
      <w:bookmarkEnd w:id="72"/>
    </w:p>
    <w:p>
      <w:pPr>
        <w:pStyle w:val="Heading5"/>
      </w:pPr>
      <w:bookmarkStart w:id="73" w:name="_Toc382914575"/>
      <w:bookmarkStart w:id="74" w:name="_Toc389125992"/>
      <w:bookmarkStart w:id="75" w:name="_Toc416783603"/>
      <w:r>
        <w:rPr>
          <w:rStyle w:val="CharSectno"/>
        </w:rPr>
        <w:t>10</w:t>
      </w:r>
      <w:r>
        <w:t>.</w:t>
      </w:r>
      <w:r>
        <w:tab/>
        <w:t>Client authorisations (cf. ECNL s. 10)</w:t>
      </w:r>
      <w:bookmarkEnd w:id="73"/>
      <w:bookmarkEnd w:id="74"/>
      <w:bookmarkEnd w:id="75"/>
    </w:p>
    <w:p>
      <w:pPr>
        <w:pStyle w:val="Subsection"/>
      </w:pPr>
      <w:r>
        <w:tab/>
        <w:t>(1)</w:t>
      </w:r>
      <w:r>
        <w:tab/>
        <w:t xml:space="preserve">A client authorisation is a document — </w:t>
      </w:r>
    </w:p>
    <w:p>
      <w:pPr>
        <w:pStyle w:val="Indenta"/>
      </w:pPr>
      <w:r>
        <w:tab/>
        <w:t>(a)</w:t>
      </w:r>
      <w:r>
        <w:tab/>
        <w:t>that is in the form required by the participation rules; and</w:t>
      </w:r>
    </w:p>
    <w:p>
      <w:pPr>
        <w:pStyle w:val="Indenta"/>
      </w:pPr>
      <w:r>
        <w:tab/>
        <w:t>(b)</w:t>
      </w:r>
      <w:r>
        <w:tab/>
        <w:t>by which a party to a conveyancing transaction authorises a subscriber to do one or more things on that party’s behalf in connection with the transaction so that the transaction, or part of the transaction, can be completed electronically.</w:t>
      </w:r>
    </w:p>
    <w:p>
      <w:pPr>
        <w:pStyle w:val="Subsection"/>
      </w:pPr>
      <w:r>
        <w:tab/>
        <w:t>(2)</w:t>
      </w:r>
      <w:r>
        <w:tab/>
        <w:t xml:space="preserve">The following are examples of the things that a client authorisation may authorise a subscriber to do — </w:t>
      </w:r>
    </w:p>
    <w:p>
      <w:pPr>
        <w:pStyle w:val="Indenta"/>
      </w:pPr>
      <w:r>
        <w:tab/>
        <w:t>(a)</w:t>
      </w:r>
      <w:r>
        <w:tab/>
        <w:t>to digitally sign registry instruments or other documents;</w:t>
      </w:r>
    </w:p>
    <w:p>
      <w:pPr>
        <w:pStyle w:val="Indenta"/>
      </w:pPr>
      <w:r>
        <w:tab/>
        <w:t>(b)</w:t>
      </w:r>
      <w:r>
        <w:tab/>
        <w:t>to present registry instruments or other documents for lodgment electronically;</w:t>
      </w:r>
    </w:p>
    <w:p>
      <w:pPr>
        <w:pStyle w:val="Indenta"/>
      </w:pPr>
      <w:r>
        <w:tab/>
        <w:t>(c)</w:t>
      </w:r>
      <w:r>
        <w:tab/>
        <w:t>to authorise or complete any associated financial transaction.</w:t>
      </w:r>
    </w:p>
    <w:p>
      <w:pPr>
        <w:pStyle w:val="Heading5"/>
      </w:pPr>
      <w:bookmarkStart w:id="76" w:name="_Toc382914576"/>
      <w:bookmarkStart w:id="77" w:name="_Toc389125993"/>
      <w:bookmarkStart w:id="78" w:name="_Toc416783604"/>
      <w:r>
        <w:rPr>
          <w:rStyle w:val="CharSectno"/>
        </w:rPr>
        <w:t>11</w:t>
      </w:r>
      <w:r>
        <w:t>.</w:t>
      </w:r>
      <w:r>
        <w:tab/>
        <w:t>Effect of client authorisation (cf. ECNL s. 11)</w:t>
      </w:r>
      <w:bookmarkEnd w:id="76"/>
      <w:bookmarkEnd w:id="77"/>
      <w:bookmarkEnd w:id="78"/>
    </w:p>
    <w:p>
      <w:pPr>
        <w:pStyle w:val="Subsection"/>
        <w:keepNext/>
      </w:pPr>
      <w:r>
        <w:tab/>
        <w:t>(1)</w:t>
      </w:r>
      <w:r>
        <w:tab/>
        <w:t xml:space="preserve">A properly completed client authorisation — </w:t>
      </w:r>
    </w:p>
    <w:p>
      <w:pPr>
        <w:pStyle w:val="Indenta"/>
      </w:pPr>
      <w:r>
        <w:tab/>
        <w:t>(a)</w:t>
      </w:r>
      <w:r>
        <w:tab/>
        <w:t>has effect according to its terms; and</w:t>
      </w:r>
    </w:p>
    <w:p>
      <w:pPr>
        <w:pStyle w:val="Indenta"/>
      </w:pPr>
      <w:r>
        <w:tab/>
        <w:t>(b)</w:t>
      </w:r>
      <w:r>
        <w:tab/>
        <w:t>is not a power of attorney for the purposes of any other law of this jurisdiction relating to powers of attorney.</w:t>
      </w:r>
    </w:p>
    <w:p>
      <w:pPr>
        <w:pStyle w:val="Subsection"/>
      </w:pPr>
      <w:r>
        <w:tab/>
        <w:t>(2)</w:t>
      </w:r>
      <w:r>
        <w:tab/>
        <w:t>If a client authorisation is properly completed, the requirements of any other law of this jurisdiction relating to the execution, signing, witnessing, attestation or sealing of documents must be regarded as having been fully satisfied.</w:t>
      </w:r>
    </w:p>
    <w:p>
      <w:pPr>
        <w:pStyle w:val="Subsection"/>
      </w:pPr>
      <w:r>
        <w:tab/>
        <w:t>(3)</w:t>
      </w:r>
      <w:r>
        <w:tab/>
        <w:t xml:space="preserve">Subsections (1) and (2) do not limit or affect the application of any law of this jurisdiction relating to powers of attorney in relation to — </w:t>
      </w:r>
    </w:p>
    <w:p>
      <w:pPr>
        <w:pStyle w:val="Indenta"/>
      </w:pPr>
      <w:r>
        <w:tab/>
        <w:t>(a)</w:t>
      </w:r>
      <w:r>
        <w:tab/>
        <w:t>the execution of a client authorisation under a power of attorney; or</w:t>
      </w:r>
    </w:p>
    <w:p>
      <w:pPr>
        <w:pStyle w:val="Indenta"/>
      </w:pPr>
      <w:r>
        <w:tab/>
        <w:t>(b)</w:t>
      </w:r>
      <w:r>
        <w:tab/>
        <w:t>a client authorisation executed under a power of attorney.</w:t>
      </w:r>
    </w:p>
    <w:p>
      <w:pPr>
        <w:pStyle w:val="Heading4"/>
      </w:pPr>
      <w:bookmarkStart w:id="79" w:name="_Toc373331362"/>
      <w:bookmarkStart w:id="80" w:name="_Toc373331553"/>
      <w:bookmarkStart w:id="81" w:name="_Toc382567412"/>
      <w:bookmarkStart w:id="82" w:name="_Toc382568091"/>
      <w:bookmarkStart w:id="83" w:name="_Toc382914386"/>
      <w:bookmarkStart w:id="84" w:name="_Toc382914577"/>
      <w:bookmarkStart w:id="85" w:name="_Toc389042128"/>
      <w:bookmarkStart w:id="86" w:name="_Toc389125994"/>
      <w:bookmarkStart w:id="87" w:name="_Toc416783413"/>
      <w:bookmarkStart w:id="88" w:name="_Toc416783605"/>
      <w:r>
        <w:t>Subdivision 2 — Digital signatures</w:t>
      </w:r>
      <w:bookmarkEnd w:id="79"/>
      <w:bookmarkEnd w:id="80"/>
      <w:bookmarkEnd w:id="81"/>
      <w:bookmarkEnd w:id="82"/>
      <w:bookmarkEnd w:id="83"/>
      <w:bookmarkEnd w:id="84"/>
      <w:bookmarkEnd w:id="85"/>
      <w:bookmarkEnd w:id="86"/>
      <w:bookmarkEnd w:id="87"/>
      <w:bookmarkEnd w:id="88"/>
    </w:p>
    <w:p>
      <w:pPr>
        <w:pStyle w:val="Heading5"/>
      </w:pPr>
      <w:bookmarkStart w:id="89" w:name="_Toc382914578"/>
      <w:bookmarkStart w:id="90" w:name="_Toc389125995"/>
      <w:bookmarkStart w:id="91" w:name="_Toc416783606"/>
      <w:r>
        <w:rPr>
          <w:rStyle w:val="CharSectno"/>
        </w:rPr>
        <w:t>12</w:t>
      </w:r>
      <w:r>
        <w:t>.</w:t>
      </w:r>
      <w:r>
        <w:tab/>
        <w:t>Reliance on, and repudiation of, digital signatures (cf. ECNL s. 12)</w:t>
      </w:r>
      <w:bookmarkEnd w:id="89"/>
      <w:bookmarkEnd w:id="90"/>
      <w:bookmarkEnd w:id="91"/>
    </w:p>
    <w:p>
      <w:pPr>
        <w:pStyle w:val="Subsection"/>
      </w:pPr>
      <w:r>
        <w:tab/>
        <w:t>(1)</w:t>
      </w:r>
      <w:r>
        <w:tab/>
        <w:t xml:space="preserve">If a subscriber’s digital signature is created for a registry instrument or other document in connection with a conveyancing transaction, then — </w:t>
      </w:r>
    </w:p>
    <w:p>
      <w:pPr>
        <w:pStyle w:val="Indenta"/>
      </w:pPr>
      <w:r>
        <w:tab/>
        <w:t>(a)</w:t>
      </w:r>
      <w:r>
        <w:tab/>
        <w:t>unless that subscriber repudiates that digital signature, that registry instrument or other document is to be taken to be signed by that subscriber; and</w:t>
      </w:r>
    </w:p>
    <w:p>
      <w:pPr>
        <w:pStyle w:val="Indenta"/>
      </w:pPr>
      <w:r>
        <w:tab/>
        <w:t>(b)</w:t>
      </w:r>
      <w:r>
        <w:tab/>
        <w:t xml:space="preserve">unless that subscriber repudiates that digital signature, that digital signature is binding, in relation to that registry instrument or other document, on — </w:t>
      </w:r>
    </w:p>
    <w:p>
      <w:pPr>
        <w:pStyle w:val="Indenti"/>
      </w:pPr>
      <w:r>
        <w:tab/>
        <w:t>(i)</w:t>
      </w:r>
      <w:r>
        <w:tab/>
        <w:t>that subscriber; and</w:t>
      </w:r>
    </w:p>
    <w:p>
      <w:pPr>
        <w:pStyle w:val="Indenti"/>
      </w:pPr>
      <w:r>
        <w:tab/>
        <w:t>(ii)</w:t>
      </w:r>
      <w:r>
        <w:tab/>
        <w:t>all other persons (if any) for whom that subscriber acts under a client authorisation with respect to that conveyancing transaction;</w:t>
      </w:r>
    </w:p>
    <w:p>
      <w:pPr>
        <w:pStyle w:val="Indenta"/>
      </w:pPr>
      <w:r>
        <w:tab/>
      </w:r>
      <w:r>
        <w:tab/>
        <w:t>and</w:t>
      </w:r>
    </w:p>
    <w:p>
      <w:pPr>
        <w:pStyle w:val="Indenta"/>
      </w:pPr>
      <w:r>
        <w:tab/>
        <w:t>(c)</w:t>
      </w:r>
      <w:r>
        <w:tab/>
        <w:t xml:space="preserve">unless that subscriber repudiates that digital signature, that digital signature is binding, in relation to that registry instrument or other document, for the benefit of — </w:t>
      </w:r>
    </w:p>
    <w:p>
      <w:pPr>
        <w:pStyle w:val="Indenti"/>
      </w:pPr>
      <w:r>
        <w:tab/>
        <w:t>(i)</w:t>
      </w:r>
      <w:r>
        <w:tab/>
        <w:t>each of the parties to that conveyancing transaction; and</w:t>
      </w:r>
    </w:p>
    <w:p>
      <w:pPr>
        <w:pStyle w:val="Indenti"/>
      </w:pPr>
      <w:r>
        <w:tab/>
        <w:t>(ii)</w:t>
      </w:r>
      <w:r>
        <w:tab/>
        <w:t>each subscriber who acts under a client authorisation with respect to that conveyancing transaction; and</w:t>
      </w:r>
    </w:p>
    <w:p>
      <w:pPr>
        <w:pStyle w:val="Indenti"/>
      </w:pPr>
      <w:r>
        <w:tab/>
        <w:t>(iii)</w:t>
      </w:r>
      <w:r>
        <w:tab/>
        <w:t>any person claiming through or under any person to whom subparagraph (i) applies; and</w:t>
      </w:r>
    </w:p>
    <w:p>
      <w:pPr>
        <w:pStyle w:val="Indenti"/>
      </w:pPr>
      <w:r>
        <w:tab/>
        <w:t>(iv)</w:t>
      </w:r>
      <w:r>
        <w:tab/>
        <w:t>the Authority, the Registrar and the Commissioner, once that registry instrument or other document is lodged electronically in accordance with section 7;</w:t>
      </w:r>
    </w:p>
    <w:p>
      <w:pPr>
        <w:pStyle w:val="Indenta"/>
      </w:pPr>
      <w:r>
        <w:tab/>
      </w:r>
      <w:r>
        <w:tab/>
        <w:t>and</w:t>
      </w:r>
    </w:p>
    <w:p>
      <w:pPr>
        <w:pStyle w:val="Indenta"/>
      </w:pPr>
      <w:r>
        <w:tab/>
        <w:t>(d)</w:t>
      </w:r>
      <w:r>
        <w:tab/>
        <w:t>that subscriber cannot repudiate that digital signature except in the circumstances set out in subsection (4).</w:t>
      </w:r>
    </w:p>
    <w:p>
      <w:pPr>
        <w:pStyle w:val="Subsection"/>
        <w:spacing w:before="100"/>
      </w:pPr>
      <w:r>
        <w:tab/>
        <w:t>(2)</w:t>
      </w:r>
      <w:r>
        <w:tab/>
        <w:t xml:space="preserve">Subsection (1) applies regardless of — </w:t>
      </w:r>
    </w:p>
    <w:p>
      <w:pPr>
        <w:pStyle w:val="Indenta"/>
      </w:pPr>
      <w:r>
        <w:tab/>
        <w:t>(a)</w:t>
      </w:r>
      <w:r>
        <w:tab/>
        <w:t>who created the subscriber’s digital signature; and</w:t>
      </w:r>
    </w:p>
    <w:p>
      <w:pPr>
        <w:pStyle w:val="Indenta"/>
      </w:pPr>
      <w:r>
        <w:tab/>
        <w:t>(b)</w:t>
      </w:r>
      <w:r>
        <w:tab/>
        <w:t>the circumstances (including fraud) in which the subscriber’s digital signature was created.</w:t>
      </w:r>
    </w:p>
    <w:p>
      <w:pPr>
        <w:pStyle w:val="Subsection"/>
        <w:spacing w:before="100"/>
      </w:pPr>
      <w:r>
        <w:tab/>
        <w:t>(3)</w:t>
      </w:r>
      <w:r>
        <w:tab/>
        <w:t>Subsection (1) does not prevent the unsigning of a registry instrument or other document.</w:t>
      </w:r>
    </w:p>
    <w:p>
      <w:pPr>
        <w:pStyle w:val="Subsection"/>
        <w:spacing w:before="100"/>
      </w:pPr>
      <w:r>
        <w:tab/>
        <w:t>(4)</w:t>
      </w:r>
      <w:r>
        <w:tab/>
        <w:t xml:space="preserve">Despite subsections (1) and (2), a subscriber can repudiate the subscriber’s digital signature with respect to a registry instrument or other document if the subscriber establishes — </w:t>
      </w:r>
    </w:p>
    <w:p>
      <w:pPr>
        <w:pStyle w:val="Indenta"/>
      </w:pPr>
      <w:r>
        <w:tab/>
        <w:t>(a)</w:t>
      </w:r>
      <w:r>
        <w:tab/>
        <w:t>that the digital signature was not created by the subscriber; and</w:t>
      </w:r>
    </w:p>
    <w:p>
      <w:pPr>
        <w:pStyle w:val="Indenta"/>
      </w:pPr>
      <w:r>
        <w:tab/>
        <w:t>(b)</w:t>
      </w:r>
      <w:r>
        <w:tab/>
        <w:t xml:space="preserve">that the digital signature was not created by a person who, at the time the subscriber’s digital signature was created for the registry instrument or other document — </w:t>
      </w:r>
    </w:p>
    <w:p>
      <w:pPr>
        <w:pStyle w:val="Indenti"/>
      </w:pPr>
      <w:r>
        <w:tab/>
        <w:t>(i)</w:t>
      </w:r>
      <w:r>
        <w:tab/>
        <w:t>was an employee, agent, contractor or officer (however described) of the subscriber; and</w:t>
      </w:r>
    </w:p>
    <w:p>
      <w:pPr>
        <w:pStyle w:val="Indenti"/>
      </w:pPr>
      <w:r>
        <w:tab/>
        <w:t>(ii)</w:t>
      </w:r>
      <w:r>
        <w:tab/>
        <w:t>had the subscriber’s express or implied authority to create the subscriber’s digital signature for any document or documents;</w:t>
      </w:r>
    </w:p>
    <w:p>
      <w:pPr>
        <w:pStyle w:val="Indenta"/>
      </w:pPr>
      <w:r>
        <w:tab/>
      </w:r>
      <w:r>
        <w:tab/>
        <w:t>and</w:t>
      </w:r>
    </w:p>
    <w:p>
      <w:pPr>
        <w:pStyle w:val="Indenta"/>
      </w:pPr>
      <w:r>
        <w:tab/>
        <w:t>(c)</w:t>
      </w:r>
      <w:r>
        <w:tab/>
        <w:t xml:space="preserve">that neither of the following enabled the subscriber’s digital signature to be created for the registry instrument or other document — </w:t>
      </w:r>
    </w:p>
    <w:p>
      <w:pPr>
        <w:pStyle w:val="Indenti"/>
      </w:pPr>
      <w:r>
        <w:tab/>
        <w:t>(i)</w:t>
      </w:r>
      <w:r>
        <w:tab/>
        <w:t>a failure by the subscriber, or any of the subscriber’s employees, agents, contractors or officers, to fully comply with the requirements of the participation rules;</w:t>
      </w:r>
    </w:p>
    <w:p>
      <w:pPr>
        <w:pStyle w:val="Indenti"/>
      </w:pPr>
      <w:r>
        <w:tab/>
        <w:t>(ii)</w:t>
      </w:r>
      <w:r>
        <w:tab/>
        <w:t>a failure by the subscriber, or any of the subscriber’s employees, agents, contractors or officers, to take reasonable care.</w:t>
      </w:r>
    </w:p>
    <w:p>
      <w:pPr>
        <w:pStyle w:val="Subsection"/>
      </w:pPr>
      <w:r>
        <w:tab/>
        <w:t>(5)</w:t>
      </w:r>
      <w:r>
        <w:tab/>
        <w:t xml:space="preserve">For the purposes of subsection (4)(b)(ii), it does not matter whether the authority was — </w:t>
      </w:r>
    </w:p>
    <w:p>
      <w:pPr>
        <w:pStyle w:val="Indenta"/>
      </w:pPr>
      <w:r>
        <w:tab/>
        <w:t>(a)</w:t>
      </w:r>
      <w:r>
        <w:tab/>
        <w:t>general; or</w:t>
      </w:r>
    </w:p>
    <w:p>
      <w:pPr>
        <w:pStyle w:val="Indenta"/>
      </w:pPr>
      <w:r>
        <w:tab/>
        <w:t>(b)</w:t>
      </w:r>
      <w:r>
        <w:tab/>
        <w:t>limited or restricted to documents of a particular class or to a particular document or in any other way.</w:t>
      </w:r>
    </w:p>
    <w:p>
      <w:pPr>
        <w:pStyle w:val="Heading2"/>
      </w:pPr>
      <w:bookmarkStart w:id="92" w:name="_Toc389042130"/>
      <w:bookmarkStart w:id="93" w:name="_Toc389125996"/>
      <w:bookmarkStart w:id="94" w:name="_Toc416783415"/>
      <w:bookmarkStart w:id="95" w:name="_Toc416783607"/>
      <w:r>
        <w:rPr>
          <w:rStyle w:val="CharPartNo"/>
        </w:rPr>
        <w:t>Part 3</w:t>
      </w:r>
      <w:r>
        <w:t> — </w:t>
      </w:r>
      <w:r>
        <w:rPr>
          <w:rStyle w:val="CharPartText"/>
        </w:rPr>
        <w:t>Electronic Lodgment Networks</w:t>
      </w:r>
      <w:bookmarkEnd w:id="92"/>
      <w:bookmarkEnd w:id="93"/>
      <w:bookmarkEnd w:id="94"/>
      <w:bookmarkEnd w:id="95"/>
    </w:p>
    <w:p>
      <w:pPr>
        <w:pStyle w:val="Heading3"/>
        <w:rPr>
          <w:rStyle w:val="CharDivText"/>
        </w:rPr>
      </w:pPr>
      <w:bookmarkStart w:id="96" w:name="_Toc389042131"/>
      <w:bookmarkStart w:id="97" w:name="_Toc389125997"/>
      <w:bookmarkStart w:id="98" w:name="_Toc416783416"/>
      <w:bookmarkStart w:id="99" w:name="_Toc416783608"/>
      <w:r>
        <w:rPr>
          <w:rStyle w:val="CharDivNo"/>
        </w:rPr>
        <w:t>Division 1</w:t>
      </w:r>
      <w:r>
        <w:t> — </w:t>
      </w:r>
      <w:r>
        <w:rPr>
          <w:rStyle w:val="CharDivText"/>
        </w:rPr>
        <w:t>Preliminary</w:t>
      </w:r>
      <w:bookmarkEnd w:id="96"/>
      <w:bookmarkEnd w:id="97"/>
      <w:bookmarkEnd w:id="98"/>
      <w:bookmarkEnd w:id="99"/>
    </w:p>
    <w:p>
      <w:pPr>
        <w:pStyle w:val="Heading5"/>
      </w:pPr>
      <w:bookmarkStart w:id="100" w:name="_Toc389125998"/>
      <w:bookmarkStart w:id="101" w:name="_Toc416783609"/>
      <w:r>
        <w:rPr>
          <w:rStyle w:val="CharSectno"/>
        </w:rPr>
        <w:t>13</w:t>
      </w:r>
      <w:r>
        <w:t>.</w:t>
      </w:r>
      <w:r>
        <w:tab/>
        <w:t>Electronic Lodgment Network (cf. ECNL s. 13)</w:t>
      </w:r>
      <w:bookmarkEnd w:id="100"/>
      <w:bookmarkEnd w:id="101"/>
    </w:p>
    <w:p>
      <w:pPr>
        <w:pStyle w:val="Subsection"/>
      </w:pPr>
      <w:r>
        <w:tab/>
        <w:t>(1)</w:t>
      </w:r>
      <w:r>
        <w:tab/>
        <w:t>An Electronic Lodgment Network (</w:t>
      </w:r>
      <w:r>
        <w:rPr>
          <w:rStyle w:val="CharDefText"/>
        </w:rPr>
        <w:t>ELN</w:t>
      </w:r>
      <w:r>
        <w:t>) is an electronic system that enables the lodging of registry instruments and other documents in electronic form for the purposes of the land titles legislation.</w:t>
      </w:r>
    </w:p>
    <w:p>
      <w:pPr>
        <w:pStyle w:val="Subsection"/>
      </w:pPr>
      <w:r>
        <w:tab/>
        <w:t>(2)</w:t>
      </w:r>
      <w:r>
        <w:tab/>
        <w:t>An ELN may also enable the preparation of registry instruments and other documents in electronic form for lodging under the land titles legislation.</w:t>
      </w:r>
    </w:p>
    <w:p>
      <w:pPr>
        <w:pStyle w:val="Heading3"/>
      </w:pPr>
      <w:bookmarkStart w:id="102" w:name="_Toc389042133"/>
      <w:bookmarkStart w:id="103" w:name="_Toc389125999"/>
      <w:bookmarkStart w:id="104" w:name="_Toc416783418"/>
      <w:bookmarkStart w:id="105" w:name="_Toc416783610"/>
      <w:r>
        <w:rPr>
          <w:rStyle w:val="CharDivNo"/>
        </w:rPr>
        <w:t>Division 2</w:t>
      </w:r>
      <w:r>
        <w:t> — </w:t>
      </w:r>
      <w:r>
        <w:rPr>
          <w:rStyle w:val="CharDivText"/>
        </w:rPr>
        <w:t>Operation of Electronic Lodgment Networks</w:t>
      </w:r>
      <w:bookmarkEnd w:id="102"/>
      <w:bookmarkEnd w:id="103"/>
      <w:bookmarkEnd w:id="104"/>
      <w:bookmarkEnd w:id="105"/>
    </w:p>
    <w:p>
      <w:pPr>
        <w:pStyle w:val="Heading5"/>
      </w:pPr>
      <w:bookmarkStart w:id="106" w:name="_Toc389126000"/>
      <w:bookmarkStart w:id="107" w:name="_Toc416783611"/>
      <w:r>
        <w:rPr>
          <w:rStyle w:val="CharSectno"/>
        </w:rPr>
        <w:t>14</w:t>
      </w:r>
      <w:r>
        <w:t>.</w:t>
      </w:r>
      <w:r>
        <w:tab/>
        <w:t>Authority may provide and operate ELN (cf. ECNL s. 14)</w:t>
      </w:r>
      <w:bookmarkEnd w:id="106"/>
      <w:bookmarkEnd w:id="107"/>
    </w:p>
    <w:p>
      <w:pPr>
        <w:pStyle w:val="Subsection"/>
      </w:pPr>
      <w:r>
        <w:tab/>
      </w:r>
      <w:r>
        <w:tab/>
        <w:t>The Authority may provide and operate an ELN.</w:t>
      </w:r>
    </w:p>
    <w:p>
      <w:pPr>
        <w:pStyle w:val="Heading5"/>
      </w:pPr>
      <w:bookmarkStart w:id="108" w:name="_Toc389126001"/>
      <w:bookmarkStart w:id="109" w:name="_Toc416783612"/>
      <w:r>
        <w:rPr>
          <w:rStyle w:val="CharSectno"/>
        </w:rPr>
        <w:t>15</w:t>
      </w:r>
      <w:r>
        <w:t>.</w:t>
      </w:r>
      <w:r>
        <w:tab/>
        <w:t>Authority may approve ELNO to provide and operate ELN (cf. ECNL s. 15)</w:t>
      </w:r>
      <w:bookmarkEnd w:id="108"/>
      <w:bookmarkEnd w:id="109"/>
    </w:p>
    <w:p>
      <w:pPr>
        <w:pStyle w:val="Subsection"/>
      </w:pPr>
      <w:r>
        <w:tab/>
        <w:t>(1)</w:t>
      </w:r>
      <w:r>
        <w:tab/>
        <w:t>The Authority may approve a person as an Electronic Lodgment Network Operator (</w:t>
      </w:r>
      <w:r>
        <w:rPr>
          <w:rStyle w:val="CharDefText"/>
        </w:rPr>
        <w:t>ELNO</w:t>
      </w:r>
      <w:r>
        <w:t>) to provide and operate an ELN.</w:t>
      </w:r>
    </w:p>
    <w:p>
      <w:pPr>
        <w:pStyle w:val="Subsection"/>
      </w:pPr>
      <w:r>
        <w:tab/>
        <w:t>(2)</w:t>
      </w:r>
      <w:r>
        <w:tab/>
        <w:t>The Authority must not approve a person under this section unless the person meets the qualifications for approval set out in the operating requirements.</w:t>
      </w:r>
    </w:p>
    <w:p>
      <w:pPr>
        <w:pStyle w:val="Subsection"/>
      </w:pPr>
      <w:r>
        <w:tab/>
        <w:t>(3)</w:t>
      </w:r>
      <w:r>
        <w:tab/>
        <w:t>An approval under this section must be in writing and must state the period for which it is to have effect.</w:t>
      </w:r>
    </w:p>
    <w:p>
      <w:pPr>
        <w:pStyle w:val="Subsection"/>
      </w:pPr>
      <w:r>
        <w:tab/>
        <w:t>(4)</w:t>
      </w:r>
      <w:r>
        <w:tab/>
        <w:t>The Authority may grant more than one approval under this section.</w:t>
      </w:r>
    </w:p>
    <w:p>
      <w:pPr>
        <w:pStyle w:val="Heading5"/>
      </w:pPr>
      <w:bookmarkStart w:id="110" w:name="_Toc389126002"/>
      <w:bookmarkStart w:id="111" w:name="_Toc416783613"/>
      <w:r>
        <w:rPr>
          <w:rStyle w:val="CharSectno"/>
        </w:rPr>
        <w:t>16</w:t>
      </w:r>
      <w:r>
        <w:t>.</w:t>
      </w:r>
      <w:r>
        <w:tab/>
        <w:t>Conditions of approval as ELNO (cf. ECNL s. 16)</w:t>
      </w:r>
      <w:bookmarkEnd w:id="110"/>
      <w:bookmarkEnd w:id="111"/>
    </w:p>
    <w:p>
      <w:pPr>
        <w:pStyle w:val="Subsection"/>
      </w:pPr>
      <w:r>
        <w:tab/>
        <w:t>(1)</w:t>
      </w:r>
      <w:r>
        <w:tab/>
        <w:t>The Authority may attach conditions to an approval under section 15, and those conditions must be specified in the approval.</w:t>
      </w:r>
    </w:p>
    <w:p>
      <w:pPr>
        <w:pStyle w:val="Subsection"/>
      </w:pPr>
      <w:r>
        <w:tab/>
        <w:t>(2)</w:t>
      </w:r>
      <w:r>
        <w:tab/>
        <w:t>The Authority may at any time, by notice in writing to the ELNO, vary or revoke the conditions attached to the approval of that ELNO or attach new or additional conditions.</w:t>
      </w:r>
    </w:p>
    <w:p>
      <w:pPr>
        <w:pStyle w:val="Heading5"/>
      </w:pPr>
      <w:bookmarkStart w:id="112" w:name="_Toc389126003"/>
      <w:bookmarkStart w:id="113" w:name="_Toc416783614"/>
      <w:r>
        <w:rPr>
          <w:rStyle w:val="CharSectno"/>
        </w:rPr>
        <w:t>17</w:t>
      </w:r>
      <w:r>
        <w:t>.</w:t>
      </w:r>
      <w:r>
        <w:tab/>
        <w:t>Effect of approval as ELNO (cf. ECNL s. 17)</w:t>
      </w:r>
      <w:bookmarkEnd w:id="112"/>
      <w:bookmarkEnd w:id="113"/>
    </w:p>
    <w:p>
      <w:pPr>
        <w:pStyle w:val="Subsection"/>
      </w:pPr>
      <w:r>
        <w:tab/>
        <w:t>(1)</w:t>
      </w:r>
      <w:r>
        <w:tab/>
        <w:t xml:space="preserve">A person who is approved as an ELNO under section 15 may provide and operate an ELN — </w:t>
      </w:r>
    </w:p>
    <w:p>
      <w:pPr>
        <w:pStyle w:val="Indenta"/>
      </w:pPr>
      <w:r>
        <w:tab/>
        <w:t>(a)</w:t>
      </w:r>
      <w:r>
        <w:tab/>
        <w:t>for the period stated in the approval; and</w:t>
      </w:r>
    </w:p>
    <w:p>
      <w:pPr>
        <w:pStyle w:val="Indenta"/>
      </w:pPr>
      <w:r>
        <w:tab/>
        <w:t>(b)</w:t>
      </w:r>
      <w:r>
        <w:tab/>
        <w:t>subject to the conditions (if any) attached to the approval; and</w:t>
      </w:r>
    </w:p>
    <w:p>
      <w:pPr>
        <w:pStyle w:val="Indenta"/>
      </w:pPr>
      <w:r>
        <w:tab/>
        <w:t>(c)</w:t>
      </w:r>
      <w:r>
        <w:tab/>
        <w:t>in accordance with the operating requirements.</w:t>
      </w:r>
    </w:p>
    <w:p>
      <w:pPr>
        <w:pStyle w:val="Subsection"/>
      </w:pPr>
      <w:r>
        <w:tab/>
        <w:t>(2)</w:t>
      </w:r>
      <w:r>
        <w:tab/>
        <w:t>Subsection (1) is subject to sections 19 and 20.</w:t>
      </w:r>
    </w:p>
    <w:p>
      <w:pPr>
        <w:pStyle w:val="Subsection"/>
      </w:pPr>
      <w:r>
        <w:tab/>
        <w:t>(3)</w:t>
      </w:r>
      <w:r>
        <w:tab/>
        <w:t>In performing functions as an ELNO, a person approved under section 15 is not and does not represent the State, and is not an agent of the State.</w:t>
      </w:r>
    </w:p>
    <w:p>
      <w:pPr>
        <w:pStyle w:val="Subsection"/>
      </w:pPr>
      <w:r>
        <w:tab/>
        <w:t>(4)</w:t>
      </w:r>
      <w:r>
        <w:tab/>
        <w:t>The approval of a person as an ELNO does not restrict or prevent the provision, by that person, of services additional to those provided by the ELN.</w:t>
      </w:r>
    </w:p>
    <w:p>
      <w:pPr>
        <w:pStyle w:val="Subsection"/>
      </w:pPr>
      <w:r>
        <w:tab/>
        <w:t>(5)</w:t>
      </w:r>
      <w:r>
        <w:tab/>
        <w:t>Subsection (4) is subject to the operating requirements.</w:t>
      </w:r>
    </w:p>
    <w:p>
      <w:pPr>
        <w:pStyle w:val="Heading5"/>
      </w:pPr>
      <w:bookmarkStart w:id="114" w:name="_Toc389126004"/>
      <w:bookmarkStart w:id="115" w:name="_Toc416783615"/>
      <w:r>
        <w:rPr>
          <w:rStyle w:val="CharSectno"/>
        </w:rPr>
        <w:t>18</w:t>
      </w:r>
      <w:r>
        <w:t>.</w:t>
      </w:r>
      <w:r>
        <w:tab/>
        <w:t>ELNO required to comply with operating requirements (cf. ECNL s. 18)</w:t>
      </w:r>
      <w:bookmarkEnd w:id="114"/>
      <w:bookmarkEnd w:id="115"/>
    </w:p>
    <w:p>
      <w:pPr>
        <w:pStyle w:val="Subsection"/>
      </w:pPr>
      <w:r>
        <w:tab/>
      </w:r>
      <w:r>
        <w:tab/>
        <w:t>A person approved as an ELNO under section 15 must comply with the operating requirements.</w:t>
      </w:r>
    </w:p>
    <w:p>
      <w:pPr>
        <w:pStyle w:val="Heading5"/>
      </w:pPr>
      <w:bookmarkStart w:id="116" w:name="_Toc389126005"/>
      <w:bookmarkStart w:id="117" w:name="_Toc416783616"/>
      <w:r>
        <w:rPr>
          <w:rStyle w:val="CharSectno"/>
        </w:rPr>
        <w:t>19</w:t>
      </w:r>
      <w:r>
        <w:t>.</w:t>
      </w:r>
      <w:r>
        <w:tab/>
        <w:t>Renewal of approval as ELNO (cf. ECNL s. 19)</w:t>
      </w:r>
      <w:bookmarkEnd w:id="116"/>
      <w:bookmarkEnd w:id="117"/>
    </w:p>
    <w:p>
      <w:pPr>
        <w:pStyle w:val="Subsection"/>
      </w:pPr>
      <w:r>
        <w:tab/>
        <w:t>(1)</w:t>
      </w:r>
      <w:r>
        <w:tab/>
        <w:t>The Authority may renew an approval of a person as an ELNO under section 15 if the Authority is satisfied that the person continues to meet the qualifications for approval set out in the operating requirements.</w:t>
      </w:r>
    </w:p>
    <w:p>
      <w:pPr>
        <w:pStyle w:val="Subsection"/>
      </w:pPr>
      <w:r>
        <w:tab/>
        <w:t>(2)</w:t>
      </w:r>
      <w:r>
        <w:tab/>
        <w:t>The renewal of an approval under this section must be in writing and must state the period for which the renewal is to have effect.</w:t>
      </w:r>
    </w:p>
    <w:p>
      <w:pPr>
        <w:pStyle w:val="Subsection"/>
      </w:pPr>
      <w:r>
        <w:tab/>
        <w:t>(3)</w:t>
      </w:r>
      <w:r>
        <w:tab/>
        <w:t>In renewing an approval, the Authority may exercise the powers in section 16 to attach conditions to the approval or vary or revoke conditions attached to the approval.</w:t>
      </w:r>
    </w:p>
    <w:p>
      <w:pPr>
        <w:pStyle w:val="Heading5"/>
      </w:pPr>
      <w:bookmarkStart w:id="118" w:name="_Toc389126006"/>
      <w:bookmarkStart w:id="119" w:name="_Toc416783617"/>
      <w:r>
        <w:rPr>
          <w:rStyle w:val="CharSectno"/>
        </w:rPr>
        <w:t>20</w:t>
      </w:r>
      <w:r>
        <w:t>.</w:t>
      </w:r>
      <w:r>
        <w:tab/>
        <w:t>Revocation or suspension of approval as ELNO (cf. ECNL s. 20)</w:t>
      </w:r>
      <w:bookmarkEnd w:id="118"/>
      <w:bookmarkEnd w:id="119"/>
    </w:p>
    <w:p>
      <w:pPr>
        <w:pStyle w:val="Subsection"/>
      </w:pPr>
      <w:r>
        <w:tab/>
      </w:r>
      <w:r>
        <w:tab/>
        <w:t>The Authority may revoke or suspend the approval of a person as an ELNO in the circumstances set out in the operating requirements.</w:t>
      </w:r>
    </w:p>
    <w:p>
      <w:pPr>
        <w:pStyle w:val="Heading5"/>
      </w:pPr>
      <w:bookmarkStart w:id="120" w:name="_Toc389126007"/>
      <w:bookmarkStart w:id="121" w:name="_Toc416783618"/>
      <w:r>
        <w:rPr>
          <w:rStyle w:val="CharSectno"/>
        </w:rPr>
        <w:t>21</w:t>
      </w:r>
      <w:r>
        <w:t>.</w:t>
      </w:r>
      <w:r>
        <w:tab/>
        <w:t>Monitoring of activities in ELN (cf. ECNL s. 21)</w:t>
      </w:r>
      <w:bookmarkEnd w:id="120"/>
      <w:bookmarkEnd w:id="121"/>
    </w:p>
    <w:p>
      <w:pPr>
        <w:pStyle w:val="Subsection"/>
      </w:pPr>
      <w:r>
        <w:tab/>
        <w:t>(1)</w:t>
      </w:r>
      <w:r>
        <w:tab/>
        <w:t>The Authority, the Registrar and the Commissioner or any of them may monitor activities in an ELN for any purpose, including (without limitation) for the purpose of maintaining the integrity of the titles register.</w:t>
      </w:r>
    </w:p>
    <w:p>
      <w:pPr>
        <w:pStyle w:val="Subsection"/>
      </w:pPr>
      <w:r>
        <w:tab/>
        <w:t>(2)</w:t>
      </w:r>
      <w:r>
        <w:tab/>
        <w:t>This section does not limit Division 5.</w:t>
      </w:r>
    </w:p>
    <w:p>
      <w:pPr>
        <w:pStyle w:val="Heading3"/>
      </w:pPr>
      <w:bookmarkStart w:id="122" w:name="_Toc389042142"/>
      <w:bookmarkStart w:id="123" w:name="_Toc389126008"/>
      <w:bookmarkStart w:id="124" w:name="_Toc416783427"/>
      <w:bookmarkStart w:id="125" w:name="_Toc416783619"/>
      <w:r>
        <w:rPr>
          <w:rStyle w:val="CharDivNo"/>
        </w:rPr>
        <w:t>Division 3</w:t>
      </w:r>
      <w:r>
        <w:t> — </w:t>
      </w:r>
      <w:r>
        <w:rPr>
          <w:rStyle w:val="CharDivText"/>
        </w:rPr>
        <w:t>Operating requirements and participation rules</w:t>
      </w:r>
      <w:bookmarkEnd w:id="122"/>
      <w:bookmarkEnd w:id="123"/>
      <w:bookmarkEnd w:id="124"/>
      <w:bookmarkEnd w:id="125"/>
    </w:p>
    <w:p>
      <w:pPr>
        <w:pStyle w:val="Heading5"/>
      </w:pPr>
      <w:bookmarkStart w:id="126" w:name="_Toc389126009"/>
      <w:bookmarkStart w:id="127" w:name="_Toc416783620"/>
      <w:r>
        <w:rPr>
          <w:rStyle w:val="CharSectno"/>
        </w:rPr>
        <w:t>22</w:t>
      </w:r>
      <w:r>
        <w:t>.</w:t>
      </w:r>
      <w:r>
        <w:tab/>
        <w:t>Operating requirements for ELNOs (cf. ECNL s. 22)</w:t>
      </w:r>
      <w:bookmarkEnd w:id="126"/>
      <w:bookmarkEnd w:id="127"/>
    </w:p>
    <w:p>
      <w:pPr>
        <w:pStyle w:val="Subsection"/>
      </w:pPr>
      <w:r>
        <w:tab/>
        <w:t>(1)</w:t>
      </w:r>
      <w:r>
        <w:tab/>
        <w:t>The Registrar may determine, in writing, requirements (</w:t>
      </w:r>
      <w:r>
        <w:rPr>
          <w:rStyle w:val="CharDefText"/>
        </w:rPr>
        <w:t>operating requirements</w:t>
      </w:r>
      <w:r>
        <w:t xml:space="preserve">) relating to — </w:t>
      </w:r>
    </w:p>
    <w:p>
      <w:pPr>
        <w:pStyle w:val="Indenta"/>
      </w:pPr>
      <w:r>
        <w:tab/>
        <w:t>(a)</w:t>
      </w:r>
      <w:r>
        <w:tab/>
        <w:t>the operation of an ELNO; and</w:t>
      </w:r>
    </w:p>
    <w:p>
      <w:pPr>
        <w:pStyle w:val="Indenta"/>
      </w:pPr>
      <w:r>
        <w:tab/>
        <w:t>(b)</w:t>
      </w:r>
      <w:r>
        <w:tab/>
        <w:t>the provision and operation, by an ELNO, of an ELN.</w:t>
      </w:r>
    </w:p>
    <w:p>
      <w:pPr>
        <w:pStyle w:val="Subsection"/>
      </w:pPr>
      <w:r>
        <w:tab/>
        <w:t>(2)</w:t>
      </w:r>
      <w:r>
        <w:tab/>
        <w:t xml:space="preserve">The operating requirements may (without limitation) include provisions relating to the following matters — </w:t>
      </w:r>
    </w:p>
    <w:p>
      <w:pPr>
        <w:pStyle w:val="Indenta"/>
      </w:pPr>
      <w:r>
        <w:tab/>
        <w:t>(a)</w:t>
      </w:r>
      <w:r>
        <w:tab/>
        <w:t>the financial standing of an ELNO;</w:t>
      </w:r>
    </w:p>
    <w:p>
      <w:pPr>
        <w:pStyle w:val="Indenta"/>
        <w:keepNext/>
      </w:pPr>
      <w:r>
        <w:tab/>
        <w:t>(b)</w:t>
      </w:r>
      <w:r>
        <w:tab/>
        <w:t xml:space="preserve">compliance with the participation rules, including (without limitation) — </w:t>
      </w:r>
    </w:p>
    <w:p>
      <w:pPr>
        <w:pStyle w:val="Indenti"/>
      </w:pPr>
      <w:r>
        <w:tab/>
        <w:t>(i)</w:t>
      </w:r>
      <w:r>
        <w:tab/>
        <w:t>requiring an ELNO to use a participation agreement when authorising persons to use an ELN; and</w:t>
      </w:r>
    </w:p>
    <w:p>
      <w:pPr>
        <w:pStyle w:val="Indenti"/>
      </w:pPr>
      <w:r>
        <w:tab/>
        <w:t>(ii)</w:t>
      </w:r>
      <w:r>
        <w:tab/>
        <w:t>requiring participation agreements to incorporate the participation rules;</w:t>
      </w:r>
    </w:p>
    <w:p>
      <w:pPr>
        <w:pStyle w:val="Indenta"/>
      </w:pPr>
      <w:r>
        <w:tab/>
        <w:t>(c)</w:t>
      </w:r>
      <w:r>
        <w:tab/>
        <w:t>the technical and operational requirements for an ELN;</w:t>
      </w:r>
    </w:p>
    <w:p>
      <w:pPr>
        <w:pStyle w:val="Indenta"/>
      </w:pPr>
      <w:r>
        <w:tab/>
        <w:t>(d)</w:t>
      </w:r>
      <w:r>
        <w:tab/>
        <w:t>the insurance cover to be held by an ELNO;</w:t>
      </w:r>
    </w:p>
    <w:p>
      <w:pPr>
        <w:pStyle w:val="Indenta"/>
      </w:pPr>
      <w:r>
        <w:tab/>
        <w:t>(e)</w:t>
      </w:r>
      <w:r>
        <w:tab/>
        <w:t>the circumstances in which the Authority may suspend or revoke the approval of a person as an ELNO;</w:t>
      </w:r>
    </w:p>
    <w:p>
      <w:pPr>
        <w:pStyle w:val="Indenta"/>
      </w:pPr>
      <w:r>
        <w:tab/>
        <w:t>(f)</w:t>
      </w:r>
      <w:r>
        <w:tab/>
        <w:t>the giving of directions to an ELNO by the Authority or the Registrar, for example a direction to restrict, suspend or terminate a subscriber’s or other person’s use of an ELN.</w:t>
      </w:r>
    </w:p>
    <w:p>
      <w:pPr>
        <w:pStyle w:val="Heading5"/>
      </w:pPr>
      <w:bookmarkStart w:id="128" w:name="_Toc389126010"/>
      <w:bookmarkStart w:id="129" w:name="_Toc416783621"/>
      <w:r>
        <w:rPr>
          <w:rStyle w:val="CharSectno"/>
        </w:rPr>
        <w:t>23</w:t>
      </w:r>
      <w:r>
        <w:t>.</w:t>
      </w:r>
      <w:r>
        <w:tab/>
        <w:t>Participation rules (cf. ECNL s. 23)</w:t>
      </w:r>
      <w:bookmarkEnd w:id="128"/>
      <w:bookmarkEnd w:id="129"/>
    </w:p>
    <w:p>
      <w:pPr>
        <w:pStyle w:val="Subsection"/>
      </w:pPr>
      <w:r>
        <w:tab/>
        <w:t>(1)</w:t>
      </w:r>
      <w:r>
        <w:tab/>
        <w:t>The Registrar may determine, in writing, rules relating to the use of an ELN (</w:t>
      </w:r>
      <w:r>
        <w:rPr>
          <w:rStyle w:val="CharDefText"/>
        </w:rPr>
        <w:t>participation rules</w:t>
      </w:r>
      <w:r>
        <w:t>).</w:t>
      </w:r>
    </w:p>
    <w:p>
      <w:pPr>
        <w:pStyle w:val="Subsection"/>
      </w:pPr>
      <w:r>
        <w:tab/>
        <w:t>(2)</w:t>
      </w:r>
      <w:r>
        <w:tab/>
        <w:t xml:space="preserve">The participation rules may (without limitation) include provisions relating to the following matters — </w:t>
      </w:r>
    </w:p>
    <w:p>
      <w:pPr>
        <w:pStyle w:val="Indenta"/>
      </w:pPr>
      <w:r>
        <w:tab/>
        <w:t>(a)</w:t>
      </w:r>
      <w:r>
        <w:tab/>
        <w:t>the eligibility criteria for subscribers;</w:t>
      </w:r>
    </w:p>
    <w:p>
      <w:pPr>
        <w:pStyle w:val="Indenta"/>
      </w:pPr>
      <w:r>
        <w:tab/>
        <w:t>(b)</w:t>
      </w:r>
      <w:r>
        <w:tab/>
        <w:t>the obligations of subscribers, including (without limitation) any representations or warranties they are required to give;</w:t>
      </w:r>
    </w:p>
    <w:p>
      <w:pPr>
        <w:pStyle w:val="Indenta"/>
      </w:pPr>
      <w:r>
        <w:tab/>
        <w:t>(c)</w:t>
      </w:r>
      <w:r>
        <w:tab/>
        <w:t>the circumstances in which a subscriber’s authority to use the ELN may be restricted, suspended or terminated;</w:t>
      </w:r>
    </w:p>
    <w:p>
      <w:pPr>
        <w:pStyle w:val="Indenta"/>
      </w:pPr>
      <w:r>
        <w:tab/>
        <w:t>(d)</w:t>
      </w:r>
      <w:r>
        <w:tab/>
        <w:t>client authorisations;</w:t>
      </w:r>
    </w:p>
    <w:p>
      <w:pPr>
        <w:pStyle w:val="Indenta"/>
      </w:pPr>
      <w:r>
        <w:tab/>
        <w:t>(e)</w:t>
      </w:r>
      <w:r>
        <w:tab/>
        <w:t>the obligations of subscribers to verify the identity of their clients;</w:t>
      </w:r>
    </w:p>
    <w:p>
      <w:pPr>
        <w:pStyle w:val="Indenta"/>
      </w:pPr>
      <w:r>
        <w:tab/>
        <w:t>(f)</w:t>
      </w:r>
      <w:r>
        <w:tab/>
        <w:t>the certification of registry instruments and other documents for use in connection with the ELN;</w:t>
      </w:r>
    </w:p>
    <w:p>
      <w:pPr>
        <w:pStyle w:val="Indenta"/>
      </w:pPr>
      <w:r>
        <w:tab/>
        <w:t>(g)</w:t>
      </w:r>
      <w:r>
        <w:tab/>
        <w:t>digital signing;</w:t>
      </w:r>
    </w:p>
    <w:p>
      <w:pPr>
        <w:pStyle w:val="Indenta"/>
      </w:pPr>
      <w:r>
        <w:tab/>
        <w:t>(h)</w:t>
      </w:r>
      <w:r>
        <w:tab/>
        <w:t>the retention of documents created or obtained in connection with a subscriber’s use of an ELN;</w:t>
      </w:r>
    </w:p>
    <w:p>
      <w:pPr>
        <w:pStyle w:val="Indenta"/>
      </w:pPr>
      <w:r>
        <w:tab/>
        <w:t>(i)</w:t>
      </w:r>
      <w:r>
        <w:tab/>
        <w:t>compliance by subscribers with the participation rules, including (without limitation) how subscribers demonstrate compliance with the rules, the procedures for notifying non</w:t>
      </w:r>
      <w:r>
        <w:noBreakHyphen/>
        <w:t>compliance and how non</w:t>
      </w:r>
      <w:r>
        <w:noBreakHyphen/>
        <w:t>compliance may be remedied.</w:t>
      </w:r>
    </w:p>
    <w:p>
      <w:pPr>
        <w:pStyle w:val="Heading5"/>
      </w:pPr>
      <w:bookmarkStart w:id="130" w:name="_Toc389126011"/>
      <w:bookmarkStart w:id="131" w:name="_Toc416783622"/>
      <w:r>
        <w:rPr>
          <w:rStyle w:val="CharSectno"/>
        </w:rPr>
        <w:t>24</w:t>
      </w:r>
      <w:r>
        <w:t>.</w:t>
      </w:r>
      <w:r>
        <w:tab/>
        <w:t>Registrar to have regard to nationally agreed model operating requirements and participation rules (cf. ECNL s. 24)</w:t>
      </w:r>
      <w:bookmarkEnd w:id="130"/>
      <w:bookmarkEnd w:id="131"/>
    </w:p>
    <w:p>
      <w:pPr>
        <w:pStyle w:val="Subsection"/>
      </w:pPr>
      <w:r>
        <w:tab/>
        <w:t>(1)</w:t>
      </w:r>
      <w:r>
        <w:tab/>
        <w:t xml:space="preserve">In this section — </w:t>
      </w:r>
    </w:p>
    <w:p>
      <w:pPr>
        <w:pStyle w:val="Defstart"/>
      </w:pPr>
      <w:r>
        <w:tab/>
      </w:r>
      <w:r>
        <w:rPr>
          <w:rStyle w:val="CharDefText"/>
        </w:rPr>
        <w:t>model provisions</w:t>
      </w:r>
      <w:r>
        <w:t xml:space="preserve"> means any model operating requirements or model participation rules from time to time developed and published by ARNECC.</w:t>
      </w:r>
    </w:p>
    <w:p>
      <w:pPr>
        <w:pStyle w:val="Subsection"/>
      </w:pPr>
      <w:r>
        <w:tab/>
        <w:t>(2)</w:t>
      </w:r>
      <w:r>
        <w:tab/>
        <w:t>In determining operating requirements and participation rules under this Act, and in determining changes to those requirements or rules, the Registrar must have regard to the desirability of maintaining consistency with any model provisions.</w:t>
      </w:r>
    </w:p>
    <w:p>
      <w:pPr>
        <w:pStyle w:val="Heading5"/>
      </w:pPr>
      <w:bookmarkStart w:id="132" w:name="_Toc389126012"/>
      <w:bookmarkStart w:id="133" w:name="_Toc416783623"/>
      <w:r>
        <w:rPr>
          <w:rStyle w:val="CharSectno"/>
        </w:rPr>
        <w:t>25</w:t>
      </w:r>
      <w:r>
        <w:t>.</w:t>
      </w:r>
      <w:r>
        <w:tab/>
        <w:t>Publication of operating requirements and participation rules (cf. ECNL s. 25)</w:t>
      </w:r>
      <w:bookmarkEnd w:id="132"/>
      <w:bookmarkEnd w:id="133"/>
    </w:p>
    <w:p>
      <w:pPr>
        <w:pStyle w:val="Subsection"/>
      </w:pPr>
      <w:r>
        <w:tab/>
        <w:t>(1)</w:t>
      </w:r>
      <w:r>
        <w:tab/>
        <w:t xml:space="preserve">The Registrar must ensure that the following are publicly available — </w:t>
      </w:r>
    </w:p>
    <w:p>
      <w:pPr>
        <w:pStyle w:val="Indenta"/>
      </w:pPr>
      <w:r>
        <w:tab/>
        <w:t>(a)</w:t>
      </w:r>
      <w:r>
        <w:tab/>
        <w:t>the current operating requirements and participation rules;</w:t>
      </w:r>
    </w:p>
    <w:p>
      <w:pPr>
        <w:pStyle w:val="Indenta"/>
      </w:pPr>
      <w:r>
        <w:tab/>
        <w:t>(b)</w:t>
      </w:r>
      <w:r>
        <w:tab/>
        <w:t>all superseded versions of the operating requirements and participation rules.</w:t>
      </w:r>
    </w:p>
    <w:p>
      <w:pPr>
        <w:pStyle w:val="Subsection"/>
      </w:pPr>
      <w:r>
        <w:tab/>
        <w:t>(2)</w:t>
      </w:r>
      <w:r>
        <w:tab/>
        <w:t>The operating requirements and participation rules, and any changes to either of them, must be made publicly available at least 20 business days before the operating requirements or participation rules or, as the case requires, the changes to them take effect.</w:t>
      </w:r>
    </w:p>
    <w:p>
      <w:pPr>
        <w:pStyle w:val="Subsection"/>
      </w:pPr>
      <w:r>
        <w:tab/>
        <w:t>(3)</w:t>
      </w:r>
      <w:r>
        <w:tab/>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pPr>
        <w:pStyle w:val="Subsection"/>
      </w:pPr>
      <w:r>
        <w:tab/>
        <w:t>(4)</w:t>
      </w:r>
      <w:r>
        <w:tab/>
        <w:t>For the purposes of subsection (3), an emergency situation exists if the Authority, the Registrar or the Commissioner considers that, because of the occurrence of an event or the existence of particular circumstances, the operation, security, integrity or stability of an ELN or the titles register or the land titles system is being, or is likely to be, jeopardised.</w:t>
      </w:r>
    </w:p>
    <w:p>
      <w:pPr>
        <w:pStyle w:val="Subsection"/>
      </w:pPr>
      <w:r>
        <w:tab/>
        <w:t>(5)</w:t>
      </w:r>
      <w:r>
        <w:tab/>
        <w:t>Documents may be made publicly available in accordance with this section in any manner the Registrar considers appropriate, including (without limitation) by means of a website.</w:t>
      </w:r>
    </w:p>
    <w:p>
      <w:pPr>
        <w:pStyle w:val="Subsection"/>
      </w:pPr>
      <w:r>
        <w:tab/>
        <w:t>(6)</w:t>
      </w:r>
      <w:r>
        <w:tab/>
        <w:t>It is sufficient compliance with subsection (1)(b) if a superseded version of the operating requirements or participation rules (other than the most recently superseded version) is publicly available only on request made to the Registrar.</w:t>
      </w:r>
    </w:p>
    <w:p>
      <w:pPr>
        <w:pStyle w:val="Heading5"/>
      </w:pPr>
      <w:bookmarkStart w:id="134" w:name="_Toc389126013"/>
      <w:bookmarkStart w:id="135" w:name="_Toc416783624"/>
      <w:r>
        <w:rPr>
          <w:rStyle w:val="CharSectno"/>
        </w:rPr>
        <w:t>26</w:t>
      </w:r>
      <w:r>
        <w:t>.</w:t>
      </w:r>
      <w:r>
        <w:tab/>
        <w:t>Subscribers required to comply with participation rules (cf. ECNL s. 26)</w:t>
      </w:r>
      <w:bookmarkEnd w:id="134"/>
      <w:bookmarkEnd w:id="135"/>
    </w:p>
    <w:p>
      <w:pPr>
        <w:pStyle w:val="Subsection"/>
      </w:pPr>
      <w:r>
        <w:tab/>
        <w:t>(1)</w:t>
      </w:r>
      <w:r>
        <w:tab/>
        <w:t>A subscriber who is authorised under a participation agreement to use an ELN must comply with the participation rules relating to that ELN.</w:t>
      </w:r>
    </w:p>
    <w:p>
      <w:pPr>
        <w:pStyle w:val="Subsection"/>
      </w:pPr>
      <w:r>
        <w:tab/>
        <w:t>(2)</w:t>
      </w:r>
      <w:r>
        <w:tab/>
        <w:t xml:space="preserve">If a subscriber contravenes those participation rules — </w:t>
      </w:r>
    </w:p>
    <w:p>
      <w:pPr>
        <w:pStyle w:val="Indenta"/>
      </w:pPr>
      <w:r>
        <w:tab/>
        <w:t>(a)</w:t>
      </w:r>
      <w:r>
        <w:tab/>
        <w:t>if the Authority operates the ELN, the Authority may restrict, suspend or terminate the subscriber’s use of the ELN;</w:t>
      </w:r>
    </w:p>
    <w:p>
      <w:pPr>
        <w:pStyle w:val="Indenta"/>
      </w:pPr>
      <w:r>
        <w:tab/>
        <w:t>(b)</w:t>
      </w:r>
      <w:r>
        <w:tab/>
        <w:t>if an ELNO operates the ELN, the Authority or the Registrar may direct the ELNO to restrict, suspend or terminate the subscriber’s use of the ELN.</w:t>
      </w:r>
    </w:p>
    <w:p>
      <w:pPr>
        <w:pStyle w:val="Subsection"/>
      </w:pPr>
      <w:r>
        <w:tab/>
        <w:t>(3)</w:t>
      </w:r>
      <w:r>
        <w:tab/>
        <w:t>Subsection (2) does not limit or affect any right, power, authority or remedy that the Authority, the Registrar or an ELNO has under the operating requirements, the participation rules, a participation agreement or any other law of this jurisdiction in relation to contravention of the participation rules.</w:t>
      </w:r>
    </w:p>
    <w:p>
      <w:pPr>
        <w:pStyle w:val="Heading5"/>
      </w:pPr>
      <w:bookmarkStart w:id="136" w:name="_Toc389126014"/>
      <w:bookmarkStart w:id="137" w:name="_Toc416783625"/>
      <w:r>
        <w:rPr>
          <w:rStyle w:val="CharSectno"/>
        </w:rPr>
        <w:t>27</w:t>
      </w:r>
      <w:r>
        <w:t>.</w:t>
      </w:r>
      <w:r>
        <w:tab/>
        <w:t>Waiving compliance with operating requirements or participation rules (cf. ECNL s. 27)</w:t>
      </w:r>
      <w:bookmarkEnd w:id="136"/>
      <w:bookmarkEnd w:id="137"/>
    </w:p>
    <w:p>
      <w:pPr>
        <w:pStyle w:val="Subsection"/>
      </w:pPr>
      <w:r>
        <w:tab/>
        <w:t>(1)</w:t>
      </w:r>
      <w:r>
        <w:tab/>
        <w:t>The Authority or the Registrar may waive compliance with all or any provisions of the operating requirements if the Authority or, as the case requires, the Registrar is satisfied that granting the waiver is reasonable in all the circumstances.</w:t>
      </w:r>
    </w:p>
    <w:p>
      <w:pPr>
        <w:pStyle w:val="Subsection"/>
      </w:pPr>
      <w:r>
        <w:tab/>
        <w:t>(2)</w:t>
      </w:r>
      <w:r>
        <w:tab/>
        <w:t>The Registrar may waive compliance with all or any provisions of the participation rules if the Registrar is satisfied that granting the waiver is reasonable in all the circumstances.</w:t>
      </w:r>
    </w:p>
    <w:p>
      <w:pPr>
        <w:pStyle w:val="Subsection"/>
      </w:pPr>
      <w:r>
        <w:tab/>
        <w:t>(3)</w:t>
      </w:r>
      <w:r>
        <w:tab/>
        <w:t xml:space="preserve">A waiver under this section may — </w:t>
      </w:r>
    </w:p>
    <w:p>
      <w:pPr>
        <w:pStyle w:val="Indenta"/>
        <w:spacing w:before="100"/>
      </w:pPr>
      <w:r>
        <w:tab/>
        <w:t>(a)</w:t>
      </w:r>
      <w:r>
        <w:tab/>
        <w:t>be total or partial; and</w:t>
      </w:r>
    </w:p>
    <w:p>
      <w:pPr>
        <w:pStyle w:val="Indenta"/>
        <w:spacing w:before="100"/>
      </w:pPr>
      <w:r>
        <w:tab/>
        <w:t>(b)</w:t>
      </w:r>
      <w:r>
        <w:tab/>
        <w:t>apply generally to all persons, or be limited in its application to particular persons or particular classes of persons; and</w:t>
      </w:r>
    </w:p>
    <w:p>
      <w:pPr>
        <w:pStyle w:val="Indenta"/>
        <w:spacing w:before="100"/>
      </w:pPr>
      <w:r>
        <w:tab/>
        <w:t>(c)</w:t>
      </w:r>
      <w:r>
        <w:tab/>
        <w:t>apply generally or be limited in its application by reference to specified exceptions or factors; and</w:t>
      </w:r>
    </w:p>
    <w:p>
      <w:pPr>
        <w:pStyle w:val="Indenta"/>
        <w:spacing w:before="100"/>
      </w:pPr>
      <w:r>
        <w:tab/>
        <w:t>(d)</w:t>
      </w:r>
      <w:r>
        <w:tab/>
        <w:t>apply indefinitely or for a specified period; and</w:t>
      </w:r>
    </w:p>
    <w:p>
      <w:pPr>
        <w:pStyle w:val="Indenta"/>
        <w:spacing w:before="100"/>
      </w:pPr>
      <w:r>
        <w:tab/>
        <w:t>(e)</w:t>
      </w:r>
      <w:r>
        <w:tab/>
        <w:t>be unconditional or subject to conditions or restrictions.</w:t>
      </w:r>
    </w:p>
    <w:p>
      <w:pPr>
        <w:pStyle w:val="Heading3"/>
      </w:pPr>
      <w:bookmarkStart w:id="138" w:name="_Toc389042149"/>
      <w:bookmarkStart w:id="139" w:name="_Toc389126015"/>
      <w:bookmarkStart w:id="140" w:name="_Toc416783434"/>
      <w:bookmarkStart w:id="141" w:name="_Toc416783626"/>
      <w:r>
        <w:rPr>
          <w:rStyle w:val="CharDivNo"/>
        </w:rPr>
        <w:t>Division 4</w:t>
      </w:r>
      <w:r>
        <w:t> — </w:t>
      </w:r>
      <w:r>
        <w:rPr>
          <w:rStyle w:val="CharDivText"/>
        </w:rPr>
        <w:t>Appeals</w:t>
      </w:r>
      <w:bookmarkEnd w:id="138"/>
      <w:bookmarkEnd w:id="139"/>
      <w:bookmarkEnd w:id="140"/>
      <w:bookmarkEnd w:id="141"/>
    </w:p>
    <w:p>
      <w:pPr>
        <w:pStyle w:val="Heading5"/>
      </w:pPr>
      <w:bookmarkStart w:id="142" w:name="_Toc389126016"/>
      <w:bookmarkStart w:id="143" w:name="_Toc416783627"/>
      <w:r>
        <w:rPr>
          <w:rStyle w:val="CharSectno"/>
        </w:rPr>
        <w:t>28</w:t>
      </w:r>
      <w:r>
        <w:t>.</w:t>
      </w:r>
      <w:r>
        <w:tab/>
        <w:t>Appeal against decisions of Authority or Registrar (cf. ECNL s. 28)</w:t>
      </w:r>
      <w:bookmarkEnd w:id="142"/>
      <w:bookmarkEnd w:id="143"/>
    </w:p>
    <w:p>
      <w:pPr>
        <w:pStyle w:val="Subsection"/>
      </w:pPr>
      <w:r>
        <w:tab/>
        <w:t>(1)</w:t>
      </w:r>
      <w:r>
        <w:tab/>
        <w:t xml:space="preserve">A person who is the subject of any of the following decisions (an </w:t>
      </w:r>
      <w:r>
        <w:rPr>
          <w:rStyle w:val="CharDefText"/>
        </w:rPr>
        <w:t>appellable decision</w:t>
      </w:r>
      <w:r>
        <w:t>) may require the Authority or the Registrar (whichever is the decision</w:t>
      </w:r>
      <w:r>
        <w:noBreakHyphen/>
        <w:t xml:space="preserve">maker) to provide, in writing, the grounds for the decision — </w:t>
      </w:r>
    </w:p>
    <w:p>
      <w:pPr>
        <w:pStyle w:val="Indenta"/>
      </w:pPr>
      <w:r>
        <w:tab/>
        <w:t>(a)</w:t>
      </w:r>
      <w:r>
        <w:tab/>
        <w:t>a decision by the Authority to refuse to approve the person as an ELNO;</w:t>
      </w:r>
    </w:p>
    <w:p>
      <w:pPr>
        <w:pStyle w:val="Indenta"/>
      </w:pPr>
      <w:r>
        <w:tab/>
        <w:t>(b)</w:t>
      </w:r>
      <w:r>
        <w:tab/>
        <w:t>a decision by the Authority to refuse to renew the person’s approval as an ELNO;</w:t>
      </w:r>
    </w:p>
    <w:p>
      <w:pPr>
        <w:pStyle w:val="Indenta"/>
      </w:pPr>
      <w:r>
        <w:tab/>
        <w:t>(c)</w:t>
      </w:r>
      <w:r>
        <w:tab/>
        <w:t>a decision by the Authority to suspend the person’s approval as an ELNO;</w:t>
      </w:r>
    </w:p>
    <w:p>
      <w:pPr>
        <w:pStyle w:val="Indenta"/>
      </w:pPr>
      <w:r>
        <w:tab/>
        <w:t>(d)</w:t>
      </w:r>
      <w:r>
        <w:tab/>
        <w:t>a decision by the Authority to revoke the person’s approval as an ELNO;</w:t>
      </w:r>
    </w:p>
    <w:p>
      <w:pPr>
        <w:pStyle w:val="Indenta"/>
      </w:pPr>
      <w:r>
        <w:tab/>
        <w:t>(e)</w:t>
      </w:r>
      <w:r>
        <w:tab/>
        <w:t>a decision by the Authority to attach a condition to the person’s approval as an ELNO, or to vary or revoke a condition of the person’s approval as an ELNO, if the attachment, variation or revocation of the condition is done without the person’s agreement;</w:t>
      </w:r>
    </w:p>
    <w:p>
      <w:pPr>
        <w:pStyle w:val="Indenta"/>
      </w:pPr>
      <w:r>
        <w:tab/>
        <w:t>(f)</w:t>
      </w:r>
      <w:r>
        <w:tab/>
        <w:t>a decision by the Authority to restrict, suspend or terminate the person’s use, as a subscriber, of an ELN operated by the Authority;</w:t>
      </w:r>
    </w:p>
    <w:p>
      <w:pPr>
        <w:pStyle w:val="Indenta"/>
      </w:pPr>
      <w:r>
        <w:tab/>
        <w:t>(g)</w:t>
      </w:r>
      <w:r>
        <w:tab/>
        <w:t>a decision by the Authority or the Registrar to direct an ELNO to restrict, suspend or terminate the person’s use, as a subscriber, of the ELN operated by the ELNO.</w:t>
      </w:r>
    </w:p>
    <w:p>
      <w:pPr>
        <w:pStyle w:val="Subsection"/>
      </w:pPr>
      <w:r>
        <w:tab/>
        <w:t>(2)</w:t>
      </w:r>
      <w:r>
        <w:tab/>
        <w:t>A person who is the subject of an appellable decision and who has received written grounds for the decision from the Authority or the Registrar under subsection (1) or otherwise may appeal against the decision to the responsible tribunal.</w:t>
      </w:r>
    </w:p>
    <w:p>
      <w:pPr>
        <w:pStyle w:val="Heading5"/>
      </w:pPr>
      <w:bookmarkStart w:id="144" w:name="_Toc389126017"/>
      <w:bookmarkStart w:id="145" w:name="_Toc416783628"/>
      <w:r>
        <w:rPr>
          <w:rStyle w:val="CharSectno"/>
        </w:rPr>
        <w:t>29</w:t>
      </w:r>
      <w:r>
        <w:t>.</w:t>
      </w:r>
      <w:r>
        <w:tab/>
        <w:t>Determination of appeal (cf. ECNL s. 29)</w:t>
      </w:r>
      <w:bookmarkEnd w:id="144"/>
      <w:bookmarkEnd w:id="145"/>
    </w:p>
    <w:p>
      <w:pPr>
        <w:pStyle w:val="Subsection"/>
      </w:pPr>
      <w:r>
        <w:tab/>
        <w:t>(1)</w:t>
      </w:r>
      <w:r>
        <w:tab/>
        <w:t xml:space="preserve">After hearing the appeal, the responsible tribunal may — </w:t>
      </w:r>
    </w:p>
    <w:p>
      <w:pPr>
        <w:pStyle w:val="Indenta"/>
      </w:pPr>
      <w:r>
        <w:tab/>
        <w:t>(a)</w:t>
      </w:r>
      <w:r>
        <w:tab/>
        <w:t>confirm the appellable decision; or</w:t>
      </w:r>
    </w:p>
    <w:p>
      <w:pPr>
        <w:pStyle w:val="Indenta"/>
      </w:pPr>
      <w:r>
        <w:tab/>
        <w:t>(b)</w:t>
      </w:r>
      <w:r>
        <w:tab/>
        <w:t>amend the appellable decision; or</w:t>
      </w:r>
    </w:p>
    <w:p>
      <w:pPr>
        <w:pStyle w:val="Indenta"/>
      </w:pPr>
      <w:r>
        <w:tab/>
        <w:t>(c)</w:t>
      </w:r>
      <w:r>
        <w:tab/>
        <w:t>substitute another decision for the appellable decision.</w:t>
      </w:r>
    </w:p>
    <w:p>
      <w:pPr>
        <w:pStyle w:val="Subsection"/>
        <w:keepNext/>
        <w:keepLines/>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Subsection"/>
        <w:keepNext/>
        <w:keepLines/>
      </w:pPr>
      <w:r>
        <w:tab/>
        <w:t>(2)</w:t>
      </w:r>
      <w:r>
        <w:tab/>
        <w:t>In amending the appellable decision or substituting another decision for the appellable decision, the responsible tribunal has the same powers as the Authority or, as the case requires, the Registrar under this Act.</w:t>
      </w:r>
    </w:p>
    <w:p>
      <w:pPr>
        <w:pStyle w:val="Heading5"/>
        <w:spacing w:before="120"/>
      </w:pPr>
      <w:bookmarkStart w:id="146" w:name="_Toc389126018"/>
      <w:bookmarkStart w:id="147" w:name="_Toc416783629"/>
      <w:r>
        <w:rPr>
          <w:rStyle w:val="CharSectno"/>
        </w:rPr>
        <w:t>30A</w:t>
      </w:r>
      <w:r>
        <w:t>.</w:t>
      </w:r>
      <w:r>
        <w:tab/>
        <w:t>Responsible tribunal to consider Government policy relating to ELNOs</w:t>
      </w:r>
      <w:bookmarkEnd w:id="146"/>
      <w:bookmarkEnd w:id="147"/>
    </w:p>
    <w:p>
      <w:pPr>
        <w:pStyle w:val="Subsection"/>
      </w:pPr>
      <w:r>
        <w:tab/>
        <w:t>(1)</w:t>
      </w:r>
      <w:r>
        <w:tab/>
        <w:t>This section applies to an appeal to the responsible tribunal against a decision referred to in section 28(1)(b).</w:t>
      </w:r>
    </w:p>
    <w:p>
      <w:pPr>
        <w:pStyle w:val="Subsection"/>
      </w:pPr>
      <w:r>
        <w:tab/>
        <w:t>(2)</w:t>
      </w:r>
      <w:r>
        <w:tab/>
        <w:t xml:space="preserve">The </w:t>
      </w:r>
      <w:r>
        <w:rPr>
          <w:i/>
        </w:rPr>
        <w:t>State Administrative Tribunal Act 2004</w:t>
      </w:r>
      <w:r>
        <w:t xml:space="preserve"> section 28 (</w:t>
      </w:r>
      <w:r>
        <w:rPr>
          <w:rStyle w:val="CharDefText"/>
        </w:rPr>
        <w:t>section 28</w:t>
      </w:r>
      <w:r>
        <w:t xml:space="preserve">) applies to and in relation to an appeal to which this section applies as if a direction given to the Authority under the </w:t>
      </w:r>
      <w:r>
        <w:rPr>
          <w:i/>
        </w:rPr>
        <w:t>Land Information Authority Act 2006</w:t>
      </w:r>
      <w:r>
        <w:t xml:space="preserve"> section 65 were a statement of policy of the kind referred to in section 28.</w:t>
      </w:r>
    </w:p>
    <w:p>
      <w:pPr>
        <w:pStyle w:val="Subsection"/>
      </w:pPr>
      <w:r>
        <w:tab/>
        <w:t>(3)</w:t>
      </w:r>
      <w:r>
        <w:tab/>
        <w:t xml:space="preserve">However, subsection (2) does not apply unless, at the time of the decision to which the appeal relates, the direction had been — </w:t>
      </w:r>
    </w:p>
    <w:p>
      <w:pPr>
        <w:pStyle w:val="Indenta"/>
      </w:pPr>
      <w:r>
        <w:tab/>
        <w:t>(a)</w:t>
      </w:r>
      <w:r>
        <w:tab/>
        <w:t xml:space="preserve">either — </w:t>
      </w:r>
    </w:p>
    <w:p>
      <w:pPr>
        <w:pStyle w:val="Indenti"/>
      </w:pPr>
      <w:r>
        <w:tab/>
        <w:t>(i)</w:t>
      </w:r>
      <w:r>
        <w:tab/>
        <w:t xml:space="preserve">laid before each House of Parliament in accordance with the </w:t>
      </w:r>
      <w:r>
        <w:rPr>
          <w:i/>
        </w:rPr>
        <w:t>Land Information Authority Act 2006</w:t>
      </w:r>
      <w:r>
        <w:t xml:space="preserve"> section 65(2); or</w:t>
      </w:r>
    </w:p>
    <w:p>
      <w:pPr>
        <w:pStyle w:val="Indenti"/>
      </w:pPr>
      <w:r>
        <w:tab/>
        <w:t>(ii)</w:t>
      </w:r>
      <w:r>
        <w:tab/>
        <w:t>dealt with under section 91 of that Act;</w:t>
      </w:r>
    </w:p>
    <w:p>
      <w:pPr>
        <w:pStyle w:val="Indenta"/>
      </w:pPr>
      <w:r>
        <w:tab/>
      </w:r>
      <w:r>
        <w:tab/>
        <w:t>and</w:t>
      </w:r>
    </w:p>
    <w:p>
      <w:pPr>
        <w:pStyle w:val="Indenta"/>
      </w:pPr>
      <w:r>
        <w:tab/>
        <w:t>(b)</w:t>
      </w:r>
      <w:r>
        <w:tab/>
        <w:t xml:space="preserve">published in the </w:t>
      </w:r>
      <w:r>
        <w:rPr>
          <w:i/>
        </w:rPr>
        <w:t>Gazette</w:t>
      </w:r>
      <w:r>
        <w:t>, even though this is not required by that Act.</w:t>
      </w:r>
    </w:p>
    <w:p>
      <w:pPr>
        <w:pStyle w:val="PermNoteHeading"/>
      </w:pPr>
      <w:r>
        <w:tab/>
        <w:t>Note for this section:</w:t>
      </w:r>
    </w:p>
    <w:p>
      <w:pPr>
        <w:pStyle w:val="PermNoteText"/>
      </w:pPr>
      <w:r>
        <w:tab/>
      </w:r>
      <w:r>
        <w:tab/>
        <w:t>There is no equivalent to this section in the ECNL.</w:t>
      </w:r>
    </w:p>
    <w:p>
      <w:pPr>
        <w:pStyle w:val="Heading5"/>
        <w:spacing w:before="120"/>
      </w:pPr>
      <w:bookmarkStart w:id="148" w:name="_Toc389126019"/>
      <w:bookmarkStart w:id="149" w:name="_Toc416783630"/>
      <w:r>
        <w:rPr>
          <w:rStyle w:val="CharSectno"/>
        </w:rPr>
        <w:t>30</w:t>
      </w:r>
      <w:r>
        <w:t>.</w:t>
      </w:r>
      <w:r>
        <w:tab/>
        <w:t>Costs (cf. ECNL s. 30) (not used)</w:t>
      </w:r>
      <w:bookmarkEnd w:id="148"/>
      <w:bookmarkEnd w:id="149"/>
    </w:p>
    <w:p>
      <w:pPr>
        <w:pStyle w:val="Heading5"/>
        <w:spacing w:before="120"/>
      </w:pPr>
      <w:bookmarkStart w:id="150" w:name="_Toc389126020"/>
      <w:bookmarkStart w:id="151" w:name="_Toc416783631"/>
      <w:r>
        <w:rPr>
          <w:rStyle w:val="CharSectno"/>
        </w:rPr>
        <w:t>31</w:t>
      </w:r>
      <w:r>
        <w:t>.</w:t>
      </w:r>
      <w:r>
        <w:tab/>
        <w:t>Relationship with Act establishing responsible tribunal (cf. ECNL s. 31)</w:t>
      </w:r>
      <w:bookmarkEnd w:id="150"/>
      <w:bookmarkEnd w:id="151"/>
    </w:p>
    <w:p>
      <w:pPr>
        <w:pStyle w:val="Subsection"/>
      </w:pPr>
      <w:r>
        <w:tab/>
      </w:r>
      <w:r>
        <w:tab/>
        <w:t xml:space="preserve">This Division — </w:t>
      </w:r>
    </w:p>
    <w:p>
      <w:pPr>
        <w:pStyle w:val="Indenta"/>
      </w:pPr>
      <w:r>
        <w:tab/>
        <w:t>(a)</w:t>
      </w:r>
      <w:r>
        <w:tab/>
        <w:t>applies despite any provision to the contrary of the Act that establishes or continues the responsible tribunal; but</w:t>
      </w:r>
    </w:p>
    <w:p>
      <w:pPr>
        <w:pStyle w:val="Indenta"/>
        <w:keepNext/>
        <w:sectPr>
          <w:headerReference w:type="even" r:id="rId29"/>
          <w:endnotePr>
            <w:numFmt w:val="decimal"/>
          </w:endnotePr>
          <w:pgSz w:w="11907" w:h="16840" w:code="9"/>
          <w:pgMar w:top="2381" w:right="2410" w:bottom="3544" w:left="2410" w:header="720" w:footer="3380" w:gutter="0"/>
          <w:cols w:space="720"/>
          <w:docGrid w:linePitch="326"/>
        </w:sectPr>
      </w:pPr>
    </w:p>
    <w:p>
      <w:pPr>
        <w:pStyle w:val="Indenta"/>
        <w:keepNext/>
      </w:pPr>
      <w:r>
        <w:tab/>
        <w:t>(b)</w:t>
      </w:r>
      <w:r>
        <w:tab/>
        <w:t xml:space="preserve">does not otherwise limit — </w:t>
      </w:r>
    </w:p>
    <w:p>
      <w:pPr>
        <w:pStyle w:val="Indenti"/>
      </w:pPr>
      <w:r>
        <w:tab/>
        <w:t>(i)</w:t>
      </w:r>
      <w:r>
        <w:tab/>
        <w:t>that Act; or</w:t>
      </w:r>
    </w:p>
    <w:p>
      <w:pPr>
        <w:pStyle w:val="Indenti"/>
      </w:pPr>
      <w:r>
        <w:tab/>
        <w:t>(ii)</w:t>
      </w:r>
      <w:r>
        <w:tab/>
        <w:t>any rules, regulations or other instrument regulating the practice or procedure of the responsible tribunal.</w:t>
      </w:r>
    </w:p>
    <w:p>
      <w:pPr>
        <w:pStyle w:val="Heading3"/>
      </w:pPr>
      <w:bookmarkStart w:id="152" w:name="_Toc389042155"/>
      <w:bookmarkStart w:id="153" w:name="_Toc389126021"/>
      <w:bookmarkStart w:id="154" w:name="_Toc416783440"/>
      <w:bookmarkStart w:id="155" w:name="_Toc416783632"/>
      <w:r>
        <w:rPr>
          <w:rStyle w:val="CharDivNo"/>
        </w:rPr>
        <w:t>Division 5</w:t>
      </w:r>
      <w:r>
        <w:t> — </w:t>
      </w:r>
      <w:r>
        <w:rPr>
          <w:rStyle w:val="CharDivText"/>
        </w:rPr>
        <w:t>Compliance examinations</w:t>
      </w:r>
      <w:bookmarkEnd w:id="152"/>
      <w:bookmarkEnd w:id="153"/>
      <w:bookmarkEnd w:id="154"/>
      <w:bookmarkEnd w:id="155"/>
    </w:p>
    <w:p>
      <w:pPr>
        <w:pStyle w:val="Heading5"/>
      </w:pPr>
      <w:bookmarkStart w:id="156" w:name="_Toc389126022"/>
      <w:bookmarkStart w:id="157" w:name="_Toc416783633"/>
      <w:r>
        <w:rPr>
          <w:rStyle w:val="CharSectno"/>
        </w:rPr>
        <w:t>32</w:t>
      </w:r>
      <w:r>
        <w:t>.</w:t>
      </w:r>
      <w:r>
        <w:tab/>
        <w:t>Definitions (cf. ECNL s. 32)</w:t>
      </w:r>
      <w:bookmarkEnd w:id="156"/>
      <w:bookmarkEnd w:id="157"/>
    </w:p>
    <w:p>
      <w:pPr>
        <w:pStyle w:val="Subsection"/>
      </w:pPr>
      <w:r>
        <w:tab/>
      </w:r>
      <w:r>
        <w:tab/>
        <w:t xml:space="preserve">In this Division — </w:t>
      </w:r>
    </w:p>
    <w:p>
      <w:pPr>
        <w:pStyle w:val="Defstart"/>
      </w:pPr>
      <w:r>
        <w:tab/>
      </w:r>
      <w:r>
        <w:rPr>
          <w:rStyle w:val="CharDefText"/>
        </w:rPr>
        <w:t>ELNO</w:t>
      </w:r>
      <w:r>
        <w:t xml:space="preserve"> includes a former ELNO;</w:t>
      </w:r>
    </w:p>
    <w:p>
      <w:pPr>
        <w:pStyle w:val="Defstart"/>
      </w:pPr>
      <w:r>
        <w:tab/>
      </w:r>
      <w:r>
        <w:rPr>
          <w:rStyle w:val="CharDefText"/>
        </w:rPr>
        <w:t>subscriber</w:t>
      </w:r>
      <w:r>
        <w:t xml:space="preserve"> includes a former subscriber.</w:t>
      </w:r>
    </w:p>
    <w:p>
      <w:pPr>
        <w:pStyle w:val="Heading5"/>
      </w:pPr>
      <w:bookmarkStart w:id="158" w:name="_Toc389126023"/>
      <w:bookmarkStart w:id="159" w:name="_Toc416783634"/>
      <w:r>
        <w:rPr>
          <w:rStyle w:val="CharSectno"/>
        </w:rPr>
        <w:t>33</w:t>
      </w:r>
      <w:r>
        <w:t>.</w:t>
      </w:r>
      <w:r>
        <w:tab/>
        <w:t>Compliance examinations (cf. ECNL s. 33)</w:t>
      </w:r>
      <w:bookmarkEnd w:id="158"/>
      <w:bookmarkEnd w:id="159"/>
    </w:p>
    <w:p>
      <w:pPr>
        <w:pStyle w:val="Subsection"/>
      </w:pPr>
      <w:r>
        <w:tab/>
        <w:t>(1)</w:t>
      </w:r>
      <w:r>
        <w:tab/>
        <w:t>The Registrar may, on receiving a request or complaint from any person or on the Registrar’s own initiative, conduct an investigation (</w:t>
      </w:r>
      <w:r>
        <w:rPr>
          <w:rStyle w:val="CharDefText"/>
        </w:rPr>
        <w:t>compliance examination</w:t>
      </w:r>
      <w:r>
        <w:t xml:space="preserve">) under this Part — </w:t>
      </w:r>
    </w:p>
    <w:p>
      <w:pPr>
        <w:pStyle w:val="Indenta"/>
      </w:pPr>
      <w:r>
        <w:tab/>
        <w:t>(a)</w:t>
      </w:r>
      <w:r>
        <w:tab/>
        <w:t xml:space="preserve">in relation to an ELNO for either or both of the following purposes — </w:t>
      </w:r>
    </w:p>
    <w:p>
      <w:pPr>
        <w:pStyle w:val="Indenti"/>
      </w:pPr>
      <w:r>
        <w:tab/>
        <w:t>(i)</w:t>
      </w:r>
      <w:r>
        <w:tab/>
        <w:t>ascertaining whether or not the operating requirements are being, or have been, complied with;</w:t>
      </w:r>
    </w:p>
    <w:p>
      <w:pPr>
        <w:pStyle w:val="Indenti"/>
      </w:pPr>
      <w:r>
        <w:tab/>
        <w:t>(ii)</w:t>
      </w:r>
      <w:r>
        <w:tab/>
        <w:t>investigating any suspected or alleged case of misconduct with respect to the operation of an ELN;</w:t>
      </w:r>
    </w:p>
    <w:p>
      <w:pPr>
        <w:pStyle w:val="Indenta"/>
      </w:pPr>
      <w:r>
        <w:tab/>
        <w:t>(b)</w:t>
      </w:r>
      <w:r>
        <w:tab/>
        <w:t xml:space="preserve">in relation to a subscriber for either or both of the following purposes — </w:t>
      </w:r>
    </w:p>
    <w:p>
      <w:pPr>
        <w:pStyle w:val="Indenti"/>
      </w:pPr>
      <w:r>
        <w:tab/>
        <w:t>(i)</w:t>
      </w:r>
      <w:r>
        <w:tab/>
        <w:t>ascertaining whether or not the participation rules are being, or have been, complied with;</w:t>
      </w:r>
    </w:p>
    <w:p>
      <w:pPr>
        <w:pStyle w:val="Indenti"/>
      </w:pPr>
      <w:r>
        <w:tab/>
        <w:t>(ii)</w:t>
      </w:r>
      <w:r>
        <w:tab/>
        <w:t>investigating any suspected or alleged case of misconduct with respect to the use of an ELN.</w:t>
      </w:r>
    </w:p>
    <w:p>
      <w:pPr>
        <w:pStyle w:val="Subsection"/>
      </w:pPr>
      <w:r>
        <w:tab/>
        <w:t>(2)</w:t>
      </w:r>
      <w:r>
        <w:tab/>
        <w:t>If the Authority or the Commissioner requests the Registrar to conduct a compliance examination, the Registrar must conduct a compliance examination in accordance with that request.</w:t>
      </w:r>
    </w:p>
    <w:p>
      <w:pPr>
        <w:pStyle w:val="Heading5"/>
      </w:pPr>
      <w:bookmarkStart w:id="160" w:name="_Toc389126024"/>
      <w:bookmarkStart w:id="161" w:name="_Toc416783635"/>
      <w:r>
        <w:rPr>
          <w:rStyle w:val="CharSectno"/>
        </w:rPr>
        <w:t>34</w:t>
      </w:r>
      <w:r>
        <w:t>.</w:t>
      </w:r>
      <w:r>
        <w:tab/>
        <w:t>Obligation to cooperate with examination (cf. ECNL s. 34)</w:t>
      </w:r>
      <w:bookmarkEnd w:id="160"/>
      <w:bookmarkEnd w:id="161"/>
    </w:p>
    <w:p>
      <w:pPr>
        <w:pStyle w:val="Subsection"/>
      </w:pPr>
      <w:r>
        <w:tab/>
        <w:t>(1)</w:t>
      </w:r>
      <w:r>
        <w:tab/>
        <w:t>An ELNO or a subscriber in relation to whom a compliance examination is being conducted must cooperate fully with the person conducting the compliance examination for the purpose of ensuring that the person is able to conduct a proper compliance examination.</w:t>
      </w:r>
    </w:p>
    <w:p>
      <w:pPr>
        <w:pStyle w:val="Subsection"/>
      </w:pPr>
      <w:r>
        <w:tab/>
        <w:t>(2)</w:t>
      </w:r>
      <w:r>
        <w:tab/>
        <w:t xml:space="preserve">In particular, an ELNO or a subscriber must comply with any reasonable requirement by the person conducting the compliance examination — </w:t>
      </w:r>
    </w:p>
    <w:p>
      <w:pPr>
        <w:pStyle w:val="Indenta"/>
      </w:pPr>
      <w:r>
        <w:tab/>
        <w:t>(a)</w:t>
      </w:r>
      <w:r>
        <w:tab/>
        <w:t>to furnish specified information or to produce specified documents for the purposes of the compliance examination; or</w:t>
      </w:r>
    </w:p>
    <w:p>
      <w:pPr>
        <w:pStyle w:val="Indenta"/>
      </w:pPr>
      <w:r>
        <w:tab/>
        <w:t>(b)</w:t>
      </w:r>
      <w:r>
        <w:tab/>
        <w:t>to take specified action for the purposes of the compliance examination.</w:t>
      </w:r>
    </w:p>
    <w:p>
      <w:pPr>
        <w:pStyle w:val="Subsection"/>
      </w:pPr>
      <w:r>
        <w:tab/>
        <w:t>(3)</w:t>
      </w:r>
      <w:r>
        <w:tab/>
        <w:t>If an ELNO fails, without reasonable excuse, to cooperate as required by this section, the Registrar or the Authority, or both, may take any action that the Registrar or, as the case requires, the Authority is authorised to take under the operating requirements and that the Registrar or, as the case requires, the Authority considers appropriate, which may include (without limitation) the suspension or revocation of the ELNO’s approval under section 20.</w:t>
      </w:r>
    </w:p>
    <w:p>
      <w:pPr>
        <w:pStyle w:val="Subsection"/>
      </w:pPr>
      <w:r>
        <w:tab/>
        <w:t>(4)</w:t>
      </w:r>
      <w:r>
        <w:tab/>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pPr>
        <w:pStyle w:val="Subsection"/>
      </w:pPr>
      <w:r>
        <w:tab/>
        <w:t>(5)</w:t>
      </w:r>
      <w:r>
        <w:tab/>
        <w:t>For the purposes of subsections (3) and (4),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pPr>
        <w:pStyle w:val="Subsection"/>
      </w:pPr>
      <w:r>
        <w:tab/>
        <w:t>(6)</w:t>
      </w:r>
      <w:r>
        <w:tab/>
        <w:t xml:space="preserve">However, the following is not admissible in evidence against an individual in a criminal proceeding — </w:t>
      </w:r>
    </w:p>
    <w:p>
      <w:pPr>
        <w:pStyle w:val="Indenta"/>
      </w:pPr>
      <w:r>
        <w:tab/>
        <w:t>(a)</w:t>
      </w:r>
      <w:r>
        <w:tab/>
        <w:t>information provided by an individual in compliance with a requirement made under this section;</w:t>
      </w:r>
    </w:p>
    <w:p>
      <w:pPr>
        <w:pStyle w:val="Indenta"/>
      </w:pPr>
      <w:r>
        <w:tab/>
        <w:t>(b)</w:t>
      </w:r>
      <w:r>
        <w:tab/>
        <w:t>an answer given by an individual in response to a question asked under this section;</w:t>
      </w:r>
    </w:p>
    <w:p>
      <w:pPr>
        <w:pStyle w:val="Indenta"/>
      </w:pPr>
      <w:r>
        <w:tab/>
        <w:t>(c)</w:t>
      </w:r>
      <w:r>
        <w:tab/>
        <w:t>a document produced by an individual in compliance with a requirement made under this section (other than a document to which subsection (7) applies);</w:t>
      </w:r>
    </w:p>
    <w:p>
      <w:pPr>
        <w:pStyle w:val="Indenta"/>
      </w:pPr>
      <w:r>
        <w:tab/>
        <w:t>(d)</w:t>
      </w:r>
      <w:r>
        <w:tab/>
        <w:t xml:space="preserve">information directly or indirectly derived from — </w:t>
      </w:r>
    </w:p>
    <w:p>
      <w:pPr>
        <w:pStyle w:val="Indenti"/>
      </w:pPr>
      <w:r>
        <w:tab/>
        <w:t>(i)</w:t>
      </w:r>
      <w:r>
        <w:tab/>
        <w:t>information mentioned in paragraph (a); or</w:t>
      </w:r>
    </w:p>
    <w:p>
      <w:pPr>
        <w:pStyle w:val="Indenti"/>
      </w:pPr>
      <w:r>
        <w:tab/>
        <w:t>(ii)</w:t>
      </w:r>
      <w:r>
        <w:tab/>
        <w:t>an answer mentioned in paragraph (b); or</w:t>
      </w:r>
    </w:p>
    <w:p>
      <w:pPr>
        <w:pStyle w:val="Indenti"/>
      </w:pPr>
      <w:r>
        <w:tab/>
        <w:t>(iii)</w:t>
      </w:r>
      <w:r>
        <w:tab/>
        <w:t>a document mentioned in paragraph (c) (other than a document to which subsection (7) applies).</w:t>
      </w:r>
    </w:p>
    <w:p>
      <w:pPr>
        <w:pStyle w:val="Subsection"/>
      </w:pPr>
      <w:r>
        <w:tab/>
        <w:t>(7)</w:t>
      </w:r>
      <w:r>
        <w:tab/>
        <w:t>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Act, the land titles legislation, the operating requirements or the participation rules.</w:t>
      </w:r>
    </w:p>
    <w:p>
      <w:pPr>
        <w:pStyle w:val="Subsection"/>
      </w:pPr>
      <w:r>
        <w:tab/>
        <w:t>(8)</w:t>
      </w:r>
      <w:r>
        <w:tab/>
        <w:t xml:space="preserve">Subsection (6) does not apply to — </w:t>
      </w:r>
    </w:p>
    <w:p>
      <w:pPr>
        <w:pStyle w:val="Indenta"/>
      </w:pPr>
      <w:r>
        <w:tab/>
        <w:t>(a)</w:t>
      </w:r>
      <w:r>
        <w:tab/>
        <w:t>a proceeding about the false or misleading nature of anything in the information, answer or document; or</w:t>
      </w:r>
    </w:p>
    <w:p>
      <w:pPr>
        <w:pStyle w:val="Indenta"/>
      </w:pPr>
      <w:r>
        <w:tab/>
        <w:t>(b)</w:t>
      </w:r>
      <w:r>
        <w:tab/>
        <w:t>a proceeding in which the false or misleading nature of the information, answer or document is relevant evidence.</w:t>
      </w:r>
    </w:p>
    <w:p>
      <w:pPr>
        <w:pStyle w:val="Heading5"/>
      </w:pPr>
      <w:bookmarkStart w:id="162" w:name="_Toc389126025"/>
      <w:bookmarkStart w:id="163" w:name="_Toc416783636"/>
      <w:r>
        <w:rPr>
          <w:rStyle w:val="CharSectno"/>
        </w:rPr>
        <w:t>35</w:t>
      </w:r>
      <w:r>
        <w:t>.</w:t>
      </w:r>
      <w:r>
        <w:tab/>
        <w:t>Registrar may refer matter to appropriate authority (cf. ECNL s. 35)</w:t>
      </w:r>
      <w:bookmarkEnd w:id="162"/>
      <w:bookmarkEnd w:id="163"/>
    </w:p>
    <w:p>
      <w:pPr>
        <w:pStyle w:val="Subsection"/>
      </w:pPr>
      <w:r>
        <w:tab/>
        <w:t>(1)</w:t>
      </w:r>
      <w:r>
        <w:tab/>
        <w:t xml:space="preserve">In this section — </w:t>
      </w:r>
    </w:p>
    <w:p>
      <w:pPr>
        <w:pStyle w:val="Defstart"/>
      </w:pPr>
      <w:r>
        <w:tab/>
      </w:r>
      <w:r>
        <w:rPr>
          <w:rStyle w:val="CharDefText"/>
        </w:rPr>
        <w:t>appropriate authority</w:t>
      </w:r>
      <w:r>
        <w:t xml:space="preserve"> — </w:t>
      </w:r>
    </w:p>
    <w:p>
      <w:pPr>
        <w:pStyle w:val="Defpara"/>
      </w:pPr>
      <w:r>
        <w:tab/>
        <w:t>(a)</w:t>
      </w:r>
      <w:r>
        <w:tab/>
        <w:t>means a person, body or organisation who or which is empowered by a law of this jurisdiction or of another State or the Commonwealth to take investigatory, disciplinary or other action; and</w:t>
      </w:r>
    </w:p>
    <w:p>
      <w:pPr>
        <w:pStyle w:val="Defpara"/>
      </w:pPr>
      <w:r>
        <w:tab/>
        <w:t>(b)</w:t>
      </w:r>
      <w:r>
        <w:tab/>
        <w:t xml:space="preserve">includes (without limiting paragraph (a)) — </w:t>
      </w:r>
    </w:p>
    <w:p>
      <w:pPr>
        <w:pStyle w:val="Defsubpara"/>
      </w:pPr>
      <w:r>
        <w:tab/>
        <w:t>(i)</w:t>
      </w:r>
      <w:r>
        <w:tab/>
        <w:t>a law enforcement agency; and</w:t>
      </w:r>
    </w:p>
    <w:p>
      <w:pPr>
        <w:pStyle w:val="Defsubpara"/>
      </w:pPr>
      <w:r>
        <w:tab/>
        <w:t>(ii)</w:t>
      </w:r>
      <w:r>
        <w:tab/>
        <w:t>a regulatory or disciplinary body for persons engaged in any profession, occupation, calling or business.</w:t>
      </w:r>
    </w:p>
    <w:p>
      <w:pPr>
        <w:pStyle w:val="Subsection"/>
      </w:pPr>
      <w:r>
        <w:tab/>
        <w:t>(2)</w:t>
      </w:r>
      <w:r>
        <w:tab/>
        <w:t>Instead of conducting a compliance examination in relation to a matter, or at any time during a compliance examination or after the completion of a compliance examination in relation to a matter, the Registrar may refer the matter to an appropriate authority.</w:t>
      </w:r>
    </w:p>
    <w:p>
      <w:pPr>
        <w:pStyle w:val="Subsection"/>
      </w:pPr>
      <w:r>
        <w:tab/>
        <w:t>(3)</w:t>
      </w:r>
      <w:r>
        <w:tab/>
        <w:t>If the Registrar refers a matter to an appropriate authority, the Registrar is not obliged to take any other action in relation to the matter.</w:t>
      </w:r>
    </w:p>
    <w:p>
      <w:pPr>
        <w:pStyle w:val="Heading5"/>
      </w:pPr>
      <w:bookmarkStart w:id="164" w:name="_Toc389126026"/>
      <w:bookmarkStart w:id="165" w:name="_Toc416783637"/>
      <w:r>
        <w:rPr>
          <w:rStyle w:val="CharSectno"/>
        </w:rPr>
        <w:t>36</w:t>
      </w:r>
      <w:r>
        <w:t>.</w:t>
      </w:r>
      <w:r>
        <w:tab/>
        <w:t>Land titles legislation not limited (cf. ECNL s. 36)</w:t>
      </w:r>
      <w:bookmarkEnd w:id="164"/>
      <w:bookmarkEnd w:id="165"/>
    </w:p>
    <w:p>
      <w:pPr>
        <w:pStyle w:val="Subsection"/>
      </w:pPr>
      <w:r>
        <w:tab/>
      </w:r>
      <w:r>
        <w:tab/>
        <w:t>Nothing in this Division limits or affects any provision of the land titles legislation that authorises or permits any investigation, inquiry or examination of any kind.</w:t>
      </w:r>
    </w:p>
    <w:p>
      <w:pPr>
        <w:pStyle w:val="Heading2"/>
      </w:pPr>
      <w:bookmarkStart w:id="166" w:name="_Toc389042161"/>
      <w:bookmarkStart w:id="167" w:name="_Toc389126027"/>
      <w:bookmarkStart w:id="168" w:name="_Toc416783446"/>
      <w:bookmarkStart w:id="169" w:name="_Toc416783638"/>
      <w:r>
        <w:rPr>
          <w:rStyle w:val="CharPartNo"/>
        </w:rPr>
        <w:t>Part 4</w:t>
      </w:r>
      <w:r>
        <w:t> — </w:t>
      </w:r>
      <w:r>
        <w:rPr>
          <w:rStyle w:val="CharPartText"/>
        </w:rPr>
        <w:t>Miscellaneous</w:t>
      </w:r>
      <w:bookmarkEnd w:id="166"/>
      <w:bookmarkEnd w:id="167"/>
      <w:bookmarkEnd w:id="168"/>
      <w:bookmarkEnd w:id="169"/>
    </w:p>
    <w:p>
      <w:pPr>
        <w:pStyle w:val="Heading3"/>
        <w:rPr>
          <w:rStyle w:val="CharDivText"/>
        </w:rPr>
      </w:pPr>
      <w:bookmarkStart w:id="170" w:name="_Toc389042162"/>
      <w:bookmarkStart w:id="171" w:name="_Toc389126028"/>
      <w:bookmarkStart w:id="172" w:name="_Toc416783447"/>
      <w:bookmarkStart w:id="173" w:name="_Toc416783639"/>
      <w:r>
        <w:rPr>
          <w:rStyle w:val="CharDivNo"/>
        </w:rPr>
        <w:t>Division 1</w:t>
      </w:r>
      <w:r>
        <w:t> — </w:t>
      </w:r>
      <w:r>
        <w:rPr>
          <w:rStyle w:val="CharDivText"/>
        </w:rPr>
        <w:t>Delegation</w:t>
      </w:r>
      <w:bookmarkEnd w:id="170"/>
      <w:bookmarkEnd w:id="171"/>
      <w:bookmarkEnd w:id="172"/>
      <w:bookmarkEnd w:id="173"/>
    </w:p>
    <w:p>
      <w:pPr>
        <w:pStyle w:val="Heading5"/>
      </w:pPr>
      <w:bookmarkStart w:id="174" w:name="_Toc389126029"/>
      <w:bookmarkStart w:id="175" w:name="_Toc416783640"/>
      <w:r>
        <w:rPr>
          <w:rStyle w:val="CharSectno"/>
        </w:rPr>
        <w:t>37</w:t>
      </w:r>
      <w:r>
        <w:t>.</w:t>
      </w:r>
      <w:r>
        <w:tab/>
        <w:t>Delegation (cf. ECNL s. 37)</w:t>
      </w:r>
      <w:bookmarkEnd w:id="174"/>
      <w:bookmarkEnd w:id="175"/>
    </w:p>
    <w:p>
      <w:pPr>
        <w:pStyle w:val="Subsection"/>
      </w:pPr>
      <w:r>
        <w:tab/>
        <w:t>(1)</w:t>
      </w:r>
      <w:r>
        <w:tab/>
        <w:t>The Authority, the Registrar or the Commissioner may delegate to any other person the power conferred by section 21 to monitor activities in an ELN.</w:t>
      </w:r>
    </w:p>
    <w:p>
      <w:pPr>
        <w:pStyle w:val="Subsection"/>
      </w:pPr>
      <w:r>
        <w:tab/>
        <w:t>(2)</w:t>
      </w:r>
      <w:r>
        <w:tab/>
        <w:t>The Registrar may delegate to any other person any function under Part 3 Division 5.</w:t>
      </w:r>
    </w:p>
    <w:p>
      <w:pPr>
        <w:pStyle w:val="Heading3"/>
        <w:rPr>
          <w:rStyle w:val="CharDivText"/>
        </w:rPr>
      </w:pPr>
      <w:bookmarkStart w:id="176" w:name="_Toc389042164"/>
      <w:bookmarkStart w:id="177" w:name="_Toc389126030"/>
      <w:bookmarkStart w:id="178" w:name="_Toc416783449"/>
      <w:bookmarkStart w:id="179" w:name="_Toc416783641"/>
      <w:r>
        <w:rPr>
          <w:rStyle w:val="CharDivNo"/>
        </w:rPr>
        <w:t>Division 2</w:t>
      </w:r>
      <w:r>
        <w:t> — </w:t>
      </w:r>
      <w:r>
        <w:rPr>
          <w:rStyle w:val="CharDivText"/>
        </w:rPr>
        <w:t>Liability of Authority, Registrar and Commissioner</w:t>
      </w:r>
      <w:bookmarkEnd w:id="176"/>
      <w:bookmarkEnd w:id="177"/>
      <w:bookmarkEnd w:id="178"/>
      <w:bookmarkEnd w:id="179"/>
    </w:p>
    <w:p>
      <w:pPr>
        <w:pStyle w:val="Heading5"/>
      </w:pPr>
      <w:bookmarkStart w:id="180" w:name="_Toc389126031"/>
      <w:bookmarkStart w:id="181" w:name="_Toc416783642"/>
      <w:r>
        <w:rPr>
          <w:rStyle w:val="CharSectno"/>
        </w:rPr>
        <w:t>38</w:t>
      </w:r>
      <w:r>
        <w:t>.</w:t>
      </w:r>
      <w:r>
        <w:tab/>
        <w:t>No obligation to monitor ELN or conduct compliance examination (cf. ECNL s. 38)</w:t>
      </w:r>
      <w:bookmarkEnd w:id="180"/>
      <w:bookmarkEnd w:id="181"/>
    </w:p>
    <w:p>
      <w:pPr>
        <w:pStyle w:val="Subsection"/>
      </w:pPr>
      <w:r>
        <w:tab/>
        <w:t>(1)</w:t>
      </w:r>
      <w:r>
        <w:tab/>
        <w:t>Neither the Authority nor the Registrar nor the Commissioner is obliged to monitor activities in an ELN under section 21.</w:t>
      </w:r>
    </w:p>
    <w:p>
      <w:pPr>
        <w:pStyle w:val="Subsection"/>
      </w:pPr>
      <w:r>
        <w:tab/>
        <w:t>(2)</w:t>
      </w:r>
      <w:r>
        <w:tab/>
        <w:t>The Registrar is not obliged to conduct or complete a compliance examination under Part 3 Division 5.</w:t>
      </w:r>
    </w:p>
    <w:p>
      <w:pPr>
        <w:pStyle w:val="Subsection"/>
      </w:pPr>
      <w:r>
        <w:tab/>
        <w:t>(3)</w:t>
      </w:r>
      <w:r>
        <w:tab/>
        <w:t>Subsection (2) is subject to section 33(2).</w:t>
      </w:r>
    </w:p>
    <w:p>
      <w:pPr>
        <w:pStyle w:val="Heading5"/>
      </w:pPr>
      <w:bookmarkStart w:id="182" w:name="_Toc389126032"/>
      <w:bookmarkStart w:id="183" w:name="_Toc416783643"/>
      <w:r>
        <w:rPr>
          <w:rStyle w:val="CharSectno"/>
        </w:rPr>
        <w:t>39</w:t>
      </w:r>
      <w:r>
        <w:t>.</w:t>
      </w:r>
      <w:r>
        <w:tab/>
        <w:t>No compensation (cf. ECNL s. 39)</w:t>
      </w:r>
      <w:bookmarkEnd w:id="182"/>
      <w:bookmarkEnd w:id="183"/>
    </w:p>
    <w:p>
      <w:pPr>
        <w:pStyle w:val="Subsection"/>
      </w:pPr>
      <w:r>
        <w:tab/>
      </w:r>
      <w:r>
        <w:tab/>
        <w:t xml:space="preserve">No person is entitled to receive compensation for any loss or damage arising out of anything done or omitted in good faith in, or in connection with, the monitoring of activities in an ELN under section 21 or the conduct of a compliance examination under Part 3 Division 5, including (without limitation) — </w:t>
      </w:r>
    </w:p>
    <w:p>
      <w:pPr>
        <w:pStyle w:val="Indenta"/>
      </w:pPr>
      <w:r>
        <w:tab/>
        <w:t>(a)</w:t>
      </w:r>
      <w:r>
        <w:tab/>
        <w:t>any decision made, in good faith, not to monitor activities in an ELN or not to conduct a compliance examination; and</w:t>
      </w:r>
    </w:p>
    <w:p>
      <w:pPr>
        <w:pStyle w:val="Indenta"/>
      </w:pPr>
      <w:r>
        <w:tab/>
        <w:t>(b)</w:t>
      </w:r>
      <w:r>
        <w:tab/>
        <w:t>any decision made, in good faith, as to how activities in an ELN are to be monitored or how a compliance examination is to be conducted.</w:t>
      </w:r>
    </w:p>
    <w:p>
      <w:pPr>
        <w:pStyle w:val="Heading5"/>
      </w:pPr>
      <w:bookmarkStart w:id="184" w:name="_Toc389126033"/>
      <w:bookmarkStart w:id="185" w:name="_Toc416783644"/>
      <w:r>
        <w:rPr>
          <w:rStyle w:val="CharSectno"/>
        </w:rPr>
        <w:t>40</w:t>
      </w:r>
      <w:r>
        <w:t>.</w:t>
      </w:r>
      <w:r>
        <w:tab/>
        <w:t>Authority and Registrar not responsible for additional services provided by ELNO (cf. ECNL s. 40)</w:t>
      </w:r>
      <w:bookmarkEnd w:id="184"/>
      <w:bookmarkEnd w:id="185"/>
    </w:p>
    <w:p>
      <w:pPr>
        <w:pStyle w:val="Subsection"/>
      </w:pPr>
      <w:r>
        <w:tab/>
      </w:r>
      <w:r>
        <w:tab/>
        <w:t>The mere fact that an ELNO provides services that are additional to those provided by the ELN operated by that ELNO does not make the Authority or the Registrar responsible for the regulation or operation of those additional services.</w:t>
      </w:r>
    </w:p>
    <w:p>
      <w:pPr>
        <w:pStyle w:val="Heading3"/>
      </w:pPr>
      <w:bookmarkStart w:id="186" w:name="_Toc389042168"/>
      <w:bookmarkStart w:id="187" w:name="_Toc389126034"/>
      <w:bookmarkStart w:id="188" w:name="_Toc416783453"/>
      <w:bookmarkStart w:id="189" w:name="_Toc416783645"/>
      <w:r>
        <w:rPr>
          <w:rStyle w:val="CharDivNo"/>
        </w:rPr>
        <w:t>Division 3</w:t>
      </w:r>
      <w:r>
        <w:t> — </w:t>
      </w:r>
      <w:r>
        <w:rPr>
          <w:rStyle w:val="CharDivText"/>
        </w:rPr>
        <w:t>Relationship with other laws</w:t>
      </w:r>
      <w:bookmarkEnd w:id="186"/>
      <w:bookmarkEnd w:id="187"/>
      <w:bookmarkEnd w:id="188"/>
      <w:bookmarkEnd w:id="189"/>
    </w:p>
    <w:p>
      <w:pPr>
        <w:pStyle w:val="Heading5"/>
      </w:pPr>
      <w:bookmarkStart w:id="190" w:name="_Toc389126035"/>
      <w:bookmarkStart w:id="191" w:name="_Toc416783646"/>
      <w:r>
        <w:rPr>
          <w:rStyle w:val="CharSectno"/>
        </w:rPr>
        <w:t>41</w:t>
      </w:r>
      <w:r>
        <w:t>.</w:t>
      </w:r>
      <w:r>
        <w:tab/>
        <w:t>Other laws relating to electronic transactions not affected (cf. ECNL s. 41)</w:t>
      </w:r>
      <w:bookmarkEnd w:id="190"/>
      <w:bookmarkEnd w:id="191"/>
    </w:p>
    <w:p>
      <w:pPr>
        <w:pStyle w:val="Subsection"/>
      </w:pPr>
      <w:r>
        <w:tab/>
      </w:r>
      <w:r>
        <w:tab/>
        <w:t xml:space="preserve">This Act is in addition to, and not in substitution for — </w:t>
      </w:r>
    </w:p>
    <w:p>
      <w:pPr>
        <w:pStyle w:val="Indenta"/>
      </w:pPr>
      <w:r>
        <w:tab/>
        <w:t>(a)</w:t>
      </w:r>
      <w:r>
        <w:tab/>
        <w:t>the laws of this jurisdiction in relation to electronic transactions; and</w:t>
      </w:r>
    </w:p>
    <w:p>
      <w:pPr>
        <w:pStyle w:val="Indenta"/>
      </w:pPr>
      <w:r>
        <w:tab/>
        <w:t>(b)</w:t>
      </w:r>
      <w:r>
        <w:tab/>
        <w:t>any other law of this jurisdiction that authorises or permits the use of electronic documents for the purposes of the land titles legislation.</w:t>
      </w:r>
    </w:p>
    <w:p>
      <w:pPr>
        <w:pStyle w:val="Heading5"/>
      </w:pPr>
      <w:bookmarkStart w:id="192" w:name="_Toc389126036"/>
      <w:bookmarkStart w:id="193" w:name="_Toc416783647"/>
      <w:r>
        <w:rPr>
          <w:rStyle w:val="CharSectno"/>
        </w:rPr>
        <w:t>42</w:t>
      </w:r>
      <w:r>
        <w:t>.</w:t>
      </w:r>
      <w:r>
        <w:tab/>
        <w:t>Powers may be exercised for purposes of this Act (cf. ECNL s. 42)</w:t>
      </w:r>
      <w:bookmarkEnd w:id="192"/>
      <w:bookmarkEnd w:id="193"/>
    </w:p>
    <w:p>
      <w:pPr>
        <w:pStyle w:val="Subsection"/>
      </w:pPr>
      <w:r>
        <w:tab/>
      </w:r>
      <w:r>
        <w:tab/>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 of this Act.</w:t>
      </w:r>
    </w:p>
    <w:p>
      <w:pPr>
        <w:pStyle w:val="Heading2"/>
        <w:rPr>
          <w:rStyle w:val="CharPartText"/>
        </w:rPr>
      </w:pPr>
      <w:bookmarkStart w:id="194" w:name="_Toc389042171"/>
      <w:bookmarkStart w:id="195" w:name="_Toc389126037"/>
      <w:bookmarkStart w:id="196" w:name="_Toc416783456"/>
      <w:bookmarkStart w:id="197" w:name="_Toc416783648"/>
      <w:r>
        <w:rPr>
          <w:rStyle w:val="CharPartNo"/>
        </w:rPr>
        <w:t>Part 5</w:t>
      </w:r>
      <w:r>
        <w:rPr>
          <w:rStyle w:val="CharDivNo"/>
        </w:rPr>
        <w:t> </w:t>
      </w:r>
      <w:r>
        <w:t>—</w:t>
      </w:r>
      <w:r>
        <w:rPr>
          <w:rStyle w:val="CharDivText"/>
        </w:rPr>
        <w:t> </w:t>
      </w:r>
      <w:r>
        <w:rPr>
          <w:rStyle w:val="CharPartText"/>
        </w:rPr>
        <w:t>General</w:t>
      </w:r>
      <w:bookmarkEnd w:id="194"/>
      <w:bookmarkEnd w:id="195"/>
      <w:bookmarkEnd w:id="196"/>
      <w:bookmarkEnd w:id="197"/>
    </w:p>
    <w:p>
      <w:pPr>
        <w:pStyle w:val="PermNoteHeading"/>
      </w:pPr>
      <w:r>
        <w:tab/>
        <w:t>Note for this Part:</w:t>
      </w:r>
    </w:p>
    <w:p>
      <w:pPr>
        <w:pStyle w:val="PermNoteText"/>
      </w:pPr>
      <w:r>
        <w:tab/>
      </w:r>
      <w:r>
        <w:tab/>
        <w:t>There is no equivalent to this Part in the ECNL.</w:t>
      </w:r>
    </w:p>
    <w:p>
      <w:pPr>
        <w:pStyle w:val="Heading5"/>
      </w:pPr>
      <w:bookmarkStart w:id="198" w:name="_Toc389126038"/>
      <w:bookmarkStart w:id="199" w:name="_Toc416783649"/>
      <w:r>
        <w:rPr>
          <w:rStyle w:val="CharSectno"/>
        </w:rPr>
        <w:t>43</w:t>
      </w:r>
      <w:r>
        <w:t>.</w:t>
      </w:r>
      <w:r>
        <w:tab/>
        <w:t>Notification, tabling and disallowance of operating requirements and participation rules</w:t>
      </w:r>
      <w:bookmarkEnd w:id="198"/>
      <w:bookmarkEnd w:id="199"/>
    </w:p>
    <w:p>
      <w:pPr>
        <w:pStyle w:val="Subsection"/>
      </w:pPr>
      <w:r>
        <w:tab/>
        <w:t>(1)</w:t>
      </w:r>
      <w:r>
        <w:tab/>
        <w:t xml:space="preserve">In this section — </w:t>
      </w:r>
    </w:p>
    <w:p>
      <w:pPr>
        <w:pStyle w:val="Defstart"/>
      </w:pPr>
      <w:r>
        <w:tab/>
      </w:r>
      <w:r>
        <w:rPr>
          <w:rStyle w:val="CharDefText"/>
        </w:rPr>
        <w:t>business day</w:t>
      </w:r>
      <w:r>
        <w:t xml:space="preserve"> means a day that is not — </w:t>
      </w:r>
    </w:p>
    <w:p>
      <w:pPr>
        <w:pStyle w:val="Defpara"/>
      </w:pPr>
      <w:r>
        <w:tab/>
        <w:t>(a)</w:t>
      </w:r>
      <w:r>
        <w:tab/>
        <w:t>a Saturday or Sunday; or</w:t>
      </w:r>
    </w:p>
    <w:p>
      <w:pPr>
        <w:pStyle w:val="Defpara"/>
      </w:pPr>
      <w:r>
        <w:tab/>
        <w:t>(b)</w:t>
      </w:r>
      <w:r>
        <w:tab/>
        <w:t xml:space="preserve">a public holiday in the metropolitan region (as defined in the </w:t>
      </w:r>
      <w:r>
        <w:rPr>
          <w:i/>
        </w:rPr>
        <w:t>Planning and Development Act 2005</w:t>
      </w:r>
      <w:r>
        <w:t xml:space="preserve"> section 4(1)).</w:t>
      </w:r>
    </w:p>
    <w:p>
      <w:pPr>
        <w:pStyle w:val="Subsection"/>
      </w:pPr>
      <w:r>
        <w:tab/>
        <w:t>(2)</w:t>
      </w:r>
      <w:r>
        <w:tab/>
        <w:t xml:space="preserve">This section applies to the following documents — </w:t>
      </w:r>
    </w:p>
    <w:p>
      <w:pPr>
        <w:pStyle w:val="Indenta"/>
      </w:pPr>
      <w:r>
        <w:tab/>
        <w:t>(a)</w:t>
      </w:r>
      <w:r>
        <w:tab/>
        <w:t>operating requirements;</w:t>
      </w:r>
    </w:p>
    <w:p>
      <w:pPr>
        <w:pStyle w:val="Indenta"/>
      </w:pPr>
      <w:r>
        <w:tab/>
        <w:t>(b)</w:t>
      </w:r>
      <w:r>
        <w:tab/>
        <w:t>participation rules;</w:t>
      </w:r>
    </w:p>
    <w:p>
      <w:pPr>
        <w:pStyle w:val="Indenta"/>
      </w:pPr>
      <w:r>
        <w:tab/>
        <w:t>(c)</w:t>
      </w:r>
      <w:r>
        <w:tab/>
        <w:t>changes to operating requirements or participation rules.</w:t>
      </w:r>
    </w:p>
    <w:p>
      <w:pPr>
        <w:pStyle w:val="Subsection"/>
      </w:pPr>
      <w:r>
        <w:tab/>
        <w:t>(3)</w:t>
      </w:r>
      <w:r>
        <w:tab/>
        <w:t xml:space="preserve">Where any document to which this section applies is made publicly available in accordance with section 25, the Registrar must, within 10 business days after the day on which the document is first made publicly available, cause to be published in the </w:t>
      </w:r>
      <w:r>
        <w:rPr>
          <w:i/>
        </w:rPr>
        <w:t>Gazette</w:t>
      </w:r>
      <w:r>
        <w:t xml:space="preserve"> notice of — </w:t>
      </w:r>
    </w:p>
    <w:p>
      <w:pPr>
        <w:pStyle w:val="Indenta"/>
      </w:pPr>
      <w:r>
        <w:tab/>
        <w:t>(a)</w:t>
      </w:r>
      <w:r>
        <w:tab/>
        <w:t>the making of the document; and</w:t>
      </w:r>
    </w:p>
    <w:p>
      <w:pPr>
        <w:pStyle w:val="Indenta"/>
      </w:pPr>
      <w:r>
        <w:tab/>
        <w:t>(b)</w:t>
      </w:r>
      <w:r>
        <w:tab/>
        <w:t>where the document is publicly available.</w:t>
      </w:r>
    </w:p>
    <w:p>
      <w:pPr>
        <w:pStyle w:val="Subsection"/>
      </w:pPr>
      <w:r>
        <w:tab/>
        <w:t>(4)</w:t>
      </w:r>
      <w:r>
        <w:tab/>
        <w:t xml:space="preserve">If notification of the making of a document to which this section applies is not published in the </w:t>
      </w:r>
      <w:r>
        <w:rPr>
          <w:i/>
        </w:rPr>
        <w:t>Gazette</w:t>
      </w:r>
      <w:r>
        <w:t xml:space="preserve"> in accordance with subsection (3), the document ceases to have effect on the expiry of the 10</w:t>
      </w:r>
      <w:r>
        <w:rPr>
          <w:vertAlign w:val="superscript"/>
        </w:rPr>
        <w:t>th</w:t>
      </w:r>
      <w:r>
        <w:t xml:space="preserve"> business day after the day on which the document was first made publicly available, but without affecting the validity or curing the invalidity of anything done or of the omission of anything in the meantime.</w:t>
      </w:r>
    </w:p>
    <w:p>
      <w:pPr>
        <w:pStyle w:val="Subsection"/>
      </w:pPr>
      <w:r>
        <w:tab/>
        <w:t>(5)</w:t>
      </w:r>
      <w:r>
        <w:tab/>
        <w:t xml:space="preserve">A copy of a document to which this section applies must be laid before each House of Parliament within 6 sitting days following notification of the making of the document in the </w:t>
      </w:r>
      <w:r>
        <w:rPr>
          <w:i/>
        </w:rPr>
        <w:t>Gazette</w:t>
      </w:r>
      <w:r>
        <w:t xml:space="preserve"> in accordance with subsection (3).</w:t>
      </w:r>
    </w:p>
    <w:p>
      <w:pPr>
        <w:pStyle w:val="Subsection"/>
      </w:pPr>
      <w:r>
        <w:tab/>
        <w:t>(6)</w:t>
      </w:r>
      <w:r>
        <w:tab/>
        <w:t xml:space="preserve">If notification of the making of a document to which this section applies is published in the </w:t>
      </w:r>
      <w:r>
        <w:rPr>
          <w:i/>
        </w:rPr>
        <w:t>Gazette</w:t>
      </w:r>
      <w:r>
        <w:t xml:space="preserve">, the </w:t>
      </w:r>
      <w:r>
        <w:rPr>
          <w:i/>
        </w:rPr>
        <w:t>Interpretation Act 1984</w:t>
      </w:r>
      <w:r>
        <w:t xml:space="preserve"> section 42 applies as if the document were a regulation published in the </w:t>
      </w:r>
      <w:r>
        <w:rPr>
          <w:i/>
        </w:rPr>
        <w:t>Gazette</w:t>
      </w:r>
      <w:r>
        <w:t>.</w:t>
      </w:r>
    </w:p>
    <w:p>
      <w:pPr>
        <w:pStyle w:val="Heading5"/>
      </w:pPr>
      <w:bookmarkStart w:id="200" w:name="_Toc389126039"/>
      <w:bookmarkStart w:id="201" w:name="_Toc416783650"/>
      <w:r>
        <w:rPr>
          <w:rStyle w:val="CharSectno"/>
        </w:rPr>
        <w:t>44</w:t>
      </w:r>
      <w:r>
        <w:t>.</w:t>
      </w:r>
      <w:r>
        <w:tab/>
        <w:t>Proof of operating requirements and participation rules</w:t>
      </w:r>
      <w:bookmarkEnd w:id="200"/>
      <w:bookmarkEnd w:id="201"/>
    </w:p>
    <w:p>
      <w:pPr>
        <w:pStyle w:val="Subsection"/>
      </w:pPr>
      <w:r>
        <w:tab/>
        <w:t>(1)</w:t>
      </w:r>
      <w:r>
        <w:tab/>
        <w:t>In any proceedings in any court or before any person acting judicially, a copy of all or part of any operating requirements or participation rules appearing to be certified by the Registrar to be a true copy of those requirements or rules as at any date or during any period is sufficient evidence of those requirements or, as the case requires, those rules as at that date or during that period in the absence of proof to the contrary.</w:t>
      </w:r>
    </w:p>
    <w:p>
      <w:pPr>
        <w:pStyle w:val="Subsection"/>
      </w:pPr>
      <w:r>
        <w:tab/>
        <w:t>(2)</w:t>
      </w:r>
      <w:r>
        <w:tab/>
        <w:t>The Registrar must make certified copies of the operating requirements and participation rules available on request and payment of the prescribed fee (if any).</w:t>
      </w:r>
    </w:p>
    <w:p>
      <w:pPr>
        <w:pStyle w:val="Heading5"/>
      </w:pPr>
      <w:bookmarkStart w:id="202" w:name="_Toc389126040"/>
      <w:bookmarkStart w:id="203" w:name="_Toc416783651"/>
      <w:r>
        <w:rPr>
          <w:rStyle w:val="CharSectno"/>
        </w:rPr>
        <w:t>45</w:t>
      </w:r>
      <w:r>
        <w:t>.</w:t>
      </w:r>
      <w:r>
        <w:tab/>
        <w:t>Giving false or misleading information, answer or document an offence</w:t>
      </w:r>
      <w:bookmarkEnd w:id="202"/>
      <w:bookmarkEnd w:id="203"/>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Authority; or</w:t>
      </w:r>
    </w:p>
    <w:p>
      <w:pPr>
        <w:pStyle w:val="Defpara"/>
      </w:pPr>
      <w:r>
        <w:tab/>
        <w:t>(b)</w:t>
      </w:r>
      <w:r>
        <w:tab/>
        <w:t>the Registrar; or</w:t>
      </w:r>
    </w:p>
    <w:p>
      <w:pPr>
        <w:pStyle w:val="Defpara"/>
      </w:pPr>
      <w:r>
        <w:tab/>
        <w:t>(c)</w:t>
      </w:r>
      <w:r>
        <w:tab/>
        <w:t>the Commissioner; or</w:t>
      </w:r>
    </w:p>
    <w:p>
      <w:pPr>
        <w:pStyle w:val="Defpara"/>
      </w:pPr>
      <w:r>
        <w:tab/>
        <w:t>(d)</w:t>
      </w:r>
      <w:r>
        <w:tab/>
        <w:t>any person to whom any function of the Authority, the Registrar or the Commissioner is delegated under this Act or any other Act.</w:t>
      </w:r>
    </w:p>
    <w:p>
      <w:pPr>
        <w:pStyle w:val="Subsection"/>
      </w:pPr>
      <w:r>
        <w:tab/>
        <w:t>(2)</w:t>
      </w:r>
      <w:r>
        <w:tab/>
        <w:t xml:space="preserve">A person must not do any of the things set out in subsection (4) under — </w:t>
      </w:r>
    </w:p>
    <w:p>
      <w:pPr>
        <w:pStyle w:val="Indenta"/>
      </w:pPr>
      <w:r>
        <w:tab/>
        <w:t>(a)</w:t>
      </w:r>
      <w:r>
        <w:tab/>
        <w:t>this Act; or</w:t>
      </w:r>
    </w:p>
    <w:p>
      <w:pPr>
        <w:pStyle w:val="Indenta"/>
      </w:pPr>
      <w:r>
        <w:tab/>
        <w:t>(b)</w:t>
      </w:r>
      <w:r>
        <w:tab/>
        <w:t>an instrument (as defined in Schedule 1 clause 12(1)) made under this Act.</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(3)</w:t>
      </w:r>
      <w:r>
        <w:tab/>
        <w:t>An offence under subsection (2) is a crime.</w:t>
      </w:r>
    </w:p>
    <w:p>
      <w:pPr>
        <w:pStyle w:val="Subsection"/>
      </w:pPr>
      <w:r>
        <w:tab/>
        <w:t>(4)</w:t>
      </w:r>
      <w:r>
        <w:tab/>
        <w:t xml:space="preserve">The things to which subsection (2) applies are — </w:t>
      </w:r>
    </w:p>
    <w:p>
      <w:pPr>
        <w:pStyle w:val="Indenta"/>
      </w:pPr>
      <w:r>
        <w:tab/>
        <w:t>(a)</w:t>
      </w:r>
      <w:r>
        <w:tab/>
        <w:t xml:space="preserve">giving to an authorised person any information or answer that the person giving the information or answer knows — </w:t>
      </w:r>
    </w:p>
    <w:p>
      <w:pPr>
        <w:pStyle w:val="Indenti"/>
      </w:pPr>
      <w:r>
        <w:tab/>
        <w:t>(i)</w:t>
      </w:r>
      <w:r>
        <w:tab/>
        <w:t>is false or misleading in a material particular; or</w:t>
      </w:r>
    </w:p>
    <w:p>
      <w:pPr>
        <w:pStyle w:val="Indenti"/>
      </w:pPr>
      <w:r>
        <w:tab/>
        <w:t>(ii)</w:t>
      </w:r>
      <w:r>
        <w:tab/>
        <w:t>omits any matter or thing without which the information or answer is misleading;</w:t>
      </w:r>
    </w:p>
    <w:p>
      <w:pPr>
        <w:pStyle w:val="Indenta"/>
      </w:pPr>
      <w:r>
        <w:tab/>
        <w:t>(b)</w:t>
      </w:r>
      <w:r>
        <w:tab/>
        <w:t>producing to an authorised person any document that the person producing the document knows to be false or misleading in a material particular.</w:t>
      </w:r>
    </w:p>
    <w:p>
      <w:pPr>
        <w:pStyle w:val="Subsection"/>
      </w:pPr>
      <w:r>
        <w:tab/>
        <w:t>(5)</w:t>
      </w:r>
      <w:r>
        <w:tab/>
        <w:t xml:space="preserve">It is a defence to a charge of an offence under subsection (2) that involves doing the thing set out in subsection (4)(b) if the accused proves that, when producing the document to an authorised person, the accused either — </w:t>
      </w:r>
    </w:p>
    <w:p>
      <w:pPr>
        <w:pStyle w:val="Indenta"/>
      </w:pPr>
      <w:r>
        <w:tab/>
        <w:t>(a)</w:t>
      </w:r>
      <w:r>
        <w:tab/>
        <w:t>indicated the respect in which the document was false or misleading and, where practicable, provided correct information; or</w:t>
      </w:r>
    </w:p>
    <w:p>
      <w:pPr>
        <w:pStyle w:val="Indenta"/>
      </w:pPr>
      <w:r>
        <w:tab/>
        <w:t>(b)</w:t>
      </w:r>
      <w:r>
        <w:tab/>
        <w:t xml:space="preserve">accompanied the document with a written certificate — </w:t>
      </w:r>
    </w:p>
    <w:p>
      <w:pPr>
        <w:pStyle w:val="Indenti"/>
      </w:pPr>
      <w:r>
        <w:tab/>
        <w:t>(i)</w:t>
      </w:r>
      <w:r>
        <w:tab/>
        <w:t>stating that the document was, to the accused’s knowledge, false or misleading in a material particular; and</w:t>
      </w:r>
    </w:p>
    <w:p>
      <w:pPr>
        <w:pStyle w:val="Indenti"/>
      </w:pPr>
      <w:r>
        <w:tab/>
        <w:t>(ii)</w:t>
      </w:r>
      <w:r>
        <w:tab/>
        <w:t>setting out, or referring to, the material particular in which the document was, to the accused’s knowledge, false or misleading.</w:t>
      </w:r>
    </w:p>
    <w:p>
      <w:pPr>
        <w:pStyle w:val="Heading5"/>
        <w:pageBreakBefore/>
        <w:spacing w:before="0"/>
      </w:pPr>
      <w:bookmarkStart w:id="204" w:name="_Toc389126041"/>
      <w:bookmarkStart w:id="205" w:name="_Toc416783652"/>
      <w:r>
        <w:rPr>
          <w:rStyle w:val="CharSectno"/>
        </w:rPr>
        <w:t>46</w:t>
      </w:r>
      <w:r>
        <w:t>.</w:t>
      </w:r>
      <w:r>
        <w:tab/>
        <w:t>Regulations</w:t>
      </w:r>
      <w:bookmarkEnd w:id="204"/>
      <w:bookmarkEnd w:id="20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If a regulation made under this section is inconsistent with any subsidiary legislation made under the land titles legislation, the regulation made under this section prevails to the extent of the inconsistency.</w:t>
      </w:r>
    </w:p>
    <w:p>
      <w:pPr>
        <w:pStyle w:val="Heading5"/>
      </w:pPr>
      <w:bookmarkStart w:id="206" w:name="_Toc389126042"/>
      <w:bookmarkStart w:id="207" w:name="_Toc416783653"/>
      <w:r>
        <w:rPr>
          <w:rStyle w:val="CharSectno"/>
        </w:rPr>
        <w:t>47</w:t>
      </w:r>
      <w:r>
        <w:t>.</w:t>
      </w:r>
      <w:r>
        <w:tab/>
        <w:t>Review of Act</w:t>
      </w:r>
      <w:bookmarkEnd w:id="206"/>
      <w:bookmarkEnd w:id="207"/>
    </w:p>
    <w:p>
      <w:pPr>
        <w:pStyle w:val="Subsection"/>
      </w:pPr>
      <w:r>
        <w:tab/>
        <w:t>(1)</w:t>
      </w:r>
      <w:r>
        <w:tab/>
        <w:t xml:space="preserve">The Minister must carry out a review of the operation and effectiveness of this Act — </w:t>
      </w:r>
    </w:p>
    <w:p>
      <w:pPr>
        <w:pStyle w:val="Indenta"/>
      </w:pPr>
      <w:r>
        <w:tab/>
        <w:t>(a)</w:t>
      </w:r>
      <w:r>
        <w:tab/>
        <w:t xml:space="preserve">as soon as is practicable after the period of 7 years beginning on the day on which section 7 comes into operation (the </w:t>
      </w:r>
      <w:r>
        <w:rPr>
          <w:rStyle w:val="CharDefText"/>
        </w:rPr>
        <w:t>review period</w:t>
      </w:r>
      <w:r>
        <w:t>); or</w:t>
      </w:r>
    </w:p>
    <w:p>
      <w:pPr>
        <w:pStyle w:val="Indenta"/>
      </w:pPr>
      <w:r>
        <w:tab/>
        <w:t>(b)</w:t>
      </w:r>
      <w:r>
        <w:tab/>
        <w:t>at any earlier time that the Minister considers appropriate.</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 xml:space="preserve">cause the report to be laid before each House of Parliament as soon as is practicable after it is prepared, but in any event — </w:t>
      </w:r>
    </w:p>
    <w:p>
      <w:pPr>
        <w:pStyle w:val="Indenti"/>
      </w:pPr>
      <w:r>
        <w:tab/>
        <w:t>(i)</w:t>
      </w:r>
      <w:r>
        <w:tab/>
        <w:t>if the review is carried out after the review period, not more than 12 months after that period; or</w:t>
      </w:r>
    </w:p>
    <w:p>
      <w:pPr>
        <w:pStyle w:val="Indenti"/>
      </w:pPr>
      <w:r>
        <w:tab/>
        <w:t>(ii)</w:t>
      </w:r>
      <w:r>
        <w:tab/>
        <w:t>if the review is carried out earlier than that, not more than 6 months after the review is completed.</w:t>
      </w:r>
    </w:p>
    <w:p>
      <w:pPr>
        <w:pStyle w:val="Heading2"/>
      </w:pPr>
      <w:bookmarkStart w:id="208" w:name="_Toc373331411"/>
      <w:bookmarkStart w:id="209" w:name="_Toc373331602"/>
      <w:bookmarkStart w:id="210" w:name="_Toc382567461"/>
      <w:bookmarkStart w:id="211" w:name="_Toc382568140"/>
      <w:bookmarkStart w:id="212" w:name="_Toc382914435"/>
      <w:bookmarkStart w:id="213" w:name="_Toc382914626"/>
      <w:bookmarkStart w:id="214" w:name="_Toc389042177"/>
      <w:bookmarkStart w:id="215" w:name="_Toc389126043"/>
      <w:bookmarkStart w:id="216" w:name="_Toc416783462"/>
      <w:bookmarkStart w:id="217" w:name="_Toc416783654"/>
      <w:r>
        <w:rPr>
          <w:rStyle w:val="CharPartNo"/>
        </w:rPr>
        <w:t>Part 6</w:t>
      </w:r>
      <w:r>
        <w:rPr>
          <w:rStyle w:val="CharDivNo"/>
        </w:rPr>
        <w:t> </w:t>
      </w:r>
      <w:r>
        <w:t>—</w:t>
      </w:r>
      <w:r>
        <w:rPr>
          <w:rStyle w:val="CharDivText"/>
        </w:rPr>
        <w:t> </w:t>
      </w:r>
      <w:r>
        <w:rPr>
          <w:rStyle w:val="CharPartText"/>
          <w:i/>
        </w:rPr>
        <w:t>Duties Act 2008</w:t>
      </w:r>
      <w:r>
        <w:rPr>
          <w:rStyle w:val="CharPartText"/>
        </w:rPr>
        <w:t xml:space="preserve"> amended</w:t>
      </w:r>
      <w:bookmarkEnd w:id="208"/>
      <w:bookmarkEnd w:id="209"/>
      <w:bookmarkEnd w:id="210"/>
      <w:bookmarkEnd w:id="211"/>
      <w:bookmarkEnd w:id="212"/>
      <w:bookmarkEnd w:id="213"/>
      <w:bookmarkEnd w:id="214"/>
      <w:bookmarkEnd w:id="215"/>
      <w:bookmarkEnd w:id="216"/>
      <w:bookmarkEnd w:id="217"/>
    </w:p>
    <w:p>
      <w:pPr>
        <w:pStyle w:val="Heading5"/>
      </w:pPr>
      <w:bookmarkStart w:id="218" w:name="_Toc382914627"/>
      <w:bookmarkStart w:id="219" w:name="_Toc389126044"/>
      <w:bookmarkStart w:id="220" w:name="_Toc416783655"/>
      <w:r>
        <w:rPr>
          <w:rStyle w:val="CharSectno"/>
        </w:rPr>
        <w:t>48</w:t>
      </w:r>
      <w:r>
        <w:t>.</w:t>
      </w:r>
      <w:r>
        <w:tab/>
        <w:t>Act amended</w:t>
      </w:r>
      <w:bookmarkEnd w:id="218"/>
      <w:bookmarkEnd w:id="219"/>
      <w:bookmarkEnd w:id="220"/>
    </w:p>
    <w:p>
      <w:pPr>
        <w:pStyle w:val="Subsection"/>
      </w:pPr>
      <w:r>
        <w:tab/>
      </w:r>
      <w:r>
        <w:tab/>
        <w:t xml:space="preserve">This Part amends the </w:t>
      </w:r>
      <w:r>
        <w:rPr>
          <w:i/>
        </w:rPr>
        <w:t>Duties Act 2008</w:t>
      </w:r>
      <w:r>
        <w:t>.</w:t>
      </w:r>
    </w:p>
    <w:p>
      <w:pPr>
        <w:pStyle w:val="Heading5"/>
      </w:pPr>
      <w:bookmarkStart w:id="221" w:name="_Toc382914628"/>
      <w:bookmarkStart w:id="222" w:name="_Toc389126045"/>
      <w:bookmarkStart w:id="223" w:name="_Toc416783656"/>
      <w:r>
        <w:rPr>
          <w:rStyle w:val="CharSectno"/>
        </w:rPr>
        <w:t>49</w:t>
      </w:r>
      <w:r>
        <w:t>.</w:t>
      </w:r>
      <w:r>
        <w:tab/>
        <w:t>Section 3 amended</w:t>
      </w:r>
      <w:bookmarkEnd w:id="221"/>
      <w:bookmarkEnd w:id="222"/>
      <w:bookmarkEnd w:id="223"/>
    </w:p>
    <w:p>
      <w:pPr>
        <w:pStyle w:val="Subsection"/>
      </w:pPr>
      <w:r>
        <w:tab/>
      </w:r>
      <w:r>
        <w:tab/>
        <w:t xml:space="preserve">In section 3 in the definition of </w:t>
      </w:r>
      <w:r>
        <w:rPr>
          <w:rStyle w:val="CharDefText"/>
        </w:rPr>
        <w:t>transfer duty statement</w:t>
      </w:r>
      <w:r>
        <w:t xml:space="preserve"> delete “section 22;” and insert:</w:t>
      </w:r>
    </w:p>
    <w:p>
      <w:pPr>
        <w:pStyle w:val="BlankOpen"/>
      </w:pPr>
    </w:p>
    <w:p>
      <w:pPr>
        <w:pStyle w:val="Subsection"/>
      </w:pPr>
      <w:r>
        <w:tab/>
      </w:r>
      <w:r>
        <w:tab/>
        <w:t>section 22(1);</w:t>
      </w:r>
    </w:p>
    <w:p>
      <w:pPr>
        <w:pStyle w:val="BlankClose"/>
      </w:pPr>
    </w:p>
    <w:p>
      <w:pPr>
        <w:pStyle w:val="Heading5"/>
      </w:pPr>
      <w:bookmarkStart w:id="224" w:name="_Toc382914629"/>
      <w:bookmarkStart w:id="225" w:name="_Toc389126046"/>
      <w:bookmarkStart w:id="226" w:name="_Toc416783657"/>
      <w:r>
        <w:rPr>
          <w:rStyle w:val="CharSectno"/>
        </w:rPr>
        <w:t>50</w:t>
      </w:r>
      <w:r>
        <w:t>.</w:t>
      </w:r>
      <w:r>
        <w:tab/>
        <w:t>Section 22A inserted</w:t>
      </w:r>
      <w:bookmarkEnd w:id="224"/>
      <w:bookmarkEnd w:id="225"/>
      <w:bookmarkEnd w:id="226"/>
    </w:p>
    <w:p>
      <w:pPr>
        <w:pStyle w:val="Subsection"/>
      </w:pPr>
      <w:r>
        <w:tab/>
      </w:r>
      <w:r>
        <w:tab/>
        <w:t>At the beginning of Chapter 2 Part 4 Division 2 insert:</w:t>
      </w:r>
    </w:p>
    <w:p>
      <w:pPr>
        <w:pStyle w:val="BlankOpen"/>
      </w:pPr>
    </w:p>
    <w:p>
      <w:pPr>
        <w:pStyle w:val="zHeading5"/>
        <w:spacing w:before="120"/>
      </w:pPr>
      <w:bookmarkStart w:id="227" w:name="_Toc382914630"/>
      <w:bookmarkStart w:id="228" w:name="_Toc389126047"/>
      <w:bookmarkStart w:id="229" w:name="_Toc416783658"/>
      <w:r>
        <w:t>22A.</w:t>
      </w:r>
      <w:r>
        <w:tab/>
        <w:t>Terms used</w:t>
      </w:r>
      <w:bookmarkEnd w:id="227"/>
      <w:bookmarkEnd w:id="228"/>
      <w:bookmarkEnd w:id="229"/>
    </w:p>
    <w:p>
      <w:pPr>
        <w:pStyle w:val="zSubsection"/>
      </w:pPr>
      <w:r>
        <w:tab/>
      </w:r>
      <w:r>
        <w:tab/>
        <w:t xml:space="preserve">In this Division — </w:t>
      </w:r>
    </w:p>
    <w:p>
      <w:pPr>
        <w:pStyle w:val="zDefstart"/>
      </w:pPr>
      <w:r>
        <w:tab/>
      </w:r>
      <w:r>
        <w:rPr>
          <w:rStyle w:val="CharDefText"/>
        </w:rPr>
        <w:t>digitally sign</w:t>
      </w:r>
      <w:r>
        <w:t xml:space="preserve"> has the meaning given in the </w:t>
      </w:r>
      <w:r>
        <w:rPr>
          <w:i/>
        </w:rPr>
        <w:t>Electronic Conveyancing Act 2014</w:t>
      </w:r>
      <w:r>
        <w:t xml:space="preserve"> section 3(1);</w:t>
      </w:r>
    </w:p>
    <w:p>
      <w:pPr>
        <w:pStyle w:val="z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BlankClose"/>
      </w:pPr>
    </w:p>
    <w:p>
      <w:pPr>
        <w:pStyle w:val="Heading5"/>
      </w:pPr>
      <w:bookmarkStart w:id="230" w:name="_Toc382914631"/>
      <w:bookmarkStart w:id="231" w:name="_Toc389126048"/>
      <w:bookmarkStart w:id="232" w:name="_Toc416783659"/>
      <w:r>
        <w:rPr>
          <w:rStyle w:val="CharSectno"/>
        </w:rPr>
        <w:t>51</w:t>
      </w:r>
      <w:r>
        <w:t>.</w:t>
      </w:r>
      <w:r>
        <w:tab/>
        <w:t>Section 22 amended</w:t>
      </w:r>
      <w:bookmarkEnd w:id="230"/>
      <w:bookmarkEnd w:id="231"/>
      <w:bookmarkEnd w:id="232"/>
    </w:p>
    <w:p>
      <w:pPr>
        <w:pStyle w:val="Subsection"/>
      </w:pPr>
      <w:r>
        <w:tab/>
        <w:t>(1)</w:t>
      </w:r>
      <w:r>
        <w:tab/>
        <w:t>In section 22 delete “The person” and insert:</w:t>
      </w:r>
    </w:p>
    <w:p>
      <w:pPr>
        <w:pStyle w:val="BlankOpen"/>
      </w:pPr>
    </w:p>
    <w:p>
      <w:pPr>
        <w:pStyle w:val="zSubsection"/>
      </w:pPr>
      <w:r>
        <w:tab/>
        <w:t>(1)</w:t>
      </w:r>
      <w:r>
        <w:tab/>
        <w:t>The person</w:t>
      </w:r>
    </w:p>
    <w:p>
      <w:pPr>
        <w:pStyle w:val="BlankClose"/>
      </w:pPr>
    </w:p>
    <w:p>
      <w:pPr>
        <w:pStyle w:val="Subsection"/>
      </w:pPr>
      <w:r>
        <w:tab/>
        <w:t>(2)</w:t>
      </w:r>
      <w:r>
        <w:tab/>
        <w:t>At the end of section 22 insert:</w:t>
      </w:r>
    </w:p>
    <w:p>
      <w:pPr>
        <w:pStyle w:val="BlankOpen"/>
      </w:pPr>
    </w:p>
    <w:p>
      <w:pPr>
        <w:pStyle w:val="zSubsection"/>
      </w:pPr>
      <w:r>
        <w:tab/>
        <w:t>(2)</w:t>
      </w:r>
      <w:r>
        <w:tab/>
        <w:t>For the purposes of subsection (1) and section 23(1)(a), an electronic conveyancing instrument that has been digitally signed is to be taken to be an instrument in hard copy form.</w:t>
      </w:r>
    </w:p>
    <w:p>
      <w:pPr>
        <w:pStyle w:val="BlankClose"/>
      </w:pPr>
    </w:p>
    <w:p>
      <w:pPr>
        <w:pStyle w:val="Heading5"/>
      </w:pPr>
      <w:bookmarkStart w:id="233" w:name="_Toc382914632"/>
      <w:bookmarkStart w:id="234" w:name="_Toc389126049"/>
      <w:bookmarkStart w:id="235" w:name="_Toc416783660"/>
      <w:r>
        <w:rPr>
          <w:rStyle w:val="CharSectno"/>
        </w:rPr>
        <w:t>52</w:t>
      </w:r>
      <w:r>
        <w:t>.</w:t>
      </w:r>
      <w:r>
        <w:tab/>
        <w:t>Section 23 amended</w:t>
      </w:r>
      <w:bookmarkEnd w:id="233"/>
      <w:bookmarkEnd w:id="234"/>
      <w:bookmarkEnd w:id="235"/>
    </w:p>
    <w:p>
      <w:pPr>
        <w:pStyle w:val="Subsection"/>
      </w:pPr>
      <w:r>
        <w:tab/>
      </w:r>
      <w:r>
        <w:tab/>
        <w:t>After section 23(2) insert:</w:t>
      </w:r>
    </w:p>
    <w:p>
      <w:pPr>
        <w:pStyle w:val="BlankOpen"/>
      </w:pPr>
    </w:p>
    <w:p>
      <w:pPr>
        <w:pStyle w:val="z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BlankClose"/>
      </w:pPr>
    </w:p>
    <w:p>
      <w:pPr>
        <w:pStyle w:val="Heading5"/>
      </w:pPr>
      <w:bookmarkStart w:id="236" w:name="_Toc382914633"/>
      <w:bookmarkStart w:id="237" w:name="_Toc389126050"/>
      <w:bookmarkStart w:id="238" w:name="_Toc416783661"/>
      <w:r>
        <w:rPr>
          <w:rStyle w:val="CharSectno"/>
        </w:rPr>
        <w:t>53</w:t>
      </w:r>
      <w:r>
        <w:t>.</w:t>
      </w:r>
      <w:r>
        <w:tab/>
        <w:t>Section 107 amended</w:t>
      </w:r>
      <w:bookmarkEnd w:id="236"/>
      <w:bookmarkEnd w:id="237"/>
      <w:bookmarkEnd w:id="238"/>
    </w:p>
    <w:p>
      <w:pPr>
        <w:pStyle w:val="Subsection"/>
      </w:pPr>
      <w:r>
        <w:tab/>
      </w:r>
      <w:r>
        <w:tab/>
        <w:t>After section 107(2) insert:</w:t>
      </w:r>
    </w:p>
    <w:p>
      <w:pPr>
        <w:pStyle w:val="BlankOpen"/>
      </w:pPr>
    </w:p>
    <w:p>
      <w:pPr>
        <w:pStyle w:val="zSubsection"/>
      </w:pPr>
      <w:r>
        <w:tab/>
        <w:t>(3A)</w:t>
      </w:r>
      <w:r>
        <w:tab/>
        <w:t xml:space="preserve">To avoid doubt, for the purposes of subsection (2), a dutiable transaction has not been, and will not be, carried into effect if — </w:t>
      </w:r>
    </w:p>
    <w:p>
      <w:pPr>
        <w:pStyle w:val="zIndenta"/>
      </w:pPr>
      <w:r>
        <w:tab/>
        <w:t>(a)</w:t>
      </w:r>
      <w:r>
        <w:tab/>
        <w:t>the transaction is a transfer of dutiable property; and</w:t>
      </w:r>
    </w:p>
    <w:p>
      <w:pPr>
        <w:pStyle w:val="zIndenta"/>
      </w:pPr>
      <w:r>
        <w:tab/>
        <w:t>(b)</w:t>
      </w:r>
      <w:r>
        <w:tab/>
        <w:t>the transaction is effected or evidenced by an electronic conveyancing instrument (as defined in section 22A); and</w:t>
      </w:r>
    </w:p>
    <w:p>
      <w:pPr>
        <w:pStyle w:val="zIndenta"/>
      </w:pPr>
      <w:r>
        <w:tab/>
        <w:t>(c)</w:t>
      </w:r>
      <w:r>
        <w:tab/>
        <w:t>under section 42, no duty is chargeable on the transfer; and</w:t>
      </w:r>
    </w:p>
    <w:p>
      <w:pPr>
        <w:pStyle w:val="z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BlankClose"/>
      </w:pPr>
    </w:p>
    <w:p>
      <w:pPr>
        <w:pStyle w:val="Heading5"/>
      </w:pPr>
      <w:bookmarkStart w:id="239" w:name="_Toc382914634"/>
      <w:bookmarkStart w:id="240" w:name="_Toc389126051"/>
      <w:bookmarkStart w:id="241" w:name="_Toc416783662"/>
      <w:r>
        <w:rPr>
          <w:rStyle w:val="CharSectno"/>
        </w:rPr>
        <w:t>54</w:t>
      </w:r>
      <w:r>
        <w:t>.</w:t>
      </w:r>
      <w:r>
        <w:tab/>
        <w:t>Section 273A inserted</w:t>
      </w:r>
      <w:bookmarkEnd w:id="239"/>
      <w:bookmarkEnd w:id="240"/>
      <w:bookmarkEnd w:id="241"/>
    </w:p>
    <w:p>
      <w:pPr>
        <w:pStyle w:val="Subsection"/>
      </w:pPr>
      <w:r>
        <w:tab/>
      </w:r>
      <w:r>
        <w:tab/>
        <w:t>After section 272 insert:</w:t>
      </w:r>
    </w:p>
    <w:p>
      <w:pPr>
        <w:pStyle w:val="BlankOpen"/>
      </w:pPr>
    </w:p>
    <w:p>
      <w:pPr>
        <w:pStyle w:val="zHeading5"/>
        <w:spacing w:before="120"/>
      </w:pPr>
      <w:bookmarkStart w:id="242" w:name="_Toc382914635"/>
      <w:bookmarkStart w:id="243" w:name="_Toc389126052"/>
      <w:bookmarkStart w:id="244" w:name="_Toc416783663"/>
      <w:r>
        <w:t>273A.</w:t>
      </w:r>
      <w:r>
        <w:tab/>
        <w:t>Duty endorsement: electronic conveyancing instruments</w:t>
      </w:r>
      <w:bookmarkEnd w:id="242"/>
      <w:bookmarkEnd w:id="243"/>
      <w:bookmarkEnd w:id="244"/>
    </w:p>
    <w:p>
      <w:pPr>
        <w:pStyle w:val="zSubsection"/>
      </w:pPr>
      <w:r>
        <w:tab/>
        <w:t>(1)</w:t>
      </w:r>
      <w:r>
        <w:tab/>
        <w:t xml:space="preserve">In this section — </w:t>
      </w:r>
    </w:p>
    <w:p>
      <w:pPr>
        <w:pStyle w:val="zDefstart"/>
      </w:pPr>
      <w:r>
        <w:tab/>
      </w:r>
      <w:r>
        <w:rPr>
          <w:rStyle w:val="CharDefText"/>
        </w:rPr>
        <w:t>digitally sign</w:t>
      </w:r>
      <w:r>
        <w:t xml:space="preserve"> has the meaning given in the </w:t>
      </w:r>
      <w:r>
        <w:rPr>
          <w:i/>
        </w:rPr>
        <w:t>Electronic Conveyancing Act 2014</w:t>
      </w:r>
      <w:r>
        <w:t xml:space="preserve"> section 3(1);</w:t>
      </w:r>
    </w:p>
    <w:p>
      <w:pPr>
        <w:pStyle w:val="z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z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zSubsection"/>
      </w:pPr>
      <w:r>
        <w:tab/>
        <w:t>(3)</w:t>
      </w:r>
      <w:r>
        <w:tab/>
        <w:t xml:space="preserve">The procedures referred to in subsection (2) may include procedures for verifying or certifying electronic conveyancing instruments before they are digitally signed, and in that case — </w:t>
      </w:r>
    </w:p>
    <w:p>
      <w:pPr>
        <w:pStyle w:val="z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zIndenta"/>
      </w:pPr>
      <w:r>
        <w:tab/>
        <w:t>(b)</w:t>
      </w:r>
      <w:r>
        <w:tab/>
        <w:t>the verification or certification of the electronic conveyancing instrument in accordance with those procedures becomes a duty endorsement under subsection (2) only when the instrument is digitally signed.</w:t>
      </w:r>
    </w:p>
    <w:p>
      <w:pPr>
        <w:pStyle w:val="BlankClose"/>
      </w:pPr>
    </w:p>
    <w:p>
      <w:pPr>
        <w:pStyle w:val="Heading5"/>
      </w:pPr>
      <w:bookmarkStart w:id="245" w:name="_Toc382914636"/>
      <w:bookmarkStart w:id="246" w:name="_Toc389126053"/>
      <w:bookmarkStart w:id="247" w:name="_Toc416783664"/>
      <w:r>
        <w:rPr>
          <w:rStyle w:val="CharSectno"/>
        </w:rPr>
        <w:t>55</w:t>
      </w:r>
      <w:r>
        <w:t>.</w:t>
      </w:r>
      <w:r>
        <w:tab/>
        <w:t>Section 278 amended</w:t>
      </w:r>
      <w:bookmarkEnd w:id="245"/>
      <w:bookmarkEnd w:id="246"/>
      <w:bookmarkEnd w:id="247"/>
    </w:p>
    <w:p>
      <w:pPr>
        <w:pStyle w:val="Subsection"/>
      </w:pPr>
      <w:r>
        <w:tab/>
      </w:r>
      <w:r>
        <w:tab/>
        <w:t>Delete section 278(1) and insert:</w:t>
      </w:r>
    </w:p>
    <w:p>
      <w:pPr>
        <w:pStyle w:val="BlankOpen"/>
      </w:pPr>
    </w:p>
    <w:p>
      <w:pPr>
        <w:pStyle w:val="zSubsection"/>
      </w:pPr>
      <w:r>
        <w:tab/>
        <w:t>(1)</w:t>
      </w:r>
      <w:r>
        <w:tab/>
        <w:t xml:space="preserve">In this section — </w:t>
      </w:r>
    </w:p>
    <w:p>
      <w:pPr>
        <w:pStyle w:val="zDefstart"/>
      </w:pPr>
      <w:r>
        <w:tab/>
      </w:r>
      <w:r>
        <w:rPr>
          <w:rStyle w:val="CharDefText"/>
        </w:rPr>
        <w:t>caveat</w:t>
      </w:r>
      <w:r>
        <w:t xml:space="preserve"> means a caveat lodged under the </w:t>
      </w:r>
      <w:r>
        <w:rPr>
          <w:i/>
        </w:rPr>
        <w:t>Mining Act 1978</w:t>
      </w:r>
      <w:r>
        <w:t>;</w:t>
      </w:r>
    </w:p>
    <w:p>
      <w:pPr>
        <w:pStyle w:val="zDefstart"/>
      </w:pPr>
      <w:r>
        <w:tab/>
      </w:r>
      <w:r>
        <w:rPr>
          <w:rStyle w:val="CharDefText"/>
        </w:rPr>
        <w:t>registrar</w:t>
      </w:r>
      <w:r>
        <w:t xml:space="preserve"> means a mining registrar as defined in the </w:t>
      </w:r>
      <w:r>
        <w:rPr>
          <w:i/>
        </w:rPr>
        <w:t>Mining Act 1978</w:t>
      </w:r>
      <w:r>
        <w:t xml:space="preserve"> section 8(1).</w:t>
      </w:r>
    </w:p>
    <w:p>
      <w:pPr>
        <w:pStyle w:val="BlankClose"/>
      </w:pPr>
    </w:p>
    <w:p>
      <w:pPr>
        <w:pStyle w:val="Heading2"/>
      </w:pPr>
      <w:bookmarkStart w:id="248" w:name="_Toc373331422"/>
      <w:bookmarkStart w:id="249" w:name="_Toc373331613"/>
      <w:bookmarkStart w:id="250" w:name="_Toc382567472"/>
      <w:bookmarkStart w:id="251" w:name="_Toc382568151"/>
      <w:bookmarkStart w:id="252" w:name="_Toc382914446"/>
      <w:bookmarkStart w:id="253" w:name="_Toc382914637"/>
      <w:bookmarkStart w:id="254" w:name="_Toc389042188"/>
      <w:bookmarkStart w:id="255" w:name="_Toc389126054"/>
      <w:bookmarkStart w:id="256" w:name="_Toc416783473"/>
      <w:bookmarkStart w:id="257" w:name="_Toc416783665"/>
      <w:r>
        <w:rPr>
          <w:rStyle w:val="CharPartNo"/>
        </w:rPr>
        <w:t>Part 7</w:t>
      </w:r>
      <w:r>
        <w:rPr>
          <w:rStyle w:val="CharDivNo"/>
        </w:rPr>
        <w:t> </w:t>
      </w:r>
      <w:r>
        <w:t>—</w:t>
      </w:r>
      <w:r>
        <w:rPr>
          <w:rStyle w:val="CharDivText"/>
        </w:rPr>
        <w:t> </w:t>
      </w:r>
      <w:r>
        <w:rPr>
          <w:rStyle w:val="CharPartText"/>
          <w:i/>
        </w:rPr>
        <w:t>Settlement Agents Act 1981</w:t>
      </w:r>
      <w:r>
        <w:rPr>
          <w:rStyle w:val="CharPartText"/>
        </w:rPr>
        <w:t xml:space="preserve"> amended</w:t>
      </w:r>
      <w:bookmarkEnd w:id="248"/>
      <w:bookmarkEnd w:id="249"/>
      <w:bookmarkEnd w:id="250"/>
      <w:bookmarkEnd w:id="251"/>
      <w:bookmarkEnd w:id="252"/>
      <w:bookmarkEnd w:id="253"/>
      <w:bookmarkEnd w:id="254"/>
      <w:bookmarkEnd w:id="255"/>
      <w:bookmarkEnd w:id="256"/>
      <w:bookmarkEnd w:id="257"/>
    </w:p>
    <w:p>
      <w:pPr>
        <w:pStyle w:val="Heading5"/>
      </w:pPr>
      <w:bookmarkStart w:id="258" w:name="_Toc382914638"/>
      <w:bookmarkStart w:id="259" w:name="_Toc389126055"/>
      <w:bookmarkStart w:id="260" w:name="_Toc416783666"/>
      <w:r>
        <w:rPr>
          <w:rStyle w:val="CharSectno"/>
        </w:rPr>
        <w:t>56</w:t>
      </w:r>
      <w:r>
        <w:t>.</w:t>
      </w:r>
      <w:r>
        <w:tab/>
        <w:t>Act amended</w:t>
      </w:r>
      <w:bookmarkEnd w:id="258"/>
      <w:bookmarkEnd w:id="259"/>
      <w:bookmarkEnd w:id="260"/>
    </w:p>
    <w:p>
      <w:pPr>
        <w:pStyle w:val="Subsection"/>
      </w:pPr>
      <w:r>
        <w:tab/>
      </w:r>
      <w:r>
        <w:tab/>
        <w:t xml:space="preserve">This Part amends the </w:t>
      </w:r>
      <w:r>
        <w:rPr>
          <w:i/>
        </w:rPr>
        <w:t>Settlement Agents Act 1981</w:t>
      </w:r>
      <w:r>
        <w:t>.</w:t>
      </w:r>
    </w:p>
    <w:p>
      <w:pPr>
        <w:pStyle w:val="Heading5"/>
      </w:pPr>
      <w:bookmarkStart w:id="261" w:name="_Toc382914639"/>
      <w:bookmarkStart w:id="262" w:name="_Toc389126056"/>
      <w:bookmarkStart w:id="263" w:name="_Toc416783667"/>
      <w:r>
        <w:rPr>
          <w:rStyle w:val="CharSectno"/>
        </w:rPr>
        <w:t>57</w:t>
      </w:r>
      <w:r>
        <w:t>.</w:t>
      </w:r>
      <w:r>
        <w:tab/>
        <w:t>Section 46 amended</w:t>
      </w:r>
      <w:bookmarkEnd w:id="261"/>
      <w:bookmarkEnd w:id="262"/>
      <w:bookmarkEnd w:id="263"/>
    </w:p>
    <w:p>
      <w:pPr>
        <w:pStyle w:val="Subsection"/>
      </w:pPr>
      <w:r>
        <w:tab/>
        <w:t>(1)</w:t>
      </w:r>
      <w:r>
        <w:tab/>
        <w:t>In section 46(4) delete “clause 1(1) of Schedule 2” and insert:</w:t>
      </w:r>
    </w:p>
    <w:p>
      <w:pPr>
        <w:pStyle w:val="BlankOpen"/>
      </w:pPr>
    </w:p>
    <w:p>
      <w:pPr>
        <w:pStyle w:val="Subsection"/>
      </w:pPr>
      <w:r>
        <w:tab/>
      </w:r>
      <w:r>
        <w:tab/>
        <w:t>Schedule 2 clause 1(1) or (2A),</w:t>
      </w:r>
    </w:p>
    <w:p>
      <w:pPr>
        <w:pStyle w:val="BlankClose"/>
      </w:pPr>
    </w:p>
    <w:p>
      <w:pPr>
        <w:pStyle w:val="Subsection"/>
      </w:pPr>
      <w:r>
        <w:tab/>
        <w:t>(2)</w:t>
      </w:r>
      <w:r>
        <w:tab/>
        <w:t>After section 46(7) insert:</w:t>
      </w:r>
    </w:p>
    <w:p>
      <w:pPr>
        <w:pStyle w:val="BlankOpen"/>
      </w:pPr>
    </w:p>
    <w:p>
      <w:pPr>
        <w:pStyle w:val="zSubsection"/>
      </w:pPr>
      <w:r>
        <w:tab/>
        <w:t>(8)</w:t>
      </w:r>
      <w:r>
        <w:tab/>
        <w:t xml:space="preserve">For the purposes of effecting a settlement referred to in subsection (1) that is being or is to be completed (wholly or in part) electronically under the </w:t>
      </w:r>
      <w:r>
        <w:rPr>
          <w:i/>
        </w:rPr>
        <w:t>Electronic Conveyancing Act 2014</w:t>
      </w:r>
      <w:r>
        <w:t xml:space="preserve"> — </w:t>
      </w:r>
    </w:p>
    <w:p>
      <w:pPr>
        <w:pStyle w:val="zIndenta"/>
      </w:pPr>
      <w:r>
        <w:tab/>
        <w:t>(a)</w:t>
      </w:r>
      <w:r>
        <w:tab/>
        <w:t>if a licensee who is a natural person holds a real estate settlement agent’s licence and a current triennial certificate and is a subscriber (as defined in section 3(1) of that Act), that licensee may authorise any employee of the licensee to digitally sign documents and provide certifications on that licensee’s behalf; and</w:t>
      </w:r>
    </w:p>
    <w:p>
      <w:pPr>
        <w:pStyle w:val="zIndenta"/>
      </w:pPr>
      <w:r>
        <w:tab/>
        <w:t>(b)</w:t>
      </w:r>
      <w:r>
        <w:tab/>
        <w:t>if a licensee that is a firm holds a real estate settlement agent’s licence and a current triennial certificate and is a subscriber (as so defined), the person in bona fide control of the business operated under the licence may authorise any employee of the licensee to digitally sign documents and provide certifications on that licensee’s behalf; and</w:t>
      </w:r>
    </w:p>
    <w:p>
      <w:pPr>
        <w:pStyle w:val="zIndenta"/>
      </w:pPr>
      <w:r>
        <w:tab/>
        <w:t>(c)</w:t>
      </w:r>
      <w:r>
        <w:tab/>
        <w:t>if a licensee that is a body corporate holds a real estate settlement agent’s licence and a current triennial certificate and is a subscriber (as so defined), the person in bona fide control of the business operated under the licence may authorise any employee of the licensee to digitally sign documents and provide certifications on that licensee’s behalf; and</w:t>
      </w:r>
    </w:p>
    <w:p>
      <w:pPr>
        <w:pStyle w:val="zIndenta"/>
      </w:pPr>
      <w:r>
        <w:tab/>
        <w:t>(d)</w:t>
      </w:r>
      <w:r>
        <w:tab/>
        <w:t>subject to any participation rules determined under section 23 of that Act, a person authorised under paragraph (a) or (b) or (c) may digitally sign documents and provide certifications in accordance with that authorisation.</w:t>
      </w:r>
    </w:p>
    <w:p>
      <w:pPr>
        <w:pStyle w:val="zSubsection"/>
      </w:pPr>
      <w:r>
        <w:tab/>
        <w:t>(9)</w:t>
      </w:r>
      <w:r>
        <w:tab/>
        <w:t xml:space="preserve">An authorisation given under subsection (8)(a) or (b) or (c) to an employee of a licensee — </w:t>
      </w:r>
    </w:p>
    <w:p>
      <w:pPr>
        <w:pStyle w:val="zIndenta"/>
      </w:pPr>
      <w:r>
        <w:tab/>
        <w:t>(a)</w:t>
      </w:r>
      <w:r>
        <w:tab/>
        <w:t>unless sooner revoked, continues for as long as the person remains an employee of the licensee; and</w:t>
      </w:r>
    </w:p>
    <w:p>
      <w:pPr>
        <w:pStyle w:val="zIndenta"/>
      </w:pPr>
      <w:r>
        <w:tab/>
        <w:t>(b)</w:t>
      </w:r>
      <w:r>
        <w:tab/>
        <w:t xml:space="preserve">may be revoked by — </w:t>
      </w:r>
    </w:p>
    <w:p>
      <w:pPr>
        <w:pStyle w:val="zIndenti"/>
      </w:pPr>
      <w:r>
        <w:tab/>
        <w:t>(i)</w:t>
      </w:r>
      <w:r>
        <w:tab/>
        <w:t>the licensee; or</w:t>
      </w:r>
    </w:p>
    <w:p>
      <w:pPr>
        <w:pStyle w:val="zIndenti"/>
      </w:pPr>
      <w:r>
        <w:tab/>
        <w:t>(ii)</w:t>
      </w:r>
      <w:r>
        <w:tab/>
        <w:t>any person who, under subsection (8), is entitled to give authorisations to employees of the licensee, whether or not the person who originally gave the authorisation.</w:t>
      </w:r>
    </w:p>
    <w:p>
      <w:pPr>
        <w:pStyle w:val="BlankClose"/>
      </w:pPr>
    </w:p>
    <w:p>
      <w:pPr>
        <w:pStyle w:val="Heading5"/>
      </w:pPr>
      <w:bookmarkStart w:id="264" w:name="_Toc382914640"/>
      <w:bookmarkStart w:id="265" w:name="_Toc389126057"/>
      <w:bookmarkStart w:id="266" w:name="_Toc416783668"/>
      <w:r>
        <w:rPr>
          <w:rStyle w:val="CharSectno"/>
        </w:rPr>
        <w:t>58</w:t>
      </w:r>
      <w:r>
        <w:t>.</w:t>
      </w:r>
      <w:r>
        <w:tab/>
        <w:t>Schedule 2 amended</w:t>
      </w:r>
      <w:bookmarkEnd w:id="264"/>
      <w:bookmarkEnd w:id="265"/>
      <w:bookmarkEnd w:id="266"/>
    </w:p>
    <w:p>
      <w:pPr>
        <w:pStyle w:val="Subsection"/>
      </w:pPr>
      <w:r>
        <w:tab/>
        <w:t>(1)</w:t>
      </w:r>
      <w:r>
        <w:tab/>
        <w:t>Before Schedule 2 clause 1(1) insert:</w:t>
      </w:r>
    </w:p>
    <w:p>
      <w:pPr>
        <w:pStyle w:val="BlankOpen"/>
      </w:pPr>
    </w:p>
    <w:p>
      <w:pPr>
        <w:pStyle w:val="zySubsection"/>
        <w:spacing w:before="80"/>
      </w:pPr>
      <w:r>
        <w:tab/>
        <w:t>(1A)</w:t>
      </w:r>
      <w:r>
        <w:tab/>
        <w:t xml:space="preserve">A word or expression that is defined in the </w:t>
      </w:r>
      <w:r>
        <w:rPr>
          <w:i/>
        </w:rPr>
        <w:t>Electronic Conveyancing Act 2014</w:t>
      </w:r>
      <w:r>
        <w:t xml:space="preserve"> section 3 has the same meaning in subclause (2A) as it has in that section.</w:t>
      </w:r>
    </w:p>
    <w:p>
      <w:pPr>
        <w:pStyle w:val="BlankClose"/>
      </w:pPr>
    </w:p>
    <w:p>
      <w:pPr>
        <w:pStyle w:val="Subsection"/>
      </w:pPr>
      <w:r>
        <w:tab/>
        <w:t>(2)</w:t>
      </w:r>
      <w:r>
        <w:tab/>
        <w:t>After Schedule 2 clause 1(1)(f) insert:</w:t>
      </w:r>
    </w:p>
    <w:p>
      <w:pPr>
        <w:pStyle w:val="BlankOpen"/>
      </w:pPr>
    </w:p>
    <w:p>
      <w:pPr>
        <w:pStyle w:val="zyIndenta"/>
      </w:pPr>
      <w:r>
        <w:tab/>
        <w:t>(ga)</w:t>
      </w:r>
      <w:r>
        <w:tab/>
        <w:t>providing certifications required in respect of the lodging of documents to which paragraph (f) applies;</w:t>
      </w:r>
    </w:p>
    <w:p>
      <w:pPr>
        <w:pStyle w:val="BlankClose"/>
      </w:pPr>
    </w:p>
    <w:p>
      <w:pPr>
        <w:pStyle w:val="Subsection"/>
      </w:pPr>
      <w:r>
        <w:tab/>
        <w:t>(3)</w:t>
      </w:r>
      <w:r>
        <w:tab/>
        <w:t>After Schedule 2 clause 1(1) insert:</w:t>
      </w:r>
    </w:p>
    <w:p>
      <w:pPr>
        <w:pStyle w:val="BlankOpen"/>
      </w:pPr>
    </w:p>
    <w:p>
      <w:pPr>
        <w:pStyle w:val="zySubsection"/>
      </w:pPr>
      <w:r>
        <w:tab/>
        <w:t>(2A)</w:t>
      </w:r>
      <w:r>
        <w:tab/>
        <w:t xml:space="preserve">A licensee who holds a real estate settlement agent’s licence and a current triennial certificate may perform any function necessary to enable a conveyancing transaction to be completed by means of an ELN, including (without limitation) the following functions — </w:t>
      </w:r>
    </w:p>
    <w:p>
      <w:pPr>
        <w:pStyle w:val="zyIndenta"/>
      </w:pPr>
      <w:r>
        <w:tab/>
        <w:t>(a)</w:t>
      </w:r>
      <w:r>
        <w:tab/>
        <w:t>entering into a client authorisation to act as a subscriber;</w:t>
      </w:r>
    </w:p>
    <w:p>
      <w:pPr>
        <w:pStyle w:val="zyIndenta"/>
      </w:pPr>
      <w:r>
        <w:tab/>
        <w:t>(b)</w:t>
      </w:r>
      <w:r>
        <w:tab/>
        <w:t xml:space="preserve">with respect to registry instruments and other documents that a licensee is authorised by this Act to prepare — </w:t>
      </w:r>
    </w:p>
    <w:p>
      <w:pPr>
        <w:pStyle w:val="zyIndenti"/>
      </w:pPr>
      <w:r>
        <w:tab/>
        <w:t>(i)</w:t>
      </w:r>
      <w:r>
        <w:tab/>
        <w:t>preparing them in electronic form for lodging by means of an ELN;</w:t>
      </w:r>
    </w:p>
    <w:p>
      <w:pPr>
        <w:pStyle w:val="zyIndenti"/>
      </w:pPr>
      <w:r>
        <w:tab/>
        <w:t>(ii)</w:t>
      </w:r>
      <w:r>
        <w:tab/>
        <w:t>digitally signing them;</w:t>
      </w:r>
    </w:p>
    <w:p>
      <w:pPr>
        <w:pStyle w:val="zyIndenti"/>
      </w:pPr>
      <w:r>
        <w:tab/>
        <w:t>(iii)</w:t>
      </w:r>
      <w:r>
        <w:tab/>
        <w:t>lodging them in electronic form with the Authority or other Government offices or the offices of statutory authorities by means of an ELN;</w:t>
      </w:r>
    </w:p>
    <w:p>
      <w:pPr>
        <w:pStyle w:val="zyIndenti"/>
      </w:pPr>
      <w:r>
        <w:tab/>
        <w:t>(iv)</w:t>
      </w:r>
      <w:r>
        <w:tab/>
        <w:t>providing certifications required in respect of, or in connection with, the lodging of those registry instruments or other documents by means of an ELN;</w:t>
      </w:r>
    </w:p>
    <w:p>
      <w:pPr>
        <w:pStyle w:val="zyIndenta"/>
      </w:pPr>
      <w:r>
        <w:tab/>
        <w:t>(c)</w:t>
      </w:r>
      <w:r>
        <w:tab/>
        <w:t>doing anything necessary to enable the completion of an associated financial transaction.</w:t>
      </w:r>
    </w:p>
    <w:p>
      <w:pPr>
        <w:pStyle w:val="BlankClose"/>
      </w:pPr>
    </w:p>
    <w:p>
      <w:pPr>
        <w:pStyle w:val="Heading2"/>
      </w:pPr>
      <w:bookmarkStart w:id="267" w:name="_Toc373331426"/>
      <w:bookmarkStart w:id="268" w:name="_Toc373331617"/>
      <w:bookmarkStart w:id="269" w:name="_Toc382567476"/>
      <w:bookmarkStart w:id="270" w:name="_Toc382568155"/>
      <w:bookmarkStart w:id="271" w:name="_Toc382914450"/>
      <w:bookmarkStart w:id="272" w:name="_Toc382914641"/>
      <w:bookmarkStart w:id="273" w:name="_Toc389042192"/>
      <w:bookmarkStart w:id="274" w:name="_Toc389126058"/>
      <w:bookmarkStart w:id="275" w:name="_Toc416783477"/>
      <w:bookmarkStart w:id="276" w:name="_Toc416783669"/>
      <w:r>
        <w:rPr>
          <w:rStyle w:val="CharPartNo"/>
        </w:rPr>
        <w:t>Part 8</w:t>
      </w:r>
      <w:r>
        <w:rPr>
          <w:rStyle w:val="CharDivNo"/>
        </w:rPr>
        <w:t> </w:t>
      </w:r>
      <w:r>
        <w:t>—</w:t>
      </w:r>
      <w:r>
        <w:rPr>
          <w:rStyle w:val="CharDivText"/>
        </w:rPr>
        <w:t> </w:t>
      </w:r>
      <w:r>
        <w:rPr>
          <w:rStyle w:val="CharPartText"/>
          <w:i/>
        </w:rPr>
        <w:t>Taxation Administration Act 2003</w:t>
      </w:r>
      <w:r>
        <w:rPr>
          <w:rStyle w:val="CharPartText"/>
        </w:rPr>
        <w:t xml:space="preserve"> amended</w:t>
      </w:r>
      <w:bookmarkEnd w:id="267"/>
      <w:bookmarkEnd w:id="268"/>
      <w:bookmarkEnd w:id="269"/>
      <w:bookmarkEnd w:id="270"/>
      <w:bookmarkEnd w:id="271"/>
      <w:bookmarkEnd w:id="272"/>
      <w:bookmarkEnd w:id="273"/>
      <w:bookmarkEnd w:id="274"/>
      <w:bookmarkEnd w:id="275"/>
      <w:bookmarkEnd w:id="276"/>
    </w:p>
    <w:p>
      <w:pPr>
        <w:pStyle w:val="Heading5"/>
      </w:pPr>
      <w:bookmarkStart w:id="277" w:name="_Toc382914642"/>
      <w:bookmarkStart w:id="278" w:name="_Toc389126059"/>
      <w:bookmarkStart w:id="279" w:name="_Toc416783670"/>
      <w:r>
        <w:rPr>
          <w:rStyle w:val="CharSectno"/>
        </w:rPr>
        <w:t>59</w:t>
      </w:r>
      <w:r>
        <w:t>.</w:t>
      </w:r>
      <w:r>
        <w:tab/>
        <w:t>Act amended</w:t>
      </w:r>
      <w:bookmarkEnd w:id="277"/>
      <w:bookmarkEnd w:id="278"/>
      <w:bookmarkEnd w:id="279"/>
    </w:p>
    <w:p>
      <w:pPr>
        <w:pStyle w:val="Subsection"/>
      </w:pPr>
      <w:r>
        <w:tab/>
      </w:r>
      <w:r>
        <w:tab/>
        <w:t xml:space="preserve">This Part amends the </w:t>
      </w:r>
      <w:r>
        <w:rPr>
          <w:i/>
        </w:rPr>
        <w:t>Taxation Administration Act 2003</w:t>
      </w:r>
      <w:r>
        <w:t>.</w:t>
      </w:r>
    </w:p>
    <w:p>
      <w:pPr>
        <w:pStyle w:val="Heading5"/>
      </w:pPr>
      <w:bookmarkStart w:id="280" w:name="_Toc382914643"/>
      <w:bookmarkStart w:id="281" w:name="_Toc389126060"/>
      <w:bookmarkStart w:id="282" w:name="_Toc416783671"/>
      <w:r>
        <w:rPr>
          <w:rStyle w:val="CharSectno"/>
        </w:rPr>
        <w:t>60</w:t>
      </w:r>
      <w:r>
        <w:t>.</w:t>
      </w:r>
      <w:r>
        <w:tab/>
        <w:t>Section 114 amended</w:t>
      </w:r>
      <w:bookmarkEnd w:id="280"/>
      <w:bookmarkEnd w:id="281"/>
      <w:bookmarkEnd w:id="282"/>
    </w:p>
    <w:p>
      <w:pPr>
        <w:pStyle w:val="Subsection"/>
      </w:pPr>
      <w:r>
        <w:tab/>
      </w:r>
      <w:r>
        <w:tab/>
        <w:t>After section 114(3) insert:</w:t>
      </w:r>
    </w:p>
    <w:p>
      <w:pPr>
        <w:pStyle w:val="BlankOpen"/>
      </w:pPr>
    </w:p>
    <w:p>
      <w:pPr>
        <w:pStyle w:val="z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z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BlankClose"/>
      </w:pPr>
    </w:p>
    <w:p>
      <w:pPr>
        <w:pStyle w:val="Heading2"/>
      </w:pPr>
      <w:bookmarkStart w:id="283" w:name="_Toc373331429"/>
      <w:bookmarkStart w:id="284" w:name="_Toc373331620"/>
      <w:bookmarkStart w:id="285" w:name="_Toc382567479"/>
      <w:bookmarkStart w:id="286" w:name="_Toc382568158"/>
      <w:bookmarkStart w:id="287" w:name="_Toc382914453"/>
      <w:bookmarkStart w:id="288" w:name="_Toc382914644"/>
      <w:bookmarkStart w:id="289" w:name="_Toc389042195"/>
      <w:bookmarkStart w:id="290" w:name="_Toc389126061"/>
      <w:bookmarkStart w:id="291" w:name="_Toc416783480"/>
      <w:bookmarkStart w:id="292" w:name="_Toc416783672"/>
      <w:r>
        <w:rPr>
          <w:rStyle w:val="CharPartNo"/>
        </w:rPr>
        <w:t>Part 9</w:t>
      </w:r>
      <w:r>
        <w:rPr>
          <w:rStyle w:val="CharDivNo"/>
        </w:rPr>
        <w:t> </w:t>
      </w:r>
      <w:r>
        <w:t>—</w:t>
      </w:r>
      <w:r>
        <w:rPr>
          <w:rStyle w:val="CharDivText"/>
        </w:rPr>
        <w:t> </w:t>
      </w:r>
      <w:r>
        <w:rPr>
          <w:rStyle w:val="CharPartText"/>
          <w:i/>
        </w:rPr>
        <w:t>Transfer of Land Act 1893</w:t>
      </w:r>
      <w:r>
        <w:rPr>
          <w:rStyle w:val="CharPartText"/>
        </w:rPr>
        <w:t xml:space="preserve"> amended</w:t>
      </w:r>
      <w:bookmarkEnd w:id="283"/>
      <w:bookmarkEnd w:id="284"/>
      <w:bookmarkEnd w:id="285"/>
      <w:bookmarkEnd w:id="286"/>
      <w:bookmarkEnd w:id="287"/>
      <w:bookmarkEnd w:id="288"/>
      <w:bookmarkEnd w:id="289"/>
      <w:bookmarkEnd w:id="290"/>
      <w:bookmarkEnd w:id="291"/>
      <w:bookmarkEnd w:id="292"/>
    </w:p>
    <w:p>
      <w:pPr>
        <w:pStyle w:val="Heading5"/>
        <w:rPr>
          <w:snapToGrid w:val="0"/>
        </w:rPr>
      </w:pPr>
      <w:bookmarkStart w:id="293" w:name="_Toc382914645"/>
      <w:bookmarkStart w:id="294" w:name="_Toc389126062"/>
      <w:bookmarkStart w:id="295" w:name="_Toc416783673"/>
      <w:r>
        <w:rPr>
          <w:rStyle w:val="CharSectno"/>
        </w:rPr>
        <w:t>61</w:t>
      </w:r>
      <w:r>
        <w:rPr>
          <w:snapToGrid w:val="0"/>
        </w:rPr>
        <w:t>.</w:t>
      </w:r>
      <w:r>
        <w:rPr>
          <w:snapToGrid w:val="0"/>
        </w:rPr>
        <w:tab/>
        <w:t>Act amended</w:t>
      </w:r>
      <w:bookmarkEnd w:id="293"/>
      <w:bookmarkEnd w:id="294"/>
      <w:bookmarkEnd w:id="295"/>
    </w:p>
    <w:p>
      <w:pPr>
        <w:pStyle w:val="Subsection"/>
      </w:pPr>
      <w:r>
        <w:tab/>
      </w:r>
      <w:r>
        <w:tab/>
        <w:t xml:space="preserve">This Part amends the </w:t>
      </w:r>
      <w:r>
        <w:rPr>
          <w:i/>
        </w:rPr>
        <w:t>Transfer of Land Act 1893</w:t>
      </w:r>
      <w:r>
        <w:t>.</w:t>
      </w:r>
    </w:p>
    <w:p>
      <w:pPr>
        <w:pStyle w:val="Heading5"/>
      </w:pPr>
      <w:bookmarkStart w:id="296" w:name="_Toc382914646"/>
      <w:bookmarkStart w:id="297" w:name="_Toc389126063"/>
      <w:bookmarkStart w:id="298" w:name="_Toc416783674"/>
      <w:r>
        <w:rPr>
          <w:rStyle w:val="CharSectno"/>
        </w:rPr>
        <w:t>62</w:t>
      </w:r>
      <w:r>
        <w:t>.</w:t>
      </w:r>
      <w:r>
        <w:tab/>
        <w:t>Section 3 amended</w:t>
      </w:r>
      <w:bookmarkEnd w:id="296"/>
      <w:bookmarkEnd w:id="297"/>
      <w:bookmarkEnd w:id="298"/>
    </w:p>
    <w:p>
      <w:pPr>
        <w:pStyle w:val="Subsection"/>
      </w:pPr>
      <w:r>
        <w:tab/>
      </w:r>
      <w:r>
        <w:tab/>
        <w:t>After section 3(1) insert:</w:t>
      </w:r>
    </w:p>
    <w:p>
      <w:pPr>
        <w:pStyle w:val="BlankOpen"/>
      </w:pPr>
    </w:p>
    <w:p>
      <w:pPr>
        <w:pStyle w:val="z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BlankClose"/>
      </w:pPr>
    </w:p>
    <w:p>
      <w:pPr>
        <w:pStyle w:val="Heading5"/>
      </w:pPr>
      <w:bookmarkStart w:id="299" w:name="_Toc382914647"/>
      <w:bookmarkStart w:id="300" w:name="_Toc389126064"/>
      <w:bookmarkStart w:id="301" w:name="_Toc416783675"/>
      <w:r>
        <w:rPr>
          <w:rStyle w:val="CharSectno"/>
        </w:rPr>
        <w:t>63</w:t>
      </w:r>
      <w:r>
        <w:t>.</w:t>
      </w:r>
      <w:r>
        <w:tab/>
        <w:t>Section 4 amended</w:t>
      </w:r>
      <w:bookmarkEnd w:id="299"/>
      <w:bookmarkEnd w:id="300"/>
      <w:bookmarkEnd w:id="301"/>
    </w:p>
    <w:p>
      <w:pPr>
        <w:pStyle w:val="Subsection"/>
      </w:pPr>
      <w:r>
        <w:tab/>
        <w:t>(1)</w:t>
      </w:r>
      <w:r>
        <w:tab/>
        <w:t>In section 4(1) insert in alphabetical order:</w:t>
      </w:r>
    </w:p>
    <w:p>
      <w:pPr>
        <w:pStyle w:val="BlankOpen"/>
      </w:pPr>
    </w:p>
    <w:p>
      <w:pPr>
        <w:pStyle w:val="zDefstart"/>
      </w:pPr>
      <w:r>
        <w:tab/>
      </w:r>
      <w:r>
        <w:rPr>
          <w:rStyle w:val="CharDefText"/>
        </w:rPr>
        <w:t>conveyancing transaction</w:t>
      </w:r>
      <w:r>
        <w:t xml:space="preserve"> has the meaning given in the </w:t>
      </w:r>
      <w:r>
        <w:rPr>
          <w:i/>
        </w:rPr>
        <w:t>Electronic Conveyancing Act 2014</w:t>
      </w:r>
      <w:r>
        <w:t xml:space="preserve"> section 3(1);</w:t>
      </w:r>
    </w:p>
    <w:p>
      <w:pPr>
        <w:pStyle w:val="zDefstart"/>
      </w:pPr>
      <w:r>
        <w:tab/>
      </w:r>
      <w:r>
        <w:rPr>
          <w:rStyle w:val="CharDefText"/>
        </w:rPr>
        <w:t>counterpart</w:t>
      </w:r>
      <w:r>
        <w:t xml:space="preserve"> has the meaning given in subsection (1CA);</w:t>
      </w:r>
    </w:p>
    <w:p>
      <w:pPr>
        <w:pStyle w:val="zDefstart"/>
      </w:pPr>
      <w:r>
        <w:tab/>
      </w:r>
      <w:r>
        <w:rPr>
          <w:rStyle w:val="CharDefText"/>
        </w:rPr>
        <w:t>digital signature</w:t>
      </w:r>
      <w:r>
        <w:t xml:space="preserve"> has the meaning given in the </w:t>
      </w:r>
      <w:r>
        <w:rPr>
          <w:i/>
        </w:rPr>
        <w:t>Electronic Conveyancing Act 2014</w:t>
      </w:r>
      <w:r>
        <w:t xml:space="preserve"> section 3(1);</w:t>
      </w:r>
    </w:p>
    <w:p>
      <w:pPr>
        <w:pStyle w:val="zDefstart"/>
      </w:pPr>
      <w:r>
        <w:tab/>
      </w:r>
      <w:r>
        <w:rPr>
          <w:rStyle w:val="CharDefText"/>
        </w:rPr>
        <w:t>digitally sign</w:t>
      </w:r>
      <w:r>
        <w:t xml:space="preserve"> has the meaning given in the </w:t>
      </w:r>
      <w:r>
        <w:rPr>
          <w:i/>
        </w:rPr>
        <w:t>Electronic Conveyancing Act 2014</w:t>
      </w:r>
      <w:r>
        <w:t xml:space="preserve"> section 3(1);</w:t>
      </w:r>
    </w:p>
    <w:p>
      <w:pPr>
        <w:pStyle w:val="zDefstart"/>
      </w:pPr>
      <w:r>
        <w:tab/>
      </w:r>
      <w:r>
        <w:rPr>
          <w:rStyle w:val="CharDefText"/>
        </w:rPr>
        <w:t>document</w:t>
      </w:r>
      <w:r>
        <w:t xml:space="preserve"> means any record of information however recorded, and includes — </w:t>
      </w:r>
    </w:p>
    <w:p>
      <w:pPr>
        <w:pStyle w:val="zDefpara"/>
      </w:pPr>
      <w:r>
        <w:tab/>
        <w:t>(a)</w:t>
      </w:r>
      <w:r>
        <w:tab/>
        <w:t>anything on which there is writing; or</w:t>
      </w:r>
    </w:p>
    <w:p>
      <w:pPr>
        <w:pStyle w:val="zDefpara"/>
      </w:pPr>
      <w:r>
        <w:tab/>
        <w:t>(b)</w:t>
      </w:r>
      <w:r>
        <w:tab/>
        <w:t>anything on which there are marks, figures, symbols or perforations having a meaning for persons qualified to interpret them; or</w:t>
      </w:r>
    </w:p>
    <w:p>
      <w:pPr>
        <w:pStyle w:val="zDefpara"/>
      </w:pPr>
      <w:r>
        <w:tab/>
        <w:t>(c)</w:t>
      </w:r>
      <w:r>
        <w:tab/>
        <w:t>anything from which sounds, images or writings can be reproduced with or without the aid of anything else; or</w:t>
      </w:r>
    </w:p>
    <w:p>
      <w:pPr>
        <w:pStyle w:val="zDefpara"/>
      </w:pPr>
      <w:r>
        <w:tab/>
        <w:t>(d)</w:t>
      </w:r>
      <w:r>
        <w:tab/>
        <w:t>a map, plan, drawing or photograph; or</w:t>
      </w:r>
    </w:p>
    <w:p>
      <w:pPr>
        <w:pStyle w:val="zDefpara"/>
      </w:pPr>
      <w:r>
        <w:tab/>
        <w:t>(e)</w:t>
      </w:r>
      <w:r>
        <w:tab/>
        <w:t>any record of information that exists in a digital form and is capable of being reproduced, transmitted, stored and duplicated by electronic means;</w:t>
      </w:r>
    </w:p>
    <w:p>
      <w:pPr>
        <w:pStyle w:val="zDefstart"/>
      </w:pPr>
      <w:r>
        <w:tab/>
      </w:r>
      <w:r>
        <w:rPr>
          <w:rStyle w:val="CharDefText"/>
        </w:rPr>
        <w:t>ELN</w:t>
      </w:r>
      <w:r>
        <w:t xml:space="preserve"> has the meaning given in the </w:t>
      </w:r>
      <w:r>
        <w:rPr>
          <w:i/>
        </w:rPr>
        <w:t>Electronic Conveyancing Act 2014</w:t>
      </w:r>
      <w:r>
        <w:t xml:space="preserve"> section 3(1);</w:t>
      </w:r>
    </w:p>
    <w:p>
      <w:pPr>
        <w:pStyle w:val="zDefstart"/>
      </w:pPr>
      <w:r>
        <w:tab/>
      </w:r>
      <w:r>
        <w:rPr>
          <w:rStyle w:val="CharDefText"/>
        </w:rPr>
        <w:t>ELNO</w:t>
      </w:r>
      <w:r>
        <w:t xml:space="preserve"> has the meaning given in the </w:t>
      </w:r>
      <w:r>
        <w:rPr>
          <w:i/>
        </w:rPr>
        <w:t>Electronic Conveyancing Act 2014</w:t>
      </w:r>
      <w:r>
        <w:t xml:space="preserve"> section 3(1);</w:t>
      </w:r>
    </w:p>
    <w:p>
      <w:pPr>
        <w:pStyle w:val="zDefstart"/>
      </w:pPr>
      <w:r>
        <w:tab/>
      </w:r>
      <w:r>
        <w:rPr>
          <w:rStyle w:val="CharDefText"/>
        </w:rPr>
        <w:t>participation rules</w:t>
      </w:r>
      <w:r>
        <w:t xml:space="preserve"> has the meaning given in the </w:t>
      </w:r>
      <w:r>
        <w:rPr>
          <w:i/>
        </w:rPr>
        <w:t>Electronic Conveyancing Act 2014</w:t>
      </w:r>
      <w:r>
        <w:t xml:space="preserve"> section 3(1);</w:t>
      </w:r>
    </w:p>
    <w:p>
      <w:pPr>
        <w:pStyle w:val="zDefstart"/>
      </w:pPr>
      <w:r>
        <w:tab/>
      </w:r>
      <w:r>
        <w:rPr>
          <w:rStyle w:val="CharDefText"/>
        </w:rPr>
        <w:t>record</w:t>
      </w:r>
      <w:r>
        <w:t xml:space="preserve"> includes information stored or recorded by means of a computer;</w:t>
      </w:r>
    </w:p>
    <w:p>
      <w:pPr>
        <w:pStyle w:val="zDefstart"/>
      </w:pPr>
      <w:r>
        <w:tab/>
      </w:r>
      <w:r>
        <w:rPr>
          <w:rStyle w:val="CharDefText"/>
        </w:rPr>
        <w:t>sign</w:t>
      </w:r>
      <w:r>
        <w:t xml:space="preserve"> includes digitally sign;</w:t>
      </w:r>
    </w:p>
    <w:p>
      <w:pPr>
        <w:pStyle w:val="zDefstart"/>
      </w:pPr>
      <w:r>
        <w:tab/>
      </w:r>
      <w:r>
        <w:rPr>
          <w:rStyle w:val="CharDefText"/>
        </w:rPr>
        <w:t>signature</w:t>
      </w:r>
      <w:r>
        <w:t xml:space="preserve"> includes a digital signature;</w:t>
      </w:r>
    </w:p>
    <w:p>
      <w:pPr>
        <w:pStyle w:val="zDefstart"/>
      </w:pPr>
      <w:r>
        <w:tab/>
      </w:r>
      <w:r>
        <w:rPr>
          <w:rStyle w:val="CharDefText"/>
        </w:rPr>
        <w:t>subscriber</w:t>
      </w:r>
      <w:r>
        <w:t xml:space="preserve"> has the meaning given in the </w:t>
      </w:r>
      <w:r>
        <w:rPr>
          <w:i/>
        </w:rPr>
        <w:t>Electronic Conveyancing Act 2014</w:t>
      </w:r>
      <w:r>
        <w:t xml:space="preserve"> section 3(1);</w:t>
      </w:r>
    </w:p>
    <w:p>
      <w:pPr>
        <w:pStyle w:val="BlankClose"/>
      </w:pPr>
    </w:p>
    <w:p>
      <w:pPr>
        <w:pStyle w:val="Subsection"/>
      </w:pPr>
      <w:r>
        <w:tab/>
        <w:t>(2)</w:t>
      </w:r>
      <w:r>
        <w:tab/>
        <w:t xml:space="preserve">In section 4(1) in the definition of </w:t>
      </w:r>
      <w:r>
        <w:rPr>
          <w:rStyle w:val="CharDefText"/>
        </w:rPr>
        <w:t>proprietor</w:t>
      </w:r>
      <w:r>
        <w:t xml:space="preserve"> after “the proprietor of that freehold land,” insert:</w:t>
      </w:r>
    </w:p>
    <w:p>
      <w:pPr>
        <w:pStyle w:val="BlankOpen"/>
      </w:pPr>
    </w:p>
    <w:p>
      <w:pPr>
        <w:pStyle w:val="Subsection"/>
      </w:pPr>
      <w:r>
        <w:tab/>
      </w:r>
      <w:r>
        <w:tab/>
        <w:t>lease, mortgage, charge,</w:t>
      </w:r>
    </w:p>
    <w:p>
      <w:pPr>
        <w:pStyle w:val="BlankClose"/>
      </w:pPr>
    </w:p>
    <w:p>
      <w:pPr>
        <w:pStyle w:val="Subsection"/>
      </w:pPr>
      <w:r>
        <w:tab/>
        <w:t>(3)</w:t>
      </w:r>
      <w:r>
        <w:tab/>
        <w:t>After section 4(1b) insert:</w:t>
      </w:r>
    </w:p>
    <w:p>
      <w:pPr>
        <w:pStyle w:val="BlankOpen"/>
      </w:pPr>
    </w:p>
    <w:p>
      <w:pPr>
        <w:pStyle w:val="zSubsection"/>
      </w:pPr>
      <w:r>
        <w:tab/>
        <w:t>(1CA)</w:t>
      </w:r>
      <w:r>
        <w:tab/>
        <w:t xml:space="preserve">For the purposes of this Act, a document is a </w:t>
      </w:r>
      <w:r>
        <w:rPr>
          <w:rStyle w:val="CharDefText"/>
        </w:rPr>
        <w:t>counterpart</w:t>
      </w:r>
      <w:r>
        <w:t xml:space="preserve"> in relation to another document if — </w:t>
      </w:r>
    </w:p>
    <w:p>
      <w:pPr>
        <w:pStyle w:val="zIndenta"/>
      </w:pPr>
      <w:r>
        <w:tab/>
        <w:t>(a)</w:t>
      </w:r>
      <w:r>
        <w:tab/>
        <w:t>the documents relate to the same conveyancing transaction; and</w:t>
      </w:r>
    </w:p>
    <w:p>
      <w:pPr>
        <w:pStyle w:val="zIndenta"/>
      </w:pPr>
      <w:r>
        <w:tab/>
        <w:t>(b)</w:t>
      </w:r>
      <w:r>
        <w:tab/>
        <w:t xml:space="preserve">the documents contain exactly the same data or information, apart from all or any of the following — </w:t>
      </w:r>
    </w:p>
    <w:p>
      <w:pPr>
        <w:pStyle w:val="zIndenti"/>
      </w:pPr>
      <w:r>
        <w:tab/>
        <w:t>(i)</w:t>
      </w:r>
      <w:r>
        <w:tab/>
        <w:t>any signature created for or appearing on each document;</w:t>
      </w:r>
    </w:p>
    <w:p>
      <w:pPr>
        <w:pStyle w:val="zIndenti"/>
      </w:pPr>
      <w:r>
        <w:tab/>
        <w:t>(ii)</w:t>
      </w:r>
      <w:r>
        <w:tab/>
        <w:t>the details of any attesting witness;</w:t>
      </w:r>
    </w:p>
    <w:p>
      <w:pPr>
        <w:pStyle w:val="zIndenti"/>
      </w:pPr>
      <w:r>
        <w:tab/>
        <w:t>(iii)</w:t>
      </w:r>
      <w:r>
        <w:tab/>
        <w:t>the date on which the documents were signed or witnessed;</w:t>
      </w:r>
    </w:p>
    <w:p>
      <w:pPr>
        <w:pStyle w:val="zIndenti"/>
      </w:pPr>
      <w:r>
        <w:tab/>
        <w:t>(iv)</w:t>
      </w:r>
      <w:r>
        <w:tab/>
        <w:t xml:space="preserve">any data or information authorised or required by a taxation Act (as defined in the </w:t>
      </w:r>
      <w:r>
        <w:rPr>
          <w:i/>
        </w:rPr>
        <w:t>Taxation Administration Act 2003</w:t>
      </w:r>
      <w:r>
        <w:t xml:space="preserve"> Glossary);</w:t>
      </w:r>
    </w:p>
    <w:p>
      <w:pPr>
        <w:pStyle w:val="zIndenti"/>
      </w:pPr>
      <w:r>
        <w:tab/>
        <w:t>(v)</w:t>
      </w:r>
      <w:r>
        <w:tab/>
        <w:t>anything else prescribed by the regulations for the purposes of this paragraph.</w:t>
      </w:r>
    </w:p>
    <w:p>
      <w:pPr>
        <w:pStyle w:val="BlankClose"/>
      </w:pPr>
    </w:p>
    <w:p>
      <w:pPr>
        <w:pStyle w:val="Heading5"/>
      </w:pPr>
      <w:bookmarkStart w:id="302" w:name="_Toc382914648"/>
      <w:bookmarkStart w:id="303" w:name="_Toc389126065"/>
      <w:bookmarkStart w:id="304" w:name="_Toc416783676"/>
      <w:r>
        <w:rPr>
          <w:rStyle w:val="CharSectno"/>
        </w:rPr>
        <w:t>64</w:t>
      </w:r>
      <w:r>
        <w:t>.</w:t>
      </w:r>
      <w:r>
        <w:tab/>
        <w:t>Section 14 replaced</w:t>
      </w:r>
      <w:bookmarkEnd w:id="302"/>
      <w:bookmarkEnd w:id="303"/>
      <w:bookmarkEnd w:id="304"/>
    </w:p>
    <w:p>
      <w:pPr>
        <w:pStyle w:val="Subsection"/>
      </w:pPr>
      <w:r>
        <w:tab/>
      </w:r>
      <w:r>
        <w:tab/>
        <w:t>Delete section 14 and insert:</w:t>
      </w:r>
    </w:p>
    <w:p>
      <w:pPr>
        <w:pStyle w:val="BlankOpen"/>
      </w:pPr>
    </w:p>
    <w:p>
      <w:pPr>
        <w:pStyle w:val="zHeading5"/>
      </w:pPr>
      <w:bookmarkStart w:id="305" w:name="_Toc382914649"/>
      <w:bookmarkStart w:id="306" w:name="_Toc389126066"/>
      <w:bookmarkStart w:id="307" w:name="_Toc416783677"/>
      <w:r>
        <w:t>14.</w:t>
      </w:r>
      <w:r>
        <w:tab/>
        <w:t>Commissioner and Registrar may exercise functions electronically</w:t>
      </w:r>
      <w:bookmarkEnd w:id="305"/>
      <w:bookmarkEnd w:id="306"/>
      <w:bookmarkEnd w:id="307"/>
    </w:p>
    <w:p>
      <w:pPr>
        <w:pStyle w:val="zSubsection"/>
      </w:pPr>
      <w:r>
        <w:tab/>
        <w:t>(1)</w:t>
      </w:r>
      <w:r>
        <w:tab/>
        <w:t>Anything that the Commissioner is required or authorised to do under this Act may be done by the Commissioner by electronic means in any way the Commissioner determines is appropriate.</w:t>
      </w:r>
    </w:p>
    <w:p>
      <w:pPr>
        <w:pStyle w:val="zSubsection"/>
      </w:pPr>
      <w:r>
        <w:tab/>
        <w:t>(2)</w:t>
      </w:r>
      <w:r>
        <w:tab/>
        <w:t>Anything that the Registrar is required or authorised to do under this Act may be done by the Registrar by electronic means in any way the Registrar determines is appropriate.</w:t>
      </w:r>
    </w:p>
    <w:p>
      <w:pPr>
        <w:pStyle w:val="z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z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BlankClose"/>
      </w:pPr>
    </w:p>
    <w:p>
      <w:pPr>
        <w:pStyle w:val="Heading5"/>
      </w:pPr>
      <w:bookmarkStart w:id="308" w:name="_Toc382914650"/>
      <w:bookmarkStart w:id="309" w:name="_Toc389126067"/>
      <w:bookmarkStart w:id="310" w:name="_Toc416783678"/>
      <w:r>
        <w:rPr>
          <w:rStyle w:val="CharSectno"/>
        </w:rPr>
        <w:t>65</w:t>
      </w:r>
      <w:r>
        <w:t>.</w:t>
      </w:r>
      <w:r>
        <w:tab/>
        <w:t>Section 30 amended</w:t>
      </w:r>
      <w:bookmarkEnd w:id="308"/>
      <w:bookmarkEnd w:id="309"/>
      <w:bookmarkEnd w:id="310"/>
    </w:p>
    <w:p>
      <w:pPr>
        <w:pStyle w:val="Subsection"/>
      </w:pPr>
      <w:r>
        <w:tab/>
      </w:r>
      <w:r>
        <w:tab/>
        <w:t>Delete section 30(5) and insert:</w:t>
      </w:r>
    </w:p>
    <w:p>
      <w:pPr>
        <w:pStyle w:val="BlankOpen"/>
      </w:pPr>
    </w:p>
    <w:p>
      <w:pPr>
        <w:pStyle w:val="zSubsection"/>
      </w:pPr>
      <w:r>
        <w:tab/>
        <w:t>(5)</w:t>
      </w:r>
      <w:r>
        <w:tab/>
        <w:t xml:space="preserve">A caveat under this section cannot be lodged unless one of the following is specified in it for the purposes of the service of notices in relation to the caveat — </w:t>
      </w:r>
    </w:p>
    <w:p>
      <w:pPr>
        <w:pStyle w:val="zIndenta"/>
      </w:pPr>
      <w:r>
        <w:tab/>
        <w:t>(a)</w:t>
      </w:r>
      <w:r>
        <w:tab/>
        <w:t>an address in Australia;</w:t>
      </w:r>
    </w:p>
    <w:p>
      <w:pPr>
        <w:pStyle w:val="zIndenta"/>
      </w:pPr>
      <w:r>
        <w:tab/>
        <w:t>(b)</w:t>
      </w:r>
      <w:r>
        <w:tab/>
        <w:t>a number for a facsimile machine in Australia;</w:t>
      </w:r>
    </w:p>
    <w:p>
      <w:pPr>
        <w:pStyle w:val="zIndenta"/>
      </w:pPr>
      <w:r>
        <w:tab/>
        <w:t>(c)</w:t>
      </w:r>
      <w:r>
        <w:tab/>
        <w:t>a way of receiving notices electronically (for example, an email address) that is prescribed by the regulations for the purposes of this paragraph.</w:t>
      </w:r>
    </w:p>
    <w:p>
      <w:pPr>
        <w:pStyle w:val="BlankClose"/>
      </w:pPr>
    </w:p>
    <w:p>
      <w:pPr>
        <w:pStyle w:val="Heading5"/>
      </w:pPr>
      <w:bookmarkStart w:id="311" w:name="_Toc382914651"/>
      <w:bookmarkStart w:id="312" w:name="_Toc389126068"/>
      <w:bookmarkStart w:id="313" w:name="_Toc416783679"/>
      <w:r>
        <w:rPr>
          <w:rStyle w:val="CharSectno"/>
        </w:rPr>
        <w:t>66</w:t>
      </w:r>
      <w:r>
        <w:t>.</w:t>
      </w:r>
      <w:r>
        <w:tab/>
        <w:t>Section 48B amended</w:t>
      </w:r>
      <w:bookmarkEnd w:id="311"/>
      <w:bookmarkEnd w:id="312"/>
      <w:bookmarkEnd w:id="313"/>
    </w:p>
    <w:p>
      <w:pPr>
        <w:pStyle w:val="Subsection"/>
      </w:pPr>
      <w:r>
        <w:tab/>
      </w:r>
      <w:r>
        <w:tab/>
        <w:t>Delete section 48B(4) and insert:</w:t>
      </w:r>
    </w:p>
    <w:p>
      <w:pPr>
        <w:pStyle w:val="BlankOpen"/>
      </w:pPr>
    </w:p>
    <w:p>
      <w:pPr>
        <w:pStyle w:val="zSubsection"/>
      </w:pPr>
      <w:r>
        <w:tab/>
        <w:t>(4)</w:t>
      </w:r>
      <w:r>
        <w:tab/>
        <w:t xml:space="preserve">If land is the subject of a certificate of title, the Registrar may cancel the duplicate certificate of title for the land if — </w:t>
      </w:r>
    </w:p>
    <w:p>
      <w:pPr>
        <w:pStyle w:val="zIndenta"/>
      </w:pPr>
      <w:r>
        <w:tab/>
        <w:t>(a)</w:t>
      </w:r>
      <w:r>
        <w:tab/>
        <w:t>a request is made in accordance with subsection (5A) for the cancellation of the duplicate certificate of title; and</w:t>
      </w:r>
    </w:p>
    <w:p>
      <w:pPr>
        <w:pStyle w:val="zIndenta"/>
      </w:pPr>
      <w:r>
        <w:tab/>
        <w:t>(b)</w:t>
      </w:r>
      <w:r>
        <w:tab/>
        <w:t>the duplicate certificate of title is delivered to the Registrar for retention, disposal or destruction.</w:t>
      </w:r>
    </w:p>
    <w:p>
      <w:pPr>
        <w:pStyle w:val="zSubsection"/>
      </w:pPr>
      <w:r>
        <w:tab/>
        <w:t>(5A)</w:t>
      </w:r>
      <w:r>
        <w:tab/>
        <w:t xml:space="preserve">A request may be made under subsection (4) by — </w:t>
      </w:r>
    </w:p>
    <w:p>
      <w:pPr>
        <w:pStyle w:val="zIndenta"/>
      </w:pPr>
      <w:r>
        <w:tab/>
        <w:t>(a)</w:t>
      </w:r>
      <w:r>
        <w:tab/>
        <w:t>a proprietor of the land (including the proprietor of a registered mortgage or registered charge over the land); or</w:t>
      </w:r>
    </w:p>
    <w:p>
      <w:pPr>
        <w:pStyle w:val="z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zSubsection"/>
      </w:pPr>
      <w:r>
        <w:tab/>
        <w:t>(5B)</w:t>
      </w:r>
      <w:r>
        <w:tab/>
        <w:t>On cancelling a duplicate certificate of title under subsection (4), the Registrar must endorse the certificate of title to that effect.</w:t>
      </w:r>
    </w:p>
    <w:p>
      <w:pPr>
        <w:pStyle w:val="BlankClose"/>
      </w:pPr>
    </w:p>
    <w:p>
      <w:pPr>
        <w:pStyle w:val="Heading5"/>
      </w:pPr>
      <w:bookmarkStart w:id="314" w:name="_Toc382914652"/>
      <w:bookmarkStart w:id="315" w:name="_Toc389126069"/>
      <w:bookmarkStart w:id="316" w:name="_Toc416783680"/>
      <w:r>
        <w:rPr>
          <w:rStyle w:val="CharSectno"/>
        </w:rPr>
        <w:t>67</w:t>
      </w:r>
      <w:r>
        <w:t>.</w:t>
      </w:r>
      <w:r>
        <w:tab/>
        <w:t>Section 52 amended</w:t>
      </w:r>
      <w:bookmarkEnd w:id="314"/>
      <w:bookmarkEnd w:id="315"/>
      <w:bookmarkEnd w:id="316"/>
    </w:p>
    <w:p>
      <w:pPr>
        <w:pStyle w:val="Subsection"/>
      </w:pPr>
      <w:r>
        <w:tab/>
      </w:r>
      <w:r>
        <w:tab/>
        <w:t>Delete section 52(2) and insert:</w:t>
      </w:r>
    </w:p>
    <w:p>
      <w:pPr>
        <w:pStyle w:val="BlankOpen"/>
      </w:pPr>
    </w:p>
    <w:p>
      <w:pPr>
        <w:pStyle w:val="z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BlankClose"/>
      </w:pPr>
    </w:p>
    <w:p>
      <w:pPr>
        <w:pStyle w:val="Heading5"/>
      </w:pPr>
      <w:bookmarkStart w:id="317" w:name="_Toc382914653"/>
      <w:bookmarkStart w:id="318" w:name="_Toc389126070"/>
      <w:bookmarkStart w:id="319" w:name="_Toc416783681"/>
      <w:r>
        <w:rPr>
          <w:rStyle w:val="CharSectno"/>
        </w:rPr>
        <w:t>68</w:t>
      </w:r>
      <w:r>
        <w:t>.</w:t>
      </w:r>
      <w:r>
        <w:tab/>
        <w:t>Section 54 amended</w:t>
      </w:r>
      <w:bookmarkEnd w:id="317"/>
      <w:bookmarkEnd w:id="318"/>
      <w:bookmarkEnd w:id="319"/>
    </w:p>
    <w:p>
      <w:pPr>
        <w:pStyle w:val="Subsection"/>
        <w:keepNext/>
      </w:pPr>
      <w:r>
        <w:tab/>
      </w:r>
      <w:r>
        <w:tab/>
        <w:t>In section 54(3) delete “section and seal each memorandum.” and insert:</w:t>
      </w:r>
    </w:p>
    <w:p>
      <w:pPr>
        <w:pStyle w:val="BlankOpen"/>
        <w:widowControl w:val="0"/>
      </w:pPr>
    </w:p>
    <w:p>
      <w:pPr>
        <w:pStyle w:val="Subsection"/>
        <w:keepNext/>
        <w:keepLines/>
        <w:widowControl w:val="0"/>
        <w:spacing w:before="80"/>
      </w:pPr>
      <w:r>
        <w:tab/>
      </w:r>
      <w:r>
        <w:tab/>
        <w:t>section.</w:t>
      </w:r>
    </w:p>
    <w:p>
      <w:pPr>
        <w:pStyle w:val="BlankClose"/>
        <w:keepNext/>
        <w:widowControl w:val="0"/>
      </w:pPr>
    </w:p>
    <w:p>
      <w:pPr>
        <w:pStyle w:val="Heading5"/>
      </w:pPr>
      <w:bookmarkStart w:id="320" w:name="_Toc382914654"/>
      <w:bookmarkStart w:id="321" w:name="_Toc389126071"/>
      <w:bookmarkStart w:id="322" w:name="_Toc416783682"/>
      <w:r>
        <w:rPr>
          <w:rStyle w:val="CharSectno"/>
        </w:rPr>
        <w:t>69</w:t>
      </w:r>
      <w:r>
        <w:t>.</w:t>
      </w:r>
      <w:r>
        <w:tab/>
        <w:t>Section 57 amended</w:t>
      </w:r>
      <w:bookmarkEnd w:id="320"/>
      <w:bookmarkEnd w:id="321"/>
      <w:bookmarkEnd w:id="322"/>
    </w:p>
    <w:p>
      <w:pPr>
        <w:pStyle w:val="Subsection"/>
      </w:pPr>
      <w:r>
        <w:tab/>
      </w:r>
      <w:r>
        <w:tab/>
        <w:t>In section 57:</w:t>
      </w:r>
    </w:p>
    <w:p>
      <w:pPr>
        <w:pStyle w:val="Indenta"/>
      </w:pPr>
      <w:r>
        <w:tab/>
        <w:t>(a)</w:t>
      </w:r>
      <w:r>
        <w:tab/>
        <w:t>delete “certificate of title, instrument” and insert:</w:t>
      </w:r>
    </w:p>
    <w:p>
      <w:pPr>
        <w:pStyle w:val="BlankOpen"/>
      </w:pPr>
    </w:p>
    <w:p>
      <w:pPr>
        <w:pStyle w:val="Indenta"/>
      </w:pPr>
      <w:r>
        <w:tab/>
      </w:r>
      <w:r>
        <w:tab/>
        <w:t>certificate of title</w:t>
      </w:r>
    </w:p>
    <w:p>
      <w:pPr>
        <w:pStyle w:val="BlankClose"/>
      </w:pPr>
    </w:p>
    <w:p>
      <w:pPr>
        <w:pStyle w:val="Indenta"/>
      </w:pPr>
      <w:r>
        <w:tab/>
        <w:t>(b)</w:t>
      </w:r>
      <w:r>
        <w:tab/>
        <w:t>delete paragraph (a).</w:t>
      </w:r>
    </w:p>
    <w:p>
      <w:pPr>
        <w:pStyle w:val="SectAltNote"/>
      </w:pPr>
      <w:r>
        <w:tab/>
        <w:t>Note:</w:t>
      </w:r>
      <w:r>
        <w:tab/>
        <w:t>The heading to amended section 57 is to read:</w:t>
      </w:r>
    </w:p>
    <w:p>
      <w:pPr>
        <w:pStyle w:val="SectAltHeading"/>
      </w:pPr>
      <w:r>
        <w:rPr>
          <w:b w:val="0"/>
        </w:rPr>
        <w:tab/>
      </w:r>
      <w:r>
        <w:rPr>
          <w:b w:val="0"/>
        </w:rPr>
        <w:tab/>
      </w:r>
      <w:r>
        <w:rPr>
          <w:bCs/>
        </w:rPr>
        <w:t>Memoranda of instruments to be entered</w:t>
      </w:r>
    </w:p>
    <w:p>
      <w:pPr>
        <w:pStyle w:val="Heading5"/>
      </w:pPr>
      <w:bookmarkStart w:id="323" w:name="_Toc382914655"/>
      <w:bookmarkStart w:id="324" w:name="_Toc389126072"/>
      <w:bookmarkStart w:id="325" w:name="_Toc416783683"/>
      <w:r>
        <w:rPr>
          <w:rStyle w:val="CharSectno"/>
        </w:rPr>
        <w:t>70</w:t>
      </w:r>
      <w:r>
        <w:t>.</w:t>
      </w:r>
      <w:r>
        <w:tab/>
        <w:t>Section 74 amended</w:t>
      </w:r>
      <w:bookmarkEnd w:id="323"/>
      <w:bookmarkEnd w:id="324"/>
      <w:bookmarkEnd w:id="325"/>
    </w:p>
    <w:p>
      <w:pPr>
        <w:pStyle w:val="Subsection"/>
      </w:pPr>
      <w:r>
        <w:tab/>
      </w:r>
      <w:r>
        <w:tab/>
        <w:t>After section 74(5) insert:</w:t>
      </w:r>
    </w:p>
    <w:p>
      <w:pPr>
        <w:pStyle w:val="BlankOpen"/>
      </w:pPr>
    </w:p>
    <w:p>
      <w:pPr>
        <w:pStyle w:val="zSubsection"/>
        <w:spacing w:before="80"/>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BlankClose"/>
      </w:pPr>
    </w:p>
    <w:p>
      <w:pPr>
        <w:pStyle w:val="Heading5"/>
      </w:pPr>
      <w:bookmarkStart w:id="326" w:name="_Toc382914656"/>
      <w:bookmarkStart w:id="327" w:name="_Toc389126073"/>
      <w:bookmarkStart w:id="328" w:name="_Toc416783684"/>
      <w:r>
        <w:rPr>
          <w:rStyle w:val="CharSectno"/>
        </w:rPr>
        <w:t>71</w:t>
      </w:r>
      <w:r>
        <w:t>.</w:t>
      </w:r>
      <w:r>
        <w:tab/>
        <w:t>Section 74B amended</w:t>
      </w:r>
      <w:bookmarkEnd w:id="326"/>
      <w:bookmarkEnd w:id="327"/>
      <w:bookmarkEnd w:id="328"/>
    </w:p>
    <w:p>
      <w:pPr>
        <w:pStyle w:val="Subsection"/>
      </w:pPr>
      <w:r>
        <w:tab/>
      </w:r>
      <w:r>
        <w:tab/>
        <w:t>After section 74B(2) insert:</w:t>
      </w:r>
    </w:p>
    <w:p>
      <w:pPr>
        <w:pStyle w:val="BlankOpen"/>
      </w:pPr>
    </w:p>
    <w:p>
      <w:pPr>
        <w:pStyle w:val="zSubsection"/>
        <w:spacing w:before="80"/>
      </w:pPr>
      <w:r>
        <w:tab/>
        <w:t>(3)</w:t>
      </w:r>
      <w:r>
        <w:tab/>
        <w:t xml:space="preserve">Subsection (4) applies if — </w:t>
      </w:r>
    </w:p>
    <w:p>
      <w:pPr>
        <w:pStyle w:val="zIndenta"/>
      </w:pPr>
      <w:r>
        <w:tab/>
        <w:t>(a)</w:t>
      </w:r>
      <w:r>
        <w:tab/>
        <w:t xml:space="preserve">a document is lodged electronically under the </w:t>
      </w:r>
      <w:r>
        <w:rPr>
          <w:i/>
        </w:rPr>
        <w:t>Electronic Conveyancing Act 2014</w:t>
      </w:r>
      <w:r>
        <w:t>; and</w:t>
      </w:r>
    </w:p>
    <w:p>
      <w:pPr>
        <w:pStyle w:val="zIndenta"/>
      </w:pPr>
      <w:r>
        <w:tab/>
        <w:t>(b)</w:t>
      </w:r>
      <w:r>
        <w:tab/>
        <w:t xml:space="preserve">in connection with the lodging of that document, a duplicate certificate of title is not produced but is dealt with in another way in accordance with — </w:t>
      </w:r>
    </w:p>
    <w:p>
      <w:pPr>
        <w:pStyle w:val="zIndenti"/>
      </w:pPr>
      <w:r>
        <w:tab/>
        <w:t>(i)</w:t>
      </w:r>
      <w:r>
        <w:tab/>
        <w:t>regulations made under this Act; or</w:t>
      </w:r>
    </w:p>
    <w:p>
      <w:pPr>
        <w:pStyle w:val="zIndenti"/>
      </w:pPr>
      <w:r>
        <w:tab/>
        <w:t>(ii)</w:t>
      </w:r>
      <w:r>
        <w:tab/>
        <w:t>requirements determined under section 182A;</w:t>
      </w:r>
    </w:p>
    <w:p>
      <w:pPr>
        <w:pStyle w:val="zIndenta"/>
      </w:pPr>
      <w:r>
        <w:tab/>
      </w:r>
      <w:r>
        <w:tab/>
        <w:t>and</w:t>
      </w:r>
    </w:p>
    <w:p>
      <w:pPr>
        <w:pStyle w:val="zIndenta"/>
      </w:pPr>
      <w:r>
        <w:tab/>
        <w:t>(c)</w:t>
      </w:r>
      <w:r>
        <w:tab/>
        <w:t>that document is later withdrawn from registration or is rejected.</w:t>
      </w:r>
    </w:p>
    <w:p>
      <w:pPr>
        <w:pStyle w:val="zSubsection"/>
        <w:spacing w:before="100"/>
      </w:pPr>
      <w:r>
        <w:tab/>
        <w:t>(4)</w:t>
      </w:r>
      <w:r>
        <w:tab/>
        <w:t xml:space="preserve">If this subsection applies, the Registrar may cause a new duplicate certificate of title or, in the case of a digital title, a new edition of the duplicate certificate of title to be issued to — </w:t>
      </w:r>
    </w:p>
    <w:p>
      <w:pPr>
        <w:pStyle w:val="zIndenta"/>
      </w:pPr>
      <w:r>
        <w:tab/>
        <w:t>(a)</w:t>
      </w:r>
      <w:r>
        <w:tab/>
        <w:t>the proprietor of the land that is the subject of the certificate of title; or</w:t>
      </w:r>
    </w:p>
    <w:p>
      <w:pPr>
        <w:pStyle w:val="zIndenta"/>
      </w:pPr>
      <w:r>
        <w:tab/>
        <w:t>(b)</w:t>
      </w:r>
      <w:r>
        <w:tab/>
        <w:t>a person named and authorised by the proprietor as the person to whom the duplicate may be issued.</w:t>
      </w:r>
    </w:p>
    <w:p>
      <w:pPr>
        <w:pStyle w:val="BlankClose"/>
      </w:pPr>
    </w:p>
    <w:p>
      <w:pPr>
        <w:pStyle w:val="Heading5"/>
      </w:pPr>
      <w:bookmarkStart w:id="329" w:name="_Toc382914657"/>
      <w:bookmarkStart w:id="330" w:name="_Toc389126074"/>
      <w:bookmarkStart w:id="331" w:name="_Toc416783685"/>
      <w:r>
        <w:rPr>
          <w:rStyle w:val="CharSectno"/>
        </w:rPr>
        <w:t>72</w:t>
      </w:r>
      <w:r>
        <w:t>.</w:t>
      </w:r>
      <w:r>
        <w:tab/>
        <w:t>Section 81W amended</w:t>
      </w:r>
      <w:bookmarkEnd w:id="329"/>
      <w:bookmarkEnd w:id="330"/>
      <w:bookmarkEnd w:id="331"/>
    </w:p>
    <w:p>
      <w:pPr>
        <w:pStyle w:val="Subsection"/>
        <w:spacing w:before="100"/>
      </w:pPr>
      <w:r>
        <w:tab/>
      </w:r>
      <w:r>
        <w:tab/>
        <w:t>Delete section 81W(9) and insert:</w:t>
      </w:r>
    </w:p>
    <w:p>
      <w:pPr>
        <w:pStyle w:val="BlankOpen"/>
      </w:pPr>
    </w:p>
    <w:p>
      <w:pPr>
        <w:pStyle w:val="zSubsection"/>
        <w:spacing w:before="80"/>
      </w:pPr>
      <w:r>
        <w:tab/>
        <w:t>(9)</w:t>
      </w:r>
      <w:r>
        <w:tab/>
        <w:t xml:space="preserve">A caveat cannot be lodged under subsection (6) unless one of the following is specified in it for the purposes of the service of notices in relation to the caveat — </w:t>
      </w:r>
    </w:p>
    <w:p>
      <w:pPr>
        <w:pStyle w:val="zIndenta"/>
      </w:pPr>
      <w:r>
        <w:tab/>
        <w:t>(a)</w:t>
      </w:r>
      <w:r>
        <w:tab/>
        <w:t>an address in Australia;</w:t>
      </w:r>
    </w:p>
    <w:p>
      <w:pPr>
        <w:pStyle w:val="zIndenta"/>
      </w:pPr>
      <w:r>
        <w:tab/>
        <w:t>(b)</w:t>
      </w:r>
      <w:r>
        <w:tab/>
        <w:t>a number for a facsimile machine in Australia;</w:t>
      </w:r>
    </w:p>
    <w:p>
      <w:pPr>
        <w:pStyle w:val="zIndenta"/>
      </w:pPr>
      <w:r>
        <w:tab/>
        <w:t>(c)</w:t>
      </w:r>
      <w:r>
        <w:tab/>
        <w:t>a way of receiving notices electronically (for example, an email address) that is prescribed by the regulations for the purposes of this paragraph.</w:t>
      </w:r>
    </w:p>
    <w:p>
      <w:pPr>
        <w:pStyle w:val="BlankClose"/>
      </w:pPr>
    </w:p>
    <w:p>
      <w:pPr>
        <w:pStyle w:val="Heading5"/>
      </w:pPr>
      <w:bookmarkStart w:id="332" w:name="_Toc382914658"/>
      <w:bookmarkStart w:id="333" w:name="_Toc389126075"/>
      <w:bookmarkStart w:id="334" w:name="_Toc416783686"/>
      <w:r>
        <w:rPr>
          <w:rStyle w:val="CharSectno"/>
        </w:rPr>
        <w:t>73</w:t>
      </w:r>
      <w:r>
        <w:t>.</w:t>
      </w:r>
      <w:r>
        <w:tab/>
        <w:t>Section 105 amended</w:t>
      </w:r>
      <w:bookmarkEnd w:id="332"/>
      <w:bookmarkEnd w:id="333"/>
      <w:bookmarkEnd w:id="334"/>
    </w:p>
    <w:p>
      <w:pPr>
        <w:pStyle w:val="Subsection"/>
      </w:pPr>
      <w:r>
        <w:tab/>
      </w:r>
      <w:r>
        <w:tab/>
        <w:t>After section 105(2) insert:</w:t>
      </w:r>
    </w:p>
    <w:p>
      <w:pPr>
        <w:pStyle w:val="BlankOpen"/>
      </w:pPr>
    </w:p>
    <w:p>
      <w:pPr>
        <w:pStyle w:val="zSubsection"/>
      </w:pPr>
      <w:r>
        <w:tab/>
        <w:t>(3)</w:t>
      </w:r>
      <w:r>
        <w:tab/>
        <w:t xml:space="preserve">Subsection (4) applies if — </w:t>
      </w:r>
    </w:p>
    <w:p>
      <w:pPr>
        <w:pStyle w:val="z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zIndenta"/>
      </w:pPr>
      <w:r>
        <w:tab/>
        <w:t>(b)</w:t>
      </w:r>
      <w:r>
        <w:tab/>
        <w:t xml:space="preserve">the counterpart of the charging instrument lodged — </w:t>
      </w:r>
    </w:p>
    <w:p>
      <w:pPr>
        <w:pStyle w:val="zIndenti"/>
      </w:pPr>
      <w:r>
        <w:tab/>
        <w:t>(i)</w:t>
      </w:r>
      <w:r>
        <w:tab/>
        <w:t>purports to be signed by the person who, on registration of the mortgage or charge, will become the proprietor of the mortgage or charge; but</w:t>
      </w:r>
    </w:p>
    <w:p>
      <w:pPr>
        <w:pStyle w:val="zIndenti"/>
      </w:pPr>
      <w:r>
        <w:tab/>
        <w:t>(ii)</w:t>
      </w:r>
      <w:r>
        <w:tab/>
        <w:t>does not purport to be signed by the proprietor of the land;</w:t>
      </w:r>
    </w:p>
    <w:p>
      <w:pPr>
        <w:pStyle w:val="zIndenta"/>
      </w:pPr>
      <w:r>
        <w:tab/>
      </w:r>
      <w:r>
        <w:tab/>
        <w:t>and</w:t>
      </w:r>
    </w:p>
    <w:p>
      <w:pPr>
        <w:pStyle w:val="zIndenta"/>
      </w:pPr>
      <w:r>
        <w:tab/>
        <w:t>(c)</w:t>
      </w:r>
      <w:r>
        <w:tab/>
        <w:t>a counterpart of the charging instrument purporting to be signed by the proprietor of the land is not also lodged for registration; and</w:t>
      </w:r>
    </w:p>
    <w:p>
      <w:pPr>
        <w:pStyle w:val="zIndenta"/>
      </w:pPr>
      <w:r>
        <w:tab/>
        <w:t>(d)</w:t>
      </w:r>
      <w:r>
        <w:tab/>
        <w:t>the charging instrument is registered.</w:t>
      </w:r>
    </w:p>
    <w:p>
      <w:pPr>
        <w:pStyle w:val="z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zSubsection"/>
      </w:pPr>
      <w:r>
        <w:tab/>
        <w:t>(5)</w:t>
      </w:r>
      <w:r>
        <w:tab/>
        <w:t>Subsection (4) overrides section 58.</w:t>
      </w:r>
    </w:p>
    <w:p>
      <w:pPr>
        <w:pStyle w:val="BlankClose"/>
      </w:pPr>
    </w:p>
    <w:p>
      <w:pPr>
        <w:pStyle w:val="Heading5"/>
      </w:pPr>
      <w:bookmarkStart w:id="335" w:name="_Toc382914659"/>
      <w:bookmarkStart w:id="336" w:name="_Toc389126076"/>
      <w:bookmarkStart w:id="337" w:name="_Toc416783687"/>
      <w:r>
        <w:rPr>
          <w:rStyle w:val="CharSectno"/>
        </w:rPr>
        <w:t>74</w:t>
      </w:r>
      <w:r>
        <w:t>.</w:t>
      </w:r>
      <w:r>
        <w:tab/>
        <w:t>Section 127A inserted</w:t>
      </w:r>
      <w:bookmarkEnd w:id="335"/>
      <w:bookmarkEnd w:id="336"/>
      <w:bookmarkEnd w:id="337"/>
    </w:p>
    <w:p>
      <w:pPr>
        <w:pStyle w:val="Subsection"/>
      </w:pPr>
      <w:r>
        <w:tab/>
      </w:r>
      <w:r>
        <w:tab/>
        <w:t>After section 126 insert:</w:t>
      </w:r>
    </w:p>
    <w:p>
      <w:pPr>
        <w:pStyle w:val="BlankOpen"/>
      </w:pPr>
    </w:p>
    <w:p>
      <w:pPr>
        <w:pStyle w:val="zHeading5"/>
      </w:pPr>
      <w:bookmarkStart w:id="338" w:name="_Toc382914660"/>
      <w:bookmarkStart w:id="339" w:name="_Toc389126077"/>
      <w:bookmarkStart w:id="340" w:name="_Toc416783688"/>
      <w:r>
        <w:t>127A.</w:t>
      </w:r>
      <w:r>
        <w:tab/>
        <w:t>Subsequent mortgages or charges</w:t>
      </w:r>
      <w:bookmarkEnd w:id="338"/>
      <w:bookmarkEnd w:id="339"/>
      <w:bookmarkEnd w:id="340"/>
    </w:p>
    <w:p>
      <w:pPr>
        <w:pStyle w:val="zSubsection"/>
      </w:pPr>
      <w:r>
        <w:tab/>
        <w:t>(1)</w:t>
      </w:r>
      <w:r>
        <w:tab/>
        <w:t xml:space="preserve">In this section — </w:t>
      </w:r>
    </w:p>
    <w:p>
      <w:pPr>
        <w:pStyle w:val="zDefstart"/>
      </w:pPr>
      <w:r>
        <w:tab/>
      </w:r>
      <w:r>
        <w:rPr>
          <w:rStyle w:val="CharDefText"/>
        </w:rPr>
        <w:t>mortgage</w:t>
      </w:r>
      <w:r>
        <w:t xml:space="preserve"> includes a charge;</w:t>
      </w:r>
    </w:p>
    <w:p>
      <w:pPr>
        <w:pStyle w:val="zDefstart"/>
      </w:pPr>
      <w:r>
        <w:tab/>
      </w:r>
      <w:r>
        <w:rPr>
          <w:rStyle w:val="CharDefText"/>
        </w:rPr>
        <w:t>mortgagee</w:t>
      </w:r>
      <w:r>
        <w:t xml:space="preserve"> includes an annuitant.</w:t>
      </w:r>
    </w:p>
    <w:p>
      <w:pPr>
        <w:pStyle w:val="zSubsection"/>
      </w:pPr>
      <w:r>
        <w:tab/>
        <w:t>(2)</w:t>
      </w:r>
      <w:r>
        <w:tab/>
        <w:t>If any land under the operation of this Act is subject to a mortgage, the registration of a subsequent mortgage does not require the consent of the existing mortgagee.</w:t>
      </w:r>
    </w:p>
    <w:p>
      <w:pPr>
        <w:pStyle w:val="zSubsection"/>
      </w:pPr>
      <w:r>
        <w:tab/>
        <w:t>(3)</w:t>
      </w:r>
      <w:r>
        <w:tab/>
        <w:t xml:space="preserve">If any land under the operation of this Act is subject to a mortgage, the execution or attempted execution of a subsequent mortgage does not — </w:t>
      </w:r>
    </w:p>
    <w:p>
      <w:pPr>
        <w:pStyle w:val="zIndenta"/>
      </w:pPr>
      <w:r>
        <w:tab/>
        <w:t>(a)</w:t>
      </w:r>
      <w:r>
        <w:tab/>
        <w:t>constitute a breach of any term, covenant or condition contained in the existing mortgage; or</w:t>
      </w:r>
    </w:p>
    <w:p>
      <w:pPr>
        <w:pStyle w:val="zIndenta"/>
      </w:pPr>
      <w:r>
        <w:tab/>
        <w:t>(b)</w:t>
      </w:r>
      <w:r>
        <w:tab/>
        <w:t>give rise to any forfeiture or penalty; or</w:t>
      </w:r>
    </w:p>
    <w:p>
      <w:pPr>
        <w:pStyle w:val="z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zSubsection"/>
      </w:pPr>
      <w:r>
        <w:tab/>
        <w:t>(4)</w:t>
      </w:r>
      <w:r>
        <w:tab/>
        <w:t>This section has effect despite any provision to the contrary in any mortgage.</w:t>
      </w:r>
    </w:p>
    <w:p>
      <w:pPr>
        <w:pStyle w:val="zSubsection"/>
        <w:widowControl w:val="0"/>
      </w:pPr>
      <w:r>
        <w:tab/>
        <w:t>(5)</w:t>
      </w:r>
      <w:r>
        <w:tab/>
        <w:t xml:space="preserve">This section does not apply to or in relation to any mortgage registered before the </w:t>
      </w:r>
      <w:r>
        <w:rPr>
          <w:i/>
        </w:rPr>
        <w:t>Electronic Conveyancing Act 2014</w:t>
      </w:r>
      <w:r>
        <w:t xml:space="preserve"> section 74 comes into operation.</w:t>
      </w:r>
    </w:p>
    <w:p>
      <w:pPr>
        <w:pStyle w:val="BlankClose"/>
        <w:keepLines w:val="0"/>
        <w:widowControl w:val="0"/>
      </w:pPr>
    </w:p>
    <w:p>
      <w:pPr>
        <w:pStyle w:val="Heading5"/>
      </w:pPr>
      <w:bookmarkStart w:id="341" w:name="_Toc382914661"/>
      <w:bookmarkStart w:id="342" w:name="_Toc389126078"/>
      <w:bookmarkStart w:id="343" w:name="_Toc416783689"/>
      <w:r>
        <w:rPr>
          <w:rStyle w:val="CharSectno"/>
        </w:rPr>
        <w:t>75</w:t>
      </w:r>
      <w:r>
        <w:t>.</w:t>
      </w:r>
      <w:r>
        <w:tab/>
        <w:t>Section 129A amended</w:t>
      </w:r>
      <w:bookmarkEnd w:id="341"/>
      <w:bookmarkEnd w:id="342"/>
      <w:bookmarkEnd w:id="343"/>
    </w:p>
    <w:p>
      <w:pPr>
        <w:pStyle w:val="Subsection"/>
      </w:pPr>
      <w:r>
        <w:tab/>
      </w:r>
      <w:r>
        <w:tab/>
        <w:t>In section 129A(3) delete “section 52(2)(a),” and insert:</w:t>
      </w:r>
    </w:p>
    <w:p>
      <w:pPr>
        <w:pStyle w:val="BlankOpen"/>
      </w:pPr>
    </w:p>
    <w:p>
      <w:pPr>
        <w:pStyle w:val="Subsection"/>
      </w:pPr>
      <w:r>
        <w:tab/>
      </w:r>
      <w:r>
        <w:tab/>
        <w:t>section 52(2),</w:t>
      </w:r>
    </w:p>
    <w:p>
      <w:pPr>
        <w:pStyle w:val="BlankClose"/>
      </w:pPr>
    </w:p>
    <w:p>
      <w:pPr>
        <w:pStyle w:val="Heading5"/>
      </w:pPr>
      <w:bookmarkStart w:id="344" w:name="_Toc382914662"/>
      <w:bookmarkStart w:id="345" w:name="_Toc389126079"/>
      <w:bookmarkStart w:id="346" w:name="_Toc416783690"/>
      <w:r>
        <w:rPr>
          <w:rStyle w:val="CharSectno"/>
        </w:rPr>
        <w:t>76</w:t>
      </w:r>
      <w:r>
        <w:t>.</w:t>
      </w:r>
      <w:r>
        <w:tab/>
        <w:t>Section 137 amended</w:t>
      </w:r>
      <w:bookmarkEnd w:id="344"/>
      <w:bookmarkEnd w:id="345"/>
      <w:bookmarkEnd w:id="346"/>
    </w:p>
    <w:p>
      <w:pPr>
        <w:pStyle w:val="Subsection"/>
        <w:spacing w:before="100"/>
      </w:pPr>
      <w:r>
        <w:tab/>
      </w:r>
      <w:r>
        <w:tab/>
        <w:t>Delete section 137(1D) and insert:</w:t>
      </w:r>
    </w:p>
    <w:p>
      <w:pPr>
        <w:pStyle w:val="BlankOpen"/>
      </w:pPr>
    </w:p>
    <w:p>
      <w:pPr>
        <w:pStyle w:val="zSubsection"/>
        <w:spacing w:before="80"/>
      </w:pPr>
      <w:r>
        <w:tab/>
        <w:t>(1D)</w:t>
      </w:r>
      <w:r>
        <w:tab/>
        <w:t xml:space="preserve">A caveat under this section cannot be lodged unless one of the following is specified in it for the purposes of the service of notices in relation to the caveat — </w:t>
      </w:r>
    </w:p>
    <w:p>
      <w:pPr>
        <w:pStyle w:val="zIndenta"/>
      </w:pPr>
      <w:r>
        <w:tab/>
        <w:t>(a)</w:t>
      </w:r>
      <w:r>
        <w:tab/>
        <w:t>an address in Australia;</w:t>
      </w:r>
    </w:p>
    <w:p>
      <w:pPr>
        <w:pStyle w:val="zIndenta"/>
      </w:pPr>
      <w:r>
        <w:tab/>
        <w:t>(b)</w:t>
      </w:r>
      <w:r>
        <w:tab/>
        <w:t>a number for a facsimile machine in Australia;</w:t>
      </w:r>
    </w:p>
    <w:p>
      <w:pPr>
        <w:pStyle w:val="zIndenta"/>
      </w:pPr>
      <w:r>
        <w:tab/>
        <w:t>(c)</w:t>
      </w:r>
      <w:r>
        <w:tab/>
        <w:t>a way of receiving notices electronically (for example, an email address) that is prescribed by the regulations for the purposes of this paragraph.</w:t>
      </w:r>
    </w:p>
    <w:p>
      <w:pPr>
        <w:pStyle w:val="BlankClose"/>
      </w:pPr>
    </w:p>
    <w:p>
      <w:pPr>
        <w:pStyle w:val="Heading5"/>
      </w:pPr>
      <w:bookmarkStart w:id="347" w:name="_Toc382914663"/>
      <w:bookmarkStart w:id="348" w:name="_Toc389126080"/>
      <w:bookmarkStart w:id="349" w:name="_Toc416783691"/>
      <w:r>
        <w:rPr>
          <w:rStyle w:val="CharSectno"/>
        </w:rPr>
        <w:t>77</w:t>
      </w:r>
      <w:r>
        <w:t>.</w:t>
      </w:r>
      <w:r>
        <w:tab/>
        <w:t>Section 180 replaced</w:t>
      </w:r>
      <w:bookmarkEnd w:id="347"/>
      <w:bookmarkEnd w:id="348"/>
      <w:bookmarkEnd w:id="349"/>
    </w:p>
    <w:p>
      <w:pPr>
        <w:pStyle w:val="Subsection"/>
      </w:pPr>
      <w:r>
        <w:tab/>
      </w:r>
      <w:r>
        <w:tab/>
        <w:t>Delete section 180 and insert:</w:t>
      </w:r>
    </w:p>
    <w:p>
      <w:pPr>
        <w:pStyle w:val="BlankOpen"/>
      </w:pPr>
    </w:p>
    <w:p>
      <w:pPr>
        <w:pStyle w:val="zHeading5"/>
        <w:spacing w:before="120"/>
      </w:pPr>
      <w:bookmarkStart w:id="350" w:name="_Toc382914664"/>
      <w:bookmarkStart w:id="351" w:name="_Toc389126081"/>
      <w:bookmarkStart w:id="352" w:name="_Toc416783692"/>
      <w:r>
        <w:t>180.</w:t>
      </w:r>
      <w:r>
        <w:tab/>
        <w:t>Commissioner may summons people to provide information</w:t>
      </w:r>
      <w:bookmarkEnd w:id="350"/>
      <w:bookmarkEnd w:id="351"/>
      <w:bookmarkEnd w:id="352"/>
    </w:p>
    <w:p>
      <w:pPr>
        <w:pStyle w:val="z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zIndenta"/>
      </w:pPr>
      <w:r>
        <w:tab/>
        <w:t>(a)</w:t>
      </w:r>
      <w:r>
        <w:tab/>
        <w:t xml:space="preserve">to give an explanation concerning — </w:t>
      </w:r>
    </w:p>
    <w:p>
      <w:pPr>
        <w:pStyle w:val="zIndenti"/>
      </w:pPr>
      <w:r>
        <w:tab/>
        <w:t>(i)</w:t>
      </w:r>
      <w:r>
        <w:tab/>
        <w:t>any land; or</w:t>
      </w:r>
    </w:p>
    <w:p>
      <w:pPr>
        <w:pStyle w:val="zIndenti"/>
      </w:pPr>
      <w:r>
        <w:tab/>
        <w:t>(ii)</w:t>
      </w:r>
      <w:r>
        <w:tab/>
        <w:t>any document affecting the title to any land; or</w:t>
      </w:r>
    </w:p>
    <w:p>
      <w:pPr>
        <w:pStyle w:val="zIndenti"/>
        <w:spacing w:before="100"/>
      </w:pPr>
      <w:r>
        <w:tab/>
        <w:t>(iii)</w:t>
      </w:r>
      <w:r>
        <w:tab/>
        <w:t>any conveyancing transaction;</w:t>
      </w:r>
    </w:p>
    <w:p>
      <w:pPr>
        <w:pStyle w:val="zIndenta"/>
      </w:pPr>
      <w:r>
        <w:tab/>
        <w:t>(b)</w:t>
      </w:r>
      <w:r>
        <w:tab/>
        <w:t xml:space="preserve">to produce any grant, certificate of title, will, mortgage or other instrument or document in the person’s possession or within the person’s control — </w:t>
      </w:r>
    </w:p>
    <w:p>
      <w:pPr>
        <w:pStyle w:val="zIndenti"/>
        <w:spacing w:before="100"/>
      </w:pPr>
      <w:r>
        <w:tab/>
        <w:t>(i)</w:t>
      </w:r>
      <w:r>
        <w:tab/>
        <w:t>affecting any land or the title to any land; or</w:t>
      </w:r>
    </w:p>
    <w:p>
      <w:pPr>
        <w:pStyle w:val="zIndenti"/>
        <w:spacing w:before="100"/>
      </w:pPr>
      <w:r>
        <w:tab/>
        <w:t>(ii)</w:t>
      </w:r>
      <w:r>
        <w:tab/>
        <w:t>relating to any conveyancing transaction.</w:t>
      </w:r>
    </w:p>
    <w:p>
      <w:pPr>
        <w:pStyle w:val="zSubsection"/>
      </w:pPr>
      <w:r>
        <w:tab/>
        <w:t>(2)</w:t>
      </w:r>
      <w:r>
        <w:tab/>
        <w:t xml:space="preserve">The persons referred to in subsection (1) are the following — </w:t>
      </w:r>
    </w:p>
    <w:p>
      <w:pPr>
        <w:pStyle w:val="zIndenta"/>
      </w:pPr>
      <w:r>
        <w:tab/>
        <w:t>(a)</w:t>
      </w:r>
      <w:r>
        <w:tab/>
        <w:t xml:space="preserve">the proprietor, mortgagee or other person interested in any land under, or proposed to be brought under, the operation of this Act in respect of which — </w:t>
      </w:r>
    </w:p>
    <w:p>
      <w:pPr>
        <w:pStyle w:val="zIndenti"/>
        <w:spacing w:before="100"/>
      </w:pPr>
      <w:r>
        <w:tab/>
        <w:t>(i)</w:t>
      </w:r>
      <w:r>
        <w:tab/>
        <w:t>any transfer, lease, mortgage, charge, carbon right, carbon covenant, tree plantation agreement or other dealing is proposed to be transacted or registered; or</w:t>
      </w:r>
    </w:p>
    <w:p>
      <w:pPr>
        <w:pStyle w:val="zIndenti"/>
        <w:spacing w:before="100"/>
      </w:pPr>
      <w:r>
        <w:tab/>
        <w:t>(ii)</w:t>
      </w:r>
      <w:r>
        <w:tab/>
        <w:t>any discharge from any mortgage or charge, or any surrender of a carbon right, carbon covenant or plantation interest, is proposed to be transacted or registered; or</w:t>
      </w:r>
    </w:p>
    <w:p>
      <w:pPr>
        <w:pStyle w:val="zIndenti"/>
        <w:spacing w:before="100"/>
      </w:pPr>
      <w:r>
        <w:tab/>
        <w:t>(iii)</w:t>
      </w:r>
      <w:r>
        <w:tab/>
        <w:t>any transmission is proposed to be registered;</w:t>
      </w:r>
    </w:p>
    <w:p>
      <w:pPr>
        <w:pStyle w:val="z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zIndenti"/>
      </w:pPr>
      <w:r>
        <w:tab/>
        <w:t>(i)</w:t>
      </w:r>
      <w:r>
        <w:tab/>
        <w:t>a subscriber;</w:t>
      </w:r>
    </w:p>
    <w:p>
      <w:pPr>
        <w:pStyle w:val="zIndenti"/>
      </w:pPr>
      <w:r>
        <w:tab/>
        <w:t>(ii)</w:t>
      </w:r>
      <w:r>
        <w:tab/>
        <w:t>any of a subscriber’s employees, agents, contractors or officers;</w:t>
      </w:r>
    </w:p>
    <w:p>
      <w:pPr>
        <w:pStyle w:val="zIndenti"/>
      </w:pPr>
      <w:r>
        <w:tab/>
        <w:t>(iii)</w:t>
      </w:r>
      <w:r>
        <w:tab/>
        <w:t>an Australian lawyer;</w:t>
      </w:r>
    </w:p>
    <w:p>
      <w:pPr>
        <w:pStyle w:val="zIndenti"/>
      </w:pPr>
      <w:r>
        <w:tab/>
        <w:t>(iv)</w:t>
      </w:r>
      <w:r>
        <w:tab/>
        <w:t xml:space="preserve">a settlement agent as defined in the </w:t>
      </w:r>
      <w:r>
        <w:rPr>
          <w:i/>
        </w:rPr>
        <w:t>Settlement Agents Act 1981</w:t>
      </w:r>
      <w:r>
        <w:t xml:space="preserve"> section 3(1);</w:t>
      </w:r>
    </w:p>
    <w:p>
      <w:pPr>
        <w:pStyle w:val="zIndenti"/>
      </w:pPr>
      <w:r>
        <w:tab/>
        <w:t>(v)</w:t>
      </w:r>
      <w:r>
        <w:tab/>
        <w:t>an ELNO;</w:t>
      </w:r>
    </w:p>
    <w:p>
      <w:pPr>
        <w:pStyle w:val="zIndenti"/>
      </w:pPr>
      <w:r>
        <w:tab/>
        <w:t>(vi)</w:t>
      </w:r>
      <w:r>
        <w:tab/>
        <w:t>any of an ELNO’s employees, agents, contractors or officers.</w:t>
      </w:r>
    </w:p>
    <w:p>
      <w:pPr>
        <w:pStyle w:val="zSubsection"/>
      </w:pPr>
      <w:r>
        <w:tab/>
        <w:t>(3)</w:t>
      </w:r>
      <w:r>
        <w:tab/>
        <w:t xml:space="preserve">A summons under subsection (1) must be — </w:t>
      </w:r>
    </w:p>
    <w:p>
      <w:pPr>
        <w:pStyle w:val="zIndenta"/>
      </w:pPr>
      <w:r>
        <w:tab/>
        <w:t>(a)</w:t>
      </w:r>
      <w:r>
        <w:tab/>
        <w:t>in an approved form; and</w:t>
      </w:r>
    </w:p>
    <w:p>
      <w:pPr>
        <w:pStyle w:val="zIndenta"/>
      </w:pPr>
      <w:r>
        <w:tab/>
        <w:t>(b)</w:t>
      </w:r>
      <w:r>
        <w:tab/>
        <w:t>signed by the Commissioner; and</w:t>
      </w:r>
    </w:p>
    <w:p>
      <w:pPr>
        <w:pStyle w:val="zIndenta"/>
      </w:pPr>
      <w:r>
        <w:tab/>
        <w:t>(c)</w:t>
      </w:r>
      <w:r>
        <w:tab/>
        <w:t>served on the person summoned in accordance with section 240 as if it were a notice to which that section applies.</w:t>
      </w:r>
    </w:p>
    <w:p>
      <w:pPr>
        <w:pStyle w:val="zSubsection"/>
      </w:pPr>
      <w:r>
        <w:tab/>
        <w:t>(4)</w:t>
      </w:r>
      <w:r>
        <w:tab/>
        <w:t xml:space="preserve">For the purposes of this section — </w:t>
      </w:r>
    </w:p>
    <w:p>
      <w:pPr>
        <w:pStyle w:val="zIndenta"/>
      </w:pPr>
      <w:r>
        <w:tab/>
        <w:t>(a)</w:t>
      </w:r>
      <w:r>
        <w:tab/>
        <w:t>the Commissioner may require a person summoned under subsection (1) to take an oath or to make an affirmation; and</w:t>
      </w:r>
    </w:p>
    <w:p>
      <w:pPr>
        <w:pStyle w:val="zIndenta"/>
      </w:pPr>
      <w:r>
        <w:tab/>
        <w:t>(b)</w:t>
      </w:r>
      <w:r>
        <w:tab/>
        <w:t>the Commissioner may administer an oath or affirmation to the person.</w:t>
      </w:r>
    </w:p>
    <w:p>
      <w:pPr>
        <w:pStyle w:val="zSubsection"/>
      </w:pPr>
      <w:r>
        <w:tab/>
        <w:t>(5)</w:t>
      </w:r>
      <w:r>
        <w:tab/>
        <w:t xml:space="preserve">If a person is summoned under subsection (1), the Commissioner may deal with the person as in the case of contempt of the Supreme Court if the person — </w:t>
      </w:r>
    </w:p>
    <w:p>
      <w:pPr>
        <w:pStyle w:val="zIndenta"/>
      </w:pPr>
      <w:r>
        <w:tab/>
        <w:t>(a)</w:t>
      </w:r>
      <w:r>
        <w:tab/>
        <w:t xml:space="preserve">fails, refuses or neglects — </w:t>
      </w:r>
    </w:p>
    <w:p>
      <w:pPr>
        <w:pStyle w:val="zIndenti"/>
      </w:pPr>
      <w:r>
        <w:tab/>
        <w:t>(i)</w:t>
      </w:r>
      <w:r>
        <w:tab/>
        <w:t>to attend the Commissioner for the purpose of being examined; or</w:t>
      </w:r>
    </w:p>
    <w:p>
      <w:pPr>
        <w:pStyle w:val="zIndenti"/>
      </w:pPr>
      <w:r>
        <w:tab/>
        <w:t>(ii)</w:t>
      </w:r>
      <w:r>
        <w:tab/>
        <w:t>to produce any document as required by the summons; or</w:t>
      </w:r>
    </w:p>
    <w:p>
      <w:pPr>
        <w:pStyle w:val="zIndenti"/>
      </w:pPr>
      <w:r>
        <w:tab/>
        <w:t>(iii)</w:t>
      </w:r>
      <w:r>
        <w:tab/>
        <w:t>to allow any document to which subparagraph (ii) applies to be inspected;</w:t>
      </w:r>
    </w:p>
    <w:p>
      <w:pPr>
        <w:pStyle w:val="zIndenta"/>
      </w:pPr>
      <w:r>
        <w:tab/>
      </w:r>
      <w:r>
        <w:tab/>
        <w:t>or</w:t>
      </w:r>
    </w:p>
    <w:p>
      <w:pPr>
        <w:pStyle w:val="zIndenta"/>
      </w:pPr>
      <w:r>
        <w:tab/>
        <w:t>(b)</w:t>
      </w:r>
      <w:r>
        <w:tab/>
        <w:t>refuses or neglects to give any explanation required by the Commissioner.</w:t>
      </w:r>
    </w:p>
    <w:p>
      <w:pPr>
        <w:pStyle w:val="z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zHeading5"/>
      </w:pPr>
      <w:bookmarkStart w:id="353" w:name="_Toc382914665"/>
      <w:bookmarkStart w:id="354" w:name="_Toc389126082"/>
      <w:bookmarkStart w:id="355" w:name="_Toc416783693"/>
      <w:r>
        <w:t>181A.</w:t>
      </w:r>
      <w:r>
        <w:tab/>
        <w:t>Commissioner and Registrar may require supporting documentation or evidence or verification</w:t>
      </w:r>
      <w:bookmarkEnd w:id="353"/>
      <w:bookmarkEnd w:id="354"/>
      <w:bookmarkEnd w:id="355"/>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zIndenta"/>
      </w:pPr>
      <w:r>
        <w:tab/>
        <w:t>(a)</w:t>
      </w:r>
      <w:r>
        <w:tab/>
        <w:t>to submit or produce any document supporting or authenticating the document;</w:t>
      </w:r>
    </w:p>
    <w:p>
      <w:pPr>
        <w:pStyle w:val="zIndenta"/>
      </w:pPr>
      <w:r>
        <w:tab/>
        <w:t>(b)</w:t>
      </w:r>
      <w:r>
        <w:tab/>
        <w:t>to provide specified information relating to the document;</w:t>
      </w:r>
    </w:p>
    <w:p>
      <w:pPr>
        <w:pStyle w:val="zIndenta"/>
      </w:pPr>
      <w:r>
        <w:tab/>
        <w:t>(c)</w:t>
      </w:r>
      <w:r>
        <w:tab/>
        <w:t xml:space="preserve">to submit or produce evidence relating to a certification given in or with the document, including (without limitation) — </w:t>
      </w:r>
    </w:p>
    <w:p>
      <w:pPr>
        <w:pStyle w:val="zIndenti"/>
      </w:pPr>
      <w:r>
        <w:tab/>
        <w:t>(i)</w:t>
      </w:r>
      <w:r>
        <w:tab/>
        <w:t>evidence showing the truth of the certification;</w:t>
      </w:r>
    </w:p>
    <w:p>
      <w:pPr>
        <w:pStyle w:val="zIndenti"/>
      </w:pPr>
      <w:r>
        <w:tab/>
        <w:t>(ii)</w:t>
      </w:r>
      <w:r>
        <w:tab/>
        <w:t>evidence that the person who gave the certification was entitled to give it;</w:t>
      </w:r>
    </w:p>
    <w:p>
      <w:pPr>
        <w:pStyle w:val="zIndenta"/>
      </w:pPr>
      <w:r>
        <w:tab/>
        <w:t>(d)</w:t>
      </w:r>
      <w:r>
        <w:tab/>
        <w:t>to verify any document, information, evidence, certification or other matter by statutory declaration.</w:t>
      </w:r>
    </w:p>
    <w:p>
      <w:pPr>
        <w:pStyle w:val="z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zIndenta"/>
      </w:pPr>
      <w:r>
        <w:tab/>
        <w:t>(a)</w:t>
      </w:r>
      <w:r>
        <w:tab/>
        <w:t>to give a certification in or in relation to the document;</w:t>
      </w:r>
    </w:p>
    <w:p>
      <w:pPr>
        <w:pStyle w:val="zIndenta"/>
      </w:pPr>
      <w:r>
        <w:tab/>
        <w:t>(b)</w:t>
      </w:r>
      <w:r>
        <w:tab/>
        <w:t xml:space="preserve">to verify the identity and authority of — </w:t>
      </w:r>
    </w:p>
    <w:p>
      <w:pPr>
        <w:pStyle w:val="zIndenti"/>
      </w:pPr>
      <w:r>
        <w:tab/>
        <w:t>(i)</w:t>
      </w:r>
      <w:r>
        <w:tab/>
        <w:t>any person who is a party to the conveyancing transaction to which the document relates;</w:t>
      </w:r>
    </w:p>
    <w:p>
      <w:pPr>
        <w:pStyle w:val="zIndenti"/>
      </w:pPr>
      <w:r>
        <w:tab/>
        <w:t>(ii)</w:t>
      </w:r>
      <w:r>
        <w:tab/>
        <w:t>any person who signed or authorised the signing of the document.</w:t>
      </w:r>
    </w:p>
    <w:p>
      <w:pPr>
        <w:pStyle w:val="zSubsection"/>
      </w:pPr>
      <w:r>
        <w:tab/>
        <w:t>(4)</w:t>
      </w:r>
      <w:r>
        <w:tab/>
        <w:t xml:space="preserve">A requirement made under subsection (2) or (3) — </w:t>
      </w:r>
    </w:p>
    <w:p>
      <w:pPr>
        <w:pStyle w:val="zIndenta"/>
      </w:pPr>
      <w:r>
        <w:tab/>
        <w:t>(a)</w:t>
      </w:r>
      <w:r>
        <w:tab/>
        <w:t>must be given by notice served on the person to whom the requirement relates; and</w:t>
      </w:r>
    </w:p>
    <w:p>
      <w:pPr>
        <w:pStyle w:val="zIndenta"/>
      </w:pPr>
      <w:r>
        <w:tab/>
        <w:t>(b)</w:t>
      </w:r>
      <w:r>
        <w:tab/>
        <w:t>must specify a period within which the requirement must be complied with; and</w:t>
      </w:r>
    </w:p>
    <w:p>
      <w:pPr>
        <w:pStyle w:val="zIndenta"/>
      </w:pPr>
      <w:r>
        <w:tab/>
        <w:t>(c)</w:t>
      </w:r>
      <w:r>
        <w:tab/>
        <w:t>may specify how the requirement is to be complied with.</w:t>
      </w:r>
    </w:p>
    <w:p>
      <w:pPr>
        <w:pStyle w:val="z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zIndenta"/>
      </w:pPr>
      <w:r>
        <w:tab/>
        <w:t>(a)</w:t>
      </w:r>
      <w:r>
        <w:tab/>
        <w:t>may reject the document; and</w:t>
      </w:r>
    </w:p>
    <w:p>
      <w:pPr>
        <w:pStyle w:val="zIndenta"/>
      </w:pPr>
      <w:r>
        <w:tab/>
        <w:t>(b)</w:t>
      </w:r>
      <w:r>
        <w:tab/>
        <w:t>if the document is rejected, must notify the refusal to the person lodging the document.</w:t>
      </w:r>
    </w:p>
    <w:p>
      <w:pPr>
        <w:pStyle w:val="zSubsection"/>
      </w:pPr>
      <w:r>
        <w:tab/>
        <w:t>(6)</w:t>
      </w:r>
      <w:r>
        <w:tab/>
        <w:t>If a document is rejected under subsection (5), section 192(2) applies as if the document had been rejected under section 192(1).</w:t>
      </w:r>
    </w:p>
    <w:p>
      <w:pPr>
        <w:pStyle w:val="zHeading5"/>
      </w:pPr>
      <w:bookmarkStart w:id="356" w:name="_Toc382914666"/>
      <w:bookmarkStart w:id="357" w:name="_Toc389126083"/>
      <w:bookmarkStart w:id="358" w:name="_Toc416783694"/>
      <w:r>
        <w:t>181B.</w:t>
      </w:r>
      <w:r>
        <w:tab/>
        <w:t>Commissioner and Registrar may require verification by statutory declaration</w:t>
      </w:r>
      <w:bookmarkEnd w:id="356"/>
      <w:bookmarkEnd w:id="357"/>
      <w:bookmarkEnd w:id="358"/>
    </w:p>
    <w:p>
      <w:pPr>
        <w:pStyle w:val="z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z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BlankClose"/>
      </w:pPr>
    </w:p>
    <w:p>
      <w:pPr>
        <w:pStyle w:val="Heading5"/>
        <w:spacing w:before="120"/>
      </w:pPr>
      <w:bookmarkStart w:id="359" w:name="_Toc382914667"/>
      <w:bookmarkStart w:id="360" w:name="_Toc389126084"/>
      <w:bookmarkStart w:id="361" w:name="_Toc416783695"/>
      <w:r>
        <w:rPr>
          <w:rStyle w:val="CharSectno"/>
        </w:rPr>
        <w:t>78</w:t>
      </w:r>
      <w:r>
        <w:t>.</w:t>
      </w:r>
      <w:r>
        <w:tab/>
        <w:t>Section 181 amended</w:t>
      </w:r>
      <w:bookmarkEnd w:id="359"/>
      <w:bookmarkEnd w:id="360"/>
      <w:bookmarkEnd w:id="361"/>
    </w:p>
    <w:p>
      <w:pPr>
        <w:pStyle w:val="Subsection"/>
      </w:pPr>
      <w:r>
        <w:tab/>
        <w:t>(1)</w:t>
      </w:r>
      <w:r>
        <w:tab/>
        <w:t>After section 181(1)(bb) insert:</w:t>
      </w:r>
    </w:p>
    <w:p>
      <w:pPr>
        <w:pStyle w:val="BlankOpen"/>
      </w:pPr>
    </w:p>
    <w:p>
      <w:pPr>
        <w:pStyle w:val="zIndenta"/>
      </w:pPr>
      <w:r>
        <w:tab/>
        <w:t>(bc)</w:t>
      </w:r>
      <w:r>
        <w:tab/>
        <w:t xml:space="preserve">prescribing requirements relating to the lodgment, presentation, filing or deposit of documents with the Authority, the Commissioner or the Registrar, including (without limitation) — </w:t>
      </w:r>
    </w:p>
    <w:p>
      <w:pPr>
        <w:pStyle w:val="zIndenti"/>
      </w:pPr>
      <w:r>
        <w:tab/>
        <w:t>(i)</w:t>
      </w:r>
      <w:r>
        <w:tab/>
        <w:t xml:space="preserve">the types of document that can be lodged electronically under the </w:t>
      </w:r>
      <w:r>
        <w:rPr>
          <w:i/>
        </w:rPr>
        <w:t>Electronic Conveyancing Act 2014</w:t>
      </w:r>
      <w:r>
        <w:t xml:space="preserve"> section 7(1);</w:t>
      </w:r>
    </w:p>
    <w:p>
      <w:pPr>
        <w:pStyle w:val="z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z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zIndenti"/>
      </w:pPr>
      <w:r>
        <w:tab/>
        <w:t>(iv)</w:t>
      </w:r>
      <w:r>
        <w:tab/>
        <w:t>how long documents must be retained;</w:t>
      </w:r>
    </w:p>
    <w:p>
      <w:pPr>
        <w:pStyle w:val="zIndenti"/>
      </w:pPr>
      <w:r>
        <w:tab/>
        <w:t>(v)</w:t>
      </w:r>
      <w:r>
        <w:tab/>
        <w:t xml:space="preserve">the documents required to support or authenticate a document lodged electronically under the </w:t>
      </w:r>
      <w:r>
        <w:rPr>
          <w:i/>
        </w:rPr>
        <w:t>Electronic Conveyancing Act 2014</w:t>
      </w:r>
      <w:r>
        <w:t xml:space="preserve"> section 7(1);</w:t>
      </w:r>
    </w:p>
    <w:p>
      <w:pPr>
        <w:pStyle w:val="zIndenta"/>
      </w:pPr>
      <w:r>
        <w:tab/>
      </w:r>
      <w:r>
        <w:tab/>
        <w:t>and</w:t>
      </w:r>
    </w:p>
    <w:p>
      <w:pPr>
        <w:pStyle w:val="z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zIndenti"/>
      </w:pPr>
      <w:r>
        <w:tab/>
        <w:t>(i)</w:t>
      </w:r>
      <w:r>
        <w:tab/>
        <w:t>dispensing with, or authorising the Registrar to dispense with, any requirement of this Act to produce or present or deliver up to the Registrar, or to bring in or lodge, a duplicate certificate of title;</w:t>
      </w:r>
    </w:p>
    <w:p>
      <w:pPr>
        <w:pStyle w:val="zIndenti"/>
      </w:pPr>
      <w:r>
        <w:tab/>
        <w:t>(ii)</w:t>
      </w:r>
      <w:r>
        <w:tab/>
        <w:t>prescribing how a duplicate certificate of title is to be dealt with if its production, presentation, delivery up, lodging or bringing in is dispensed with;</w:t>
      </w:r>
    </w:p>
    <w:p>
      <w:pPr>
        <w:pStyle w:val="z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z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zIndenta"/>
      </w:pPr>
      <w:r>
        <w:tab/>
      </w:r>
      <w:r>
        <w:tab/>
        <w:t>and</w:t>
      </w:r>
    </w:p>
    <w:p>
      <w:pPr>
        <w:pStyle w:val="z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zIndenti"/>
      </w:pPr>
      <w:r>
        <w:tab/>
        <w:t>(i)</w:t>
      </w:r>
      <w:r>
        <w:tab/>
        <w:t>the matters that are required to be certified;</w:t>
      </w:r>
    </w:p>
    <w:p>
      <w:pPr>
        <w:pStyle w:val="zIndenti"/>
      </w:pPr>
      <w:r>
        <w:tab/>
        <w:t>(ii)</w:t>
      </w:r>
      <w:r>
        <w:tab/>
        <w:t>the persons or classes of persons who can give certifications;</w:t>
      </w:r>
    </w:p>
    <w:p>
      <w:pPr>
        <w:pStyle w:val="zIndenti"/>
      </w:pPr>
      <w:r>
        <w:tab/>
        <w:t>(iii)</w:t>
      </w:r>
      <w:r>
        <w:tab/>
        <w:t>the form of certifications;</w:t>
      </w:r>
    </w:p>
    <w:p>
      <w:pPr>
        <w:pStyle w:val="zIndenti"/>
      </w:pPr>
      <w:r>
        <w:tab/>
        <w:t>(iv)</w:t>
      </w:r>
      <w:r>
        <w:tab/>
        <w:t>the evidence showing the truth of a certification that must be retained and how long the evidence must be retained;</w:t>
      </w:r>
    </w:p>
    <w:p>
      <w:pPr>
        <w:pStyle w:val="zIndenta"/>
      </w:pPr>
      <w:r>
        <w:tab/>
      </w:r>
      <w:r>
        <w:tab/>
        <w:t>and</w:t>
      </w:r>
    </w:p>
    <w:p>
      <w:pPr>
        <w:pStyle w:val="z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z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zIndenti"/>
      </w:pPr>
      <w:r>
        <w:tab/>
        <w:t>(i)</w:t>
      </w:r>
      <w:r>
        <w:tab/>
        <w:t>requiring or permitting a consent, permission or approval to be endorsed, lodged or given by electronic means;</w:t>
      </w:r>
    </w:p>
    <w:p>
      <w:pPr>
        <w:pStyle w:val="zIndenti"/>
      </w:pPr>
      <w:r>
        <w:tab/>
        <w:t>(ii)</w:t>
      </w:r>
      <w:r>
        <w:tab/>
        <w:t>requiring or permitting a consent, permission or approval that otherwise would be required or authorised to accompany or be endorsed on or lodged with a document to be lodged or given separately;</w:t>
      </w:r>
    </w:p>
    <w:p>
      <w:pPr>
        <w:pStyle w:val="zIndenta"/>
      </w:pPr>
      <w:r>
        <w:tab/>
      </w:r>
      <w:r>
        <w:tab/>
        <w:t>and</w:t>
      </w:r>
    </w:p>
    <w:p>
      <w:pPr>
        <w:pStyle w:val="z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zIndenti"/>
      </w:pPr>
      <w:r>
        <w:tab/>
        <w:t>(i)</w:t>
      </w:r>
      <w:r>
        <w:tab/>
        <w:t>the standards to which identity and authority are to be verified;</w:t>
      </w:r>
    </w:p>
    <w:p>
      <w:pPr>
        <w:pStyle w:val="zIndenti"/>
      </w:pPr>
      <w:r>
        <w:tab/>
        <w:t>(ii)</w:t>
      </w:r>
      <w:r>
        <w:tab/>
        <w:t>the documents or classes of documents in relation to which verification requirements apply;</w:t>
      </w:r>
    </w:p>
    <w:p>
      <w:pPr>
        <w:pStyle w:val="zIndenti"/>
      </w:pPr>
      <w:r>
        <w:tab/>
        <w:t>(iii)</w:t>
      </w:r>
      <w:r>
        <w:tab/>
        <w:t>the persons or classes of persons who can undertake verification;</w:t>
      </w:r>
    </w:p>
    <w:p>
      <w:pPr>
        <w:pStyle w:val="zIndenti"/>
      </w:pPr>
      <w:r>
        <w:tab/>
        <w:t>(iv)</w:t>
      </w:r>
      <w:r>
        <w:tab/>
        <w:t>the evidence showing the steps taken to satisfy the verification requirements that must be retained and how long the evidence must be retained;</w:t>
      </w:r>
    </w:p>
    <w:p>
      <w:pPr>
        <w:pStyle w:val="zIndenta"/>
      </w:pPr>
      <w:r>
        <w:tab/>
      </w:r>
      <w:r>
        <w:tab/>
        <w:t>and</w:t>
      </w:r>
    </w:p>
    <w:p>
      <w:pPr>
        <w:pStyle w:val="zIndenta"/>
      </w:pPr>
      <w:r>
        <w:tab/>
        <w:t>(bi)</w:t>
      </w:r>
      <w:r>
        <w:tab/>
        <w:t>prescribing requirements relating to applications made under this Act to the Commissioner; and</w:t>
      </w:r>
    </w:p>
    <w:p>
      <w:pPr>
        <w:pStyle w:val="z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BlankClose"/>
      </w:pPr>
    </w:p>
    <w:p>
      <w:pPr>
        <w:pStyle w:val="Subsection"/>
      </w:pPr>
      <w:r>
        <w:tab/>
        <w:t>(2)</w:t>
      </w:r>
      <w:r>
        <w:tab/>
        <w:t>After section 181(3) insert:</w:t>
      </w:r>
    </w:p>
    <w:p>
      <w:pPr>
        <w:pStyle w:val="BlankOpen"/>
      </w:pPr>
    </w:p>
    <w:p>
      <w:pPr>
        <w:pStyle w:val="zSubsection"/>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BlankClose"/>
      </w:pPr>
    </w:p>
    <w:p>
      <w:pPr>
        <w:pStyle w:val="Heading5"/>
      </w:pPr>
      <w:bookmarkStart w:id="362" w:name="_Toc382914668"/>
      <w:bookmarkStart w:id="363" w:name="_Toc389126085"/>
      <w:bookmarkStart w:id="364" w:name="_Toc416783696"/>
      <w:r>
        <w:rPr>
          <w:rStyle w:val="CharSectno"/>
        </w:rPr>
        <w:t>79</w:t>
      </w:r>
      <w:r>
        <w:t>.</w:t>
      </w:r>
      <w:r>
        <w:tab/>
        <w:t>Sections 182A and 182B inserted</w:t>
      </w:r>
      <w:bookmarkEnd w:id="362"/>
      <w:bookmarkEnd w:id="363"/>
      <w:bookmarkEnd w:id="364"/>
    </w:p>
    <w:p>
      <w:pPr>
        <w:pStyle w:val="Subsection"/>
        <w:keepNext/>
      </w:pPr>
      <w:r>
        <w:tab/>
      </w:r>
      <w:r>
        <w:tab/>
        <w:t>After section 181 insert:</w:t>
      </w:r>
    </w:p>
    <w:p>
      <w:pPr>
        <w:pStyle w:val="BlankOpen"/>
      </w:pPr>
    </w:p>
    <w:p>
      <w:pPr>
        <w:pStyle w:val="zHeading5"/>
      </w:pPr>
      <w:bookmarkStart w:id="365" w:name="_Toc382914669"/>
      <w:bookmarkStart w:id="366" w:name="_Toc389126086"/>
      <w:bookmarkStart w:id="367" w:name="_Toc416783697"/>
      <w:r>
        <w:t>182A.</w:t>
      </w:r>
      <w:r>
        <w:tab/>
        <w:t>Commissioner and Registrar may determine requirements</w:t>
      </w:r>
      <w:bookmarkEnd w:id="365"/>
      <w:bookmarkEnd w:id="366"/>
      <w:bookmarkEnd w:id="367"/>
    </w:p>
    <w:p>
      <w:pPr>
        <w:pStyle w:val="zSubsection"/>
      </w:pPr>
      <w:r>
        <w:tab/>
        <w:t>(1)</w:t>
      </w:r>
      <w:r>
        <w:tab/>
        <w:t xml:space="preserve">The Commissioner or the Registrar may determine requirements relating to all or any of the following matters — </w:t>
      </w:r>
    </w:p>
    <w:p>
      <w:pPr>
        <w:pStyle w:val="zIndenta"/>
      </w:pPr>
      <w:r>
        <w:tab/>
        <w:t>(a)</w:t>
      </w:r>
      <w:r>
        <w:tab/>
        <w:t xml:space="preserve">the lodgment, presentation, filing or deposit of documents with the Authority, the Commissioner or the Registrar, including (without limitation) — </w:t>
      </w:r>
    </w:p>
    <w:p>
      <w:pPr>
        <w:pStyle w:val="zIndenti"/>
      </w:pPr>
      <w:r>
        <w:tab/>
        <w:t>(i)</w:t>
      </w:r>
      <w:r>
        <w:tab/>
        <w:t xml:space="preserve">the types of document that can be lodged electronically under the </w:t>
      </w:r>
      <w:r>
        <w:rPr>
          <w:i/>
        </w:rPr>
        <w:t>Electronic Conveyancing Act 2014</w:t>
      </w:r>
      <w:r>
        <w:t xml:space="preserve"> section 7(1);</w:t>
      </w:r>
    </w:p>
    <w:p>
      <w:pPr>
        <w:pStyle w:val="z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z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zIndenti"/>
      </w:pPr>
      <w:r>
        <w:tab/>
        <w:t>(iv)</w:t>
      </w:r>
      <w:r>
        <w:tab/>
        <w:t>how long documents must be retained;</w:t>
      </w:r>
    </w:p>
    <w:p>
      <w:pPr>
        <w:pStyle w:val="zIndenti"/>
      </w:pPr>
      <w:r>
        <w:tab/>
        <w:t>(v)</w:t>
      </w:r>
      <w:r>
        <w:tab/>
        <w:t xml:space="preserve">the documents required to support or authenticate a document lodged electronically under the </w:t>
      </w:r>
      <w:r>
        <w:rPr>
          <w:i/>
        </w:rPr>
        <w:t>Electronic Conveyancing Act 2014</w:t>
      </w:r>
      <w:r>
        <w:t xml:space="preserve"> section 7(1);</w:t>
      </w:r>
    </w:p>
    <w:p>
      <w:pPr>
        <w:pStyle w:val="z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zIndenti"/>
      </w:pPr>
      <w:r>
        <w:tab/>
        <w:t>(i)</w:t>
      </w:r>
      <w:r>
        <w:tab/>
        <w:t>dispensing with, or authorising the Registrar to dispense with, any requirement of this Act to produce or present or deliver up to the Registrar, or to bring in or lodge, a duplicate certificate of title;</w:t>
      </w:r>
    </w:p>
    <w:p>
      <w:pPr>
        <w:pStyle w:val="zIndenti"/>
      </w:pPr>
      <w:r>
        <w:tab/>
        <w:t>(ii)</w:t>
      </w:r>
      <w:r>
        <w:tab/>
        <w:t>how a duplicate certificate of title is to be dealt with if its production, presentation, delivery up, lodging or bringing in is dispensed with;</w:t>
      </w:r>
    </w:p>
    <w:p>
      <w:pPr>
        <w:pStyle w:val="z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z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z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zIndenti"/>
      </w:pPr>
      <w:r>
        <w:tab/>
        <w:t>(i)</w:t>
      </w:r>
      <w:r>
        <w:tab/>
        <w:t>the matters that are required to be certified;</w:t>
      </w:r>
    </w:p>
    <w:p>
      <w:pPr>
        <w:pStyle w:val="zIndenti"/>
      </w:pPr>
      <w:r>
        <w:tab/>
        <w:t>(ii)</w:t>
      </w:r>
      <w:r>
        <w:tab/>
        <w:t>the persons or classes of persons who may give certifications;</w:t>
      </w:r>
    </w:p>
    <w:p>
      <w:pPr>
        <w:pStyle w:val="zIndenti"/>
      </w:pPr>
      <w:r>
        <w:tab/>
        <w:t>(iii)</w:t>
      </w:r>
      <w:r>
        <w:tab/>
        <w:t>the form of certifications;</w:t>
      </w:r>
    </w:p>
    <w:p>
      <w:pPr>
        <w:pStyle w:val="zIndenti"/>
      </w:pPr>
      <w:r>
        <w:tab/>
        <w:t>(iv)</w:t>
      </w:r>
      <w:r>
        <w:tab/>
        <w:t>the evidence showing the truth of a certification that must be retained and how long the evidence must be retained;</w:t>
      </w:r>
    </w:p>
    <w:p>
      <w:pPr>
        <w:pStyle w:val="z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z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zIndenti"/>
      </w:pPr>
      <w:r>
        <w:tab/>
        <w:t>(i)</w:t>
      </w:r>
      <w:r>
        <w:tab/>
        <w:t>requiring or permitting a consent, permission or approval to be endorsed, lodged or given by electronic means;</w:t>
      </w:r>
    </w:p>
    <w:p>
      <w:pPr>
        <w:pStyle w:val="zIndenti"/>
      </w:pPr>
      <w:r>
        <w:tab/>
        <w:t>(ii)</w:t>
      </w:r>
      <w:r>
        <w:tab/>
        <w:t>requiring or permitting a consent, permission or approval that otherwise would be required or authorised to accompany or be endorsed on or lodged with a document to be lodged or given separately;</w:t>
      </w:r>
    </w:p>
    <w:p>
      <w:pPr>
        <w:pStyle w:val="z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zIndenti"/>
      </w:pPr>
      <w:r>
        <w:tab/>
        <w:t>(i)</w:t>
      </w:r>
      <w:r>
        <w:tab/>
        <w:t>the standards to which identity and authority are to be verified;</w:t>
      </w:r>
    </w:p>
    <w:p>
      <w:pPr>
        <w:pStyle w:val="zIndenti"/>
      </w:pPr>
      <w:r>
        <w:tab/>
        <w:t>(ii)</w:t>
      </w:r>
      <w:r>
        <w:tab/>
        <w:t>the documents or classes of documents in relation to which verification requirements apply;</w:t>
      </w:r>
    </w:p>
    <w:p>
      <w:pPr>
        <w:pStyle w:val="zIndenti"/>
      </w:pPr>
      <w:r>
        <w:tab/>
        <w:t>(iii)</w:t>
      </w:r>
      <w:r>
        <w:tab/>
        <w:t>the persons or classes of persons who can undertake verification;</w:t>
      </w:r>
    </w:p>
    <w:p>
      <w:pPr>
        <w:pStyle w:val="zIndenti"/>
      </w:pPr>
      <w:r>
        <w:tab/>
        <w:t>(iv)</w:t>
      </w:r>
      <w:r>
        <w:tab/>
        <w:t>the evidence showing the steps taken to satisfy the verification requirements that must be retained and how long the evidence must be retained;</w:t>
      </w:r>
    </w:p>
    <w:p>
      <w:pPr>
        <w:pStyle w:val="zIndenta"/>
      </w:pPr>
      <w:r>
        <w:tab/>
        <w:t>(g)</w:t>
      </w:r>
      <w:r>
        <w:tab/>
        <w:t>applications made under this Act to the Commissioner.</w:t>
      </w:r>
    </w:p>
    <w:p>
      <w:pPr>
        <w:pStyle w:val="z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z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z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zSubsection"/>
      </w:pPr>
      <w:r>
        <w:tab/>
        <w:t>(5)</w:t>
      </w:r>
      <w:r>
        <w:tab/>
        <w:t>This section does not limit the matters that may be prescribed under section 181.</w:t>
      </w:r>
    </w:p>
    <w:p>
      <w:pPr>
        <w:pStyle w:val="zHeading5"/>
      </w:pPr>
      <w:bookmarkStart w:id="368" w:name="_Toc382914670"/>
      <w:bookmarkStart w:id="369" w:name="_Toc389126087"/>
      <w:bookmarkStart w:id="370" w:name="_Toc416783698"/>
      <w:r>
        <w:t>182B.</w:t>
      </w:r>
      <w:r>
        <w:tab/>
        <w:t>Publication of requirements</w:t>
      </w:r>
      <w:bookmarkEnd w:id="368"/>
      <w:bookmarkEnd w:id="369"/>
      <w:bookmarkEnd w:id="370"/>
    </w:p>
    <w:p>
      <w:pPr>
        <w:pStyle w:val="zSubsection"/>
      </w:pPr>
      <w:r>
        <w:tab/>
        <w:t>(1)</w:t>
      </w:r>
      <w:r>
        <w:tab/>
        <w:t xml:space="preserve">In this section — </w:t>
      </w:r>
    </w:p>
    <w:p>
      <w:pPr>
        <w:pStyle w:val="zDefstart"/>
      </w:pPr>
      <w:r>
        <w:tab/>
      </w:r>
      <w:r>
        <w:rPr>
          <w:rStyle w:val="CharDefText"/>
        </w:rPr>
        <w:t>requirement</w:t>
      </w:r>
      <w:r>
        <w:t xml:space="preserve"> means a requirement determined under section 182A;</w:t>
      </w:r>
    </w:p>
    <w:p>
      <w:pPr>
        <w:pStyle w:val="zDefstart"/>
      </w:pPr>
      <w:r>
        <w:tab/>
      </w:r>
      <w:r>
        <w:rPr>
          <w:rStyle w:val="CharDefText"/>
        </w:rPr>
        <w:t>working day</w:t>
      </w:r>
      <w:r>
        <w:t xml:space="preserve"> means a day other than a Saturday, a Sunday or a public holiday throughout the State.</w:t>
      </w:r>
    </w:p>
    <w:p>
      <w:pPr>
        <w:pStyle w:val="zSubsection"/>
      </w:pPr>
      <w:r>
        <w:tab/>
        <w:t>(2)</w:t>
      </w:r>
      <w:r>
        <w:tab/>
        <w:t xml:space="preserve">The Registrar must ensure — </w:t>
      </w:r>
    </w:p>
    <w:p>
      <w:pPr>
        <w:pStyle w:val="zIndenta"/>
      </w:pPr>
      <w:r>
        <w:tab/>
        <w:t>(a)</w:t>
      </w:r>
      <w:r>
        <w:tab/>
        <w:t>that all current requirements are publicly available free of charge; and</w:t>
      </w:r>
    </w:p>
    <w:p>
      <w:pPr>
        <w:pStyle w:val="zIndenta"/>
      </w:pPr>
      <w:r>
        <w:tab/>
        <w:t>(b)</w:t>
      </w:r>
      <w:r>
        <w:tab/>
        <w:t>that requirements, and any changes to requirements, are made publicly available at least 20 working days before the requirements or, as the case requires, the changes to them take effect.</w:t>
      </w:r>
    </w:p>
    <w:p>
      <w:pPr>
        <w:pStyle w:val="z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z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zIndenta"/>
      </w:pPr>
      <w:r>
        <w:tab/>
        <w:t>(a)</w:t>
      </w:r>
      <w:r>
        <w:tab/>
        <w:t>by means of a website;</w:t>
      </w:r>
    </w:p>
    <w:p>
      <w:pPr>
        <w:pStyle w:val="zIndenta"/>
        <w:keepNext/>
      </w:pPr>
      <w:r>
        <w:tab/>
        <w:t>(b)</w:t>
      </w:r>
      <w:r>
        <w:tab/>
        <w:t>by publication in a practice manual, customer information bulletin or other similar publication issued by the Authority.</w:t>
      </w:r>
    </w:p>
    <w:p>
      <w:pPr>
        <w:pStyle w:val="BlankClose"/>
      </w:pPr>
    </w:p>
    <w:p>
      <w:pPr>
        <w:pStyle w:val="Heading5"/>
        <w:keepNext w:val="0"/>
        <w:keepLines w:val="0"/>
        <w:widowControl w:val="0"/>
      </w:pPr>
      <w:bookmarkStart w:id="371" w:name="_Toc382914671"/>
      <w:bookmarkStart w:id="372" w:name="_Toc389126088"/>
      <w:bookmarkStart w:id="373" w:name="_Toc416783699"/>
      <w:r>
        <w:rPr>
          <w:rStyle w:val="CharSectno"/>
        </w:rPr>
        <w:t>80</w:t>
      </w:r>
      <w:r>
        <w:t>.</w:t>
      </w:r>
      <w:r>
        <w:tab/>
        <w:t>Section 188 amended</w:t>
      </w:r>
      <w:bookmarkEnd w:id="371"/>
      <w:bookmarkEnd w:id="372"/>
      <w:bookmarkEnd w:id="373"/>
    </w:p>
    <w:p>
      <w:pPr>
        <w:pStyle w:val="Subsection"/>
      </w:pPr>
      <w:r>
        <w:tab/>
      </w:r>
      <w:r>
        <w:tab/>
        <w:t>Delete section 188(8) and insert:</w:t>
      </w:r>
    </w:p>
    <w:p>
      <w:pPr>
        <w:pStyle w:val="BlankOpen"/>
      </w:pPr>
    </w:p>
    <w:p>
      <w:pPr>
        <w:pStyle w:val="zSubsection"/>
      </w:pPr>
      <w:r>
        <w:tab/>
        <w:t>(8)</w:t>
      </w:r>
      <w:r>
        <w:tab/>
        <w:t xml:space="preserve">Despite any other provision of this Act, the Registrar may destroy any document that is lodged, presented, filed or deposited with the Authority or registered in its office if — </w:t>
      </w:r>
    </w:p>
    <w:p>
      <w:pPr>
        <w:pStyle w:val="zIndenta"/>
      </w:pPr>
      <w:r>
        <w:tab/>
        <w:t>(a)</w:t>
      </w:r>
      <w:r>
        <w:tab/>
        <w:t>the Commissioner and the Registrar are of the opinion that the retention of the document serves no useful purpose; and</w:t>
      </w:r>
    </w:p>
    <w:p>
      <w:pPr>
        <w:pStyle w:val="zIndenta"/>
      </w:pPr>
      <w:r>
        <w:tab/>
        <w:t>(b)</w:t>
      </w:r>
      <w:r>
        <w:tab/>
        <w:t xml:space="preserve">the Minister approves the destruction of — </w:t>
      </w:r>
    </w:p>
    <w:p>
      <w:pPr>
        <w:pStyle w:val="zIndenti"/>
      </w:pPr>
      <w:r>
        <w:tab/>
        <w:t>(i)</w:t>
      </w:r>
      <w:r>
        <w:tab/>
        <w:t>the document; or</w:t>
      </w:r>
    </w:p>
    <w:p>
      <w:pPr>
        <w:pStyle w:val="zIndenti"/>
      </w:pPr>
      <w:r>
        <w:tab/>
        <w:t>(ii)</w:t>
      </w:r>
      <w:r>
        <w:tab/>
        <w:t>a class of documents in which that document is included.</w:t>
      </w:r>
    </w:p>
    <w:p>
      <w:pPr>
        <w:pStyle w:val="zSubsection"/>
      </w:pPr>
      <w:r>
        <w:tab/>
        <w:t>(9)</w:t>
      </w:r>
      <w:r>
        <w:tab/>
        <w:t>The destruction of a cancelled duplicate certificate of title does not require the Minister’s approval under subsection (8).</w:t>
      </w:r>
    </w:p>
    <w:p>
      <w:pPr>
        <w:pStyle w:val="BlankClose"/>
      </w:pPr>
    </w:p>
    <w:p>
      <w:pPr>
        <w:pStyle w:val="Heading5"/>
      </w:pPr>
      <w:bookmarkStart w:id="374" w:name="_Toc382914672"/>
      <w:bookmarkStart w:id="375" w:name="_Toc389126089"/>
      <w:bookmarkStart w:id="376" w:name="_Toc416783700"/>
      <w:r>
        <w:rPr>
          <w:rStyle w:val="CharSectno"/>
        </w:rPr>
        <w:t>81</w:t>
      </w:r>
      <w:r>
        <w:t>.</w:t>
      </w:r>
      <w:r>
        <w:tab/>
        <w:t>Section 189 amended</w:t>
      </w:r>
      <w:bookmarkEnd w:id="374"/>
      <w:bookmarkEnd w:id="375"/>
      <w:bookmarkEnd w:id="376"/>
    </w:p>
    <w:p>
      <w:pPr>
        <w:pStyle w:val="Subsection"/>
      </w:pPr>
      <w:r>
        <w:tab/>
      </w:r>
      <w:r>
        <w:tab/>
        <w:t>In section 189(1) delete “appearing on the face of any instrument” and insert:</w:t>
      </w:r>
    </w:p>
    <w:p>
      <w:pPr>
        <w:pStyle w:val="BlankOpen"/>
      </w:pPr>
    </w:p>
    <w:p>
      <w:pPr>
        <w:pStyle w:val="Subsection"/>
      </w:pPr>
      <w:r>
        <w:tab/>
      </w:r>
      <w:r>
        <w:tab/>
        <w:t>in any instrument (whether in paper or electronic form)</w:t>
      </w:r>
    </w:p>
    <w:p>
      <w:pPr>
        <w:pStyle w:val="BlankClose"/>
      </w:pPr>
    </w:p>
    <w:p>
      <w:pPr>
        <w:pStyle w:val="Heading5"/>
      </w:pPr>
      <w:bookmarkStart w:id="377" w:name="_Toc382914673"/>
      <w:bookmarkStart w:id="378" w:name="_Toc389126090"/>
      <w:bookmarkStart w:id="379" w:name="_Toc416783701"/>
      <w:r>
        <w:rPr>
          <w:rStyle w:val="CharSectno"/>
        </w:rPr>
        <w:t>82</w:t>
      </w:r>
      <w:r>
        <w:t>.</w:t>
      </w:r>
      <w:r>
        <w:tab/>
        <w:t>Sections 192A to 192E inserted</w:t>
      </w:r>
      <w:bookmarkEnd w:id="377"/>
      <w:bookmarkEnd w:id="378"/>
      <w:bookmarkEnd w:id="379"/>
    </w:p>
    <w:p>
      <w:pPr>
        <w:pStyle w:val="Subsection"/>
        <w:keepNext/>
      </w:pPr>
      <w:r>
        <w:tab/>
      </w:r>
      <w:r>
        <w:tab/>
        <w:t>After section 191 insert:</w:t>
      </w:r>
    </w:p>
    <w:p>
      <w:pPr>
        <w:pStyle w:val="BlankOpen"/>
      </w:pPr>
    </w:p>
    <w:p>
      <w:pPr>
        <w:pStyle w:val="zHeading5"/>
      </w:pPr>
      <w:bookmarkStart w:id="380" w:name="_Toc382914674"/>
      <w:bookmarkStart w:id="381" w:name="_Toc389126091"/>
      <w:bookmarkStart w:id="382" w:name="_Toc416783702"/>
      <w:r>
        <w:t>192A.</w:t>
      </w:r>
      <w:r>
        <w:tab/>
        <w:t>Registrar entitled to assume that lodging party has certain authorities from other interested parties</w:t>
      </w:r>
      <w:bookmarkEnd w:id="380"/>
      <w:bookmarkEnd w:id="381"/>
      <w:bookmarkEnd w:id="382"/>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Subsection"/>
      </w:pPr>
      <w:r>
        <w:tab/>
        <w:t>(2)</w:t>
      </w:r>
      <w:r>
        <w:tab/>
        <w:t xml:space="preserve">This section applies to any document that is lodged — </w:t>
      </w:r>
    </w:p>
    <w:p>
      <w:pPr>
        <w:pStyle w:val="zIndenta"/>
      </w:pPr>
      <w:r>
        <w:tab/>
        <w:t>(a)</w:t>
      </w:r>
      <w:r>
        <w:tab/>
        <w:t>for registration; or</w:t>
      </w:r>
    </w:p>
    <w:p>
      <w:pPr>
        <w:pStyle w:val="zIndenta"/>
      </w:pPr>
      <w:r>
        <w:tab/>
        <w:t>(b)</w:t>
      </w:r>
      <w:r>
        <w:tab/>
        <w:t>in relation to any land, title, estate or interest; or</w:t>
      </w:r>
    </w:p>
    <w:p>
      <w:pPr>
        <w:pStyle w:val="zIndenta"/>
      </w:pPr>
      <w:r>
        <w:tab/>
        <w:t>(c)</w:t>
      </w:r>
      <w:r>
        <w:tab/>
        <w:t>in connection with any application or dealing.</w:t>
      </w:r>
    </w:p>
    <w:p>
      <w:pPr>
        <w:pStyle w:val="z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zIndenta"/>
      </w:pPr>
      <w:r>
        <w:tab/>
        <w:t>(a)</w:t>
      </w:r>
      <w:r>
        <w:tab/>
        <w:t>to lodge it;</w:t>
      </w:r>
    </w:p>
    <w:p>
      <w:pPr>
        <w:pStyle w:val="zIndenta"/>
      </w:pPr>
      <w:r>
        <w:tab/>
        <w:t>(b)</w:t>
      </w:r>
      <w:r>
        <w:tab/>
        <w:t>if applicable, to withdraw it from registration;</w:t>
      </w:r>
    </w:p>
    <w:p>
      <w:pPr>
        <w:pStyle w:val="zIndenta"/>
      </w:pPr>
      <w:r>
        <w:tab/>
        <w:t>(c)</w:t>
      </w:r>
      <w:r>
        <w:tab/>
        <w:t>to uplift it for amendment;</w:t>
      </w:r>
    </w:p>
    <w:p>
      <w:pPr>
        <w:pStyle w:val="zIndenta"/>
      </w:pPr>
      <w:r>
        <w:tab/>
        <w:t>(d)</w:t>
      </w:r>
      <w:r>
        <w:tab/>
        <w:t>to do anything to or in relation to the document that a person claiming under, or having an interest in, the document could do if they had lodged it;</w:t>
      </w:r>
    </w:p>
    <w:p>
      <w:pPr>
        <w:pStyle w:val="zIndenta"/>
      </w:pPr>
      <w:r>
        <w:tab/>
        <w:t>(e)</w:t>
      </w:r>
      <w:r>
        <w:tab/>
        <w:t>to receive requisitions, communications and notices in respect of it;</w:t>
      </w:r>
    </w:p>
    <w:p>
      <w:pPr>
        <w:pStyle w:val="zIndenta"/>
      </w:pPr>
      <w:r>
        <w:tab/>
        <w:t>(f)</w:t>
      </w:r>
      <w:r>
        <w:tab/>
        <w:t xml:space="preserve">to attend to all other matters that may arise — </w:t>
      </w:r>
    </w:p>
    <w:p>
      <w:pPr>
        <w:pStyle w:val="zIndenti"/>
        <w:spacing w:before="120"/>
      </w:pPr>
      <w:r>
        <w:tab/>
        <w:t>(i)</w:t>
      </w:r>
      <w:r>
        <w:tab/>
        <w:t>in the course of registration of the document (if applicable); or</w:t>
      </w:r>
    </w:p>
    <w:p>
      <w:pPr>
        <w:pStyle w:val="zIndenti"/>
        <w:keepNext/>
        <w:keepLines/>
      </w:pPr>
      <w:r>
        <w:tab/>
        <w:t>(ii)</w:t>
      </w:r>
      <w:r>
        <w:tab/>
        <w:t>in the course of any other action that the Registrar is authorised under this Act or any other Act to take with respect to the document.</w:t>
      </w:r>
    </w:p>
    <w:p>
      <w:pPr>
        <w:pStyle w:val="zSubsection"/>
      </w:pPr>
      <w:r>
        <w:tab/>
        <w:t>(4)</w:t>
      </w:r>
      <w:r>
        <w:tab/>
        <w:t xml:space="preserve">This section does not apply to any document lodged before the </w:t>
      </w:r>
      <w:r>
        <w:rPr>
          <w:i/>
        </w:rPr>
        <w:t>Electronic Conveyancing Act 2014</w:t>
      </w:r>
      <w:r>
        <w:t xml:space="preserve"> section 82 comes into operation.</w:t>
      </w:r>
    </w:p>
    <w:p>
      <w:pPr>
        <w:pStyle w:val="zHeading5"/>
      </w:pPr>
      <w:bookmarkStart w:id="383" w:name="_Toc382914675"/>
      <w:bookmarkStart w:id="384" w:name="_Toc389126092"/>
      <w:bookmarkStart w:id="385" w:name="_Toc416783703"/>
      <w:r>
        <w:t>192B.</w:t>
      </w:r>
      <w:r>
        <w:tab/>
        <w:t>Registrar may refuse lodgment for non</w:t>
      </w:r>
      <w:r>
        <w:noBreakHyphen/>
        <w:t>compliance with certain requirements</w:t>
      </w:r>
      <w:bookmarkEnd w:id="383"/>
      <w:bookmarkEnd w:id="384"/>
      <w:bookmarkEnd w:id="385"/>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Subsection"/>
      </w:pPr>
      <w:r>
        <w:tab/>
        <w:t>(2)</w:t>
      </w:r>
      <w:r>
        <w:tab/>
        <w:t xml:space="preserve">The Registrar may refuse to accept a document for lodgment if — </w:t>
      </w:r>
    </w:p>
    <w:p>
      <w:pPr>
        <w:pStyle w:val="zIndenta"/>
      </w:pPr>
      <w:r>
        <w:tab/>
        <w:t>(a)</w:t>
      </w:r>
      <w:r>
        <w:tab/>
        <w:t xml:space="preserve">the document does not comply with — </w:t>
      </w:r>
    </w:p>
    <w:p>
      <w:pPr>
        <w:pStyle w:val="zIndenti"/>
      </w:pPr>
      <w:r>
        <w:tab/>
        <w:t>(i)</w:t>
      </w:r>
      <w:r>
        <w:tab/>
        <w:t>the requirements of this Act or any regulations made under this Act; or</w:t>
      </w:r>
    </w:p>
    <w:p>
      <w:pPr>
        <w:pStyle w:val="zIndenti"/>
      </w:pPr>
      <w:r>
        <w:tab/>
        <w:t>(ii)</w:t>
      </w:r>
      <w:r>
        <w:tab/>
        <w:t>a requirement determined under section 182A; or</w:t>
      </w:r>
    </w:p>
    <w:p>
      <w:pPr>
        <w:pStyle w:val="zIndenti"/>
      </w:pPr>
      <w:r>
        <w:tab/>
        <w:t>(iii)</w:t>
      </w:r>
      <w:r>
        <w:tab/>
        <w:t xml:space="preserve">the requirements of the </w:t>
      </w:r>
      <w:r>
        <w:rPr>
          <w:i/>
        </w:rPr>
        <w:t>Electronic Conveyancing Act 2014</w:t>
      </w:r>
      <w:r>
        <w:t xml:space="preserve"> or any participation rules;</w:t>
      </w:r>
    </w:p>
    <w:p>
      <w:pPr>
        <w:pStyle w:val="zIndenta"/>
      </w:pPr>
      <w:r>
        <w:tab/>
      </w:r>
      <w:r>
        <w:tab/>
        <w:t>or</w:t>
      </w:r>
    </w:p>
    <w:p>
      <w:pPr>
        <w:pStyle w:val="zIndenta"/>
      </w:pPr>
      <w:r>
        <w:tab/>
        <w:t>(b)</w:t>
      </w:r>
      <w:r>
        <w:tab/>
        <w:t>any requirement mentioned in paragraph (a)(i) to (iii) that relates to the lodging of the document is not complied with.</w:t>
      </w:r>
    </w:p>
    <w:p>
      <w:pPr>
        <w:pStyle w:val="zSubsection"/>
      </w:pPr>
      <w:r>
        <w:tab/>
        <w:t>(3)</w:t>
      </w:r>
      <w:r>
        <w:tab/>
        <w:t>This section does not limit or affect any other obligation or power to refuse to accept a document for lodgment.</w:t>
      </w:r>
    </w:p>
    <w:p>
      <w:pPr>
        <w:pStyle w:val="zHeading5"/>
      </w:pPr>
      <w:bookmarkStart w:id="386" w:name="_Toc382914676"/>
      <w:bookmarkStart w:id="387" w:name="_Toc389126093"/>
      <w:bookmarkStart w:id="388" w:name="_Toc416783704"/>
      <w:r>
        <w:t>192C.</w:t>
      </w:r>
      <w:r>
        <w:tab/>
        <w:t>Commissioner may refuse to take action if requirements not complied with</w:t>
      </w:r>
      <w:bookmarkEnd w:id="386"/>
      <w:bookmarkEnd w:id="387"/>
      <w:bookmarkEnd w:id="388"/>
    </w:p>
    <w:p>
      <w:pPr>
        <w:pStyle w:val="zSubsection"/>
      </w:pPr>
      <w:r>
        <w:tab/>
        <w:t>(1)</w:t>
      </w:r>
      <w:r>
        <w:tab/>
        <w:t xml:space="preserve">The Commissioner may refuse to take any action that the Commissioner is required or authorised to take under this Act if — </w:t>
      </w:r>
    </w:p>
    <w:p>
      <w:pPr>
        <w:pStyle w:val="zIndenta"/>
      </w:pPr>
      <w:r>
        <w:tab/>
        <w:t>(a)</w:t>
      </w:r>
      <w:r>
        <w:tab/>
        <w:t xml:space="preserve">the taking of that action is dependent on compliance with — </w:t>
      </w:r>
    </w:p>
    <w:p>
      <w:pPr>
        <w:pStyle w:val="zIndenti"/>
      </w:pPr>
      <w:r>
        <w:tab/>
        <w:t>(i)</w:t>
      </w:r>
      <w:r>
        <w:tab/>
        <w:t>a requirement of this Act or any regulations made under this Act; or</w:t>
      </w:r>
    </w:p>
    <w:p>
      <w:pPr>
        <w:pStyle w:val="zIndenti"/>
      </w:pPr>
      <w:r>
        <w:tab/>
        <w:t>(ii)</w:t>
      </w:r>
      <w:r>
        <w:tab/>
        <w:t>a requirement determined under section 182A; or</w:t>
      </w:r>
    </w:p>
    <w:p>
      <w:pPr>
        <w:pStyle w:val="zIndenti"/>
      </w:pPr>
      <w:r>
        <w:tab/>
        <w:t>(iii)</w:t>
      </w:r>
      <w:r>
        <w:tab/>
        <w:t xml:space="preserve">a requirement of the </w:t>
      </w:r>
      <w:r>
        <w:rPr>
          <w:i/>
        </w:rPr>
        <w:t>Electronic Conveyancing Act 2014</w:t>
      </w:r>
      <w:r>
        <w:t xml:space="preserve"> or any participation rules;</w:t>
      </w:r>
    </w:p>
    <w:p>
      <w:pPr>
        <w:pStyle w:val="zIndenta"/>
      </w:pPr>
      <w:r>
        <w:tab/>
      </w:r>
      <w:r>
        <w:tab/>
        <w:t>and</w:t>
      </w:r>
    </w:p>
    <w:p>
      <w:pPr>
        <w:pStyle w:val="zIndenta"/>
      </w:pPr>
      <w:r>
        <w:tab/>
        <w:t>(b)</w:t>
      </w:r>
      <w:r>
        <w:tab/>
        <w:t>that requirement has not been complied with.</w:t>
      </w:r>
    </w:p>
    <w:p>
      <w:pPr>
        <w:pStyle w:val="zSubsection"/>
      </w:pPr>
      <w:r>
        <w:tab/>
        <w:t>(2)</w:t>
      </w:r>
      <w:r>
        <w:tab/>
        <w:t xml:space="preserve">For the purposes of subsection (1), taking an action includes (without limiting subsection (1)) — </w:t>
      </w:r>
    </w:p>
    <w:p>
      <w:pPr>
        <w:pStyle w:val="zIndenta"/>
      </w:pPr>
      <w:r>
        <w:tab/>
        <w:t>(a)</w:t>
      </w:r>
      <w:r>
        <w:tab/>
        <w:t>accepting an application under this Act or any regulations made under this Act; and</w:t>
      </w:r>
    </w:p>
    <w:p>
      <w:pPr>
        <w:pStyle w:val="zIndenta"/>
      </w:pPr>
      <w:r>
        <w:tab/>
        <w:t>(b)</w:t>
      </w:r>
      <w:r>
        <w:tab/>
        <w:t>giving a direction to the Registrar.</w:t>
      </w:r>
    </w:p>
    <w:p>
      <w:pPr>
        <w:pStyle w:val="z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zSubsection"/>
      </w:pPr>
      <w:r>
        <w:tab/>
        <w:t>(4)</w:t>
      </w:r>
      <w:r>
        <w:tab/>
        <w:t xml:space="preserve">A notice given under subsection (3) — </w:t>
      </w:r>
    </w:p>
    <w:p>
      <w:pPr>
        <w:pStyle w:val="zIndenta"/>
      </w:pPr>
      <w:r>
        <w:tab/>
        <w:t>(a)</w:t>
      </w:r>
      <w:r>
        <w:tab/>
        <w:t>must be served on the person to whom it is directed; and</w:t>
      </w:r>
    </w:p>
    <w:p>
      <w:pPr>
        <w:pStyle w:val="zIndenta"/>
      </w:pPr>
      <w:r>
        <w:tab/>
        <w:t>(b)</w:t>
      </w:r>
      <w:r>
        <w:tab/>
        <w:t>must specify a period within which the non</w:t>
      </w:r>
      <w:r>
        <w:noBreakHyphen/>
        <w:t>compliance must be rectified; and</w:t>
      </w:r>
    </w:p>
    <w:p>
      <w:pPr>
        <w:pStyle w:val="zIndenta"/>
      </w:pPr>
      <w:r>
        <w:tab/>
        <w:t>(c)</w:t>
      </w:r>
      <w:r>
        <w:tab/>
        <w:t>may specify how the non</w:t>
      </w:r>
      <w:r>
        <w:noBreakHyphen/>
        <w:t>compliance is to be rectified.</w:t>
      </w:r>
    </w:p>
    <w:p>
      <w:pPr>
        <w:pStyle w:val="zSubsection"/>
      </w:pPr>
      <w:r>
        <w:tab/>
        <w:t>(5)</w:t>
      </w:r>
      <w:r>
        <w:tab/>
        <w:t>If a notice of non</w:t>
      </w:r>
      <w:r>
        <w:noBreakHyphen/>
        <w:t xml:space="preserve">compliance given under subsection (3) relates to a document — </w:t>
      </w:r>
    </w:p>
    <w:p>
      <w:pPr>
        <w:pStyle w:val="zIndenta"/>
      </w:pPr>
      <w:r>
        <w:tab/>
        <w:t>(a)</w:t>
      </w:r>
      <w:r>
        <w:tab/>
        <w:t>the notice is to be taken to be a notice given under section 192(1) by the Registrar in relation to the document; and</w:t>
      </w:r>
    </w:p>
    <w:p>
      <w:pPr>
        <w:pStyle w:val="zIndenta"/>
      </w:pPr>
      <w:r>
        <w:tab/>
        <w:t>(b)</w:t>
      </w:r>
      <w:r>
        <w:tab/>
        <w:t>section 192 applies accordingly with all necessary changes.</w:t>
      </w:r>
    </w:p>
    <w:p>
      <w:pPr>
        <w:pStyle w:val="zSubsection"/>
      </w:pPr>
      <w:r>
        <w:tab/>
        <w:t>(6)</w:t>
      </w:r>
      <w:r>
        <w:tab/>
        <w:t>This section does not limit or affect any other obligation or power to refuse to take any action.</w:t>
      </w:r>
    </w:p>
    <w:p>
      <w:pPr>
        <w:pStyle w:val="zHeading5"/>
      </w:pPr>
      <w:bookmarkStart w:id="389" w:name="_Toc382914677"/>
      <w:bookmarkStart w:id="390" w:name="_Toc389126094"/>
      <w:bookmarkStart w:id="391" w:name="_Toc416783705"/>
      <w:r>
        <w:t>192D.</w:t>
      </w:r>
      <w:r>
        <w:tab/>
        <w:t>Registrar may refuse registration, noting or recording for non</w:t>
      </w:r>
      <w:r>
        <w:noBreakHyphen/>
        <w:t>compliance with requirements</w:t>
      </w:r>
      <w:bookmarkEnd w:id="389"/>
      <w:bookmarkEnd w:id="390"/>
      <w:bookmarkEnd w:id="391"/>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Subsection"/>
      </w:pPr>
      <w:r>
        <w:tab/>
        <w:t>(2)</w:t>
      </w:r>
      <w:r>
        <w:tab/>
        <w:t xml:space="preserve">This section applies to any document that is lodged — </w:t>
      </w:r>
    </w:p>
    <w:p>
      <w:pPr>
        <w:pStyle w:val="zIndenta"/>
      </w:pPr>
      <w:r>
        <w:tab/>
        <w:t>(a)</w:t>
      </w:r>
      <w:r>
        <w:tab/>
        <w:t>for registration; or</w:t>
      </w:r>
    </w:p>
    <w:p>
      <w:pPr>
        <w:pStyle w:val="zIndenta"/>
      </w:pPr>
      <w:r>
        <w:tab/>
        <w:t>(b)</w:t>
      </w:r>
      <w:r>
        <w:tab/>
        <w:t>in relation to any land, title, estate or interest; or</w:t>
      </w:r>
    </w:p>
    <w:p>
      <w:pPr>
        <w:pStyle w:val="zIndenta"/>
      </w:pPr>
      <w:r>
        <w:tab/>
        <w:t>(c)</w:t>
      </w:r>
      <w:r>
        <w:tab/>
        <w:t>in connection with any application or dealing.</w:t>
      </w:r>
    </w:p>
    <w:p>
      <w:pPr>
        <w:pStyle w:val="zSubsection"/>
      </w:pPr>
      <w:r>
        <w:tab/>
        <w:t>(3)</w:t>
      </w:r>
      <w:r>
        <w:tab/>
        <w:t xml:space="preserve">The Registrar may refuse to register, note, file or record a document to which this section applies if — </w:t>
      </w:r>
    </w:p>
    <w:p>
      <w:pPr>
        <w:pStyle w:val="zIndenta"/>
      </w:pPr>
      <w:r>
        <w:tab/>
        <w:t>(a)</w:t>
      </w:r>
      <w:r>
        <w:tab/>
        <w:t xml:space="preserve">the document does not comply with — </w:t>
      </w:r>
    </w:p>
    <w:p>
      <w:pPr>
        <w:pStyle w:val="zIndenti"/>
      </w:pPr>
      <w:r>
        <w:tab/>
        <w:t>(i)</w:t>
      </w:r>
      <w:r>
        <w:tab/>
        <w:t>the requirements of this Act or any regulations made under this Act; or</w:t>
      </w:r>
    </w:p>
    <w:p>
      <w:pPr>
        <w:pStyle w:val="zIndenti"/>
      </w:pPr>
      <w:r>
        <w:tab/>
        <w:t>(ii)</w:t>
      </w:r>
      <w:r>
        <w:tab/>
        <w:t>a requirement determined under section 182A; or</w:t>
      </w:r>
    </w:p>
    <w:p>
      <w:pPr>
        <w:pStyle w:val="zIndenti"/>
      </w:pPr>
      <w:r>
        <w:tab/>
        <w:t>(iii)</w:t>
      </w:r>
      <w:r>
        <w:tab/>
        <w:t xml:space="preserve">the requirements of the </w:t>
      </w:r>
      <w:r>
        <w:rPr>
          <w:i/>
        </w:rPr>
        <w:t>Electronic Conveyancing Act 2014</w:t>
      </w:r>
      <w:r>
        <w:t xml:space="preserve"> or any participation rules;</w:t>
      </w:r>
    </w:p>
    <w:p>
      <w:pPr>
        <w:pStyle w:val="zIndenta"/>
      </w:pPr>
      <w:r>
        <w:tab/>
      </w:r>
      <w:r>
        <w:tab/>
        <w:t>or</w:t>
      </w:r>
    </w:p>
    <w:p>
      <w:pPr>
        <w:pStyle w:val="zIndenta"/>
      </w:pPr>
      <w:r>
        <w:tab/>
        <w:t>(b)</w:t>
      </w:r>
      <w:r>
        <w:tab/>
        <w:t>any requirement mentioned in paragraph (a)(i) to (iii) that relates to the registration, noting, filing or recording of the document is not complied with.</w:t>
      </w:r>
    </w:p>
    <w:p>
      <w:pPr>
        <w:pStyle w:val="zSubsection"/>
      </w:pPr>
      <w:r>
        <w:tab/>
        <w:t>(4)</w:t>
      </w:r>
      <w:r>
        <w:tab/>
        <w:t xml:space="preserve">For the purposes of subsection (3), noting a document (the </w:t>
      </w:r>
      <w:r>
        <w:rPr>
          <w:rStyle w:val="CharDefText"/>
        </w:rPr>
        <w:t>first document</w:t>
      </w:r>
      <w:r>
        <w:t xml:space="preserve">) includes (without limiting subsection (3)) — </w:t>
      </w:r>
    </w:p>
    <w:p>
      <w:pPr>
        <w:pStyle w:val="zIndenta"/>
      </w:pPr>
      <w:r>
        <w:tab/>
        <w:t>(a)</w:t>
      </w:r>
      <w:r>
        <w:tab/>
        <w:t>noting another document to the effect that a provision of the first document is incorporated in the other document; and</w:t>
      </w:r>
    </w:p>
    <w:p>
      <w:pPr>
        <w:pStyle w:val="zIndenta"/>
      </w:pPr>
      <w:r>
        <w:tab/>
        <w:t>(b)</w:t>
      </w:r>
      <w:r>
        <w:tab/>
        <w:t>endorsing another document to an effect stated in the first document; and</w:t>
      </w:r>
    </w:p>
    <w:p>
      <w:pPr>
        <w:pStyle w:val="zIndenta"/>
      </w:pPr>
      <w:r>
        <w:tab/>
        <w:t>(c)</w:t>
      </w:r>
      <w:r>
        <w:tab/>
        <w:t>removing a notification from, or modifying a notification in, another document in a way requested in the first document.</w:t>
      </w:r>
    </w:p>
    <w:p>
      <w:pPr>
        <w:pStyle w:val="zSubsection"/>
      </w:pPr>
      <w:r>
        <w:tab/>
        <w:t>(5)</w:t>
      </w:r>
      <w:r>
        <w:tab/>
        <w:t>This section does not limit or affect any other obligation or power to refuse to register, note or record a document.</w:t>
      </w:r>
    </w:p>
    <w:p>
      <w:pPr>
        <w:pStyle w:val="zHeading5"/>
      </w:pPr>
      <w:bookmarkStart w:id="392" w:name="_Toc382914678"/>
      <w:bookmarkStart w:id="393" w:name="_Toc389126095"/>
      <w:bookmarkStart w:id="394" w:name="_Toc416783706"/>
      <w:r>
        <w:t>192E.</w:t>
      </w:r>
      <w:r>
        <w:tab/>
        <w:t>Notice of non</w:t>
      </w:r>
      <w:r>
        <w:noBreakHyphen/>
        <w:t>compliance under section 192D</w:t>
      </w:r>
      <w:bookmarkEnd w:id="392"/>
      <w:bookmarkEnd w:id="393"/>
      <w:bookmarkEnd w:id="394"/>
    </w:p>
    <w:p>
      <w:pPr>
        <w:pStyle w:val="z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zSubsection"/>
      </w:pPr>
      <w:r>
        <w:tab/>
        <w:t>(2)</w:t>
      </w:r>
      <w:r>
        <w:tab/>
        <w:t xml:space="preserve">A notice given under subsection (1) — </w:t>
      </w:r>
    </w:p>
    <w:p>
      <w:pPr>
        <w:pStyle w:val="zIndenta"/>
      </w:pPr>
      <w:r>
        <w:tab/>
        <w:t>(a)</w:t>
      </w:r>
      <w:r>
        <w:tab/>
        <w:t>must be served on the person who lodged the document; and</w:t>
      </w:r>
    </w:p>
    <w:p>
      <w:pPr>
        <w:pStyle w:val="zIndenta"/>
      </w:pPr>
      <w:r>
        <w:tab/>
        <w:t>(b)</w:t>
      </w:r>
      <w:r>
        <w:tab/>
        <w:t>must specify a period within which the non</w:t>
      </w:r>
      <w:r>
        <w:noBreakHyphen/>
        <w:t>compliance must be rectified; and</w:t>
      </w:r>
    </w:p>
    <w:p>
      <w:pPr>
        <w:pStyle w:val="zIndenta"/>
      </w:pPr>
      <w:r>
        <w:tab/>
        <w:t>(c)</w:t>
      </w:r>
      <w:r>
        <w:tab/>
        <w:t>may specify how the non</w:t>
      </w:r>
      <w:r>
        <w:noBreakHyphen/>
        <w:t>compliance is to be rectified.</w:t>
      </w:r>
    </w:p>
    <w:p>
      <w:pPr>
        <w:pStyle w:val="zSubsection"/>
        <w:keepNext/>
      </w:pPr>
      <w:r>
        <w:tab/>
        <w:t>(3)</w:t>
      </w:r>
      <w:r>
        <w:tab/>
        <w:t>If a notice of non</w:t>
      </w:r>
      <w:r>
        <w:noBreakHyphen/>
        <w:t xml:space="preserve">compliance is given under subsection (2) in relation to a document — </w:t>
      </w:r>
    </w:p>
    <w:p>
      <w:pPr>
        <w:pStyle w:val="zIndenta"/>
      </w:pPr>
      <w:r>
        <w:tab/>
        <w:t>(a)</w:t>
      </w:r>
      <w:r>
        <w:tab/>
        <w:t>the notice is to be taken to be a notice given under section 192(1) in relation to the document; and</w:t>
      </w:r>
    </w:p>
    <w:p>
      <w:pPr>
        <w:pStyle w:val="zIndenta"/>
      </w:pPr>
      <w:r>
        <w:tab/>
        <w:t>(b)</w:t>
      </w:r>
      <w:r>
        <w:tab/>
        <w:t>section 192 applies accordingly with all necessary changes.</w:t>
      </w:r>
    </w:p>
    <w:p>
      <w:pPr>
        <w:pStyle w:val="BlankClose"/>
      </w:pPr>
    </w:p>
    <w:p>
      <w:pPr>
        <w:pStyle w:val="Heading5"/>
      </w:pPr>
      <w:bookmarkStart w:id="395" w:name="_Toc382914679"/>
      <w:bookmarkStart w:id="396" w:name="_Toc389126096"/>
      <w:bookmarkStart w:id="397" w:name="_Toc416783707"/>
      <w:r>
        <w:rPr>
          <w:rStyle w:val="CharSectno"/>
        </w:rPr>
        <w:t>83</w:t>
      </w:r>
      <w:r>
        <w:t>.</w:t>
      </w:r>
      <w:r>
        <w:tab/>
        <w:t>Section 192 amended</w:t>
      </w:r>
      <w:bookmarkEnd w:id="395"/>
      <w:bookmarkEnd w:id="396"/>
      <w:bookmarkEnd w:id="397"/>
    </w:p>
    <w:p>
      <w:pPr>
        <w:pStyle w:val="Subsection"/>
      </w:pPr>
      <w:r>
        <w:tab/>
      </w:r>
      <w:r>
        <w:tab/>
        <w:t>In section 192(2)(b) delete “as a penalty”.</w:t>
      </w:r>
    </w:p>
    <w:p>
      <w:pPr>
        <w:pStyle w:val="Heading5"/>
      </w:pPr>
      <w:bookmarkStart w:id="398" w:name="_Toc382914680"/>
      <w:bookmarkStart w:id="399" w:name="_Toc389126097"/>
      <w:bookmarkStart w:id="400" w:name="_Toc416783708"/>
      <w:r>
        <w:rPr>
          <w:rStyle w:val="CharSectno"/>
        </w:rPr>
        <w:t>84</w:t>
      </w:r>
      <w:r>
        <w:t>.</w:t>
      </w:r>
      <w:r>
        <w:tab/>
        <w:t>Section 193 amended</w:t>
      </w:r>
      <w:bookmarkEnd w:id="398"/>
      <w:bookmarkEnd w:id="399"/>
      <w:bookmarkEnd w:id="400"/>
    </w:p>
    <w:p>
      <w:pPr>
        <w:pStyle w:val="Subsection"/>
      </w:pPr>
      <w:r>
        <w:tab/>
      </w:r>
      <w:r>
        <w:tab/>
        <w:t>In section 193 after “by this Act” insert:</w:t>
      </w:r>
    </w:p>
    <w:p>
      <w:pPr>
        <w:pStyle w:val="BlankOpen"/>
      </w:pPr>
    </w:p>
    <w:p>
      <w:pPr>
        <w:pStyle w:val="Subsection"/>
        <w:rPr>
          <w:i/>
        </w:rPr>
      </w:pPr>
      <w:r>
        <w:tab/>
      </w:r>
      <w:r>
        <w:tab/>
        <w:t xml:space="preserve">or the </w:t>
      </w:r>
      <w:r>
        <w:rPr>
          <w:i/>
        </w:rPr>
        <w:t>Electronic Conveyancing Act 2014</w:t>
      </w:r>
    </w:p>
    <w:p>
      <w:pPr>
        <w:pStyle w:val="BlankClose"/>
      </w:pPr>
    </w:p>
    <w:p>
      <w:pPr>
        <w:pStyle w:val="Heading5"/>
      </w:pPr>
      <w:bookmarkStart w:id="401" w:name="_Toc382914681"/>
      <w:bookmarkStart w:id="402" w:name="_Toc389126098"/>
      <w:bookmarkStart w:id="403" w:name="_Toc416783709"/>
      <w:r>
        <w:rPr>
          <w:rStyle w:val="CharSectno"/>
        </w:rPr>
        <w:t>85</w:t>
      </w:r>
      <w:r>
        <w:t>.</w:t>
      </w:r>
      <w:r>
        <w:tab/>
        <w:t>Section 198 amended</w:t>
      </w:r>
      <w:bookmarkEnd w:id="401"/>
      <w:bookmarkEnd w:id="402"/>
      <w:bookmarkEnd w:id="403"/>
    </w:p>
    <w:p>
      <w:pPr>
        <w:pStyle w:val="Subsection"/>
      </w:pPr>
      <w:r>
        <w:tab/>
      </w:r>
      <w:r>
        <w:tab/>
        <w:t>In section 198 delete “this Act.” and insert:</w:t>
      </w:r>
    </w:p>
    <w:p>
      <w:pPr>
        <w:pStyle w:val="BlankOpen"/>
      </w:pPr>
    </w:p>
    <w:p>
      <w:pPr>
        <w:pStyle w:val="Subsection"/>
      </w:pPr>
      <w:r>
        <w:tab/>
      </w:r>
      <w:r>
        <w:tab/>
        <w:t xml:space="preserve">this Act or the </w:t>
      </w:r>
      <w:r>
        <w:rPr>
          <w:i/>
        </w:rPr>
        <w:t>Electronic Conveyancing Act 2014</w:t>
      </w:r>
      <w:r>
        <w:t>.</w:t>
      </w:r>
    </w:p>
    <w:p>
      <w:pPr>
        <w:pStyle w:val="BlankClose"/>
      </w:pPr>
    </w:p>
    <w:p>
      <w:pPr>
        <w:pStyle w:val="Heading5"/>
      </w:pPr>
      <w:bookmarkStart w:id="404" w:name="_Toc382914682"/>
      <w:bookmarkStart w:id="405" w:name="_Toc389126099"/>
      <w:bookmarkStart w:id="406" w:name="_Toc416783710"/>
      <w:r>
        <w:rPr>
          <w:rStyle w:val="CharSectno"/>
        </w:rPr>
        <w:t>86</w:t>
      </w:r>
      <w:r>
        <w:t>.</w:t>
      </w:r>
      <w:r>
        <w:tab/>
        <w:t>Sections 214 to 214B replaced</w:t>
      </w:r>
      <w:bookmarkEnd w:id="404"/>
      <w:bookmarkEnd w:id="405"/>
      <w:bookmarkEnd w:id="406"/>
    </w:p>
    <w:p>
      <w:pPr>
        <w:pStyle w:val="Subsection"/>
      </w:pPr>
      <w:r>
        <w:tab/>
      </w:r>
      <w:r>
        <w:tab/>
        <w:t>Delete sections 214 to 214B and insert:</w:t>
      </w:r>
    </w:p>
    <w:p>
      <w:pPr>
        <w:pStyle w:val="BlankOpen"/>
      </w:pPr>
    </w:p>
    <w:p>
      <w:pPr>
        <w:pStyle w:val="zHeading5"/>
      </w:pPr>
      <w:bookmarkStart w:id="407" w:name="_Toc382914683"/>
      <w:bookmarkStart w:id="408" w:name="_Toc389126100"/>
      <w:bookmarkStart w:id="409" w:name="_Toc416783711"/>
      <w:r>
        <w:t>214.</w:t>
      </w:r>
      <w:r>
        <w:tab/>
        <w:t>Offences</w:t>
      </w:r>
      <w:bookmarkEnd w:id="407"/>
      <w:bookmarkEnd w:id="408"/>
      <w:bookmarkEnd w:id="409"/>
    </w:p>
    <w:p>
      <w:pPr>
        <w:pStyle w:val="zSubsection"/>
      </w:pPr>
      <w:r>
        <w:tab/>
        <w:t>(1)</w:t>
      </w:r>
      <w:r>
        <w:tab/>
        <w:t>A person must not do any of the things set out in subsection (3).</w:t>
      </w:r>
    </w:p>
    <w:p>
      <w:pPr>
        <w:pStyle w:val="zPenstart"/>
      </w:pPr>
      <w:r>
        <w:tab/>
        <w:t>Penalty: imprisonment for 10 years and a fine of $100 000.</w:t>
      </w:r>
    </w:p>
    <w:p>
      <w:pPr>
        <w:pStyle w:val="zPenstart"/>
      </w:pPr>
      <w:r>
        <w:tab/>
        <w:t>Summary conviction penalty: imprisonment for 3 years and a fine of $40 000.</w:t>
      </w:r>
    </w:p>
    <w:p>
      <w:pPr>
        <w:pStyle w:val="zSubsection"/>
      </w:pPr>
      <w:r>
        <w:tab/>
        <w:t>(2)</w:t>
      </w:r>
      <w:r>
        <w:tab/>
        <w:t>An offence under subsection (1) is a crime.</w:t>
      </w:r>
    </w:p>
    <w:p>
      <w:pPr>
        <w:pStyle w:val="zSubsection"/>
      </w:pPr>
      <w:r>
        <w:tab/>
        <w:t>(3)</w:t>
      </w:r>
      <w:r>
        <w:tab/>
        <w:t xml:space="preserve">The things to which subsection (1) applies are — </w:t>
      </w:r>
    </w:p>
    <w:p>
      <w:pPr>
        <w:pStyle w:val="zIndenta"/>
      </w:pPr>
      <w:r>
        <w:tab/>
        <w:t>(a)</w:t>
      </w:r>
      <w:r>
        <w:tab/>
        <w:t xml:space="preserve">making any statement or declaration that the person making it knows is false or misleading in a material particular in — </w:t>
      </w:r>
    </w:p>
    <w:p>
      <w:pPr>
        <w:pStyle w:val="zIndenti"/>
      </w:pPr>
      <w:r>
        <w:tab/>
        <w:t>(i)</w:t>
      </w:r>
      <w:r>
        <w:tab/>
        <w:t>any application under this Act; or</w:t>
      </w:r>
    </w:p>
    <w:p>
      <w:pPr>
        <w:pStyle w:val="zIndenti"/>
      </w:pPr>
      <w:r>
        <w:tab/>
        <w:t>(ii)</w:t>
      </w:r>
      <w:r>
        <w:tab/>
        <w:t>any document lodged, deposited, presented or filed under this Act;</w:t>
      </w:r>
    </w:p>
    <w:p>
      <w:pPr>
        <w:pStyle w:val="zIndenta"/>
      </w:pPr>
      <w:r>
        <w:tab/>
        <w:t>(b)</w:t>
      </w:r>
      <w:r>
        <w:tab/>
        <w:t>making or giving any certification required under this Act that the person making or giving it knows is false or misleading in a material particular;</w:t>
      </w:r>
    </w:p>
    <w:p>
      <w:pPr>
        <w:pStyle w:val="zIndenta"/>
      </w:pPr>
      <w:r>
        <w:tab/>
        <w:t>(c)</w:t>
      </w:r>
      <w:r>
        <w:tab/>
        <w:t>providing to the Commissioner or Registrar any material, document, fact or information that the person providing it knows is false or misleading in a material particular;</w:t>
      </w:r>
    </w:p>
    <w:p>
      <w:pPr>
        <w:pStyle w:val="zIndenta"/>
      </w:pPr>
      <w:r>
        <w:tab/>
        <w:t>(d)</w:t>
      </w:r>
      <w:r>
        <w:tab/>
        <w:t>suppressing, withholding or concealing from the Commissioner or Registrar any material, document, fact or information;</w:t>
      </w:r>
    </w:p>
    <w:p>
      <w:pPr>
        <w:pStyle w:val="zIndenta"/>
      </w:pPr>
      <w:r>
        <w:tab/>
        <w:t>(e)</w:t>
      </w:r>
      <w:r>
        <w:tab/>
        <w:t>making any statutory declaration authorised or required under this Act that the person making it knows is false or misleading in a material particular;</w:t>
      </w:r>
    </w:p>
    <w:p>
      <w:pPr>
        <w:pStyle w:val="zIndenta"/>
      </w:pPr>
      <w:r>
        <w:tab/>
        <w:t>(f)</w:t>
      </w:r>
      <w:r>
        <w:tab/>
        <w:t>giving evidence in the course of an examination before the Commissioner that the person giving it knows is false or misleading in a material particular;</w:t>
      </w:r>
    </w:p>
    <w:p>
      <w:pPr>
        <w:pStyle w:val="zIndenta"/>
      </w:pPr>
      <w:r>
        <w:tab/>
        <w:t>(g)</w:t>
      </w:r>
      <w:r>
        <w:tab/>
        <w:t xml:space="preserve">fraudulently procuring — </w:t>
      </w:r>
    </w:p>
    <w:p>
      <w:pPr>
        <w:pStyle w:val="zIndenti"/>
      </w:pPr>
      <w:r>
        <w:tab/>
        <w:t>(i)</w:t>
      </w:r>
      <w:r>
        <w:tab/>
        <w:t>a certificate of title or instrument; or</w:t>
      </w:r>
    </w:p>
    <w:p>
      <w:pPr>
        <w:pStyle w:val="zIndenti"/>
      </w:pPr>
      <w:r>
        <w:tab/>
        <w:t>(ii)</w:t>
      </w:r>
      <w:r>
        <w:tab/>
        <w:t>an entry in the Register; or</w:t>
      </w:r>
    </w:p>
    <w:p>
      <w:pPr>
        <w:pStyle w:val="zIndenti"/>
      </w:pPr>
      <w:r>
        <w:tab/>
        <w:t>(iii)</w:t>
      </w:r>
      <w:r>
        <w:tab/>
        <w:t>any erasure or alteration in any entry in the Register;</w:t>
      </w:r>
    </w:p>
    <w:p>
      <w:pPr>
        <w:pStyle w:val="zIndenta"/>
      </w:pPr>
      <w:r>
        <w:tab/>
        <w:t>(h)</w:t>
      </w:r>
      <w:r>
        <w:tab/>
        <w:t xml:space="preserve">whether fraudulently or not, without lawful excuse — </w:t>
      </w:r>
    </w:p>
    <w:p>
      <w:pPr>
        <w:pStyle w:val="zIndenti"/>
      </w:pPr>
      <w:r>
        <w:tab/>
        <w:t>(i)</w:t>
      </w:r>
      <w:r>
        <w:tab/>
        <w:t>defacing, erasing or altering any words, memorandum or diagram in or on any duplicate certificate or duplicate instrument; or</w:t>
      </w:r>
    </w:p>
    <w:p>
      <w:pPr>
        <w:pStyle w:val="zIndenti"/>
      </w:pPr>
      <w:r>
        <w:tab/>
        <w:t>(ii)</w:t>
      </w:r>
      <w:r>
        <w:tab/>
        <w:t>destroying any duplicate certificate or duplicate instrument;</w:t>
      </w:r>
    </w:p>
    <w:p>
      <w:pPr>
        <w:pStyle w:val="zIndenta"/>
      </w:pPr>
      <w:r>
        <w:tab/>
        <w:t>(i)</w:t>
      </w:r>
      <w:r>
        <w:tab/>
        <w:t xml:space="preserve">misleading or deceiving any person authorised to require an explanation or information in respect of — </w:t>
      </w:r>
    </w:p>
    <w:p>
      <w:pPr>
        <w:pStyle w:val="zIndenti"/>
      </w:pPr>
      <w:r>
        <w:tab/>
        <w:t>(i)</w:t>
      </w:r>
      <w:r>
        <w:tab/>
        <w:t>any land, or the title to any land, under the operation of this Act; or</w:t>
      </w:r>
    </w:p>
    <w:p>
      <w:pPr>
        <w:pStyle w:val="zIndenti"/>
      </w:pPr>
      <w:r>
        <w:tab/>
        <w:t>(ii)</w:t>
      </w:r>
      <w:r>
        <w:tab/>
        <w:t>any land, or the title to any land, that is the subject of an application to bring it under the operation of this Act; or</w:t>
      </w:r>
    </w:p>
    <w:p>
      <w:pPr>
        <w:pStyle w:val="zIndenti"/>
      </w:pPr>
      <w:r>
        <w:tab/>
        <w:t>(iii)</w:t>
      </w:r>
      <w:r>
        <w:tab/>
        <w:t>any land or the title to any land in respect of which any dealing or transmission is proposed to be registered;</w:t>
      </w:r>
    </w:p>
    <w:p>
      <w:pPr>
        <w:pStyle w:val="zIndenta"/>
      </w:pPr>
      <w:r>
        <w:tab/>
        <w:t>(j)</w:t>
      </w:r>
      <w:r>
        <w:tab/>
        <w:t>without reasonable excuse, neglecting to lodge with the Registrar a duplicate certificate of title or Crown lease when required to do so under this Act.</w:t>
      </w:r>
    </w:p>
    <w:p>
      <w:pPr>
        <w:pStyle w:val="zHeading5"/>
      </w:pPr>
      <w:bookmarkStart w:id="410" w:name="_Toc382914684"/>
      <w:bookmarkStart w:id="411" w:name="_Toc389126101"/>
      <w:bookmarkStart w:id="412" w:name="_Toc416783712"/>
      <w:r>
        <w:t>214A.</w:t>
      </w:r>
      <w:r>
        <w:tab/>
        <w:t>Effect of fraud</w:t>
      </w:r>
      <w:bookmarkEnd w:id="410"/>
      <w:bookmarkEnd w:id="411"/>
      <w:bookmarkEnd w:id="412"/>
    </w:p>
    <w:p>
      <w:pPr>
        <w:pStyle w:val="z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BlankClose"/>
      </w:pPr>
    </w:p>
    <w:p>
      <w:pPr>
        <w:pStyle w:val="Heading5"/>
      </w:pPr>
      <w:bookmarkStart w:id="413" w:name="_Toc382914685"/>
      <w:bookmarkStart w:id="414" w:name="_Toc389126102"/>
      <w:bookmarkStart w:id="415" w:name="_Toc416783713"/>
      <w:r>
        <w:rPr>
          <w:rStyle w:val="CharSectno"/>
        </w:rPr>
        <w:t>87</w:t>
      </w:r>
      <w:r>
        <w:t>.</w:t>
      </w:r>
      <w:r>
        <w:tab/>
        <w:t>Sections 232A and 232B inserted</w:t>
      </w:r>
      <w:bookmarkEnd w:id="413"/>
      <w:bookmarkEnd w:id="414"/>
      <w:bookmarkEnd w:id="415"/>
    </w:p>
    <w:p>
      <w:pPr>
        <w:pStyle w:val="Subsection"/>
      </w:pPr>
      <w:r>
        <w:tab/>
      </w:r>
      <w:r>
        <w:tab/>
        <w:t>After section 231 insert:</w:t>
      </w:r>
    </w:p>
    <w:p>
      <w:pPr>
        <w:pStyle w:val="BlankOpen"/>
      </w:pPr>
    </w:p>
    <w:p>
      <w:pPr>
        <w:pStyle w:val="zHeading5"/>
      </w:pPr>
      <w:bookmarkStart w:id="416" w:name="_Toc382914686"/>
      <w:bookmarkStart w:id="417" w:name="_Toc389126103"/>
      <w:bookmarkStart w:id="418" w:name="_Toc416783714"/>
      <w:r>
        <w:t>232A.</w:t>
      </w:r>
      <w:r>
        <w:tab/>
        <w:t>Effect of dealing with duplicate certificate of title in accordance with requirements as alternative to production</w:t>
      </w:r>
      <w:bookmarkEnd w:id="416"/>
      <w:bookmarkEnd w:id="417"/>
      <w:bookmarkEnd w:id="418"/>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Defstart"/>
      </w:pPr>
      <w:r>
        <w:tab/>
      </w:r>
      <w:r>
        <w:rPr>
          <w:rStyle w:val="CharDefText"/>
        </w:rPr>
        <w:t>produce</w:t>
      </w:r>
      <w:r>
        <w:t xml:space="preserve"> includes present, deliver up, bring in and provide.</w:t>
      </w:r>
    </w:p>
    <w:p>
      <w:pPr>
        <w:pStyle w:val="zSubsection"/>
      </w:pPr>
      <w:r>
        <w:tab/>
        <w:t>(2)</w:t>
      </w:r>
      <w:r>
        <w:tab/>
        <w:t xml:space="preserve">This section applies if — </w:t>
      </w:r>
    </w:p>
    <w:p>
      <w:pPr>
        <w:pStyle w:val="zIndenta"/>
      </w:pPr>
      <w:r>
        <w:tab/>
        <w:t>(a)</w:t>
      </w:r>
      <w:r>
        <w:tab/>
        <w:t xml:space="preserve">a document is lodged — </w:t>
      </w:r>
    </w:p>
    <w:p>
      <w:pPr>
        <w:pStyle w:val="zIndenti"/>
      </w:pPr>
      <w:r>
        <w:tab/>
        <w:t>(i)</w:t>
      </w:r>
      <w:r>
        <w:tab/>
        <w:t>for registration; or</w:t>
      </w:r>
    </w:p>
    <w:p>
      <w:pPr>
        <w:pStyle w:val="zIndenti"/>
      </w:pPr>
      <w:r>
        <w:tab/>
        <w:t>(ii)</w:t>
      </w:r>
      <w:r>
        <w:tab/>
        <w:t>in relation to any land, title, estate or interest; or</w:t>
      </w:r>
    </w:p>
    <w:p>
      <w:pPr>
        <w:pStyle w:val="zIndenti"/>
      </w:pPr>
      <w:r>
        <w:tab/>
        <w:t>(iii)</w:t>
      </w:r>
      <w:r>
        <w:tab/>
        <w:t>in connection with any application or dealing;</w:t>
      </w:r>
    </w:p>
    <w:p>
      <w:pPr>
        <w:pStyle w:val="zIndenta"/>
      </w:pPr>
      <w:r>
        <w:tab/>
      </w:r>
      <w:r>
        <w:tab/>
        <w:t>and</w:t>
      </w:r>
    </w:p>
    <w:p>
      <w:pPr>
        <w:pStyle w:val="zIndenta"/>
      </w:pPr>
      <w:r>
        <w:tab/>
        <w:t>(b)</w:t>
      </w:r>
      <w:r>
        <w:tab/>
        <w:t>a provision of this Act requires a duplicate certificate of title to be produced in connection with the lodging of that document; and</w:t>
      </w:r>
    </w:p>
    <w:p>
      <w:pPr>
        <w:pStyle w:val="zIndenta"/>
      </w:pPr>
      <w:r>
        <w:tab/>
        <w:t>(c)</w:t>
      </w:r>
      <w:r>
        <w:tab/>
        <w:t xml:space="preserve">that duplicate certificate of title is not produced but is dealt with in another way in accordance with — </w:t>
      </w:r>
    </w:p>
    <w:p>
      <w:pPr>
        <w:pStyle w:val="zIndenti"/>
      </w:pPr>
      <w:r>
        <w:tab/>
        <w:t>(i)</w:t>
      </w:r>
      <w:r>
        <w:tab/>
        <w:t>regulations made under this Act; or</w:t>
      </w:r>
    </w:p>
    <w:p>
      <w:pPr>
        <w:pStyle w:val="zIndenti"/>
      </w:pPr>
      <w:r>
        <w:tab/>
        <w:t>(ii)</w:t>
      </w:r>
      <w:r>
        <w:tab/>
        <w:t>requirements determined under section 182A.</w:t>
      </w:r>
    </w:p>
    <w:p>
      <w:pPr>
        <w:pStyle w:val="zSubsection"/>
      </w:pPr>
      <w:r>
        <w:tab/>
        <w:t>(3)</w:t>
      </w:r>
      <w:r>
        <w:tab/>
        <w:t xml:space="preserve">If this section applies — </w:t>
      </w:r>
    </w:p>
    <w:p>
      <w:pPr>
        <w:pStyle w:val="zIndenta"/>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z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zHeading5"/>
      </w:pPr>
      <w:bookmarkStart w:id="419" w:name="_Toc382914687"/>
      <w:bookmarkStart w:id="420" w:name="_Toc389126104"/>
      <w:bookmarkStart w:id="421" w:name="_Toc416783715"/>
      <w:r>
        <w:t>232B.</w:t>
      </w:r>
      <w:r>
        <w:tab/>
        <w:t>Effect of using alternative means to provide consent, permission or approval</w:t>
      </w:r>
      <w:bookmarkEnd w:id="419"/>
      <w:bookmarkEnd w:id="420"/>
      <w:bookmarkEnd w:id="421"/>
    </w:p>
    <w:p>
      <w:pPr>
        <w:pStyle w:val="zSubsection"/>
      </w:pPr>
      <w:r>
        <w:tab/>
        <w:t>(1)</w:t>
      </w:r>
      <w:r>
        <w:tab/>
        <w:t xml:space="preserve">This section applies if — </w:t>
      </w:r>
    </w:p>
    <w:p>
      <w:pPr>
        <w:pStyle w:val="z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zIndenta"/>
      </w:pPr>
      <w:r>
        <w:tab/>
        <w:t>(b)</w:t>
      </w:r>
      <w:r>
        <w:tab/>
        <w:t xml:space="preserve">the consent, permission or approval is not provided in the way required or authorised under this Act or the other written law but is provided in another way in accordance with — </w:t>
      </w:r>
    </w:p>
    <w:p>
      <w:pPr>
        <w:pStyle w:val="zIndenti"/>
      </w:pPr>
      <w:r>
        <w:tab/>
        <w:t>(i)</w:t>
      </w:r>
      <w:r>
        <w:tab/>
        <w:t>regulations made under this Act; or</w:t>
      </w:r>
    </w:p>
    <w:p>
      <w:pPr>
        <w:pStyle w:val="zIndenti"/>
      </w:pPr>
      <w:r>
        <w:tab/>
        <w:t>(ii)</w:t>
      </w:r>
      <w:r>
        <w:tab/>
        <w:t>requirements determined under section 182A.</w:t>
      </w:r>
    </w:p>
    <w:p>
      <w:pPr>
        <w:pStyle w:val="zSubsection"/>
      </w:pPr>
      <w:r>
        <w:tab/>
        <w:t>(2)</w:t>
      </w:r>
      <w:r>
        <w:tab/>
        <w:t xml:space="preserve">If this section applies — </w:t>
      </w:r>
    </w:p>
    <w:p>
      <w:pPr>
        <w:pStyle w:val="z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zIndenta"/>
      </w:pPr>
      <w:r>
        <w:tab/>
        <w:t>(b)</w:t>
      </w:r>
      <w:r>
        <w:tab/>
        <w:t xml:space="preserve">for the purposes of this Act and any other written law, the consent, permission or approval provided as mentioned in subsection (1)(b) — </w:t>
      </w:r>
    </w:p>
    <w:p>
      <w:pPr>
        <w:pStyle w:val="zIndenti"/>
      </w:pPr>
      <w:r>
        <w:tab/>
        <w:t>(i)</w:t>
      </w:r>
      <w:r>
        <w:tab/>
        <w:t>is to be taken to have been provided in the way required or authorised under this Act or, as the case requires, the other written law; and</w:t>
      </w:r>
    </w:p>
    <w:p>
      <w:pPr>
        <w:pStyle w:val="zIndenti"/>
      </w:pPr>
      <w:r>
        <w:tab/>
        <w:t>(ii)</w:t>
      </w:r>
      <w:r>
        <w:tab/>
        <w:t>has the same effect as if it had been provided in the way required or authorised under this Act or, as the case requires, the other written law;</w:t>
      </w:r>
    </w:p>
    <w:p>
      <w:pPr>
        <w:pStyle w:val="zIndenta"/>
      </w:pPr>
      <w:r>
        <w:tab/>
      </w:r>
      <w:r>
        <w:tab/>
        <w:t>and</w:t>
      </w:r>
    </w:p>
    <w:p>
      <w:pPr>
        <w:pStyle w:val="z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BlankClose"/>
      </w:pPr>
    </w:p>
    <w:p>
      <w:pPr>
        <w:pStyle w:val="Heading5"/>
      </w:pPr>
      <w:bookmarkStart w:id="422" w:name="_Toc382914688"/>
      <w:bookmarkStart w:id="423" w:name="_Toc389126105"/>
      <w:bookmarkStart w:id="424" w:name="_Toc416783716"/>
      <w:r>
        <w:rPr>
          <w:rStyle w:val="CharSectno"/>
        </w:rPr>
        <w:t>88</w:t>
      </w:r>
      <w:r>
        <w:t>.</w:t>
      </w:r>
      <w:r>
        <w:tab/>
        <w:t>Section 234 amended</w:t>
      </w:r>
      <w:bookmarkEnd w:id="422"/>
      <w:bookmarkEnd w:id="423"/>
      <w:bookmarkEnd w:id="424"/>
    </w:p>
    <w:p>
      <w:pPr>
        <w:pStyle w:val="Subsection"/>
      </w:pPr>
      <w:r>
        <w:tab/>
      </w:r>
      <w:r>
        <w:tab/>
        <w:t>In section 234(1) delete “the said” and insert:</w:t>
      </w:r>
    </w:p>
    <w:p>
      <w:pPr>
        <w:pStyle w:val="BlankOpen"/>
      </w:pPr>
    </w:p>
    <w:p>
      <w:pPr>
        <w:pStyle w:val="Subsection"/>
      </w:pPr>
      <w:r>
        <w:tab/>
      </w:r>
      <w:r>
        <w:tab/>
        <w:t>this</w:t>
      </w:r>
    </w:p>
    <w:p>
      <w:pPr>
        <w:pStyle w:val="BlankClose"/>
      </w:pPr>
    </w:p>
    <w:p>
      <w:pPr>
        <w:pStyle w:val="Heading5"/>
        <w:spacing w:before="120"/>
      </w:pPr>
      <w:bookmarkStart w:id="425" w:name="_Toc382914689"/>
      <w:bookmarkStart w:id="426" w:name="_Toc389126106"/>
      <w:bookmarkStart w:id="427" w:name="_Toc416783717"/>
      <w:r>
        <w:rPr>
          <w:rStyle w:val="CharSectno"/>
        </w:rPr>
        <w:t>89</w:t>
      </w:r>
      <w:r>
        <w:t>.</w:t>
      </w:r>
      <w:r>
        <w:tab/>
        <w:t>Sections 238A and 238B inserted</w:t>
      </w:r>
      <w:bookmarkEnd w:id="425"/>
      <w:bookmarkEnd w:id="426"/>
      <w:bookmarkEnd w:id="427"/>
    </w:p>
    <w:p>
      <w:pPr>
        <w:pStyle w:val="Subsection"/>
        <w:keepNext/>
      </w:pPr>
      <w:r>
        <w:tab/>
      </w:r>
      <w:r>
        <w:tab/>
        <w:t>After section 238 insert:</w:t>
      </w:r>
    </w:p>
    <w:p>
      <w:pPr>
        <w:pStyle w:val="BlankOpen"/>
      </w:pPr>
    </w:p>
    <w:p>
      <w:pPr>
        <w:pStyle w:val="zHeading5"/>
        <w:spacing w:before="120"/>
      </w:pPr>
      <w:bookmarkStart w:id="428" w:name="_Toc382914690"/>
      <w:bookmarkStart w:id="429" w:name="_Toc389126107"/>
      <w:bookmarkStart w:id="430" w:name="_Toc416783718"/>
      <w:r>
        <w:t>238A.</w:t>
      </w:r>
      <w:r>
        <w:tab/>
        <w:t>Registrar’s copy to be definitive</w:t>
      </w:r>
      <w:bookmarkEnd w:id="428"/>
      <w:bookmarkEnd w:id="429"/>
      <w:bookmarkEnd w:id="430"/>
    </w:p>
    <w:p>
      <w:pPr>
        <w:pStyle w:val="zSubsection"/>
      </w:pPr>
      <w:r>
        <w:tab/>
        <w:t>(1)</w:t>
      </w:r>
      <w:r>
        <w:tab/>
        <w:t xml:space="preserve">In this section — </w:t>
      </w:r>
    </w:p>
    <w:p>
      <w:pPr>
        <w:pStyle w:val="zDefstart"/>
      </w:pPr>
      <w:r>
        <w:tab/>
      </w:r>
      <w:r>
        <w:rPr>
          <w:rStyle w:val="CharDefText"/>
        </w:rPr>
        <w:t>lodge</w:t>
      </w:r>
      <w:r>
        <w:t xml:space="preserve"> includes deposit, present and file.</w:t>
      </w:r>
    </w:p>
    <w:p>
      <w:pPr>
        <w:pStyle w:val="z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z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zSubsection"/>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zIndenta"/>
      </w:pPr>
      <w:r>
        <w:tab/>
        <w:t>(a)</w:t>
      </w:r>
      <w:r>
        <w:tab/>
        <w:t xml:space="preserve">is lodged electronically under the </w:t>
      </w:r>
      <w:r>
        <w:rPr>
          <w:i/>
        </w:rPr>
        <w:t>Electronic Conveyancing Act 2014</w:t>
      </w:r>
      <w:r>
        <w:t xml:space="preserve"> section 7(1); and</w:t>
      </w:r>
    </w:p>
    <w:p>
      <w:pPr>
        <w:pStyle w:val="zIndenta"/>
      </w:pPr>
      <w:r>
        <w:tab/>
        <w:t>(b)</w:t>
      </w:r>
      <w:r>
        <w:tab/>
        <w:t>is registered, noted or recorded in the Register.</w:t>
      </w:r>
    </w:p>
    <w:p>
      <w:pPr>
        <w:pStyle w:val="z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zHeading5"/>
      </w:pPr>
      <w:bookmarkStart w:id="431" w:name="_Toc382914691"/>
      <w:bookmarkStart w:id="432" w:name="_Toc389126108"/>
      <w:bookmarkStart w:id="433" w:name="_Toc416783719"/>
      <w:r>
        <w:t>238B.</w:t>
      </w:r>
      <w:r>
        <w:tab/>
        <w:t>Resubmission of document lodged electronically if data capture defective</w:t>
      </w:r>
      <w:bookmarkEnd w:id="431"/>
      <w:bookmarkEnd w:id="432"/>
      <w:bookmarkEnd w:id="433"/>
    </w:p>
    <w:p>
      <w:pPr>
        <w:pStyle w:val="zSubsection"/>
      </w:pPr>
      <w:r>
        <w:tab/>
        <w:t>(1)</w:t>
      </w:r>
      <w:r>
        <w:tab/>
        <w:t xml:space="preserve">This section applies if — </w:t>
      </w:r>
    </w:p>
    <w:p>
      <w:pPr>
        <w:pStyle w:val="zIndenta"/>
      </w:pPr>
      <w:r>
        <w:tab/>
        <w:t>(a)</w:t>
      </w:r>
      <w:r>
        <w:tab/>
        <w:t xml:space="preserve">a document is lodged electronically under the </w:t>
      </w:r>
      <w:r>
        <w:rPr>
          <w:i/>
        </w:rPr>
        <w:t>Electronic Conveyancing Act 2014</w:t>
      </w:r>
      <w:r>
        <w:t xml:space="preserve"> section 7(1); and</w:t>
      </w:r>
    </w:p>
    <w:p>
      <w:pPr>
        <w:pStyle w:val="zIndenta"/>
      </w:pPr>
      <w:r>
        <w:tab/>
        <w:t>(b)</w:t>
      </w:r>
      <w:r>
        <w:tab/>
        <w:t>for any reason it is impracticable to properly capture the data in the document.</w:t>
      </w:r>
    </w:p>
    <w:p>
      <w:pPr>
        <w:pStyle w:val="zSubsection"/>
      </w:pPr>
      <w:r>
        <w:tab/>
        <w:t>(2)</w:t>
      </w:r>
      <w:r>
        <w:tab/>
        <w:t xml:space="preserve">If this section applies — </w:t>
      </w:r>
    </w:p>
    <w:p>
      <w:pPr>
        <w:pStyle w:val="zIndenta"/>
      </w:pPr>
      <w:r>
        <w:tab/>
        <w:t>(a)</w:t>
      </w:r>
      <w:r>
        <w:tab/>
        <w:t>the Registrar may refuse to complete or to proceed with the registration of the document or, as the case requires, to make any entry or do any other act in relation to the document; and</w:t>
      </w:r>
    </w:p>
    <w:p>
      <w:pPr>
        <w:pStyle w:val="zIndenta"/>
      </w:pPr>
      <w:r>
        <w:tab/>
        <w:t>(b)</w:t>
      </w:r>
      <w:r>
        <w:tab/>
        <w:t xml:space="preserve">the Registrar must — </w:t>
      </w:r>
    </w:p>
    <w:p>
      <w:pPr>
        <w:pStyle w:val="zIndenti"/>
      </w:pPr>
      <w:r>
        <w:tab/>
        <w:t>(i)</w:t>
      </w:r>
      <w:r>
        <w:tab/>
        <w:t>notify the refusal to the subscriber lodging the document; and</w:t>
      </w:r>
    </w:p>
    <w:p>
      <w:pPr>
        <w:pStyle w:val="zIndenti"/>
      </w:pPr>
      <w:r>
        <w:tab/>
        <w:t>(ii)</w:t>
      </w:r>
      <w:r>
        <w:tab/>
        <w:t>request the subscriber to resubmit the document.</w:t>
      </w:r>
    </w:p>
    <w:p>
      <w:pPr>
        <w:pStyle w:val="zSubsection"/>
      </w:pPr>
      <w:r>
        <w:tab/>
        <w:t>(3)</w:t>
      </w:r>
      <w:r>
        <w:tab/>
        <w:t xml:space="preserve">If subsection (2) applies — </w:t>
      </w:r>
    </w:p>
    <w:p>
      <w:pPr>
        <w:pStyle w:val="zIndenta"/>
      </w:pPr>
      <w:r>
        <w:tab/>
        <w:t>(a)</w:t>
      </w:r>
      <w:r>
        <w:tab/>
        <w:t>the priority of the document is not affected as long as it is resubmitted within 2 months after the date on which it was lodged or any longer period the Registrar allows; and</w:t>
      </w:r>
    </w:p>
    <w:p>
      <w:pPr>
        <w:pStyle w:val="zIndenta"/>
      </w:pPr>
      <w:r>
        <w:tab/>
        <w:t>(b)</w:t>
      </w:r>
      <w:r>
        <w:tab/>
        <w:t>if the document is not resubmitted in accordance with this section within the period applicable under paragraph (a), it is to be taken never to have been lodged.</w:t>
      </w:r>
    </w:p>
    <w:p>
      <w:pPr>
        <w:pStyle w:val="zSubsection"/>
      </w:pPr>
      <w:r>
        <w:tab/>
        <w:t>(4)</w:t>
      </w:r>
      <w:r>
        <w:tab/>
        <w:t xml:space="preserve">If subsection (3)(b) applies to the document, then — </w:t>
      </w:r>
    </w:p>
    <w:p>
      <w:pPr>
        <w:pStyle w:val="z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zIndenta"/>
      </w:pPr>
      <w:r>
        <w:tab/>
        <w:t>(b)</w:t>
      </w:r>
      <w:r>
        <w:tab/>
        <w:t xml:space="preserve">if paragraph (a) does not apply — </w:t>
      </w:r>
    </w:p>
    <w:p>
      <w:pPr>
        <w:pStyle w:val="z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zIndenti"/>
      </w:pPr>
      <w:r>
        <w:tab/>
        <w:t>(ii)</w:t>
      </w:r>
      <w:r>
        <w:tab/>
        <w:t>the prescribed amount is forfeited and must be dealt with under section 190; and</w:t>
      </w:r>
    </w:p>
    <w:p>
      <w:pPr>
        <w:pStyle w:val="zIndenti"/>
      </w:pPr>
      <w:r>
        <w:tab/>
        <w:t>(iii)</w:t>
      </w:r>
      <w:r>
        <w:tab/>
        <w:t>the amount (if any) that is the difference between the fees and the prescribed amount must be returned to the subscriber that lodged the document when the document is withdrawn from lodgment.</w:t>
      </w:r>
    </w:p>
    <w:p>
      <w:pPr>
        <w:pStyle w:val="zSubsection"/>
      </w:pPr>
      <w:r>
        <w:tab/>
        <w:t>(5)</w:t>
      </w:r>
      <w:r>
        <w:tab/>
        <w:t>This section is in addition to the powers conferred by section 192.</w:t>
      </w:r>
    </w:p>
    <w:p>
      <w:pPr>
        <w:pStyle w:val="BlankClose"/>
      </w:pPr>
    </w:p>
    <w:p>
      <w:pPr>
        <w:pStyle w:val="Heading5"/>
      </w:pPr>
      <w:bookmarkStart w:id="434" w:name="_Toc382914692"/>
      <w:bookmarkStart w:id="435" w:name="_Toc389126109"/>
      <w:bookmarkStart w:id="436" w:name="_Toc416783720"/>
      <w:r>
        <w:rPr>
          <w:rStyle w:val="CharSectno"/>
        </w:rPr>
        <w:t>90</w:t>
      </w:r>
      <w:r>
        <w:t>.</w:t>
      </w:r>
      <w:r>
        <w:tab/>
        <w:t>Section 239 amended</w:t>
      </w:r>
      <w:bookmarkEnd w:id="434"/>
      <w:bookmarkEnd w:id="435"/>
      <w:bookmarkEnd w:id="436"/>
    </w:p>
    <w:p>
      <w:pPr>
        <w:pStyle w:val="Subsection"/>
      </w:pPr>
      <w:r>
        <w:tab/>
      </w:r>
      <w:r>
        <w:tab/>
        <w:t>After section 239(3) insert:</w:t>
      </w:r>
    </w:p>
    <w:p>
      <w:pPr>
        <w:pStyle w:val="BlankOpen"/>
      </w:pPr>
    </w:p>
    <w:p>
      <w:pPr>
        <w:pStyle w:val="zSubsection"/>
      </w:pPr>
      <w:r>
        <w:tab/>
        <w:t>(4)</w:t>
      </w:r>
      <w:r>
        <w:tab/>
        <w:t xml:space="preserve">Subsection (5) applies if — </w:t>
      </w:r>
    </w:p>
    <w:p>
      <w:pPr>
        <w:pStyle w:val="zIndenta"/>
      </w:pPr>
      <w:r>
        <w:tab/>
        <w:t>(a)</w:t>
      </w:r>
      <w:r>
        <w:tab/>
        <w:t xml:space="preserve">2 or more counterpart documents are lodged electronically under the </w:t>
      </w:r>
      <w:r>
        <w:rPr>
          <w:i/>
        </w:rPr>
        <w:t>Electronic Conveyancing Act 2014</w:t>
      </w:r>
      <w:r>
        <w:t xml:space="preserve"> section 7(1); and</w:t>
      </w:r>
    </w:p>
    <w:p>
      <w:pPr>
        <w:pStyle w:val="zIndenta"/>
      </w:pPr>
      <w:r>
        <w:tab/>
        <w:t>(b)</w:t>
      </w:r>
      <w:r>
        <w:tab/>
        <w:t>those counterpart documents are consolidated electronically into one document, with or without the addition of further material.</w:t>
      </w:r>
    </w:p>
    <w:p>
      <w:pPr>
        <w:pStyle w:val="zSubsection"/>
      </w:pPr>
      <w:r>
        <w:tab/>
        <w:t>(5)</w:t>
      </w:r>
      <w:r>
        <w:tab/>
        <w:t xml:space="preserve">If this subsection applies — </w:t>
      </w:r>
    </w:p>
    <w:p>
      <w:pPr>
        <w:pStyle w:val="zIndenta"/>
      </w:pPr>
      <w:r>
        <w:tab/>
        <w:t>(a)</w:t>
      </w:r>
      <w:r>
        <w:tab/>
        <w:t>the consolidated document, but not those counterpart documents, is available for inspection in accordance with subsection (1); and</w:t>
      </w:r>
    </w:p>
    <w:p>
      <w:pPr>
        <w:pStyle w:val="zIndenta"/>
      </w:pPr>
      <w:r>
        <w:tab/>
        <w:t>(b)</w:t>
      </w:r>
      <w:r>
        <w:tab/>
        <w:t>a copy of the consolidated document, but not of the counterpart documents, may be produced in accordance with subsection (2); and</w:t>
      </w:r>
    </w:p>
    <w:p>
      <w:pPr>
        <w:pStyle w:val="zIndenta"/>
      </w:pPr>
      <w:r>
        <w:tab/>
        <w:t>(c)</w:t>
      </w:r>
      <w:r>
        <w:tab/>
        <w:t>a copy or print</w:t>
      </w:r>
      <w:r>
        <w:noBreakHyphen/>
        <w:t>out of the consolidated document, but not of the counterpart documents, is available for purchase in accordance with subsection (3); and</w:t>
      </w:r>
    </w:p>
    <w:p>
      <w:pPr>
        <w:pStyle w:val="zIndenta"/>
      </w:pPr>
      <w:r>
        <w:tab/>
        <w:t>(d)</w:t>
      </w:r>
      <w:r>
        <w:tab/>
        <w:t>section 239B applies as if the consolidated document, but not the counterpart documents, were a document referred to in subsection (1).</w:t>
      </w:r>
    </w:p>
    <w:p>
      <w:pPr>
        <w:pStyle w:val="BlankClose"/>
      </w:pPr>
    </w:p>
    <w:p>
      <w:pPr>
        <w:pStyle w:val="Heading5"/>
        <w:spacing w:before="120"/>
      </w:pPr>
      <w:bookmarkStart w:id="437" w:name="_Toc382914693"/>
      <w:bookmarkStart w:id="438" w:name="_Toc389126110"/>
      <w:bookmarkStart w:id="439" w:name="_Toc416783721"/>
      <w:r>
        <w:rPr>
          <w:rStyle w:val="CharSectno"/>
        </w:rPr>
        <w:t>91</w:t>
      </w:r>
      <w:r>
        <w:t>.</w:t>
      </w:r>
      <w:r>
        <w:tab/>
        <w:t>Section 239B amended</w:t>
      </w:r>
      <w:bookmarkEnd w:id="437"/>
      <w:bookmarkEnd w:id="438"/>
      <w:bookmarkEnd w:id="439"/>
    </w:p>
    <w:p>
      <w:pPr>
        <w:pStyle w:val="Subsection"/>
      </w:pPr>
      <w:r>
        <w:tab/>
      </w:r>
      <w:r>
        <w:tab/>
        <w:t>In section 239B(1)(a) and (b) delete “and sealed”.</w:t>
      </w:r>
    </w:p>
    <w:p>
      <w:pPr>
        <w:pStyle w:val="Heading5"/>
      </w:pPr>
      <w:bookmarkStart w:id="440" w:name="_Toc382914694"/>
      <w:bookmarkStart w:id="441" w:name="_Toc389126111"/>
      <w:bookmarkStart w:id="442" w:name="_Toc416783722"/>
      <w:r>
        <w:rPr>
          <w:rStyle w:val="CharSectno"/>
        </w:rPr>
        <w:t>92</w:t>
      </w:r>
      <w:r>
        <w:t>.</w:t>
      </w:r>
      <w:r>
        <w:tab/>
        <w:t>Section 240 amended</w:t>
      </w:r>
      <w:bookmarkEnd w:id="440"/>
      <w:bookmarkEnd w:id="441"/>
      <w:bookmarkEnd w:id="442"/>
    </w:p>
    <w:p>
      <w:pPr>
        <w:pStyle w:val="Subsection"/>
      </w:pPr>
      <w:r>
        <w:tab/>
        <w:t>(1)</w:t>
      </w:r>
      <w:r>
        <w:tab/>
        <w:t>In section 240(1):</w:t>
      </w:r>
    </w:p>
    <w:p>
      <w:pPr>
        <w:pStyle w:val="Indenta"/>
      </w:pPr>
      <w:r>
        <w:tab/>
        <w:t>(a)</w:t>
      </w:r>
      <w:r>
        <w:tab/>
        <w:t>in paragraph (c) delete “number.” and insert:</w:t>
      </w:r>
    </w:p>
    <w:p>
      <w:pPr>
        <w:pStyle w:val="BlankOpen"/>
      </w:pPr>
    </w:p>
    <w:p>
      <w:pPr>
        <w:pStyle w:val="Indenta"/>
        <w:spacing w:before="0"/>
      </w:pPr>
      <w:r>
        <w:tab/>
      </w:r>
      <w:r>
        <w:tab/>
        <w:t>number; or</w:t>
      </w:r>
    </w:p>
    <w:p>
      <w:pPr>
        <w:pStyle w:val="BlankClose"/>
      </w:pPr>
    </w:p>
    <w:p>
      <w:pPr>
        <w:pStyle w:val="Indenta"/>
      </w:pPr>
      <w:r>
        <w:tab/>
        <w:t>(b)</w:t>
      </w:r>
      <w:r>
        <w:tab/>
        <w:t>after paragraph (c) insert:</w:t>
      </w:r>
    </w:p>
    <w:p>
      <w:pPr>
        <w:pStyle w:val="BlankOpen"/>
      </w:pPr>
    </w:p>
    <w:p>
      <w:pPr>
        <w:pStyle w:val="zIndenta"/>
      </w:pPr>
      <w:r>
        <w:tab/>
        <w:t>(d)</w:t>
      </w:r>
      <w:r>
        <w:tab/>
        <w:t>by sending the notice by electronic means in accordance with the regulations.</w:t>
      </w:r>
    </w:p>
    <w:p>
      <w:pPr>
        <w:pStyle w:val="BlankClose"/>
      </w:pPr>
    </w:p>
    <w:p>
      <w:pPr>
        <w:pStyle w:val="Subsection"/>
        <w:keepNext/>
      </w:pPr>
      <w:r>
        <w:tab/>
        <w:t>(2)</w:t>
      </w:r>
      <w:r>
        <w:tab/>
        <w:t>In section 240(3):</w:t>
      </w:r>
    </w:p>
    <w:p>
      <w:pPr>
        <w:pStyle w:val="Indenta"/>
        <w:keepNext/>
      </w:pPr>
      <w:r>
        <w:tab/>
        <w:t>(a)</w:t>
      </w:r>
      <w:r>
        <w:tab/>
        <w:t>in paragraph (b)(ii) delete “transmission.” and insert:</w:t>
      </w:r>
    </w:p>
    <w:p>
      <w:pPr>
        <w:pStyle w:val="BlankOpen"/>
      </w:pPr>
    </w:p>
    <w:p>
      <w:pPr>
        <w:pStyle w:val="Indenta"/>
      </w:pPr>
      <w:r>
        <w:tab/>
      </w:r>
      <w:r>
        <w:tab/>
        <w:t>transmission;</w:t>
      </w:r>
    </w:p>
    <w:p>
      <w:pPr>
        <w:pStyle w:val="BlankClose"/>
      </w:pPr>
    </w:p>
    <w:p>
      <w:pPr>
        <w:pStyle w:val="Indenta"/>
      </w:pPr>
      <w:r>
        <w:tab/>
        <w:t>(b)</w:t>
      </w:r>
      <w:r>
        <w:tab/>
        <w:t>after paragraph (b) insert:</w:t>
      </w:r>
    </w:p>
    <w:p>
      <w:pPr>
        <w:pStyle w:val="BlankOpen"/>
      </w:pPr>
    </w:p>
    <w:p>
      <w:pPr>
        <w:pStyle w:val="zIndenta"/>
      </w:pPr>
      <w:r>
        <w:tab/>
      </w:r>
      <w:r>
        <w:tab/>
        <w:t>and</w:t>
      </w:r>
    </w:p>
    <w:p>
      <w:pPr>
        <w:pStyle w:val="zIndenta"/>
      </w:pPr>
      <w:r>
        <w:tab/>
        <w:t>(c)</w:t>
      </w:r>
      <w:r>
        <w:tab/>
        <w:t>service by electronic means is deemed to be effected as prescribed in the regulations.</w:t>
      </w:r>
    </w:p>
    <w:p>
      <w:pPr>
        <w:pStyle w:val="BlankClose"/>
      </w:pPr>
    </w:p>
    <w:p>
      <w:pPr>
        <w:pStyle w:val="Heading5"/>
      </w:pPr>
      <w:bookmarkStart w:id="443" w:name="_Toc382914695"/>
      <w:bookmarkStart w:id="444" w:name="_Toc389126112"/>
      <w:bookmarkStart w:id="445" w:name="_Toc416783723"/>
      <w:r>
        <w:rPr>
          <w:rStyle w:val="CharSectno"/>
        </w:rPr>
        <w:t>93</w:t>
      </w:r>
      <w:r>
        <w:t>.</w:t>
      </w:r>
      <w:r>
        <w:tab/>
        <w:t>Section 240A replaced</w:t>
      </w:r>
      <w:bookmarkEnd w:id="443"/>
      <w:bookmarkEnd w:id="444"/>
      <w:bookmarkEnd w:id="445"/>
    </w:p>
    <w:p>
      <w:pPr>
        <w:pStyle w:val="Subsection"/>
      </w:pPr>
      <w:r>
        <w:tab/>
      </w:r>
      <w:r>
        <w:tab/>
        <w:t>Delete section 240A and insert:</w:t>
      </w:r>
    </w:p>
    <w:p>
      <w:pPr>
        <w:pStyle w:val="BlankOpen"/>
      </w:pPr>
    </w:p>
    <w:p>
      <w:pPr>
        <w:pStyle w:val="zHeading5"/>
      </w:pPr>
      <w:bookmarkStart w:id="446" w:name="_Toc382914696"/>
      <w:bookmarkStart w:id="447" w:name="_Toc389126113"/>
      <w:bookmarkStart w:id="448" w:name="_Toc416783724"/>
      <w:r>
        <w:t>240A.</w:t>
      </w:r>
      <w:r>
        <w:tab/>
        <w:t>Notification of change of address, fax number or way of receiving notices electronically</w:t>
      </w:r>
      <w:bookmarkEnd w:id="446"/>
      <w:bookmarkEnd w:id="447"/>
      <w:bookmarkEnd w:id="448"/>
    </w:p>
    <w:p>
      <w:pPr>
        <w:pStyle w:val="zSubsection"/>
      </w:pPr>
      <w:r>
        <w:tab/>
        <w:t>(1)</w:t>
      </w:r>
      <w:r>
        <w:tab/>
        <w:t xml:space="preserve">In this section — </w:t>
      </w:r>
    </w:p>
    <w:p>
      <w:pPr>
        <w:pStyle w:val="zDefstart"/>
      </w:pPr>
      <w:r>
        <w:tab/>
      </w:r>
      <w:r>
        <w:rPr>
          <w:rStyle w:val="CharDefText"/>
        </w:rPr>
        <w:t>notification details</w:t>
      </w:r>
      <w:r>
        <w:t xml:space="preserve"> means — </w:t>
      </w:r>
    </w:p>
    <w:p>
      <w:pPr>
        <w:pStyle w:val="zDefpara"/>
      </w:pPr>
      <w:r>
        <w:tab/>
        <w:t>(a)</w:t>
      </w:r>
      <w:r>
        <w:tab/>
        <w:t>an address for service; or</w:t>
      </w:r>
    </w:p>
    <w:p>
      <w:pPr>
        <w:pStyle w:val="zDefpara"/>
      </w:pPr>
      <w:r>
        <w:tab/>
        <w:t>(b)</w:t>
      </w:r>
      <w:r>
        <w:tab/>
        <w:t>a facsimile number for service; or</w:t>
      </w:r>
    </w:p>
    <w:p>
      <w:pPr>
        <w:pStyle w:val="zDefpara"/>
      </w:pPr>
      <w:r>
        <w:tab/>
        <w:t>(c)</w:t>
      </w:r>
      <w:r>
        <w:tab/>
        <w:t>a way of receiving notices electronically.</w:t>
      </w:r>
    </w:p>
    <w:p>
      <w:pPr>
        <w:pStyle w:val="zSubsection"/>
      </w:pPr>
      <w:r>
        <w:tab/>
        <w:t>(2)</w:t>
      </w:r>
      <w:r>
        <w:tab/>
        <w:t xml:space="preserve">A person may apply to the Registrar to — </w:t>
      </w:r>
    </w:p>
    <w:p>
      <w:pPr>
        <w:pStyle w:val="zIndenta"/>
      </w:pPr>
      <w:r>
        <w:tab/>
        <w:t>(a)</w:t>
      </w:r>
      <w:r>
        <w:tab/>
        <w:t>change the record of the person’s notification details that have been specified in an approved form for the purposes of section 240 or in a caveat; or</w:t>
      </w:r>
    </w:p>
    <w:p>
      <w:pPr>
        <w:pStyle w:val="zIndenta"/>
      </w:pPr>
      <w:r>
        <w:tab/>
        <w:t>(b)</w:t>
      </w:r>
      <w:r>
        <w:tab/>
        <w:t>notify the Registrar of any change to the notification details recorded in the Register in respect of the person.</w:t>
      </w:r>
    </w:p>
    <w:p>
      <w:pPr>
        <w:pStyle w:val="zSubsection"/>
      </w:pPr>
      <w:r>
        <w:tab/>
        <w:t>(3)</w:t>
      </w:r>
      <w:r>
        <w:tab/>
        <w:t>An application must be in an approved form and accompanied by the prescribed fee.</w:t>
      </w:r>
    </w:p>
    <w:p>
      <w:pPr>
        <w:pStyle w:val="zSubsection"/>
      </w:pPr>
      <w:r>
        <w:tab/>
        <w:t>(4)</w:t>
      </w:r>
      <w:r>
        <w:tab/>
        <w:t>On receiving an application, the Registrar, if satisfied that it would be in order to do so, must alter the notification details accordingly.</w:t>
      </w:r>
    </w:p>
    <w:p>
      <w:pPr>
        <w:pStyle w:val="BlankClose"/>
      </w:pPr>
    </w:p>
    <w:p>
      <w:pPr>
        <w:pStyle w:val="Heading5"/>
      </w:pPr>
      <w:bookmarkStart w:id="449" w:name="_Toc382914697"/>
      <w:bookmarkStart w:id="450" w:name="_Toc389126114"/>
      <w:bookmarkStart w:id="451" w:name="_Toc416783725"/>
      <w:r>
        <w:rPr>
          <w:rStyle w:val="CharSectno"/>
        </w:rPr>
        <w:t>94</w:t>
      </w:r>
      <w:r>
        <w:t>.</w:t>
      </w:r>
      <w:r>
        <w:tab/>
        <w:t>Part XV inserted</w:t>
      </w:r>
      <w:bookmarkEnd w:id="449"/>
      <w:bookmarkEnd w:id="450"/>
      <w:bookmarkEnd w:id="451"/>
    </w:p>
    <w:p>
      <w:pPr>
        <w:pStyle w:val="Subsection"/>
        <w:keepNext/>
        <w:keepLines/>
      </w:pPr>
      <w:r>
        <w:tab/>
      </w:r>
      <w:r>
        <w:tab/>
        <w:t>After section 243 insert:</w:t>
      </w:r>
    </w:p>
    <w:p>
      <w:pPr>
        <w:pStyle w:val="BlankOpen"/>
      </w:pPr>
    </w:p>
    <w:p>
      <w:pPr>
        <w:pStyle w:val="zHeading2"/>
      </w:pPr>
      <w:bookmarkStart w:id="452" w:name="_Toc373331483"/>
      <w:bookmarkStart w:id="453" w:name="_Toc373331674"/>
      <w:bookmarkStart w:id="454" w:name="_Toc382567533"/>
      <w:bookmarkStart w:id="455" w:name="_Toc382568212"/>
      <w:bookmarkStart w:id="456" w:name="_Toc382914507"/>
      <w:bookmarkStart w:id="457" w:name="_Toc382914698"/>
      <w:bookmarkStart w:id="458" w:name="_Toc389042249"/>
      <w:bookmarkStart w:id="459" w:name="_Toc389126115"/>
      <w:bookmarkStart w:id="460" w:name="_Toc416783534"/>
      <w:bookmarkStart w:id="461" w:name="_Toc416783726"/>
      <w:r>
        <w:t>Part XV</w:t>
      </w:r>
      <w:r>
        <w:rPr>
          <w:b w:val="0"/>
        </w:rPr>
        <w:t> </w:t>
      </w:r>
      <w:r>
        <w:t>—</w:t>
      </w:r>
      <w:r>
        <w:rPr>
          <w:b w:val="0"/>
        </w:rPr>
        <w:t> </w:t>
      </w:r>
      <w:r>
        <w:t xml:space="preserve">Transitional provisions for </w:t>
      </w:r>
      <w:r>
        <w:rPr>
          <w:i/>
        </w:rPr>
        <w:t>Electronic Conveyancing Act 2014</w:t>
      </w:r>
      <w:bookmarkEnd w:id="452"/>
      <w:bookmarkEnd w:id="453"/>
      <w:bookmarkEnd w:id="454"/>
      <w:bookmarkEnd w:id="455"/>
      <w:bookmarkEnd w:id="456"/>
      <w:bookmarkEnd w:id="457"/>
      <w:bookmarkEnd w:id="458"/>
      <w:bookmarkEnd w:id="459"/>
      <w:bookmarkEnd w:id="460"/>
      <w:bookmarkEnd w:id="461"/>
    </w:p>
    <w:p>
      <w:pPr>
        <w:pStyle w:val="zHeading5"/>
        <w:rPr>
          <w:i/>
        </w:rPr>
      </w:pPr>
      <w:bookmarkStart w:id="462" w:name="_Toc382914699"/>
      <w:bookmarkStart w:id="463" w:name="_Toc389126116"/>
      <w:bookmarkStart w:id="464" w:name="_Toc416783727"/>
      <w:r>
        <w:t>244.</w:t>
      </w:r>
      <w:r>
        <w:tab/>
        <w:t>Term used: amending Act</w:t>
      </w:r>
      <w:bookmarkEnd w:id="462"/>
      <w:bookmarkEnd w:id="463"/>
      <w:bookmarkEnd w:id="464"/>
    </w:p>
    <w:p>
      <w:pPr>
        <w:pStyle w:val="zSubsection"/>
      </w:pPr>
      <w:r>
        <w:tab/>
      </w:r>
      <w:r>
        <w:tab/>
        <w:t xml:space="preserve">In this Part — </w:t>
      </w:r>
    </w:p>
    <w:p>
      <w:pPr>
        <w:pStyle w:val="zDefstart"/>
      </w:pPr>
      <w:r>
        <w:tab/>
      </w:r>
      <w:r>
        <w:rPr>
          <w:rStyle w:val="CharDefText"/>
        </w:rPr>
        <w:t>amending Act</w:t>
      </w:r>
      <w:r>
        <w:t xml:space="preserve"> means the </w:t>
      </w:r>
      <w:r>
        <w:rPr>
          <w:i/>
        </w:rPr>
        <w:t>Electronic Conveyancing Act 2014</w:t>
      </w:r>
      <w:r>
        <w:t>.</w:t>
      </w:r>
    </w:p>
    <w:p>
      <w:pPr>
        <w:pStyle w:val="zHeading5"/>
      </w:pPr>
      <w:bookmarkStart w:id="465" w:name="_Toc382914700"/>
      <w:bookmarkStart w:id="466" w:name="_Toc389126117"/>
      <w:bookmarkStart w:id="467" w:name="_Toc416783728"/>
      <w:r>
        <w:t>245.</w:t>
      </w:r>
      <w:r>
        <w:tab/>
        <w:t>Transitional provision for section 52(2)</w:t>
      </w:r>
      <w:bookmarkEnd w:id="465"/>
      <w:bookmarkEnd w:id="466"/>
      <w:bookmarkEnd w:id="467"/>
    </w:p>
    <w:p>
      <w:pPr>
        <w:pStyle w:val="zSubsection"/>
      </w:pPr>
      <w:r>
        <w:tab/>
      </w:r>
      <w:r>
        <w:tab/>
        <w:t>An instrument referred to in section 52(2) (as replaced by the amending Act) includes an instrument presented for registration before the day on which the amending Act section 67 comes into operation.</w:t>
      </w:r>
    </w:p>
    <w:p>
      <w:pPr>
        <w:pStyle w:val="zHeading5"/>
      </w:pPr>
      <w:bookmarkStart w:id="468" w:name="_Toc382914701"/>
      <w:bookmarkStart w:id="469" w:name="_Toc389126118"/>
      <w:bookmarkStart w:id="470" w:name="_Toc416783729"/>
      <w:r>
        <w:t>246.</w:t>
      </w:r>
      <w:r>
        <w:tab/>
        <w:t>Transitional provision for section 105(4)</w:t>
      </w:r>
      <w:bookmarkEnd w:id="468"/>
      <w:bookmarkEnd w:id="469"/>
      <w:bookmarkEnd w:id="470"/>
    </w:p>
    <w:p>
      <w:pPr>
        <w:pStyle w:val="zSubsection"/>
      </w:pPr>
      <w:r>
        <w:tab/>
      </w:r>
      <w:r>
        <w:tab/>
        <w:t>Section 105(4) (as inserted by the amending Act) applies only to and in relation to instruments registered after the amending Act section 73 comes into operation.</w:t>
      </w:r>
    </w:p>
    <w:p>
      <w:pPr>
        <w:pStyle w:val="zHeading5"/>
      </w:pPr>
      <w:bookmarkStart w:id="471" w:name="_Toc382914702"/>
      <w:bookmarkStart w:id="472" w:name="_Toc389126119"/>
      <w:bookmarkStart w:id="473" w:name="_Toc416783730"/>
      <w:r>
        <w:t>247.</w:t>
      </w:r>
      <w:r>
        <w:tab/>
        <w:t>Transitional provision for section 182A (requirements)</w:t>
      </w:r>
      <w:bookmarkEnd w:id="471"/>
      <w:bookmarkEnd w:id="472"/>
      <w:bookmarkEnd w:id="473"/>
    </w:p>
    <w:p>
      <w:pPr>
        <w:pStyle w:val="zSubsection"/>
        <w:keepNext/>
      </w:pPr>
      <w:r>
        <w:tab/>
        <w:t>(1)</w:t>
      </w:r>
      <w:r>
        <w:tab/>
        <w:t xml:space="preserve">This section applies to any statement that — </w:t>
      </w:r>
    </w:p>
    <w:p>
      <w:pPr>
        <w:pStyle w:val="zIndenta"/>
      </w:pPr>
      <w:r>
        <w:tab/>
        <w:t>(a)</w:t>
      </w:r>
      <w:r>
        <w:tab/>
        <w:t>is included in any practice manual, customer information bulletin or other similar publication issued by the Authority before the amending Act section 79 comes into operation; and</w:t>
      </w:r>
    </w:p>
    <w:p>
      <w:pPr>
        <w:pStyle w:val="zIndenta"/>
      </w:pPr>
      <w:r>
        <w:tab/>
        <w:t>(b)</w:t>
      </w:r>
      <w:r>
        <w:tab/>
        <w:t>relates to any matter in relation to which a requirement can be determined under section 182A(1); and</w:t>
      </w:r>
    </w:p>
    <w:p>
      <w:pPr>
        <w:pStyle w:val="zIndenta"/>
      </w:pPr>
      <w:r>
        <w:tab/>
        <w:t>(c)</w:t>
      </w:r>
      <w:r>
        <w:tab/>
        <w:t>specifies or has the effect of specifying a requirement in relation to one of those matters; and</w:t>
      </w:r>
    </w:p>
    <w:p>
      <w:pPr>
        <w:pStyle w:val="zIndenta"/>
      </w:pPr>
      <w:r>
        <w:tab/>
        <w:t>(d)</w:t>
      </w:r>
      <w:r>
        <w:tab/>
        <w:t>has not been superseded or overridden by any other statement included in any publication of the kind mentioned in paragraph (a) and issued before the amending Act section 79 comes into operation.</w:t>
      </w:r>
    </w:p>
    <w:p>
      <w:pPr>
        <w:pStyle w:val="zSubsection"/>
      </w:pPr>
      <w:r>
        <w:tab/>
        <w:t>(2)</w:t>
      </w:r>
      <w:r>
        <w:tab/>
        <w:t>A statement to which this section applies is to be taken to be a requirement determined under section 182A in the same terms as the original statement, and to continue in force under and subject to this Act.</w:t>
      </w:r>
    </w:p>
    <w:p>
      <w:pPr>
        <w:pStyle w:val="BlankClose"/>
      </w:pPr>
    </w:p>
    <w:p>
      <w:pPr>
        <w:pStyle w:val="Heading5"/>
      </w:pPr>
      <w:bookmarkStart w:id="474" w:name="_Toc382914703"/>
      <w:bookmarkStart w:id="475" w:name="_Toc389126120"/>
      <w:bookmarkStart w:id="476" w:name="_Toc416783731"/>
      <w:r>
        <w:rPr>
          <w:rStyle w:val="CharSectno"/>
        </w:rPr>
        <w:t>95</w:t>
      </w:r>
      <w:r>
        <w:t>.</w:t>
      </w:r>
      <w:r>
        <w:tab/>
        <w:t>Twenty</w:t>
      </w:r>
      <w:r>
        <w:noBreakHyphen/>
        <w:t>fifth Schedule deleted</w:t>
      </w:r>
      <w:bookmarkEnd w:id="474"/>
      <w:bookmarkEnd w:id="475"/>
      <w:bookmarkEnd w:id="476"/>
    </w:p>
    <w:p>
      <w:pPr>
        <w:pStyle w:val="Subsection"/>
        <w:keepNext/>
        <w:keepLines/>
      </w:pPr>
      <w:r>
        <w:tab/>
      </w:r>
      <w:r>
        <w:tab/>
        <w:t>Delete the Twenty</w:t>
      </w:r>
      <w:r>
        <w:noBreakHyphen/>
        <w:t>fifth Schedule.</w:t>
      </w:r>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yScheduleHeading"/>
      </w:pPr>
      <w:bookmarkStart w:id="477" w:name="_Toc389042255"/>
      <w:bookmarkStart w:id="478" w:name="_Toc389126121"/>
      <w:bookmarkStart w:id="479" w:name="_Toc416783540"/>
      <w:bookmarkStart w:id="480" w:name="_Toc416783732"/>
      <w:r>
        <w:rPr>
          <w:rStyle w:val="CharSchNo"/>
        </w:rPr>
        <w:t>Schedule 1</w:t>
      </w:r>
      <w:r>
        <w:t> — </w:t>
      </w:r>
      <w:r>
        <w:rPr>
          <w:rStyle w:val="CharSchText"/>
        </w:rPr>
        <w:t>Miscellaneous provisions relating to interpretation</w:t>
      </w:r>
      <w:bookmarkEnd w:id="477"/>
      <w:bookmarkEnd w:id="478"/>
      <w:bookmarkEnd w:id="479"/>
      <w:bookmarkEnd w:id="480"/>
    </w:p>
    <w:p>
      <w:pPr>
        <w:pStyle w:val="yShoulderClause"/>
      </w:pPr>
      <w:r>
        <w:t>[s. 4]</w:t>
      </w:r>
    </w:p>
    <w:p>
      <w:pPr>
        <w:pStyle w:val="yHeading3"/>
      </w:pPr>
      <w:bookmarkStart w:id="481" w:name="_Toc389042256"/>
      <w:bookmarkStart w:id="482" w:name="_Toc389126122"/>
      <w:bookmarkStart w:id="483" w:name="_Toc416783541"/>
      <w:bookmarkStart w:id="484" w:name="_Toc416783733"/>
      <w:r>
        <w:rPr>
          <w:rStyle w:val="CharSDivNo"/>
        </w:rPr>
        <w:t>Part 1</w:t>
      </w:r>
      <w:r>
        <w:t> — </w:t>
      </w:r>
      <w:r>
        <w:rPr>
          <w:rStyle w:val="CharSDivText"/>
        </w:rPr>
        <w:t>Preliminary</w:t>
      </w:r>
      <w:bookmarkEnd w:id="481"/>
      <w:bookmarkEnd w:id="482"/>
      <w:bookmarkEnd w:id="483"/>
      <w:bookmarkEnd w:id="484"/>
    </w:p>
    <w:p>
      <w:pPr>
        <w:pStyle w:val="yHeading5"/>
      </w:pPr>
      <w:bookmarkStart w:id="485" w:name="_Toc389126123"/>
      <w:bookmarkStart w:id="486" w:name="_Toc416783734"/>
      <w:r>
        <w:rPr>
          <w:rStyle w:val="CharSClsNo"/>
        </w:rPr>
        <w:t>1</w:t>
      </w:r>
      <w:r>
        <w:t>.</w:t>
      </w:r>
      <w:r>
        <w:tab/>
        <w:t>Displacement of Schedule by contrary intention</w:t>
      </w:r>
      <w:bookmarkEnd w:id="485"/>
      <w:bookmarkEnd w:id="486"/>
    </w:p>
    <w:p>
      <w:pPr>
        <w:pStyle w:val="ySubsection"/>
      </w:pPr>
      <w:r>
        <w:tab/>
      </w:r>
      <w:r>
        <w:tab/>
        <w:t>The application of this Schedule may be displaced, wholly or partly, by a contrary intention appearing in this Act.</w:t>
      </w:r>
    </w:p>
    <w:p>
      <w:pPr>
        <w:pStyle w:val="yHeading3"/>
      </w:pPr>
      <w:bookmarkStart w:id="487" w:name="_Toc389042258"/>
      <w:bookmarkStart w:id="488" w:name="_Toc389126124"/>
      <w:bookmarkStart w:id="489" w:name="_Toc416783543"/>
      <w:bookmarkStart w:id="490" w:name="_Toc416783735"/>
      <w:r>
        <w:rPr>
          <w:rStyle w:val="CharSDivNo"/>
        </w:rPr>
        <w:t>Part 2</w:t>
      </w:r>
      <w:r>
        <w:t> — </w:t>
      </w:r>
      <w:r>
        <w:rPr>
          <w:rStyle w:val="CharSDivText"/>
        </w:rPr>
        <w:t>General</w:t>
      </w:r>
      <w:bookmarkEnd w:id="487"/>
      <w:bookmarkEnd w:id="488"/>
      <w:bookmarkEnd w:id="489"/>
      <w:bookmarkEnd w:id="490"/>
    </w:p>
    <w:p>
      <w:pPr>
        <w:pStyle w:val="yHeading5"/>
      </w:pPr>
      <w:bookmarkStart w:id="491" w:name="_Toc389126125"/>
      <w:bookmarkStart w:id="492" w:name="_Toc416783736"/>
      <w:r>
        <w:rPr>
          <w:rStyle w:val="CharSClsNo"/>
        </w:rPr>
        <w:t>2</w:t>
      </w:r>
      <w:r>
        <w:t>.</w:t>
      </w:r>
      <w:r>
        <w:tab/>
        <w:t>Act to be construed not to exceed legislative power of Legislature</w:t>
      </w:r>
      <w:bookmarkEnd w:id="491"/>
      <w:bookmarkEnd w:id="492"/>
    </w:p>
    <w:p>
      <w:pPr>
        <w:pStyle w:val="ySubsection"/>
      </w:pPr>
      <w:r>
        <w:tab/>
        <w:t>(1)</w:t>
      </w:r>
      <w:r>
        <w:tab/>
        <w:t>This Act is to be construed as operating to the full extent of, but so as not to exceed, the legislative power of the Legislature of this jurisdiction.</w:t>
      </w:r>
    </w:p>
    <w:p>
      <w:pPr>
        <w:pStyle w:val="ySubsection"/>
      </w:pPr>
      <w:r>
        <w:tab/>
        <w:t>(2)</w:t>
      </w:r>
      <w:r>
        <w:tab/>
        <w:t xml:space="preserve">If a provision of this Act, or the application of a provision of this Act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Act, and the application of the provision to other persons, subject matters or circumstances, is not affected.</w:t>
      </w:r>
    </w:p>
    <w:p>
      <w:pPr>
        <w:pStyle w:val="ySubsection"/>
      </w:pPr>
      <w:r>
        <w:tab/>
        <w:t>(3)</w:t>
      </w:r>
      <w:r>
        <w:tab/>
        <w:t>This clause applies to this Act in addition to, and without limiting the effect of, any provision of this Act.</w:t>
      </w:r>
    </w:p>
    <w:p>
      <w:pPr>
        <w:pStyle w:val="yHeading5"/>
      </w:pPr>
      <w:bookmarkStart w:id="493" w:name="_Toc389126126"/>
      <w:bookmarkStart w:id="494" w:name="_Toc416783737"/>
      <w:r>
        <w:rPr>
          <w:rStyle w:val="CharSClsNo"/>
        </w:rPr>
        <w:t>3</w:t>
      </w:r>
      <w:r>
        <w:t>.</w:t>
      </w:r>
      <w:r>
        <w:tab/>
        <w:t>Every section to be a substantive enactment</w:t>
      </w:r>
      <w:bookmarkEnd w:id="493"/>
      <w:bookmarkEnd w:id="494"/>
    </w:p>
    <w:p>
      <w:pPr>
        <w:pStyle w:val="ySubsection"/>
      </w:pPr>
      <w:r>
        <w:tab/>
      </w:r>
      <w:r>
        <w:tab/>
        <w:t>Every section of this Act has effect as a substantive enactment without introductory words.</w:t>
      </w:r>
    </w:p>
    <w:p>
      <w:pPr>
        <w:pStyle w:val="yHeading5"/>
      </w:pPr>
      <w:bookmarkStart w:id="495" w:name="_Toc389126127"/>
      <w:bookmarkStart w:id="496" w:name="_Toc416783738"/>
      <w:r>
        <w:rPr>
          <w:rStyle w:val="CharSClsNo"/>
        </w:rPr>
        <w:t>4</w:t>
      </w:r>
      <w:r>
        <w:t>.</w:t>
      </w:r>
      <w:r>
        <w:tab/>
        <w:t>Material that is, and is not, part of this Act</w:t>
      </w:r>
      <w:bookmarkEnd w:id="495"/>
      <w:bookmarkEnd w:id="496"/>
    </w:p>
    <w:p>
      <w:pPr>
        <w:pStyle w:val="ySubsection"/>
      </w:pPr>
      <w:r>
        <w:tab/>
        <w:t>(1)</w:t>
      </w:r>
      <w:r>
        <w:tab/>
        <w:t>The heading to a Part, Division or Subdivision into which this Act is divided is part of this Act.</w:t>
      </w:r>
    </w:p>
    <w:p>
      <w:pPr>
        <w:pStyle w:val="ySubsection"/>
      </w:pPr>
      <w:r>
        <w:tab/>
        <w:t>(2)</w:t>
      </w:r>
      <w:r>
        <w:tab/>
        <w:t>A Schedule to this Act is part of this Act.</w:t>
      </w:r>
    </w:p>
    <w:p>
      <w:pPr>
        <w:pStyle w:val="ySubsection"/>
      </w:pPr>
      <w:r>
        <w:tab/>
        <w:t>(3)</w:t>
      </w:r>
      <w:r>
        <w:tab/>
        <w:t>Punctuation in this Act is part of this Act.</w:t>
      </w:r>
    </w:p>
    <w:p>
      <w:pPr>
        <w:pStyle w:val="ySubsection"/>
      </w:pPr>
      <w:r>
        <w:tab/>
        <w:t>(4)</w:t>
      </w:r>
      <w:r>
        <w:tab/>
        <w:t>A heading to a section or subsection of this Act does not form part of this Act.</w:t>
      </w:r>
    </w:p>
    <w:p>
      <w:pPr>
        <w:pStyle w:val="ySubsection"/>
      </w:pPr>
      <w:r>
        <w:tab/>
        <w:t>(5)</w:t>
      </w:r>
      <w:r>
        <w:tab/>
        <w:t>Notes included in this Act (including footnotes and endnotes) do not form part of this Act.</w:t>
      </w:r>
    </w:p>
    <w:p>
      <w:pPr>
        <w:pStyle w:val="yHeading5"/>
      </w:pPr>
      <w:bookmarkStart w:id="497" w:name="_Toc389126128"/>
      <w:bookmarkStart w:id="498" w:name="_Toc416783739"/>
      <w:r>
        <w:rPr>
          <w:rStyle w:val="CharSClsNo"/>
        </w:rPr>
        <w:t>5</w:t>
      </w:r>
      <w:r>
        <w:t>.</w:t>
      </w:r>
      <w:r>
        <w:tab/>
        <w:t>References to particular Acts and to enactments</w:t>
      </w:r>
      <w:bookmarkEnd w:id="497"/>
      <w:bookmarkEnd w:id="498"/>
    </w:p>
    <w:p>
      <w:pPr>
        <w:pStyle w:val="ySubsection"/>
      </w:pPr>
      <w:r>
        <w:tab/>
      </w:r>
      <w:r>
        <w:tab/>
        <w:t xml:space="preserve">In this Act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w:t>
      </w:r>
    </w:p>
    <w:p>
      <w:pPr>
        <w:pStyle w:val="yIndenta"/>
      </w:pPr>
      <w:r>
        <w:tab/>
      </w:r>
      <w:r>
        <w:tab/>
        <w:t>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499" w:name="_Toc389126129"/>
      <w:bookmarkStart w:id="500" w:name="_Toc416783740"/>
      <w:r>
        <w:rPr>
          <w:rStyle w:val="CharSClsNo"/>
        </w:rPr>
        <w:t>6</w:t>
      </w:r>
      <w:r>
        <w:t>.</w:t>
      </w:r>
      <w:r>
        <w:tab/>
        <w:t>References taken to be included in Act citation etc.</w:t>
      </w:r>
      <w:bookmarkEnd w:id="499"/>
      <w:bookmarkEnd w:id="500"/>
    </w:p>
    <w:p>
      <w:pPr>
        <w:pStyle w:val="ySubsection"/>
      </w:pPr>
      <w:r>
        <w:tab/>
        <w:t>(1)</w:t>
      </w:r>
      <w:r>
        <w:tab/>
        <w:t xml:space="preserve">A reference in this Act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the Act as re</w:t>
      </w:r>
      <w:r>
        <w:noBreakHyphen/>
        <w:t>enacted, and as amended from time to time since its re</w:t>
      </w:r>
      <w:r>
        <w:noBreakHyphen/>
        <w:t>enactment.</w:t>
      </w:r>
    </w:p>
    <w:p>
      <w:pPr>
        <w:pStyle w:val="ySubsection"/>
      </w:pPr>
      <w:r>
        <w:tab/>
        <w:t>(2)</w:t>
      </w:r>
      <w:r>
        <w:tab/>
        <w:t xml:space="preserve">A reference in this Act to a provision of this Act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the provision as re</w:t>
      </w:r>
      <w:r>
        <w:noBreakHyphen/>
        <w:t>enacted, and as amended from time to time since its re</w:t>
      </w:r>
      <w:r>
        <w:noBreakHyphen/>
        <w:t>enactment.</w:t>
      </w:r>
    </w:p>
    <w:p>
      <w:pPr>
        <w:pStyle w:val="ySubsection"/>
      </w:pPr>
      <w:r>
        <w:tab/>
        <w:t>(3)</w:t>
      </w:r>
      <w:r>
        <w:tab/>
        <w:t>Subclauses (1) and (2) apply to a reference in this Act to a law of the Commonwealth or another jurisdiction as they apply to a reference in this Act to an Act and to a provision of an Act.</w:t>
      </w:r>
    </w:p>
    <w:p>
      <w:pPr>
        <w:pStyle w:val="yHeading5"/>
      </w:pPr>
      <w:bookmarkStart w:id="501" w:name="_Toc389126130"/>
      <w:bookmarkStart w:id="502" w:name="_Toc416783741"/>
      <w:r>
        <w:rPr>
          <w:rStyle w:val="CharSClsNo"/>
        </w:rPr>
        <w:t>7</w:t>
      </w:r>
      <w:r>
        <w:t>.</w:t>
      </w:r>
      <w:r>
        <w:tab/>
        <w:t>Interpretation best achieving Act’s purpose</w:t>
      </w:r>
      <w:bookmarkEnd w:id="501"/>
      <w:bookmarkEnd w:id="502"/>
    </w:p>
    <w:p>
      <w:pPr>
        <w:pStyle w:val="ySubsection"/>
      </w:pPr>
      <w:r>
        <w:tab/>
        <w:t>(1)</w:t>
      </w:r>
      <w:r>
        <w:tab/>
        <w:t>In the interpretation of a provision of this Act, the interpretation that will best achieve the purpose or object of this Act is to be preferred to any other interpretation.</w:t>
      </w:r>
    </w:p>
    <w:p>
      <w:pPr>
        <w:pStyle w:val="ySubsection"/>
      </w:pPr>
      <w:r>
        <w:tab/>
        <w:t>(2)</w:t>
      </w:r>
      <w:r>
        <w:tab/>
        <w:t>Subclause (1) applies whether or not the purpose is expressly stated in this Act.</w:t>
      </w:r>
    </w:p>
    <w:p>
      <w:pPr>
        <w:pStyle w:val="yHeading5"/>
      </w:pPr>
      <w:bookmarkStart w:id="503" w:name="_Toc389126131"/>
      <w:bookmarkStart w:id="504" w:name="_Toc416783742"/>
      <w:r>
        <w:rPr>
          <w:rStyle w:val="CharSClsNo"/>
        </w:rPr>
        <w:t>8</w:t>
      </w:r>
      <w:r>
        <w:t>.</w:t>
      </w:r>
      <w:r>
        <w:tab/>
        <w:t>Use of extrinsic material in interpretation</w:t>
      </w:r>
      <w:bookmarkEnd w:id="503"/>
      <w:bookmarkEnd w:id="504"/>
    </w:p>
    <w:p>
      <w:pPr>
        <w:pStyle w:val="ySubsection"/>
      </w:pPr>
      <w:r>
        <w:tab/>
        <w:t>(1)</w:t>
      </w:r>
      <w:r>
        <w:tab/>
        <w:t xml:space="preserve">In this clause — </w:t>
      </w:r>
    </w:p>
    <w:p>
      <w:pPr>
        <w:pStyle w:val="yDefstart"/>
      </w:pPr>
      <w:r>
        <w:tab/>
      </w:r>
      <w:r>
        <w:rPr>
          <w:rStyle w:val="CharDefText"/>
        </w:rPr>
        <w:t>extrinsic material</w:t>
      </w:r>
      <w:r>
        <w:t xml:space="preserve"> means relevant material not forming part of this Act, including, for example — </w:t>
      </w:r>
    </w:p>
    <w:p>
      <w:pPr>
        <w:pStyle w:val="yDefpara"/>
      </w:pPr>
      <w:r>
        <w:tab/>
        <w:t>(a)</w:t>
      </w:r>
      <w:r>
        <w:tab/>
        <w:t>material that is set out in the document containing the text of this Act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Act;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Act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Act and to the purpose of this Act.</w:t>
      </w:r>
    </w:p>
    <w:p>
      <w:pPr>
        <w:pStyle w:val="ySubsection"/>
      </w:pPr>
      <w:r>
        <w:tab/>
        <w:t>(2)</w:t>
      </w:r>
      <w:r>
        <w:tab/>
        <w:t xml:space="preserve">Subject to subclause (3), in the interpretation of a provision of this Act, consideration may be given to extrinsic material capable of assisting in the interpretation — </w:t>
      </w:r>
    </w:p>
    <w:p>
      <w:pPr>
        <w:pStyle w:val="yIndenta"/>
      </w:pPr>
      <w:r>
        <w:tab/>
        <w:t>(a)</w:t>
      </w:r>
      <w:r>
        <w:tab/>
        <w:t>if the provision is ambiguous or obscure, to provide an interpretation of it; or</w:t>
      </w:r>
    </w:p>
    <w:p>
      <w:pPr>
        <w:pStyle w:val="yIndenta"/>
      </w:pPr>
      <w:r>
        <w:tab/>
        <w:t>(b)</w:t>
      </w:r>
      <w:r>
        <w:tab/>
        <w:t>if the ordinary meaning of the provision leads to a result that is manifestly absurd or is unreasonable, to provide an interpretation that avoids such a result; or</w:t>
      </w:r>
    </w:p>
    <w:p>
      <w:pPr>
        <w:pStyle w:val="yIndenta"/>
      </w:pPr>
      <w:r>
        <w:tab/>
        <w:t>(c)</w:t>
      </w:r>
      <w:r>
        <w:tab/>
        <w:t>in any other case, 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spacing w:after="2000"/>
      </w:pPr>
      <w:r>
        <w:tab/>
        <w:t>(c)</w:t>
      </w:r>
      <w:r>
        <w:tab/>
        <w:t>other relevant matters.</w:t>
      </w:r>
    </w:p>
    <w:p>
      <w:pPr>
        <w:pStyle w:val="yHeading5"/>
      </w:pPr>
      <w:bookmarkStart w:id="505" w:name="_Toc389126132"/>
      <w:bookmarkStart w:id="506" w:name="_Toc416783743"/>
      <w:r>
        <w:rPr>
          <w:rStyle w:val="CharSClsNo"/>
        </w:rPr>
        <w:t>9</w:t>
      </w:r>
      <w:r>
        <w:t>.</w:t>
      </w:r>
      <w:r>
        <w:tab/>
        <w:t>Effect of change of drafting practice</w:t>
      </w:r>
      <w:bookmarkEnd w:id="505"/>
      <w:bookmarkEnd w:id="506"/>
    </w:p>
    <w:p>
      <w:pPr>
        <w:pStyle w:val="ySubsection"/>
        <w:keepNext/>
      </w:pPr>
      <w:r>
        <w:tab/>
      </w:r>
      <w:r>
        <w:tab/>
        <w:t xml:space="preserve">If — </w:t>
      </w:r>
    </w:p>
    <w:p>
      <w:pPr>
        <w:pStyle w:val="yIndenta"/>
      </w:pPr>
      <w:r>
        <w:tab/>
        <w:t>(a)</w:t>
      </w:r>
      <w:r>
        <w:tab/>
        <w:t>a provision of this Act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 neutral language,</w:t>
      </w:r>
    </w:p>
    <w:p>
      <w:pPr>
        <w:pStyle w:val="ySubsection"/>
      </w:pPr>
      <w:r>
        <w:tab/>
      </w:r>
      <w:r>
        <w:tab/>
        <w:t>the ideas must not be taken to be different merely because different words are used.</w:t>
      </w:r>
    </w:p>
    <w:p>
      <w:pPr>
        <w:pStyle w:val="yHeading5"/>
      </w:pPr>
      <w:bookmarkStart w:id="507" w:name="_Toc389126133"/>
      <w:bookmarkStart w:id="508" w:name="_Toc416783744"/>
      <w:r>
        <w:rPr>
          <w:rStyle w:val="CharSClsNo"/>
        </w:rPr>
        <w:t>10</w:t>
      </w:r>
      <w:r>
        <w:t>.</w:t>
      </w:r>
      <w:r>
        <w:tab/>
        <w:t>Use of examples</w:t>
      </w:r>
      <w:bookmarkEnd w:id="507"/>
      <w:bookmarkEnd w:id="508"/>
    </w:p>
    <w:p>
      <w:pPr>
        <w:pStyle w:val="ySubsection"/>
        <w:spacing w:before="100"/>
      </w:pPr>
      <w:r>
        <w:tab/>
      </w:r>
      <w:r>
        <w:tab/>
        <w:t xml:space="preserve">If this Act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Act, but, if the example and the provision so read are inconsistent, the provision prevails.</w:t>
      </w:r>
    </w:p>
    <w:p>
      <w:pPr>
        <w:pStyle w:val="yHeading5"/>
      </w:pPr>
      <w:bookmarkStart w:id="509" w:name="_Toc389126134"/>
      <w:bookmarkStart w:id="510" w:name="_Toc416783745"/>
      <w:r>
        <w:rPr>
          <w:rStyle w:val="CharSClsNo"/>
        </w:rPr>
        <w:t>11</w:t>
      </w:r>
      <w:r>
        <w:t>.</w:t>
      </w:r>
      <w:r>
        <w:tab/>
        <w:t>Compliance with forms</w:t>
      </w:r>
      <w:bookmarkEnd w:id="509"/>
      <w:bookmarkEnd w:id="510"/>
    </w:p>
    <w:p>
      <w:pPr>
        <w:pStyle w:val="ySubsection"/>
        <w:spacing w:before="100"/>
      </w:pPr>
      <w:r>
        <w:tab/>
        <w:t>(1)</w:t>
      </w:r>
      <w:r>
        <w:tab/>
        <w:t>If a form is prescribed or approved by or for the purpose of this Act, strict compliance with the form is not necessary and substantial compliance is sufficient.</w:t>
      </w:r>
    </w:p>
    <w:p>
      <w:pPr>
        <w:pStyle w:val="ySubsection"/>
        <w:spacing w:before="100"/>
      </w:pPr>
      <w:r>
        <w:tab/>
        <w:t>(2)</w:t>
      </w:r>
      <w:r>
        <w:tab/>
        <w:t xml:space="preserve">If a form prescribed or approved by or for the purpose of this Act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3"/>
      </w:pPr>
      <w:bookmarkStart w:id="511" w:name="_Toc389042269"/>
      <w:bookmarkStart w:id="512" w:name="_Toc389126135"/>
      <w:bookmarkStart w:id="513" w:name="_Toc416783554"/>
      <w:bookmarkStart w:id="514" w:name="_Toc416783746"/>
      <w:r>
        <w:rPr>
          <w:rStyle w:val="CharSDivNo"/>
        </w:rPr>
        <w:t>Part 3</w:t>
      </w:r>
      <w:r>
        <w:t> — </w:t>
      </w:r>
      <w:r>
        <w:rPr>
          <w:rStyle w:val="CharSDivText"/>
        </w:rPr>
        <w:t>Terms and references</w:t>
      </w:r>
      <w:bookmarkEnd w:id="511"/>
      <w:bookmarkEnd w:id="512"/>
      <w:bookmarkEnd w:id="513"/>
      <w:bookmarkEnd w:id="514"/>
    </w:p>
    <w:p>
      <w:pPr>
        <w:pStyle w:val="yHeading5"/>
      </w:pPr>
      <w:bookmarkStart w:id="515" w:name="_Toc389126136"/>
      <w:bookmarkStart w:id="516" w:name="_Toc416783747"/>
      <w:r>
        <w:rPr>
          <w:rStyle w:val="CharSClsNo"/>
        </w:rPr>
        <w:t>12</w:t>
      </w:r>
      <w:r>
        <w:t>.</w:t>
      </w:r>
      <w:r>
        <w:tab/>
        <w:t>Definitions</w:t>
      </w:r>
      <w:bookmarkEnd w:id="515"/>
      <w:bookmarkEnd w:id="516"/>
    </w:p>
    <w:p>
      <w:pPr>
        <w:pStyle w:val="ySubsection"/>
      </w:pPr>
      <w:r>
        <w:tab/>
        <w:t>(1)</w:t>
      </w:r>
      <w:r>
        <w:tab/>
        <w:t xml:space="preserve">In this Act —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Act or an Act or a provision of this Act or an Act, means the time at which this Act,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Act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however recorded, and includes — </w:t>
      </w:r>
    </w:p>
    <w:p>
      <w:pPr>
        <w:pStyle w:val="yDefpara"/>
      </w:pPr>
      <w:r>
        <w:tab/>
        <w:t>(a)</w:t>
      </w:r>
      <w:r>
        <w:tab/>
        <w:t>anything on which there is writing; or</w:t>
      </w:r>
    </w:p>
    <w:p>
      <w:pPr>
        <w:pStyle w:val="yDefpara"/>
      </w:pPr>
      <w:r>
        <w:tab/>
        <w:t>(b)</w:t>
      </w:r>
      <w:r>
        <w:tab/>
        <w:t>anything on which there are marks, figures, symbols or perforations having a meaning for persons qualified to interpret them; or</w:t>
      </w:r>
    </w:p>
    <w:p>
      <w:pPr>
        <w:pStyle w:val="yDefpara"/>
      </w:pPr>
      <w:r>
        <w:tab/>
        <w:t>(c)</w:t>
      </w:r>
      <w:r>
        <w:tab/>
        <w:t>anything from which sounds, images or writings can be reproduced with or without the aid of anything else; or</w:t>
      </w:r>
    </w:p>
    <w:p>
      <w:pPr>
        <w:pStyle w:val="yDefpara"/>
      </w:pPr>
      <w:r>
        <w:tab/>
        <w:t>(d)</w:t>
      </w:r>
      <w:r>
        <w:tab/>
        <w:t>a map, plan, drawing or photograph; or</w:t>
      </w:r>
    </w:p>
    <w:p>
      <w:pPr>
        <w:pStyle w:val="yDefpara"/>
      </w:pPr>
      <w:r>
        <w:tab/>
        <w:t>(e)</w:t>
      </w:r>
      <w:r>
        <w:tab/>
        <w:t>any record of information that exists in a digital form and is capable of being reproduced, transmitted, stored and duplicated by electronic means;</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Government Gazette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insert</w:t>
      </w:r>
      <w:r>
        <w:t>, in relation to a provision of this Act,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one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Act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printed</w:t>
      </w:r>
      <w:r>
        <w:t xml:space="preserve"> includes typewritten, lithographed or reproduced by any mechanical or electronic means;</w:t>
      </w:r>
    </w:p>
    <w:p>
      <w:pPr>
        <w:pStyle w:val="yDefstart"/>
      </w:pPr>
      <w:r>
        <w:tab/>
      </w:r>
      <w:r>
        <w:rPr>
          <w:rStyle w:val="CharDefText"/>
        </w:rPr>
        <w:t>proceeding</w:t>
      </w:r>
      <w:r>
        <w:t xml:space="preserve"> means a legal or other action or proceeding;</w:t>
      </w:r>
    </w:p>
    <w:p>
      <w:pPr>
        <w:pStyle w:val="yDefstart"/>
        <w:keepNext/>
      </w:pPr>
      <w:r>
        <w:tab/>
      </w:r>
      <w:r>
        <w:rPr>
          <w:rStyle w:val="CharDefText"/>
        </w:rPr>
        <w:t>provision</w:t>
      </w:r>
      <w:r>
        <w:t xml:space="preserve">, in relation to this Act or an Act, means words or other matter that form or forms part of this Act or the Act, and includes — </w:t>
      </w:r>
    </w:p>
    <w:p>
      <w:pPr>
        <w:pStyle w:val="yDefpara"/>
      </w:pPr>
      <w:r>
        <w:tab/>
        <w:t>(a)</w:t>
      </w:r>
      <w:r>
        <w:tab/>
        <w:t>a Chapter, Part, Division, Subdivision, section, subsection, paragraph, subparagraph, sub</w:t>
      </w:r>
      <w:r>
        <w:noBreakHyphen/>
        <w:t>subparagraph or Schedule of or to this Act or the Act; or</w:t>
      </w:r>
    </w:p>
    <w:p>
      <w:pPr>
        <w:pStyle w:val="yDefpara"/>
      </w:pPr>
      <w:r>
        <w:tab/>
        <w:t>(b)</w:t>
      </w:r>
      <w:r>
        <w:tab/>
        <w:t>a section, clause, subclause, item, column, table or form of or in a Schedule to this Act or the Act; or</w:t>
      </w:r>
    </w:p>
    <w:p>
      <w:pPr>
        <w:pStyle w:val="yDefpara"/>
      </w:pPr>
      <w:r>
        <w:tab/>
        <w:t>(c)</w:t>
      </w:r>
      <w:r>
        <w:tab/>
        <w:t>the long title and any preamble to this Act or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Act or the instrument concerned; or</w:t>
      </w:r>
    </w:p>
    <w:p>
      <w:pPr>
        <w:pStyle w:val="yDefpara"/>
      </w:pPr>
      <w:r>
        <w:tab/>
        <w:t>(d)</w:t>
      </w:r>
      <w:r>
        <w:tab/>
        <w:t>exclude from, or include in, the application of this Act or the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made or in force under or for the purposes of this Act,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tab/>
      </w:r>
      <w:r>
        <w:rPr>
          <w:rStyle w:val="CharDefText"/>
        </w:rPr>
        <w:t>the Act</w:t>
      </w:r>
      <w:r>
        <w:t xml:space="preserve"> means this Act.</w:t>
      </w:r>
    </w:p>
    <w:p>
      <w:pPr>
        <w:pStyle w:val="yHeading5"/>
      </w:pPr>
      <w:bookmarkStart w:id="517" w:name="_Toc389126137"/>
      <w:bookmarkStart w:id="518" w:name="_Toc416783748"/>
      <w:r>
        <w:rPr>
          <w:rStyle w:val="CharSClsNo"/>
        </w:rPr>
        <w:t>13</w:t>
      </w:r>
      <w:r>
        <w:t>.</w:t>
      </w:r>
      <w:r>
        <w:tab/>
        <w:t>Provisions relating to defined terms and gender and number</w:t>
      </w:r>
      <w:bookmarkEnd w:id="517"/>
      <w:bookmarkEnd w:id="518"/>
    </w:p>
    <w:p>
      <w:pPr>
        <w:pStyle w:val="ySubsection"/>
      </w:pPr>
      <w:r>
        <w:tab/>
        <w:t>(1)</w:t>
      </w:r>
      <w:r>
        <w:tab/>
        <w:t>If this Act defines a word or expression, other parts of speech and grammatical forms of the word or expression have corresponding meanings.</w:t>
      </w:r>
    </w:p>
    <w:p>
      <w:pPr>
        <w:pStyle w:val="ySubsection"/>
      </w:pPr>
      <w:r>
        <w:tab/>
        <w:t>(2)</w:t>
      </w:r>
      <w:r>
        <w:tab/>
        <w:t>Definitions in or applicable to this Act apply except so far as the context or subject matter otherwise indicates or requires.</w:t>
      </w:r>
    </w:p>
    <w:p>
      <w:pPr>
        <w:pStyle w:val="ySubsection"/>
      </w:pPr>
      <w:r>
        <w:tab/>
        <w:t>(3)</w:t>
      </w:r>
      <w:r>
        <w:tab/>
        <w:t>In this Act, words indicating a gender include each other gender.</w:t>
      </w:r>
    </w:p>
    <w:p>
      <w:pPr>
        <w:pStyle w:val="ySubsection"/>
      </w:pPr>
      <w:r>
        <w:tab/>
        <w:t>(4)</w:t>
      </w:r>
      <w:r>
        <w:tab/>
        <w:t xml:space="preserve">In this Act —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519" w:name="_Toc389126138"/>
      <w:bookmarkStart w:id="520" w:name="_Toc416783749"/>
      <w:r>
        <w:rPr>
          <w:rStyle w:val="CharSClsNo"/>
        </w:rPr>
        <w:t>14</w:t>
      </w:r>
      <w:r>
        <w:t>.</w:t>
      </w:r>
      <w:r>
        <w:tab/>
        <w:t>Meaning of “may” and “must” etc.</w:t>
      </w:r>
      <w:bookmarkEnd w:id="519"/>
      <w:bookmarkEnd w:id="520"/>
    </w:p>
    <w:p>
      <w:pPr>
        <w:pStyle w:val="ySubsection"/>
      </w:pPr>
      <w:r>
        <w:tab/>
        <w:t>(1)</w:t>
      </w:r>
      <w:r>
        <w:tab/>
        <w:t xml:space="preserve">In this Act, the word </w:t>
      </w:r>
      <w:r>
        <w:rPr>
          <w:rStyle w:val="CharDefText"/>
        </w:rPr>
        <w:t>may</w:t>
      </w:r>
      <w:r>
        <w:t>, or a similar word or expression, used in relation to a power indicates that the power may be exercised or not exercised, at discretion.</w:t>
      </w:r>
    </w:p>
    <w:p>
      <w:pPr>
        <w:pStyle w:val="ySubsection"/>
      </w:pPr>
      <w:r>
        <w:tab/>
        <w:t>(2)</w:t>
      </w:r>
      <w:r>
        <w:tab/>
        <w:t xml:space="preserve">In this Act, the word </w:t>
      </w:r>
      <w:r>
        <w:rPr>
          <w:rStyle w:val="CharDefText"/>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521" w:name="_Toc389126139"/>
      <w:bookmarkStart w:id="522" w:name="_Toc416783750"/>
      <w:r>
        <w:rPr>
          <w:rStyle w:val="CharSClsNo"/>
        </w:rPr>
        <w:t>15</w:t>
      </w:r>
      <w:r>
        <w:t>.</w:t>
      </w:r>
      <w:r>
        <w:tab/>
        <w:t>Words and expressions used in statutory instruments</w:t>
      </w:r>
      <w:bookmarkEnd w:id="521"/>
      <w:bookmarkEnd w:id="522"/>
    </w:p>
    <w:p>
      <w:pPr>
        <w:pStyle w:val="ySubsection"/>
      </w:pPr>
      <w:r>
        <w:tab/>
        <w:t>(1)</w:t>
      </w:r>
      <w:r>
        <w:tab/>
        <w:t>Words and expressions used in a statutory instrument have the same meanings as they have, from time to time, in this Act, or relevant provisions of this Act,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523" w:name="_Toc389126140"/>
      <w:bookmarkStart w:id="524" w:name="_Toc416783751"/>
      <w:r>
        <w:rPr>
          <w:rStyle w:val="CharSClsNo"/>
        </w:rPr>
        <w:t>16</w:t>
      </w:r>
      <w:r>
        <w:t>.</w:t>
      </w:r>
      <w:r>
        <w:tab/>
        <w:t>Effect of express references to bodies corporate and individuals</w:t>
      </w:r>
      <w:bookmarkEnd w:id="523"/>
      <w:bookmarkEnd w:id="524"/>
    </w:p>
    <w:p>
      <w:pPr>
        <w:pStyle w:val="ySubsection"/>
      </w:pPr>
      <w:r>
        <w:tab/>
      </w:r>
      <w:r>
        <w:tab/>
        <w:t>In this Act, a reference to a person generally (whether the expression “person”, “party”, “someone”, “anyone”, “no</w:t>
      </w:r>
      <w:r>
        <w:noBreakHyphen/>
        <w:t xml:space="preserve">one”, “one”, “another” or “whoever” or another expression is used) — </w:t>
      </w:r>
    </w:p>
    <w:p>
      <w:pPr>
        <w:pStyle w:val="yIndenta"/>
      </w:pPr>
      <w:r>
        <w:tab/>
        <w:t>(a)</w:t>
      </w:r>
      <w:r>
        <w:tab/>
        <w:t>does not exclude a reference to a body corporate or an individual merely because elsewhere in this Act there is particular reference to a body corporate (however expressed); and</w:t>
      </w:r>
    </w:p>
    <w:p>
      <w:pPr>
        <w:pStyle w:val="yIndenta"/>
      </w:pPr>
      <w:r>
        <w:tab/>
        <w:t>(b)</w:t>
      </w:r>
      <w:r>
        <w:tab/>
        <w:t>does not exclude a reference to a body corporate or an individual merely because elsewhere in this Act there is particular reference to an individual (however expressed).</w:t>
      </w:r>
    </w:p>
    <w:p>
      <w:pPr>
        <w:pStyle w:val="yHeading5"/>
      </w:pPr>
      <w:bookmarkStart w:id="525" w:name="_Toc389126141"/>
      <w:bookmarkStart w:id="526" w:name="_Toc416783752"/>
      <w:r>
        <w:rPr>
          <w:rStyle w:val="CharSClsNo"/>
        </w:rPr>
        <w:t>17</w:t>
      </w:r>
      <w:r>
        <w:t>.</w:t>
      </w:r>
      <w:r>
        <w:tab/>
        <w:t>Production of records kept in computers etc.</w:t>
      </w:r>
      <w:bookmarkEnd w:id="525"/>
      <w:bookmarkEnd w:id="526"/>
    </w:p>
    <w:p>
      <w:pPr>
        <w:pStyle w:val="ySubsection"/>
      </w:pPr>
      <w:r>
        <w:tab/>
      </w:r>
      <w:r>
        <w:tab/>
        <w:t xml:space="preserve">If a person who keeps a record of information by means of a mechanical, electronic or other device is required by or under this Act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527" w:name="_Toc389126142"/>
      <w:bookmarkStart w:id="528" w:name="_Toc416783753"/>
      <w:r>
        <w:rPr>
          <w:rStyle w:val="CharSClsNo"/>
        </w:rPr>
        <w:t>18</w:t>
      </w:r>
      <w:r>
        <w:t>.</w:t>
      </w:r>
      <w:r>
        <w:tab/>
        <w:t>References to this jurisdiction to be implied</w:t>
      </w:r>
      <w:bookmarkEnd w:id="527"/>
      <w:bookmarkEnd w:id="528"/>
    </w:p>
    <w:p>
      <w:pPr>
        <w:pStyle w:val="ySubsection"/>
      </w:pPr>
      <w:r>
        <w:tab/>
      </w:r>
      <w:r>
        <w:tab/>
        <w:t xml:space="preserve">In this Act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529" w:name="_Toc389126143"/>
      <w:bookmarkStart w:id="530" w:name="_Toc416783754"/>
      <w:r>
        <w:rPr>
          <w:rStyle w:val="CharSClsNo"/>
        </w:rPr>
        <w:t>19</w:t>
      </w:r>
      <w:r>
        <w:t>.</w:t>
      </w:r>
      <w:r>
        <w:tab/>
        <w:t>References to officers and holders of offices</w:t>
      </w:r>
      <w:bookmarkEnd w:id="529"/>
      <w:bookmarkEnd w:id="530"/>
    </w:p>
    <w:p>
      <w:pPr>
        <w:pStyle w:val="ySubsection"/>
      </w:pPr>
      <w:r>
        <w:tab/>
      </w:r>
      <w:r>
        <w:tab/>
        <w:t>In this Act, a reference to a particular officer, or to the holder of a particular office, includes a reference to the person for the time being occupying or acting in the office concerned.</w:t>
      </w:r>
    </w:p>
    <w:p>
      <w:pPr>
        <w:pStyle w:val="yHeading5"/>
      </w:pPr>
      <w:bookmarkStart w:id="531" w:name="_Toc389126144"/>
      <w:bookmarkStart w:id="532" w:name="_Toc416783755"/>
      <w:r>
        <w:rPr>
          <w:rStyle w:val="CharSClsNo"/>
        </w:rPr>
        <w:t>20</w:t>
      </w:r>
      <w:r>
        <w:t>.</w:t>
      </w:r>
      <w:r>
        <w:tab/>
        <w:t>Reference to certain provisions of Act</w:t>
      </w:r>
      <w:bookmarkEnd w:id="531"/>
      <w:bookmarkEnd w:id="532"/>
    </w:p>
    <w:p>
      <w:pPr>
        <w:pStyle w:val="ySubsection"/>
      </w:pPr>
      <w:r>
        <w:tab/>
      </w:r>
      <w:r>
        <w:tab/>
        <w:t xml:space="preserve">If a provision of this Act refers — </w:t>
      </w:r>
    </w:p>
    <w:p>
      <w:pPr>
        <w:pStyle w:val="yIndenta"/>
      </w:pPr>
      <w:r>
        <w:tab/>
        <w:t>(a)</w:t>
      </w:r>
      <w:r>
        <w:tab/>
        <w:t>to a Part, section or Schedule by a number and without reference to this Act, the reference is a reference to the Part, section or Schedule, designated by the number, of or to this Act; or</w:t>
      </w:r>
    </w:p>
    <w:p>
      <w:pPr>
        <w:pStyle w:val="yIndenta"/>
      </w:pPr>
      <w:r>
        <w:tab/>
        <w:t>(b)</w:t>
      </w:r>
      <w:r>
        <w:tab/>
        <w:t>to a Schedule without reference to it by a number and without reference to this Act, the reference, if there is only one Schedule to this Act, is a reference to the Schedule; or</w:t>
      </w:r>
    </w:p>
    <w:p>
      <w:pPr>
        <w:pStyle w:val="yIndenta"/>
      </w:pPr>
      <w:r>
        <w:tab/>
        <w:t>(c)</w:t>
      </w:r>
      <w:r>
        <w:tab/>
        <w:t>to a Division, Subdivision, subsection, paragraph, subparagraph, sub</w:t>
      </w:r>
      <w:r>
        <w:noBreakHyphen/>
        <w:t xml:space="preserve">subparagraph, clause, subclause, item, column, table or form by a number and without reference to this Act, 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pPr>
      <w:bookmarkStart w:id="533" w:name="_Toc389126145"/>
      <w:bookmarkStart w:id="534" w:name="_Toc416783756"/>
      <w:r>
        <w:rPr>
          <w:rStyle w:val="CharSClsNo"/>
        </w:rPr>
        <w:t>21</w:t>
      </w:r>
      <w:r>
        <w:t>.</w:t>
      </w:r>
      <w:r>
        <w:tab/>
        <w:t>Reference to provisions of this Act or an Act is inclusive</w:t>
      </w:r>
      <w:bookmarkEnd w:id="533"/>
      <w:bookmarkEnd w:id="534"/>
    </w:p>
    <w:p>
      <w:pPr>
        <w:pStyle w:val="ySubsection"/>
      </w:pPr>
      <w:r>
        <w:tab/>
      </w:r>
      <w:r>
        <w:tab/>
        <w:t xml:space="preserve">In this Act, a reference to a portion of this Act or an Act includes — </w:t>
      </w:r>
    </w:p>
    <w:p>
      <w:pPr>
        <w:pStyle w:val="yIndenta"/>
      </w:pPr>
      <w:r>
        <w:tab/>
        <w:t>(a)</w:t>
      </w:r>
      <w:r>
        <w:tab/>
        <w:t>a reference to the Chapter, Part, Division, Subdivision, section, subsection or other provision of this Act or the Act referred to that forms the beginning of the portion; and</w:t>
      </w:r>
    </w:p>
    <w:p>
      <w:pPr>
        <w:pStyle w:val="yIndenta"/>
      </w:pPr>
      <w:r>
        <w:tab/>
        <w:t>(b)</w:t>
      </w:r>
      <w:r>
        <w:tab/>
        <w:t>a reference to the Chapter, Part, Division, Subdivision, section, subsection or other provision of this Act or the Act referred to that forms the end of the portion.</w:t>
      </w:r>
    </w:p>
    <w:p>
      <w:pPr>
        <w:pStyle w:val="PermNoteHeading"/>
      </w:pPr>
      <w:r>
        <w:tab/>
        <w:t>Example for this clause:</w:t>
      </w:r>
    </w:p>
    <w:p>
      <w:pPr>
        <w:pStyle w:val="PermNoteText"/>
      </w:pPr>
      <w:r>
        <w:tab/>
      </w:r>
      <w:r>
        <w:tab/>
        <w:t>A reference to “sections 5 to 9” includes both section 5 and section 9. It is not necessary to refer to “sections 5 to 9 (both inclusive)” to ensure that the reference is given an inclusive interpretation.</w:t>
      </w:r>
    </w:p>
    <w:p>
      <w:pPr>
        <w:pStyle w:val="yHeading3"/>
      </w:pPr>
      <w:bookmarkStart w:id="535" w:name="_Toc389042280"/>
      <w:bookmarkStart w:id="536" w:name="_Toc389126146"/>
      <w:bookmarkStart w:id="537" w:name="_Toc416783565"/>
      <w:bookmarkStart w:id="538" w:name="_Toc416783757"/>
      <w:r>
        <w:rPr>
          <w:rStyle w:val="CharSDivNo"/>
        </w:rPr>
        <w:t>Part 4</w:t>
      </w:r>
      <w:r>
        <w:t> — </w:t>
      </w:r>
      <w:r>
        <w:rPr>
          <w:rStyle w:val="CharSDivText"/>
        </w:rPr>
        <w:t>Functions and powers</w:t>
      </w:r>
      <w:bookmarkEnd w:id="535"/>
      <w:bookmarkEnd w:id="536"/>
      <w:bookmarkEnd w:id="537"/>
      <w:bookmarkEnd w:id="538"/>
    </w:p>
    <w:p>
      <w:pPr>
        <w:pStyle w:val="yHeading5"/>
      </w:pPr>
      <w:bookmarkStart w:id="539" w:name="_Toc389126147"/>
      <w:bookmarkStart w:id="540" w:name="_Toc416783758"/>
      <w:r>
        <w:rPr>
          <w:rStyle w:val="CharSClsNo"/>
        </w:rPr>
        <w:t>22</w:t>
      </w:r>
      <w:r>
        <w:t>.</w:t>
      </w:r>
      <w:r>
        <w:tab/>
        <w:t>Performance of statutory functions</w:t>
      </w:r>
      <w:bookmarkEnd w:id="539"/>
      <w:bookmarkEnd w:id="540"/>
    </w:p>
    <w:p>
      <w:pPr>
        <w:pStyle w:val="ySubsection"/>
      </w:pPr>
      <w:r>
        <w:tab/>
        <w:t>(1)</w:t>
      </w:r>
      <w:r>
        <w:tab/>
        <w:t>If this Act confers a function or power on a person or body, the function may be performed, or the power may be exercised, from time to time as occasion requires.</w:t>
      </w:r>
    </w:p>
    <w:p>
      <w:pPr>
        <w:pStyle w:val="ySubsection"/>
      </w:pPr>
      <w:r>
        <w:tab/>
        <w:t>(2)</w:t>
      </w:r>
      <w:r>
        <w:tab/>
        <w:t>If this Act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Act confers a function or power on a body (whether or not incorporated), the performance of the function, or the exercise of the power, is not affected merely because of vacancies in the membership of the body.</w:t>
      </w:r>
    </w:p>
    <w:p>
      <w:pPr>
        <w:pStyle w:val="yHeading5"/>
      </w:pPr>
      <w:bookmarkStart w:id="541" w:name="_Toc389126148"/>
      <w:bookmarkStart w:id="542" w:name="_Toc416783759"/>
      <w:r>
        <w:rPr>
          <w:rStyle w:val="CharSClsNo"/>
        </w:rPr>
        <w:t>23</w:t>
      </w:r>
      <w:r>
        <w:t>.</w:t>
      </w:r>
      <w:r>
        <w:tab/>
        <w:t>Power to make instrument or decision includes power to amend or repeal</w:t>
      </w:r>
      <w:bookmarkEnd w:id="541"/>
      <w:bookmarkEnd w:id="542"/>
    </w:p>
    <w:p>
      <w:pPr>
        <w:pStyle w:val="ySubsection"/>
      </w:pPr>
      <w:r>
        <w:tab/>
      </w:r>
      <w:r>
        <w:tab/>
        <w:t xml:space="preserve">If this Act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543" w:name="_Toc389126149"/>
      <w:bookmarkStart w:id="544" w:name="_Toc416783760"/>
      <w:r>
        <w:rPr>
          <w:rStyle w:val="CharSClsNo"/>
        </w:rPr>
        <w:t>24</w:t>
      </w:r>
      <w:r>
        <w:t>.</w:t>
      </w:r>
      <w:r>
        <w:tab/>
        <w:t>Matters for which statutory instruments may make provision</w:t>
      </w:r>
      <w:bookmarkEnd w:id="543"/>
      <w:bookmarkEnd w:id="544"/>
    </w:p>
    <w:p>
      <w:pPr>
        <w:pStyle w:val="ySubsection"/>
      </w:pPr>
      <w:r>
        <w:tab/>
        <w:t>(1)</w:t>
      </w:r>
      <w:r>
        <w:tab/>
        <w:t xml:space="preserve">If this Act authorises or requires the making of a statutory instrument in relation to a matter, a statutory instrument made under this Act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Act authorises or requires a matter to be regulated by statutory instrument, the power may be exercised by prohibiting by statutory instrument the matter or any aspect of the matter.</w:t>
      </w:r>
    </w:p>
    <w:p>
      <w:pPr>
        <w:pStyle w:val="ySubsection"/>
      </w:pPr>
      <w:r>
        <w:tab/>
        <w:t>(7)</w:t>
      </w:r>
      <w:r>
        <w:tab/>
        <w: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Act,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spacing w:before="120"/>
      </w:pPr>
      <w:bookmarkStart w:id="545" w:name="_Toc389126150"/>
      <w:bookmarkStart w:id="546" w:name="_Toc416783761"/>
      <w:r>
        <w:rPr>
          <w:rStyle w:val="CharSClsNo"/>
        </w:rPr>
        <w:t>25</w:t>
      </w:r>
      <w:r>
        <w:t>.</w:t>
      </w:r>
      <w:r>
        <w:tab/>
        <w:t>Presumption of validity and power to make</w:t>
      </w:r>
      <w:bookmarkEnd w:id="545"/>
      <w:bookmarkEnd w:id="546"/>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Act or a particular provision of this Act.</w:t>
      </w:r>
    </w:p>
    <w:p>
      <w:pPr>
        <w:pStyle w:val="yHeading5"/>
      </w:pPr>
      <w:bookmarkStart w:id="547" w:name="_Toc389126151"/>
      <w:bookmarkStart w:id="548" w:name="_Toc416783762"/>
      <w:r>
        <w:rPr>
          <w:rStyle w:val="CharSClsNo"/>
        </w:rPr>
        <w:t>26</w:t>
      </w:r>
      <w:r>
        <w:t>.</w:t>
      </w:r>
      <w:r>
        <w:tab/>
        <w:t>Appointments may be made by name or office</w:t>
      </w:r>
      <w:bookmarkEnd w:id="547"/>
      <w:bookmarkEnd w:id="548"/>
    </w:p>
    <w:p>
      <w:pPr>
        <w:pStyle w:val="ySubsection"/>
      </w:pPr>
      <w:r>
        <w:tab/>
        <w:t>(1)</w:t>
      </w:r>
      <w:r>
        <w:tab/>
        <w:t xml:space="preserve">If this Act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549" w:name="_Toc389126152"/>
      <w:bookmarkStart w:id="550" w:name="_Toc416783763"/>
      <w:r>
        <w:rPr>
          <w:rStyle w:val="CharSClsNo"/>
        </w:rPr>
        <w:t>27</w:t>
      </w:r>
      <w:r>
        <w:t>.</w:t>
      </w:r>
      <w:r>
        <w:tab/>
        <w:t>Acting appointments</w:t>
      </w:r>
      <w:bookmarkEnd w:id="549"/>
      <w:bookmarkEnd w:id="550"/>
    </w:p>
    <w:p>
      <w:pPr>
        <w:pStyle w:val="ySubsection"/>
      </w:pPr>
      <w:r>
        <w:tab/>
        <w:t>(1)</w:t>
      </w:r>
      <w:r>
        <w:tab/>
        <w:t xml:space="preserve">If this Act authorises a person or body to appoint a person to act in an office, the person or body may, in accordance with this Act,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one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Act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Act authorises the appointer to appoint a person to act during a vacancy in the office, an appointment to act in the office may be made by the appointer whether or not an appointment has previously been made to the office.</w:t>
      </w:r>
    </w:p>
    <w:p>
      <w:pPr>
        <w:pStyle w:val="yHeading5"/>
      </w:pPr>
      <w:bookmarkStart w:id="551" w:name="_Toc389126153"/>
      <w:bookmarkStart w:id="552" w:name="_Toc416783764"/>
      <w:r>
        <w:rPr>
          <w:rStyle w:val="CharSClsNo"/>
        </w:rPr>
        <w:t>28</w:t>
      </w:r>
      <w:r>
        <w:t>.</w:t>
      </w:r>
      <w:r>
        <w:tab/>
        <w:t>Powers of appointment imply certain incidental powers</w:t>
      </w:r>
      <w:bookmarkEnd w:id="551"/>
      <w:bookmarkEnd w:id="552"/>
    </w:p>
    <w:p>
      <w:pPr>
        <w:pStyle w:val="ySubsection"/>
      </w:pPr>
      <w:r>
        <w:tab/>
        <w:t>(1)</w:t>
      </w:r>
      <w:r>
        <w:tab/>
        <w:t xml:space="preserve">If this Act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Act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553" w:name="_Toc389126154"/>
      <w:bookmarkStart w:id="554" w:name="_Toc416783765"/>
      <w:r>
        <w:rPr>
          <w:rStyle w:val="CharSClsNo"/>
        </w:rPr>
        <w:t>29</w:t>
      </w:r>
      <w:r>
        <w:t>.</w:t>
      </w:r>
      <w:r>
        <w:tab/>
        <w:t>Delegation of functions</w:t>
      </w:r>
      <w:bookmarkEnd w:id="553"/>
      <w:bookmarkEnd w:id="554"/>
    </w:p>
    <w:p>
      <w:pPr>
        <w:pStyle w:val="ySubsection"/>
      </w:pPr>
      <w:r>
        <w:tab/>
        <w:t>(1)</w:t>
      </w:r>
      <w:r>
        <w:tab/>
        <w:t xml:space="preserve">If this Act authorises a person or body to delegate a function, the person or body may, in accordance with this Act and any other applicable law, delegate the function to —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 xml:space="preserve">The delegation may be —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 xml:space="preserve">If —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 xml:space="preserve">then —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 xml:space="preserve">If —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 xml:space="preserve">then —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 xml:space="preserve">If a function is delegated to a specified officer or the holder of a specified office —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Act authorises the delegation of a function, the function may be subdelegated only if the Act expressly authorises the function to be subdelegated.</w:t>
      </w:r>
    </w:p>
    <w:p>
      <w:pPr>
        <w:pStyle w:val="yHeading5"/>
      </w:pPr>
      <w:bookmarkStart w:id="555" w:name="_Toc389126155"/>
      <w:bookmarkStart w:id="556" w:name="_Toc416783766"/>
      <w:r>
        <w:rPr>
          <w:rStyle w:val="CharSClsNo"/>
        </w:rPr>
        <w:t>30</w:t>
      </w:r>
      <w:r>
        <w:t>.</w:t>
      </w:r>
      <w:r>
        <w:tab/>
        <w:t>Exercise of powers before commencement</w:t>
      </w:r>
      <w:bookmarkEnd w:id="555"/>
      <w:bookmarkEnd w:id="556"/>
    </w:p>
    <w:p>
      <w:pPr>
        <w:pStyle w:val="ySubsection"/>
      </w:pPr>
      <w:r>
        <w:tab/>
        <w:t>(1)</w:t>
      </w:r>
      <w:r>
        <w:tab/>
        <w:t xml:space="preserve">If a provision of this Act (the </w:t>
      </w:r>
      <w:r>
        <w:rPr>
          <w:rStyle w:val="CharDefText"/>
        </w:rPr>
        <w:t>empowering provision</w:t>
      </w:r>
      <w:r>
        <w:t xml:space="preserve">) that has not commenced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Act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Act has commenced and confers a power to make a statutory instrument (the </w:t>
      </w:r>
      <w:r>
        <w:rPr>
          <w:rStyle w:val="CharDefText"/>
        </w:rPr>
        <w:t>basic statutory instrument</w:t>
      </w:r>
      <w:r>
        <w:rPr>
          <w:rStyle w:val="CharDefText"/>
        </w:rPr>
        <w:noBreakHyphen/>
        <w:t>making power</w:t>
      </w:r>
      <w:r>
        <w:t>); and</w:t>
      </w:r>
    </w:p>
    <w:p>
      <w:pPr>
        <w:pStyle w:val="yIndenta"/>
      </w:pPr>
      <w:r>
        <w:tab/>
        <w:t>(b)</w:t>
      </w:r>
      <w:r>
        <w:tab/>
        <w:t xml:space="preserve">a provision of an Act that does not commence on its enactment would, had it commenced, amend this Act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 xml:space="preserve">then —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 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3"/>
        <w:spacing w:before="120"/>
      </w:pPr>
      <w:bookmarkStart w:id="557" w:name="_Toc389042290"/>
      <w:bookmarkStart w:id="558" w:name="_Toc389126156"/>
      <w:bookmarkStart w:id="559" w:name="_Toc416783575"/>
      <w:bookmarkStart w:id="560" w:name="_Toc416783767"/>
      <w:r>
        <w:rPr>
          <w:rStyle w:val="CharSDivNo"/>
        </w:rPr>
        <w:t>Part 5</w:t>
      </w:r>
      <w:r>
        <w:t> — </w:t>
      </w:r>
      <w:r>
        <w:rPr>
          <w:rStyle w:val="CharSDivText"/>
        </w:rPr>
        <w:t>Distance, time and age</w:t>
      </w:r>
      <w:bookmarkEnd w:id="557"/>
      <w:bookmarkEnd w:id="558"/>
      <w:bookmarkEnd w:id="559"/>
      <w:bookmarkEnd w:id="560"/>
    </w:p>
    <w:p>
      <w:pPr>
        <w:pStyle w:val="yHeading5"/>
      </w:pPr>
      <w:bookmarkStart w:id="561" w:name="_Toc389126157"/>
      <w:bookmarkStart w:id="562" w:name="_Toc416783768"/>
      <w:r>
        <w:rPr>
          <w:rStyle w:val="CharSClsNo"/>
        </w:rPr>
        <w:t>31</w:t>
      </w:r>
      <w:r>
        <w:t>.</w:t>
      </w:r>
      <w:r>
        <w:tab/>
        <w:t>Matters relating to distance, time and age</w:t>
      </w:r>
      <w:bookmarkEnd w:id="561"/>
      <w:bookmarkEnd w:id="562"/>
    </w:p>
    <w:p>
      <w:pPr>
        <w:pStyle w:val="ySubsection"/>
      </w:pPr>
      <w:r>
        <w:tab/>
        <w:t>(1)</w:t>
      </w:r>
      <w:r>
        <w:tab/>
        <w:t>In the measurement of distance for the purposes of this Act, the distance is to be measured along the shortest road ordinarily used for travelling.</w:t>
      </w:r>
    </w:p>
    <w:p>
      <w:pPr>
        <w:pStyle w:val="ySubsection"/>
      </w:pPr>
      <w:r>
        <w:tab/>
        <w:t>(2)</w:t>
      </w:r>
      <w:r>
        <w:tab/>
        <w:t xml:space="preserve">If a period beginning on a given day, act or event is provided or allowed for a purpose by this Act, the period is to be calculated by excluding the day, or the day of the act or event, and — </w:t>
      </w:r>
    </w:p>
    <w:p>
      <w:pPr>
        <w:pStyle w:val="yIndenta"/>
      </w:pPr>
      <w:r>
        <w:tab/>
        <w:t>(a)</w:t>
      </w:r>
      <w:r>
        <w:tab/>
        <w:t>if the period is expressed to be a specified number of clear days or at least a specified number of days, by excluding the day on which the purpose is to be fulfilled; and</w:t>
      </w:r>
    </w:p>
    <w:p>
      <w:pPr>
        <w:pStyle w:val="yIndenta"/>
      </w:pPr>
      <w:r>
        <w:tab/>
        <w:t>(b)</w:t>
      </w:r>
      <w:r>
        <w:tab/>
        <w:t>in any other case, by including the day on which the purpose is to be fulfilled.</w:t>
      </w:r>
    </w:p>
    <w:p>
      <w:pPr>
        <w:pStyle w:val="ySubsection"/>
      </w:pPr>
      <w:r>
        <w:tab/>
        <w:t>(3)</w:t>
      </w:r>
      <w:r>
        <w:tab/>
        <w:t>If the last day of a period provided or allowed by this Act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Act, there is a reference to time, the reference is, in relation to the doing of anything in a jurisdiction, a reference to the legal time in the jurisdiction.</w:t>
      </w:r>
    </w:p>
    <w:p>
      <w:pPr>
        <w:pStyle w:val="ySubsection"/>
      </w:pPr>
      <w:r>
        <w:tab/>
        <w:t>(7)</w:t>
      </w:r>
      <w:r>
        <w:tab/>
        <w:t>For the purposes of this Act, a person attains an age in years at the beginning of the person’s birthday for the age.</w:t>
      </w:r>
    </w:p>
    <w:p>
      <w:pPr>
        <w:pStyle w:val="yHeading3"/>
      </w:pPr>
      <w:bookmarkStart w:id="563" w:name="_Toc389042292"/>
      <w:bookmarkStart w:id="564" w:name="_Toc389126158"/>
      <w:bookmarkStart w:id="565" w:name="_Toc416783577"/>
      <w:bookmarkStart w:id="566" w:name="_Toc416783769"/>
      <w:r>
        <w:rPr>
          <w:rStyle w:val="CharSDivNo"/>
        </w:rPr>
        <w:t>Part 6</w:t>
      </w:r>
      <w:r>
        <w:t> — </w:t>
      </w:r>
      <w:r>
        <w:rPr>
          <w:rStyle w:val="CharSDivText"/>
        </w:rPr>
        <w:t>Effect of repeal, amendment or expiration</w:t>
      </w:r>
      <w:bookmarkEnd w:id="563"/>
      <w:bookmarkEnd w:id="564"/>
      <w:bookmarkEnd w:id="565"/>
      <w:bookmarkEnd w:id="566"/>
    </w:p>
    <w:p>
      <w:pPr>
        <w:pStyle w:val="yHeading5"/>
      </w:pPr>
      <w:bookmarkStart w:id="567" w:name="_Toc389126159"/>
      <w:bookmarkStart w:id="568" w:name="_Toc416783770"/>
      <w:r>
        <w:rPr>
          <w:rStyle w:val="CharSClsNo"/>
        </w:rPr>
        <w:t>32</w:t>
      </w:r>
      <w:r>
        <w:t>.</w:t>
      </w:r>
      <w:r>
        <w:tab/>
        <w:t>Time of Act ceasing to have effect</w:t>
      </w:r>
      <w:bookmarkEnd w:id="567"/>
      <w:bookmarkEnd w:id="568"/>
    </w:p>
    <w:p>
      <w:pPr>
        <w:pStyle w:val="ySubsection"/>
      </w:pPr>
      <w:r>
        <w:tab/>
      </w:r>
      <w:r>
        <w:tab/>
        <w:t xml:space="preserve">If a provision of this Act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the provision has effect until the last moment of the specified day.</w:t>
      </w:r>
    </w:p>
    <w:p>
      <w:pPr>
        <w:pStyle w:val="yHeading5"/>
      </w:pPr>
      <w:bookmarkStart w:id="569" w:name="_Toc389126160"/>
      <w:bookmarkStart w:id="570" w:name="_Toc416783771"/>
      <w:r>
        <w:rPr>
          <w:rStyle w:val="CharSClsNo"/>
        </w:rPr>
        <w:t>33</w:t>
      </w:r>
      <w:r>
        <w:t>.</w:t>
      </w:r>
      <w:r>
        <w:tab/>
        <w:t>Repealed Act provisions not revived</w:t>
      </w:r>
      <w:bookmarkEnd w:id="569"/>
      <w:bookmarkEnd w:id="570"/>
    </w:p>
    <w:p>
      <w:pPr>
        <w:pStyle w:val="ySubsection"/>
      </w:pPr>
      <w:r>
        <w:tab/>
      </w:r>
      <w:r>
        <w:tab/>
        <w:t xml:space="preserve">If a provision of this Act is repealed or amended by an Act, or a provision of an Act, the provision is not revived merely because the Act or the provision of the Act — </w:t>
      </w:r>
    </w:p>
    <w:p>
      <w:pPr>
        <w:pStyle w:val="yIndenta"/>
      </w:pPr>
      <w:r>
        <w:tab/>
        <w:t>(a)</w:t>
      </w:r>
      <w:r>
        <w:tab/>
        <w:t>is later repealed or amended; or</w:t>
      </w:r>
    </w:p>
    <w:p>
      <w:pPr>
        <w:pStyle w:val="yIndenta"/>
      </w:pPr>
      <w:r>
        <w:tab/>
        <w:t>(b)</w:t>
      </w:r>
      <w:r>
        <w:tab/>
        <w:t>later expires.</w:t>
      </w:r>
    </w:p>
    <w:p>
      <w:pPr>
        <w:pStyle w:val="yHeading5"/>
      </w:pPr>
      <w:bookmarkStart w:id="571" w:name="_Toc389126161"/>
      <w:bookmarkStart w:id="572" w:name="_Toc416783772"/>
      <w:r>
        <w:rPr>
          <w:rStyle w:val="CharSClsNo"/>
        </w:rPr>
        <w:t>34</w:t>
      </w:r>
      <w:r>
        <w:t>.</w:t>
      </w:r>
      <w:r>
        <w:tab/>
        <w:t>Saving of operation of repealed Act provisions</w:t>
      </w:r>
      <w:bookmarkEnd w:id="571"/>
      <w:bookmarkEnd w:id="572"/>
    </w:p>
    <w:p>
      <w:pPr>
        <w:pStyle w:val="ySubsection"/>
      </w:pPr>
      <w:r>
        <w:tab/>
        <w:t>(1)</w:t>
      </w:r>
      <w:r>
        <w:tab/>
        <w:t xml:space="preserve">The repeal, amendment or expiry of a provision of this Act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573" w:name="_Toc389126162"/>
      <w:bookmarkStart w:id="574" w:name="_Toc416783773"/>
      <w:r>
        <w:rPr>
          <w:rStyle w:val="CharSClsNo"/>
        </w:rPr>
        <w:t>35</w:t>
      </w:r>
      <w:r>
        <w:t>.</w:t>
      </w:r>
      <w:r>
        <w:tab/>
        <w:t>Continuance of repealed provisions</w:t>
      </w:r>
      <w:bookmarkEnd w:id="573"/>
      <w:bookmarkEnd w:id="574"/>
    </w:p>
    <w:p>
      <w:pPr>
        <w:pStyle w:val="ySubsection"/>
      </w:pPr>
      <w:r>
        <w:tab/>
      </w:r>
      <w:r>
        <w:tab/>
        <w:t>If an Act repeals some provisions of this Act and enacts new provisions in substitution for the repealed provisions, the repealed provisions continue in force until the new provisions commence.</w:t>
      </w:r>
    </w:p>
    <w:p>
      <w:pPr>
        <w:pStyle w:val="yHeading5"/>
      </w:pPr>
      <w:bookmarkStart w:id="575" w:name="_Toc389126163"/>
      <w:bookmarkStart w:id="576" w:name="_Toc416783774"/>
      <w:r>
        <w:rPr>
          <w:rStyle w:val="CharSClsNo"/>
        </w:rPr>
        <w:t>36</w:t>
      </w:r>
      <w:r>
        <w:t>.</w:t>
      </w:r>
      <w:r>
        <w:tab/>
        <w:t>Act and amending Acts to be read as one</w:t>
      </w:r>
      <w:bookmarkEnd w:id="575"/>
      <w:bookmarkEnd w:id="576"/>
    </w:p>
    <w:p>
      <w:pPr>
        <w:pStyle w:val="ySubsection"/>
      </w:pPr>
      <w:r>
        <w:tab/>
      </w:r>
      <w:r>
        <w:tab/>
        <w:t>This Act and all Acts amending this Act are to be read as one.</w:t>
      </w:r>
    </w:p>
    <w:p>
      <w:pPr>
        <w:pStyle w:val="yHeading3"/>
      </w:pPr>
      <w:bookmarkStart w:id="577" w:name="_Toc389042298"/>
      <w:bookmarkStart w:id="578" w:name="_Toc389126164"/>
      <w:bookmarkStart w:id="579" w:name="_Toc416783583"/>
      <w:bookmarkStart w:id="580" w:name="_Toc416783775"/>
      <w:r>
        <w:rPr>
          <w:rStyle w:val="CharSDivNo"/>
        </w:rPr>
        <w:t>Part 7</w:t>
      </w:r>
      <w:r>
        <w:t> — </w:t>
      </w:r>
      <w:r>
        <w:rPr>
          <w:rStyle w:val="CharSDivText"/>
        </w:rPr>
        <w:t>Instruments under Act</w:t>
      </w:r>
      <w:bookmarkEnd w:id="577"/>
      <w:bookmarkEnd w:id="578"/>
      <w:bookmarkEnd w:id="579"/>
      <w:bookmarkEnd w:id="580"/>
    </w:p>
    <w:p>
      <w:pPr>
        <w:pStyle w:val="yHeading5"/>
      </w:pPr>
      <w:bookmarkStart w:id="581" w:name="_Toc389126165"/>
      <w:bookmarkStart w:id="582" w:name="_Toc416783776"/>
      <w:r>
        <w:rPr>
          <w:rStyle w:val="CharSClsNo"/>
        </w:rPr>
        <w:t>37</w:t>
      </w:r>
      <w:r>
        <w:t>.</w:t>
      </w:r>
      <w:r>
        <w:tab/>
        <w:t>Schedule applies to statutory instruments</w:t>
      </w:r>
      <w:bookmarkEnd w:id="581"/>
      <w:bookmarkEnd w:id="582"/>
    </w:p>
    <w:p>
      <w:pPr>
        <w:pStyle w:val="ySubsection"/>
      </w:pPr>
      <w:r>
        <w:tab/>
        <w:t>(1)</w:t>
      </w:r>
      <w:r>
        <w:tab/>
        <w: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t>
      </w:r>
    </w:p>
    <w:p>
      <w:pPr>
        <w:pStyle w:val="ySubsection"/>
      </w:pPr>
      <w:r>
        <w:tab/>
        <w:t>(2)</w:t>
      </w:r>
      <w:r>
        <w:tab/>
        <w:t>The fact that a provision of this Schedule refers to this Act and not also to a statutory instrument does not, by itself, indicate that the provision is intended to apply only to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nHeading2"/>
      </w:pPr>
      <w:bookmarkStart w:id="584" w:name="_Toc389042300"/>
      <w:bookmarkStart w:id="585" w:name="_Toc389126166"/>
      <w:bookmarkStart w:id="586" w:name="_Toc416783585"/>
      <w:bookmarkStart w:id="587" w:name="_Toc416783777"/>
      <w:r>
        <w:t>Notes</w:t>
      </w:r>
      <w:bookmarkEnd w:id="584"/>
      <w:bookmarkEnd w:id="585"/>
      <w:bookmarkEnd w:id="586"/>
      <w:bookmarkEnd w:id="587"/>
    </w:p>
    <w:p>
      <w:pPr>
        <w:pStyle w:val="nSubsection"/>
        <w:rPr>
          <w:snapToGrid w:val="0"/>
        </w:rPr>
      </w:pPr>
      <w:r>
        <w:rPr>
          <w:snapToGrid w:val="0"/>
          <w:vertAlign w:val="superscript"/>
        </w:rPr>
        <w:t>1</w:t>
      </w:r>
      <w:r>
        <w:rPr>
          <w:snapToGrid w:val="0"/>
        </w:rPr>
        <w:tab/>
        <w:t xml:space="preserve">This is a compilation of the </w:t>
      </w:r>
      <w:r>
        <w:rPr>
          <w:i/>
          <w:snapToGrid w:val="0"/>
        </w:rPr>
        <w:t>Electronic Conveyancing Act 2014</w:t>
      </w:r>
      <w:r>
        <w:rPr>
          <w:snapToGrid w:val="0"/>
        </w:rPr>
        <w:t>.  The following table contains information about that Act.</w:t>
      </w:r>
    </w:p>
    <w:p>
      <w:pPr>
        <w:pStyle w:val="nHeading3"/>
        <w:rPr>
          <w:snapToGrid w:val="0"/>
        </w:rPr>
      </w:pPr>
      <w:bookmarkStart w:id="588" w:name="_Toc389126167"/>
      <w:bookmarkStart w:id="589" w:name="_Toc416783778"/>
      <w:r>
        <w:rPr>
          <w:snapToGrid w:val="0"/>
        </w:rPr>
        <w:t>Compilation table</w:t>
      </w:r>
      <w:bookmarkEnd w:id="588"/>
      <w:bookmarkEnd w:id="58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Electronic Conveyancing Act 2014</w:t>
            </w:r>
            <w:r>
              <w:t xml:space="preserve"> </w:t>
            </w:r>
          </w:p>
        </w:tc>
        <w:tc>
          <w:tcPr>
            <w:tcW w:w="1134" w:type="dxa"/>
          </w:tcPr>
          <w:p>
            <w:pPr>
              <w:pStyle w:val="nTable"/>
              <w:spacing w:after="40"/>
            </w:pPr>
            <w:r>
              <w:t>2 of 2014</w:t>
            </w:r>
          </w:p>
        </w:tc>
        <w:tc>
          <w:tcPr>
            <w:tcW w:w="1134" w:type="dxa"/>
          </w:tcPr>
          <w:p>
            <w:pPr>
              <w:pStyle w:val="nTable"/>
              <w:spacing w:after="40"/>
            </w:pPr>
            <w:r>
              <w:t>24 Mar 2014</w:t>
            </w:r>
          </w:p>
        </w:tc>
        <w:tc>
          <w:tcPr>
            <w:tcW w:w="2552" w:type="dxa"/>
          </w:tcPr>
          <w:p>
            <w:pPr>
              <w:pStyle w:val="nTable"/>
              <w:spacing w:after="40"/>
            </w:pPr>
            <w:r>
              <w:t>Pt. 1 (other than s. 3-7A): 24 Mar 2014 (see s. 2(a));</w:t>
            </w:r>
            <w:r>
              <w:br/>
              <w:t>s. 3-7A, Pt. 3-5 and Sch. 1: 25 Mar 2014 (see s. 2(b));</w:t>
            </w:r>
            <w:r>
              <w:br/>
              <w:t>Pt. 2 and 6</w:t>
            </w:r>
            <w:r>
              <w:noBreakHyphen/>
              <w:t xml:space="preserve">9: 3 Jun 2014 (see s. 2(c) and </w:t>
            </w:r>
            <w:r>
              <w:rPr>
                <w:i/>
              </w:rPr>
              <w:t>Gazette</w:t>
            </w:r>
            <w:r>
              <w:t xml:space="preserve"> 30 May 2014 p. 1679)</w:t>
            </w:r>
          </w:p>
        </w:tc>
      </w:tr>
    </w:tbl>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591" w:name="_Toc416783779"/>
      <w:r>
        <w:rPr>
          <w:sz w:val="28"/>
        </w:rPr>
        <w:t>Defined terms</w:t>
      </w:r>
      <w:bookmarkEnd w:id="5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Sch. 1 cl. 12(1)</w:t>
      </w:r>
    </w:p>
    <w:p>
      <w:pPr>
        <w:pStyle w:val="DefinedTerms"/>
      </w:pPr>
      <w:r>
        <w:t>additional instrument</w:t>
      </w:r>
      <w:r>
        <w:noBreakHyphen/>
        <w:t>making power</w:t>
      </w:r>
      <w:r>
        <w:tab/>
        <w:t>Sch. 1 cl. 30(3)</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appellable decision</w:t>
      </w:r>
      <w:r>
        <w:tab/>
        <w:t>28(1)</w:t>
      </w:r>
    </w:p>
    <w:p>
      <w:pPr>
        <w:pStyle w:val="DefinedTerms"/>
      </w:pPr>
      <w:r>
        <w:t>appoint</w:t>
      </w:r>
      <w:r>
        <w:tab/>
        <w:t>Sch. 1 cl. 12(1)</w:t>
      </w:r>
    </w:p>
    <w:p>
      <w:pPr>
        <w:pStyle w:val="DefinedTerms"/>
      </w:pPr>
      <w:r>
        <w:t>appropriate authority</w:t>
      </w:r>
      <w:r>
        <w:tab/>
        <w:t>35(1)</w:t>
      </w:r>
    </w:p>
    <w:p>
      <w:pPr>
        <w:pStyle w:val="DefinedTerms"/>
      </w:pPr>
      <w:r>
        <w:t>ARNECC</w:t>
      </w:r>
      <w:r>
        <w:tab/>
        <w:t>3(1)</w:t>
      </w:r>
    </w:p>
    <w:p>
      <w:pPr>
        <w:pStyle w:val="DefinedTerms"/>
      </w:pPr>
      <w:r>
        <w:t>associated financial transaction</w:t>
      </w:r>
      <w:r>
        <w:tab/>
        <w:t>3(1)</w:t>
      </w:r>
    </w:p>
    <w:p>
      <w:pPr>
        <w:pStyle w:val="DefinedTerms"/>
      </w:pPr>
      <w:r>
        <w:t>Australia</w:t>
      </w:r>
      <w:r>
        <w:tab/>
        <w:t>Sch. 1 cl. 12(1)</w:t>
      </w:r>
    </w:p>
    <w:p>
      <w:pPr>
        <w:pStyle w:val="DefinedTerms"/>
      </w:pPr>
      <w:r>
        <w:t>authorised person</w:t>
      </w:r>
      <w:r>
        <w:tab/>
        <w:t>45(1)</w:t>
      </w:r>
    </w:p>
    <w:p>
      <w:pPr>
        <w:pStyle w:val="DefinedTerms"/>
      </w:pPr>
      <w:r>
        <w:t>Authority</w:t>
      </w:r>
      <w:r>
        <w:tab/>
        <w:t>3(1)</w:t>
      </w:r>
    </w:p>
    <w:p>
      <w:pPr>
        <w:pStyle w:val="DefinedTerms"/>
      </w:pPr>
      <w:r>
        <w:t>basic statutory instrument</w:t>
      </w:r>
      <w:r>
        <w:noBreakHyphen/>
        <w:t>making power</w:t>
      </w:r>
      <w:r>
        <w:tab/>
        <w:t>Sch. 1 cl. 30(3)</w:t>
      </w:r>
    </w:p>
    <w:p>
      <w:pPr>
        <w:pStyle w:val="DefinedTerms"/>
      </w:pPr>
      <w:r>
        <w:t>business day</w:t>
      </w:r>
      <w:r>
        <w:tab/>
        <w:t>43(1), Sch. 1 cl. 12(1)</w:t>
      </w:r>
    </w:p>
    <w:p>
      <w:pPr>
        <w:pStyle w:val="DefinedTerms"/>
      </w:pPr>
      <w:r>
        <w:t>calendar month</w:t>
      </w:r>
      <w:r>
        <w:tab/>
        <w:t>Sch. 1 cl. 12(1)</w:t>
      </w:r>
    </w:p>
    <w:p>
      <w:pPr>
        <w:pStyle w:val="DefinedTerms"/>
      </w:pPr>
      <w:r>
        <w:t>calendar year</w:t>
      </w:r>
      <w:r>
        <w:tab/>
        <w:t>Sch. 1 cl. 12(1)</w:t>
      </w:r>
    </w:p>
    <w:p>
      <w:pPr>
        <w:pStyle w:val="DefinedTerms"/>
      </w:pPr>
      <w:r>
        <w:t>client authorisation</w:t>
      </w:r>
      <w:r>
        <w:tab/>
        <w:t>3(1)</w:t>
      </w:r>
    </w:p>
    <w:p>
      <w:pPr>
        <w:pStyle w:val="DefinedTerms"/>
      </w:pPr>
      <w:r>
        <w:t>commencement</w:t>
      </w:r>
      <w:r>
        <w:tab/>
        <w:t>Sch. 1 cl. 12(1)</w:t>
      </w:r>
    </w:p>
    <w:p>
      <w:pPr>
        <w:pStyle w:val="DefinedTerms"/>
      </w:pPr>
      <w:r>
        <w:t>Commissioner</w:t>
      </w:r>
      <w:r>
        <w:tab/>
        <w:t>3(1)</w:t>
      </w:r>
    </w:p>
    <w:p>
      <w:pPr>
        <w:pStyle w:val="DefinedTerms"/>
      </w:pPr>
      <w:r>
        <w:t>Commonwealth</w:t>
      </w:r>
      <w:r>
        <w:tab/>
        <w:t>Sch. 1 cl. 12(1)</w:t>
      </w:r>
    </w:p>
    <w:p>
      <w:pPr>
        <w:pStyle w:val="DefinedTerms"/>
      </w:pPr>
      <w:r>
        <w:t>compliance examination</w:t>
      </w:r>
      <w:r>
        <w:tab/>
        <w:t>3(1), 33(1)</w:t>
      </w:r>
    </w:p>
    <w:p>
      <w:pPr>
        <w:pStyle w:val="DefinedTerms"/>
      </w:pPr>
      <w:r>
        <w:t>confer</w:t>
      </w:r>
      <w:r>
        <w:tab/>
        <w:t>Sch. 1 cl. 12(1)</w:t>
      </w:r>
    </w:p>
    <w:p>
      <w:pPr>
        <w:pStyle w:val="DefinedTerms"/>
      </w:pPr>
      <w:r>
        <w:t>contravene</w:t>
      </w:r>
      <w:r>
        <w:tab/>
        <w:t>Sch. 1 cl. 12(1)</w:t>
      </w:r>
    </w:p>
    <w:p>
      <w:pPr>
        <w:pStyle w:val="DefinedTerms"/>
      </w:pPr>
      <w:r>
        <w:t>conveyancing transaction</w:t>
      </w:r>
      <w:r>
        <w:tab/>
        <w:t>3(1)</w:t>
      </w:r>
    </w:p>
    <w:p>
      <w:pPr>
        <w:pStyle w:val="DefinedTerms"/>
      </w:pPr>
      <w:r>
        <w:t>corresponding law</w:t>
      </w:r>
      <w:r>
        <w:tab/>
        <w:t>3(1)</w:t>
      </w:r>
    </w:p>
    <w:p>
      <w:pPr>
        <w:pStyle w:val="DefinedTerms"/>
      </w:pPr>
      <w:r>
        <w:t>country</w:t>
      </w:r>
      <w:r>
        <w:tab/>
        <w:t>Sch. 1 cl. 12(1)</w:t>
      </w:r>
    </w:p>
    <w:p>
      <w:pPr>
        <w:pStyle w:val="DefinedTerms"/>
      </w:pPr>
      <w:r>
        <w:t>date of assent</w:t>
      </w:r>
      <w:r>
        <w:tab/>
        <w:t>Sch. 1 cl. 12(1)</w:t>
      </w:r>
    </w:p>
    <w:p>
      <w:pPr>
        <w:pStyle w:val="DefinedTerms"/>
      </w:pPr>
      <w:r>
        <w:t>definition</w:t>
      </w:r>
      <w:r>
        <w:tab/>
        <w:t>Sch. 1 cl. 12(1)</w:t>
      </w:r>
    </w:p>
    <w:p>
      <w:pPr>
        <w:pStyle w:val="DefinedTerms"/>
      </w:pPr>
      <w:r>
        <w:t>digital signature</w:t>
      </w:r>
      <w:r>
        <w:tab/>
        <w:t>3(1)</w:t>
      </w:r>
    </w:p>
    <w:p>
      <w:pPr>
        <w:pStyle w:val="DefinedTerms"/>
      </w:pPr>
      <w:r>
        <w:t>digitally sign</w:t>
      </w:r>
      <w:r>
        <w:tab/>
        <w:t>3(1)</w:t>
      </w:r>
    </w:p>
    <w:p>
      <w:pPr>
        <w:pStyle w:val="DefinedTerms"/>
      </w:pPr>
      <w:r>
        <w:t>document</w:t>
      </w:r>
      <w:r>
        <w:tab/>
        <w:t>Sch. 1 cl. 12(1)</w:t>
      </w:r>
    </w:p>
    <w:p>
      <w:pPr>
        <w:pStyle w:val="DefinedTerms"/>
      </w:pPr>
      <w:r>
        <w:t>ECNL</w:t>
      </w:r>
      <w:r>
        <w:tab/>
        <w:t>3(1)</w:t>
      </w:r>
    </w:p>
    <w:p>
      <w:pPr>
        <w:pStyle w:val="DefinedTerms"/>
      </w:pPr>
      <w:r>
        <w:t>Electronic Conveyancing National Law</w:t>
      </w:r>
      <w:r>
        <w:tab/>
        <w:t>3(1)</w:t>
      </w:r>
    </w:p>
    <w:p>
      <w:pPr>
        <w:pStyle w:val="DefinedTerms"/>
      </w:pPr>
      <w:r>
        <w:t>ELN</w:t>
      </w:r>
      <w:r>
        <w:tab/>
        <w:t>3(1), 13(1)</w:t>
      </w:r>
    </w:p>
    <w:p>
      <w:pPr>
        <w:pStyle w:val="DefinedTerms"/>
      </w:pPr>
      <w:r>
        <w:t>ELNO</w:t>
      </w:r>
      <w:r>
        <w:tab/>
        <w:t>3(1), 15(1), 32</w:t>
      </w:r>
    </w:p>
    <w:p>
      <w:pPr>
        <w:pStyle w:val="DefinedTerms"/>
      </w:pPr>
      <w:r>
        <w:t>empowering provision</w:t>
      </w:r>
      <w:r>
        <w:tab/>
        <w:t>Sch. 1 cl. 30(1), Sch. 1 cl. 30(2)</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financial year</w:t>
      </w:r>
      <w:r>
        <w:tab/>
        <w:t>Sch. 1 cl. 12(1)</w:t>
      </w:r>
    </w:p>
    <w:p>
      <w:pPr>
        <w:pStyle w:val="DefinedTerms"/>
      </w:pPr>
      <w:r>
        <w:t>foreign country</w:t>
      </w:r>
      <w:r>
        <w:tab/>
        <w:t>Sch. 1 cl. 12(1)</w:t>
      </w:r>
    </w:p>
    <w:p>
      <w:pPr>
        <w:pStyle w:val="DefinedTerms"/>
      </w:pPr>
      <w:r>
        <w:t>function</w:t>
      </w:r>
      <w:r>
        <w:tab/>
        <w:t>Sch. 1 cl. 12(1)</w:t>
      </w:r>
    </w:p>
    <w:p>
      <w:pPr>
        <w:pStyle w:val="DefinedTerms"/>
      </w:pPr>
      <w:r>
        <w:t>Gazette</w:t>
      </w:r>
      <w:r>
        <w:tab/>
        <w:t>Sch. 1 cl. 12(1)</w:t>
      </w:r>
    </w:p>
    <w:p>
      <w:pPr>
        <w:pStyle w:val="DefinedTerms"/>
      </w:pPr>
      <w:r>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individual</w:t>
      </w:r>
      <w:r>
        <w:tab/>
        <w:t>Sch. 1 cl. 12(1)</w:t>
      </w:r>
    </w:p>
    <w:p>
      <w:pPr>
        <w:pStyle w:val="DefinedTerms"/>
      </w:pPr>
      <w:r>
        <w:t>insert</w:t>
      </w:r>
      <w:r>
        <w:tab/>
        <w:t>Sch. 1 cl. 12(1)</w:t>
      </w:r>
    </w:p>
    <w:p>
      <w:pPr>
        <w:pStyle w:val="DefinedTerms"/>
      </w:pPr>
      <w:r>
        <w:t>instrument</w:t>
      </w:r>
      <w:r>
        <w:tab/>
        <w:t>Sch. 1 cl. 12(1)</w:t>
      </w:r>
    </w:p>
    <w:p>
      <w:pPr>
        <w:pStyle w:val="DefinedTerms"/>
      </w:pPr>
      <w:r>
        <w:t>Intergovernmental Agreement</w:t>
      </w:r>
      <w:r>
        <w:tab/>
        <w:t>3(1)</w:t>
      </w:r>
    </w:p>
    <w:p>
      <w:pPr>
        <w:pStyle w:val="DefinedTerms"/>
      </w:pPr>
      <w:r>
        <w:t>internal Territory</w:t>
      </w:r>
      <w:r>
        <w:tab/>
        <w:t>Sch. 1 cl. 12(1)</w:t>
      </w:r>
    </w:p>
    <w:p>
      <w:pPr>
        <w:pStyle w:val="DefinedTerms"/>
      </w:pPr>
      <w:r>
        <w:t>Jervis Bay Territory</w:t>
      </w:r>
      <w:r>
        <w:tab/>
        <w:t>Sch. 1 cl. 12(1)</w:t>
      </w:r>
    </w:p>
    <w:p>
      <w:pPr>
        <w:pStyle w:val="DefinedTerms"/>
      </w:pPr>
      <w:r>
        <w:t>jurisdiction</w:t>
      </w:r>
      <w:r>
        <w:tab/>
        <w:t>3(1)</w:t>
      </w:r>
    </w:p>
    <w:p>
      <w:pPr>
        <w:pStyle w:val="DefinedTerms"/>
      </w:pPr>
      <w:r>
        <w:t>land titles legislation</w:t>
      </w:r>
      <w:r>
        <w:tab/>
        <w:t>3(1)</w:t>
      </w:r>
    </w:p>
    <w:p>
      <w:pPr>
        <w:pStyle w:val="DefinedTerms"/>
      </w:pPr>
      <w:r>
        <w:t>law</w:t>
      </w:r>
      <w:r>
        <w:tab/>
        <w:t>3(1)</w:t>
      </w:r>
    </w:p>
    <w:p>
      <w:pPr>
        <w:pStyle w:val="DefinedTerms"/>
      </w:pPr>
      <w:r>
        <w:t>law of this jurisdiction</w:t>
      </w:r>
      <w:r>
        <w:tab/>
        <w:t>3(1)</w:t>
      </w:r>
    </w:p>
    <w:p>
      <w:pPr>
        <w:pStyle w:val="DefinedTerms"/>
      </w:pPr>
      <w:r>
        <w:t>lodge</w:t>
      </w:r>
      <w:r>
        <w:tab/>
        <w:t>3(1)</w:t>
      </w:r>
    </w:p>
    <w:p>
      <w:pPr>
        <w:pStyle w:val="DefinedTerms"/>
      </w:pPr>
      <w:r>
        <w:t>make</w:t>
      </w:r>
      <w:r>
        <w:tab/>
        <w:t>Sch. 1 cl. 12(1)</w:t>
      </w:r>
    </w:p>
    <w:p>
      <w:pPr>
        <w:pStyle w:val="DefinedTerms"/>
      </w:pPr>
      <w:r>
        <w:t>may</w:t>
      </w:r>
      <w:r>
        <w:tab/>
        <w:t>Sch. 1 cl. 14(1)</w:t>
      </w:r>
    </w:p>
    <w:p>
      <w:pPr>
        <w:pStyle w:val="DefinedTerms"/>
      </w:pPr>
      <w:r>
        <w:t>minor</w:t>
      </w:r>
      <w:r>
        <w:tab/>
        <w:t>Sch. 1 cl. 12(1)</w:t>
      </w:r>
    </w:p>
    <w:p>
      <w:pPr>
        <w:pStyle w:val="DefinedTerms"/>
      </w:pPr>
      <w:r>
        <w:t>model provisions</w:t>
      </w:r>
      <w:r>
        <w:tab/>
        <w:t>24(1)</w:t>
      </w:r>
    </w:p>
    <w:p>
      <w:pPr>
        <w:pStyle w:val="DefinedTerms"/>
      </w:pPr>
      <w:r>
        <w:t>modification</w:t>
      </w:r>
      <w:r>
        <w:tab/>
        <w:t>Sch. 1 cl. 12(1)</w:t>
      </w:r>
    </w:p>
    <w:p>
      <w:pPr>
        <w:pStyle w:val="DefinedTerms"/>
      </w:pPr>
      <w:r>
        <w:t>month</w:t>
      </w:r>
      <w:r>
        <w:tab/>
        <w:t>Sch. 1 cl. 12(1)</w:t>
      </w:r>
    </w:p>
    <w:p>
      <w:pPr>
        <w:pStyle w:val="DefinedTerms"/>
      </w:pPr>
      <w:r>
        <w:t>must</w:t>
      </w:r>
      <w:r>
        <w:tab/>
        <w:t>Sch. 1 cl. 14(2)</w:t>
      </w:r>
    </w:p>
    <w:p>
      <w:pPr>
        <w:pStyle w:val="DefinedTerms"/>
      </w:pPr>
      <w:r>
        <w:t>named month</w:t>
      </w:r>
      <w:r>
        <w:tab/>
        <w:t>Sch. 1 cl. 12(1)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Sch. 1 cl. 12(1)</w:t>
      </w:r>
    </w:p>
    <w:p>
      <w:pPr>
        <w:pStyle w:val="DefinedTerms"/>
      </w:pPr>
      <w:r>
        <w:t>omit</w:t>
      </w:r>
      <w:r>
        <w:tab/>
        <w:t>Sch. 1 cl. 12(1)</w:t>
      </w:r>
    </w:p>
    <w:p>
      <w:pPr>
        <w:pStyle w:val="DefinedTerms"/>
      </w:pPr>
      <w:r>
        <w:t>operating requirements</w:t>
      </w:r>
      <w:r>
        <w:tab/>
        <w:t>3(1), 22(1)</w:t>
      </w:r>
    </w:p>
    <w:p>
      <w:pPr>
        <w:pStyle w:val="DefinedTerms"/>
      </w:pPr>
      <w:r>
        <w:t>ordinary meaning</w:t>
      </w:r>
      <w:r>
        <w:tab/>
        <w:t>Sch. 1 cl. 8(1)</w:t>
      </w:r>
    </w:p>
    <w:p>
      <w:pPr>
        <w:pStyle w:val="DefinedTerms"/>
      </w:pPr>
      <w:r>
        <w:t>participating jurisdiction</w:t>
      </w:r>
      <w:r>
        <w:tab/>
        <w:t>3(1)</w:t>
      </w:r>
    </w:p>
    <w:p>
      <w:pPr>
        <w:pStyle w:val="DefinedTerms"/>
      </w:pPr>
      <w:r>
        <w:t>participation agreement</w:t>
      </w:r>
      <w:r>
        <w:tab/>
        <w:t>3(1)</w:t>
      </w:r>
    </w:p>
    <w:p>
      <w:pPr>
        <w:pStyle w:val="DefinedTerms"/>
      </w:pPr>
      <w:r>
        <w:t>participation rules</w:t>
      </w:r>
      <w:r>
        <w:tab/>
        <w:t>3(1), 23(1)</w:t>
      </w:r>
    </w:p>
    <w:p>
      <w:pPr>
        <w:pStyle w:val="DefinedTerms"/>
      </w:pPr>
      <w:r>
        <w:t>party</w:t>
      </w:r>
      <w:r>
        <w:tab/>
        <w:t>Sch. 1 cl. 12(1)</w:t>
      </w:r>
    </w:p>
    <w:p>
      <w:pPr>
        <w:pStyle w:val="DefinedTerms"/>
      </w:pPr>
      <w:r>
        <w:t>penalty</w:t>
      </w:r>
      <w:r>
        <w:tab/>
        <w:t>Sch. 1 cl. 12(1)</w:t>
      </w:r>
    </w:p>
    <w:p>
      <w:pPr>
        <w:pStyle w:val="DefinedTerms"/>
      </w:pPr>
      <w:r>
        <w:t>person</w:t>
      </w:r>
      <w:r>
        <w:tab/>
        <w:t>Sch. 1 cl. 12(1)</w:t>
      </w:r>
    </w:p>
    <w:p>
      <w:pPr>
        <w:pStyle w:val="DefinedTerms"/>
      </w:pPr>
      <w:r>
        <w:t>power</w:t>
      </w:r>
      <w:r>
        <w:tab/>
        <w:t>Sch. 1 cl. 12(1)</w:t>
      </w:r>
    </w:p>
    <w:p>
      <w:pPr>
        <w:pStyle w:val="DefinedTerms"/>
      </w:pPr>
      <w:r>
        <w:t>printed</w:t>
      </w:r>
      <w:r>
        <w:tab/>
        <w:t>Sch. 1 cl. 12(1)</w:t>
      </w:r>
    </w:p>
    <w:p>
      <w:pPr>
        <w:pStyle w:val="DefinedTerms"/>
      </w:pPr>
      <w:r>
        <w:t>proceeding</w:t>
      </w:r>
      <w:r>
        <w:tab/>
        <w:t>Sch. 1 cl. 12(1)</w:t>
      </w:r>
    </w:p>
    <w:p>
      <w:pPr>
        <w:pStyle w:val="DefinedTerms"/>
      </w:pPr>
      <w:r>
        <w:t>proprietor</w:t>
      </w:r>
      <w:r>
        <w:tab/>
        <w:t>63(2)</w:t>
      </w:r>
    </w:p>
    <w:p>
      <w:pPr>
        <w:pStyle w:val="DefinedTerms"/>
      </w:pPr>
      <w:r>
        <w:t>provision</w:t>
      </w:r>
      <w:r>
        <w:tab/>
        <w:t>Sch. 1 cl. 12(1)</w:t>
      </w:r>
    </w:p>
    <w:p>
      <w:pPr>
        <w:pStyle w:val="DefinedTerms"/>
      </w:pPr>
      <w:r>
        <w:t>record</w:t>
      </w:r>
      <w:r>
        <w:tab/>
        <w:t>Sch. 1 cl. 12(1)</w:t>
      </w:r>
    </w:p>
    <w:p>
      <w:pPr>
        <w:pStyle w:val="DefinedTerms"/>
      </w:pPr>
      <w:r>
        <w:t>Registrar</w:t>
      </w:r>
      <w:r>
        <w:tab/>
        <w:t>3(1)</w:t>
      </w:r>
    </w:p>
    <w:p>
      <w:pPr>
        <w:pStyle w:val="DefinedTerms"/>
      </w:pPr>
      <w:r>
        <w:t>registry instrument</w:t>
      </w:r>
      <w:r>
        <w:tab/>
        <w:t>3(1)</w:t>
      </w:r>
    </w:p>
    <w:p>
      <w:pPr>
        <w:pStyle w:val="DefinedTerms"/>
      </w:pPr>
      <w:r>
        <w:t>repeal</w:t>
      </w:r>
      <w:r>
        <w:tab/>
        <w:t>Sch. 1 cl. 12(1)</w:t>
      </w:r>
    </w:p>
    <w:p>
      <w:pPr>
        <w:pStyle w:val="DefinedTerms"/>
      </w:pPr>
      <w:r>
        <w:t>responsible tribunal</w:t>
      </w:r>
      <w:r>
        <w:tab/>
        <w:t>3(1)</w:t>
      </w:r>
    </w:p>
    <w:p>
      <w:pPr>
        <w:pStyle w:val="DefinedTerms"/>
      </w:pPr>
      <w:r>
        <w:t>review period</w:t>
      </w:r>
      <w:r>
        <w:tab/>
        <w:t>47(1)</w:t>
      </w:r>
    </w:p>
    <w:p>
      <w:pPr>
        <w:pStyle w:val="DefinedTerms"/>
      </w:pPr>
      <w:r>
        <w:t>section 28</w:t>
      </w:r>
      <w:r>
        <w:tab/>
        <w:t>30A(2)</w:t>
      </w:r>
    </w:p>
    <w:p>
      <w:pPr>
        <w:pStyle w:val="DefinedTerms"/>
      </w:pPr>
      <w:r>
        <w:t>sign</w:t>
      </w:r>
      <w:r>
        <w:tab/>
        <w:t>Sch. 1 cl. 12(1)</w:t>
      </w:r>
    </w:p>
    <w:p>
      <w:pPr>
        <w:pStyle w:val="DefinedTerms"/>
      </w:pPr>
      <w:r>
        <w:t>State</w:t>
      </w:r>
      <w:r>
        <w:tab/>
        <w:t>3(1), 7A(2)</w:t>
      </w:r>
    </w:p>
    <w:p>
      <w:pPr>
        <w:pStyle w:val="DefinedTerms"/>
      </w:pPr>
      <w:r>
        <w:t>statutory declaration</w:t>
      </w:r>
      <w:r>
        <w:tab/>
        <w:t>Sch. 1 cl. 12(1)</w:t>
      </w:r>
    </w:p>
    <w:p>
      <w:pPr>
        <w:pStyle w:val="DefinedTerms"/>
      </w:pPr>
      <w:r>
        <w:t>statutory instrument</w:t>
      </w:r>
      <w:r>
        <w:tab/>
        <w:t>Sch. 1 cl. 12(1)</w:t>
      </w:r>
    </w:p>
    <w:p>
      <w:pPr>
        <w:pStyle w:val="DefinedTerms"/>
      </w:pPr>
      <w:r>
        <w:t>subscriber</w:t>
      </w:r>
      <w:r>
        <w:tab/>
        <w:t>3(1), 32</w:t>
      </w:r>
    </w:p>
    <w:p>
      <w:pPr>
        <w:pStyle w:val="DefinedTerms"/>
      </w:pPr>
      <w:r>
        <w:t>swear</w:t>
      </w:r>
      <w:r>
        <w:tab/>
        <w:t>Sch. 1 cl. 12(1)</w:t>
      </w:r>
    </w:p>
    <w:p>
      <w:pPr>
        <w:pStyle w:val="DefinedTerms"/>
      </w:pPr>
      <w:r>
        <w:t>Territory</w:t>
      </w:r>
      <w:r>
        <w:tab/>
        <w:t>3(1)</w:t>
      </w:r>
    </w:p>
    <w:p>
      <w:pPr>
        <w:pStyle w:val="DefinedTerms"/>
      </w:pPr>
      <w:r>
        <w:t>the Act</w:t>
      </w:r>
      <w:r>
        <w:tab/>
        <w:t>Sch. 1 cl. 12(2)</w:t>
      </w:r>
    </w:p>
    <w:p>
      <w:pPr>
        <w:pStyle w:val="DefinedTerms"/>
      </w:pPr>
      <w:r>
        <w:t>this jurisdiction</w:t>
      </w:r>
      <w:r>
        <w:tab/>
        <w:t>3(1)</w:t>
      </w:r>
    </w:p>
    <w:p>
      <w:pPr>
        <w:pStyle w:val="DefinedTerms"/>
      </w:pPr>
      <w:r>
        <w:t>titles register</w:t>
      </w:r>
      <w:r>
        <w:tab/>
        <w:t>3(1)</w:t>
      </w:r>
    </w:p>
    <w:p>
      <w:pPr>
        <w:pStyle w:val="DefinedTerms"/>
      </w:pPr>
      <w:r>
        <w:t>transfer duty statement</w:t>
      </w:r>
      <w:r>
        <w:tab/>
        <w:t>49</w:t>
      </w:r>
    </w:p>
    <w:p>
      <w:pPr>
        <w:pStyle w:val="DefinedTerms"/>
      </w:pPr>
      <w:r>
        <w:t>word</w:t>
      </w:r>
      <w:r>
        <w:tab/>
        <w:t>Sch. 1 cl. 12(1)</w:t>
      </w:r>
    </w:p>
    <w:p>
      <w:pPr>
        <w:pStyle w:val="DefinedTerms"/>
      </w:pPr>
      <w:r>
        <w:t>writing</w:t>
      </w:r>
      <w:r>
        <w:tab/>
        <w:t>Sch. 1 cl. 12(1)</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Jun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Electronic Lodgment Networks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Appeals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4</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4</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29</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29</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Electronic Lodgment Networks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4</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4</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Appeals</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29</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30</w:instrText>
          </w:r>
          <w:r>
            <w:rPr>
              <w:b/>
            </w:rPr>
            <w:fldChar w:fldCharType="end"/>
          </w:r>
          <w:r>
            <w:rPr>
              <w:b/>
            </w:rPr>
            <w:instrText>"</w:instrText>
          </w:r>
          <w:r>
            <w:rPr>
              <w:b/>
            </w:rPr>
            <w:fldChar w:fldCharType="separate"/>
          </w:r>
          <w:r>
            <w:rPr>
              <w:b/>
            </w:rPr>
            <w:t>29</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Electronic Lodgment Networks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4</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4</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Appeals</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94</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Electronic Lodgment Networks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3</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Appeals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4</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4</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583" w:name="Schedule"/>
    <w:bookmarkEnd w:id="5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Electronic Conveyancing Act 2014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0" w:name="Compilation"/>
    <w:bookmarkEnd w:id="59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Electronic Conveyancing Act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2" w:name="DefinedTerms"/>
    <w:bookmarkEnd w:id="592"/>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3" w:name="Coversheet"/>
    <w:bookmarkEnd w:id="5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0"/>
  </w:num>
  <w:num w:numId="16">
    <w:abstractNumId w:val="12"/>
  </w:num>
  <w:num w:numId="17">
    <w:abstractNumId w:val="15"/>
  </w:num>
  <w:num w:numId="18">
    <w:abstractNumId w:val="18"/>
  </w:num>
  <w:num w:numId="19">
    <w:abstractNumId w:val="2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68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50109"/>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 w:name="WAFER_20140325102409" w:val="RemoveTocBookmarks,RunningHeaders"/>
    <w:docVar w:name="WAFER_20140325102409_GUID" w:val="879b6a6e-290c-4ebf-858f-65640ac97ac6"/>
    <w:docVar w:name="WAFER_20140527170203" w:val="RemoveTocBookmarks,RemoveUnusedBookmarks,RemoveLanguageTags,UsedStyles,ResetPageSize,UpdateArrangement"/>
    <w:docVar w:name="WAFER_20140527170203_GUID" w:val="0c1e288b-c470-4e35-bf64-38b685ed3f86"/>
    <w:docVar w:name="WAFER_20150414135004" w:val="ResetPageSize,UpdateArrangement,UpdateNTable"/>
    <w:docVar w:name="WAFER_20150414135004_GUID" w:val="558c64a3-7cde-490e-a81d-3f34fd36ed26"/>
    <w:docVar w:name="WAFER_20151120130234" w:val="UpdateStyles"/>
    <w:docVar w:name="WAFER_20151120130234_GUID" w:val="790220dc-cedb-4e92-a559-f976b1964d42"/>
    <w:docVar w:name="WAFER_20151120132638" w:val="UsedStyles"/>
    <w:docVar w:name="WAFER_20151120132638_GUID" w:val="40696d9b-6833-4d0e-a8bd-dea12f7fe779"/>
    <w:docVar w:name="WAFER_20151127150109" w:val="UsedStyles"/>
    <w:docVar w:name="WAFER_20151127150109_GUID" w:val="c8834acd-c47c-4aa4-80d0-d53f26d51b6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37174-4BDE-436D-9A70-A24E6B61F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125</Pages>
  <Words>26061</Words>
  <Characters>130566</Characters>
  <Application>Microsoft Office Word</Application>
  <DocSecurity>0</DocSecurity>
  <Lines>3840</Lines>
  <Paragraphs>2206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154421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2014 - 00-b0-03</dc:title>
  <dc:subject/>
  <dc:creator/>
  <cp:keywords/>
  <dc:description/>
  <cp:lastModifiedBy>svcMRProcess</cp:lastModifiedBy>
  <cp:revision>4</cp:revision>
  <cp:lastPrinted>2014-03-24T23:02:00Z</cp:lastPrinted>
  <dcterms:created xsi:type="dcterms:W3CDTF">2018-09-19T14:01:00Z</dcterms:created>
  <dcterms:modified xsi:type="dcterms:W3CDTF">2018-09-19T14:01:00Z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ssent Date">
    <vt:lpwstr>24 March 2014</vt:lpwstr>
  </property>
  <property fmtid="{D5CDD505-2E9C-101B-9397-08002B2CF9AE}" pid="9" name="CommencementDate">
    <vt:lpwstr>20140603</vt:lpwstr>
  </property>
  <property fmtid="{D5CDD505-2E9C-101B-9397-08002B2CF9AE}" pid="10" name="DocumentType">
    <vt:lpwstr>Act</vt:lpwstr>
  </property>
  <property fmtid="{D5CDD505-2E9C-101B-9397-08002B2CF9AE}" pid="11" name="AsAtDate">
    <vt:lpwstr>03 Jun 2014</vt:lpwstr>
  </property>
  <property fmtid="{D5CDD505-2E9C-101B-9397-08002B2CF9AE}" pid="12" name="Suffix">
    <vt:lpwstr>00-b0-03</vt:lpwstr>
  </property>
</Properties>
</file>