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Coroners Act 1996</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Coroners Regulations 1997</w:t>
      </w:r>
      <w:r>
        <w:rPr>
          <w:sz w:val="48"/>
        </w:rPr>
        <w:fldChar w:fldCharType="end"/>
      </w:r>
    </w:p>
    <w:p>
      <w:pPr>
        <w:pStyle w:val="ReprintNo"/>
        <w:outlineLvl w:val="9"/>
      </w:pPr>
      <w:r>
        <w:t>Reprint 3:  The regulations as at 23 May 2014</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8.5pt" o:ole="" fillcolor="window">
            <v:imagedata r:id="rId9" o:title=""/>
          </v:shape>
          <o:OLEObject Type="Embed" ProgID="Word.Picture.8" ShapeID="_x0000_i1025" DrawAspect="Content" ObjectID="_1645082998"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4"/>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May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Coroners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_Toc389729760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_Toc389729761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_Toc389729762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Pathologist</w:t>
      </w:r>
      <w:r>
        <w:tab/>
      </w:r>
      <w:r>
        <w:fldChar w:fldCharType="begin"/>
      </w:r>
      <w:r>
        <w:instrText xml:space="preserve"> PAGEREF _Toc389729763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State Coroner — form of oath of office</w:t>
      </w:r>
      <w:r>
        <w:tab/>
      </w:r>
      <w:r>
        <w:fldChar w:fldCharType="begin"/>
      </w:r>
      <w:r>
        <w:instrText xml:space="preserve"> PAGEREF _Toc389729764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w:t>
      </w:r>
      <w:r>
        <w:t>i</w:t>
      </w:r>
      <w:r>
        <w:rPr>
          <w:snapToGrid w:val="0"/>
        </w:rPr>
        <w:t>on on delegation</w:t>
      </w:r>
      <w:r>
        <w:tab/>
      </w:r>
      <w:r>
        <w:fldChar w:fldCharType="begin"/>
      </w:r>
      <w:r>
        <w:instrText xml:space="preserve"> PAGEREF _Toc389729765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of record of investigation into a death</w:t>
      </w:r>
      <w:r>
        <w:tab/>
      </w:r>
      <w:r>
        <w:fldChar w:fldCharType="begin"/>
      </w:r>
      <w:r>
        <w:instrText xml:space="preserve"> PAGEREF _Toc389729766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certificate of disposal of body</w:t>
      </w:r>
      <w:r>
        <w:tab/>
      </w:r>
      <w:r>
        <w:fldChar w:fldCharType="begin"/>
      </w:r>
      <w:r>
        <w:instrText xml:space="preserve"> PAGEREF _Toc389729767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Request that post mortem be performed</w:t>
      </w:r>
      <w:r>
        <w:tab/>
      </w:r>
      <w:r>
        <w:fldChar w:fldCharType="begin"/>
      </w:r>
      <w:r>
        <w:instrText xml:space="preserve"> PAGEREF _Toc389729768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Direction to perform post mortem</w:t>
      </w:r>
      <w:r>
        <w:tab/>
      </w:r>
      <w:r>
        <w:fldChar w:fldCharType="begin"/>
      </w:r>
      <w:r>
        <w:instrText xml:space="preserve"> PAGEREF _Toc389729769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order for exhumation</w:t>
      </w:r>
      <w:r>
        <w:tab/>
      </w:r>
      <w:r>
        <w:fldChar w:fldCharType="begin"/>
      </w:r>
      <w:r>
        <w:instrText xml:space="preserve"> PAGEREF _Toc389729770 \h </w:instrText>
      </w:r>
      <w:r>
        <w:fldChar w:fldCharType="separate"/>
      </w:r>
      <w:r>
        <w:t>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Request not to exhume</w:t>
      </w:r>
      <w:r>
        <w:tab/>
      </w:r>
      <w:r>
        <w:fldChar w:fldCharType="begin"/>
      </w:r>
      <w:r>
        <w:instrText xml:space="preserve"> PAGEREF _Toc389729771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 of notice of restriction of access to area</w:t>
      </w:r>
      <w:r>
        <w:tab/>
      </w:r>
      <w:r>
        <w:fldChar w:fldCharType="begin"/>
      </w:r>
      <w:r>
        <w:instrText xml:space="preserve"> PAGEREF _Toc389729772 \h </w:instrText>
      </w:r>
      <w:r>
        <w:fldChar w:fldCharType="separate"/>
      </w:r>
      <w:r>
        <w:t>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 of agreement of coroner to restricted access to area</w:t>
      </w:r>
      <w:r>
        <w:tab/>
      </w:r>
      <w:r>
        <w:fldChar w:fldCharType="begin"/>
      </w:r>
      <w:r>
        <w:instrText xml:space="preserve"> PAGEREF _Toc389729773 \h </w:instrText>
      </w:r>
      <w:r>
        <w:fldChar w:fldCharType="separate"/>
      </w:r>
      <w:r>
        <w:t>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Form of authorisation, form of undertaking and requests for release of things</w:t>
      </w:r>
      <w:r>
        <w:tab/>
      </w:r>
      <w:r>
        <w:fldChar w:fldCharType="begin"/>
      </w:r>
      <w:r>
        <w:instrText xml:space="preserve"> PAGEREF _Toc389729774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Request for an inquest into a death</w:t>
      </w:r>
      <w:r>
        <w:tab/>
      </w:r>
      <w:r>
        <w:fldChar w:fldCharType="begin"/>
      </w:r>
      <w:r>
        <w:instrText xml:space="preserve"> PAGEREF _Toc389729775 \h </w:instrText>
      </w:r>
      <w:r>
        <w:fldChar w:fldCharType="separate"/>
      </w:r>
      <w:r>
        <w:t>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summons and warrant, and service of summons</w:t>
      </w:r>
      <w:r>
        <w:tab/>
      </w:r>
      <w:r>
        <w:fldChar w:fldCharType="begin"/>
      </w:r>
      <w:r>
        <w:instrText xml:space="preserve"> PAGEREF _Toc389729776 \h </w:instrText>
      </w:r>
      <w:r>
        <w:fldChar w:fldCharType="separate"/>
      </w:r>
      <w:r>
        <w:t>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Interested persons for the purposes of section 44(3)</w:t>
      </w:r>
      <w:r>
        <w:tab/>
      </w:r>
      <w:r>
        <w:fldChar w:fldCharType="begin"/>
      </w:r>
      <w:r>
        <w:instrText xml:space="preserve"> PAGEREF _Toc389729777 \h </w:instrText>
      </w:r>
      <w:r>
        <w:fldChar w:fldCharType="separate"/>
      </w:r>
      <w:r>
        <w:t>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order of exclusion from an inquest</w:t>
      </w:r>
      <w:r>
        <w:tab/>
      </w:r>
      <w:r>
        <w:fldChar w:fldCharType="begin"/>
      </w:r>
      <w:r>
        <w:instrText xml:space="preserve"> PAGEREF _Toc389729778 \h </w:instrText>
      </w:r>
      <w:r>
        <w:fldChar w:fldCharType="separate"/>
      </w:r>
      <w:r>
        <w:t>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Access to records</w:t>
      </w:r>
      <w:r>
        <w:tab/>
      </w:r>
      <w:r>
        <w:fldChar w:fldCharType="begin"/>
      </w:r>
      <w:r>
        <w:instrText xml:space="preserve"> PAGEREF _Toc389729779 \h </w:instrText>
      </w:r>
      <w:r>
        <w:fldChar w:fldCharType="separate"/>
      </w:r>
      <w:r>
        <w:t>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Form of oath or affirmation for witness</w:t>
      </w:r>
      <w:r>
        <w:tab/>
      </w:r>
      <w:r>
        <w:fldChar w:fldCharType="begin"/>
      </w:r>
      <w:r>
        <w:instrText xml:space="preserve"> PAGEREF _Toc389729780 \h </w:instrText>
      </w:r>
      <w:r>
        <w:fldChar w:fldCharType="separate"/>
      </w:r>
      <w:r>
        <w:t>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Fees for post mortem services</w:t>
      </w:r>
      <w:r>
        <w:tab/>
      </w:r>
      <w:r>
        <w:fldChar w:fldCharType="begin"/>
      </w:r>
      <w:r>
        <w:instrText xml:space="preserve"> PAGEREF _Toc389729781 \h </w:instrText>
      </w:r>
      <w:r>
        <w:fldChar w:fldCharType="separate"/>
      </w:r>
      <w:r>
        <w:t>5</w:t>
      </w:r>
      <w:r>
        <w:fldChar w:fldCharType="end"/>
      </w:r>
    </w:p>
    <w:p>
      <w:pPr>
        <w:pStyle w:val="TOC8"/>
        <w:rPr>
          <w:rFonts w:asciiTheme="minorHAnsi" w:eastAsiaTheme="minorEastAsia" w:hAnsiTheme="minorHAnsi" w:cstheme="minorBidi"/>
          <w:szCs w:val="22"/>
        </w:rPr>
      </w:pPr>
      <w:r>
        <w:t>22.</w:t>
      </w:r>
      <w:r>
        <w:tab/>
        <w:t>Other fees</w:t>
      </w:r>
      <w:r>
        <w:tab/>
      </w:r>
      <w:r>
        <w:fldChar w:fldCharType="begin"/>
      </w:r>
      <w:r>
        <w:instrText xml:space="preserve"> PAGEREF _Toc389729782 \h </w:instrText>
      </w:r>
      <w:r>
        <w:fldChar w:fldCharType="separate"/>
      </w:r>
      <w:r>
        <w:t>5</w:t>
      </w:r>
      <w:r>
        <w:fldChar w:fldCharType="end"/>
      </w:r>
    </w:p>
    <w:p>
      <w:pPr>
        <w:pStyle w:val="TOC8"/>
        <w:rPr>
          <w:rFonts w:asciiTheme="minorHAnsi" w:eastAsiaTheme="minorEastAsia" w:hAnsiTheme="minorHAnsi" w:cstheme="minorBidi"/>
          <w:szCs w:val="22"/>
        </w:rPr>
      </w:pPr>
      <w:r>
        <w:t>23.</w:t>
      </w:r>
      <w:r>
        <w:tab/>
        <w:t>Coroner’s registrar may remit fees</w:t>
      </w:r>
      <w:r>
        <w:tab/>
      </w:r>
      <w:r>
        <w:fldChar w:fldCharType="begin"/>
      </w:r>
      <w:r>
        <w:instrText xml:space="preserve"> PAGEREF _Toc389729783 \h </w:instrText>
      </w:r>
      <w:r>
        <w:fldChar w:fldCharType="separate"/>
      </w:r>
      <w:r>
        <w:t>6</w:t>
      </w:r>
      <w:r>
        <w:fldChar w:fldCharType="end"/>
      </w:r>
    </w:p>
    <w:p>
      <w:pPr>
        <w:pStyle w:val="TOC8"/>
        <w:rPr>
          <w:rFonts w:asciiTheme="minorHAnsi" w:eastAsiaTheme="minorEastAsia" w:hAnsiTheme="minorHAnsi" w:cstheme="minorBidi"/>
          <w:szCs w:val="22"/>
        </w:rPr>
      </w:pPr>
      <w:r>
        <w:t>24.</w:t>
      </w:r>
      <w:r>
        <w:tab/>
        <w:t>Resolution of disputes as to fees</w:t>
      </w:r>
      <w:r>
        <w:tab/>
      </w:r>
      <w:r>
        <w:fldChar w:fldCharType="begin"/>
      </w:r>
      <w:r>
        <w:instrText xml:space="preserve"> PAGEREF _Toc389729784 \h </w:instrText>
      </w:r>
      <w:r>
        <w:fldChar w:fldCharType="separate"/>
      </w:r>
      <w:r>
        <w:t>6</w:t>
      </w:r>
      <w:r>
        <w:fldChar w:fldCharType="end"/>
      </w:r>
    </w:p>
    <w:p>
      <w:pPr>
        <w:pStyle w:val="TOC8"/>
        <w:rPr>
          <w:rFonts w:asciiTheme="minorHAnsi" w:eastAsiaTheme="minorEastAsia" w:hAnsiTheme="minorHAnsi" w:cstheme="minorBidi"/>
          <w:szCs w:val="22"/>
        </w:rPr>
      </w:pPr>
      <w:r>
        <w:t>25.</w:t>
      </w:r>
      <w:r>
        <w:tab/>
        <w:t>Recovery of unpaid fees</w:t>
      </w:r>
      <w:r>
        <w:tab/>
      </w:r>
      <w:r>
        <w:fldChar w:fldCharType="begin"/>
      </w:r>
      <w:r>
        <w:instrText xml:space="preserve"> PAGEREF _Toc389729785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Schedule 1 — Forms</w:t>
      </w:r>
    </w:p>
    <w:p>
      <w:pPr>
        <w:pStyle w:val="TOC2"/>
        <w:tabs>
          <w:tab w:val="right" w:leader="dot" w:pos="7086"/>
        </w:tabs>
        <w:rPr>
          <w:rFonts w:asciiTheme="minorHAnsi" w:eastAsiaTheme="minorEastAsia" w:hAnsiTheme="minorHAnsi" w:cstheme="minorBidi"/>
          <w:b w:val="0"/>
          <w:sz w:val="22"/>
          <w:szCs w:val="22"/>
        </w:rPr>
      </w:pPr>
      <w:r>
        <w:t>Schedule 2 </w:t>
      </w:r>
      <w:r>
        <w:rPr>
          <w:bCs/>
        </w:rPr>
        <w:t>—</w:t>
      </w:r>
      <w:r>
        <w:t> Fees for post mortem services</w:t>
      </w:r>
    </w:p>
    <w:p>
      <w:pPr>
        <w:pStyle w:val="TOC2"/>
        <w:tabs>
          <w:tab w:val="right" w:leader="dot" w:pos="7086"/>
        </w:tabs>
        <w:rPr>
          <w:rFonts w:asciiTheme="minorHAnsi" w:eastAsiaTheme="minorEastAsia" w:hAnsiTheme="minorHAnsi" w:cstheme="minorBidi"/>
          <w:b w:val="0"/>
          <w:sz w:val="22"/>
          <w:szCs w:val="22"/>
        </w:rPr>
      </w:pPr>
      <w:r>
        <w:t>Schedule 3 — Other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_Toc389729790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w:t>
            </w:r>
            <w:r>
              <w:rPr>
                <w:b/>
                <w:snapToGrid w:val="0"/>
                <w:sz w:val="22"/>
              </w:rPr>
              <w:t xml:space="preserve"> May 2014</w:t>
            </w:r>
          </w:p>
        </w:tc>
      </w:tr>
    </w:tbl>
    <w:p>
      <w:pPr>
        <w:pStyle w:val="WA"/>
        <w:spacing w:before="120"/>
      </w:pPr>
      <w:r>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1" w:name="_Toc389729760"/>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2" w:name="_Toc389729761"/>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pPr>
      <w:bookmarkStart w:id="3" w:name="_Toc389729762"/>
      <w:r>
        <w:rPr>
          <w:rStyle w:val="CharSectno"/>
        </w:rPr>
        <w:t>3A</w:t>
      </w:r>
      <w:r>
        <w:t>.</w:t>
      </w:r>
      <w:r>
        <w:tab/>
        <w:t>Terms used</w:t>
      </w:r>
      <w:bookmarkEnd w:id="3"/>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fee</w:t>
      </w:r>
      <w:r>
        <w:t>, except in regulation 21, means a fee set out in Schedule 3.</w:t>
      </w:r>
    </w:p>
    <w:p>
      <w:pPr>
        <w:pStyle w:val="Footnotesection"/>
      </w:pPr>
      <w:r>
        <w:tab/>
        <w:t>[Regulation 3A inserted in Gazette 4 Sep 2009 p. 3491.]</w:t>
      </w:r>
    </w:p>
    <w:p>
      <w:pPr>
        <w:pStyle w:val="Heading5"/>
        <w:rPr>
          <w:snapToGrid w:val="0"/>
        </w:rPr>
      </w:pPr>
      <w:bookmarkStart w:id="4" w:name="_Toc389729763"/>
      <w:r>
        <w:rPr>
          <w:rStyle w:val="CharSectno"/>
        </w:rPr>
        <w:t>3</w:t>
      </w:r>
      <w:r>
        <w:rPr>
          <w:snapToGrid w:val="0"/>
        </w:rPr>
        <w:t>.</w:t>
      </w:r>
      <w:r>
        <w:rPr>
          <w:snapToGrid w:val="0"/>
        </w:rPr>
        <w:tab/>
        <w:t>Pathologist</w:t>
      </w:r>
      <w:bookmarkEnd w:id="4"/>
      <w:r>
        <w:rPr>
          <w:snapToGrid w:val="0"/>
        </w:rPr>
        <w:t xml:space="preserve"> </w:t>
      </w:r>
    </w:p>
    <w:p>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pPr>
        <w:pStyle w:val="Heading5"/>
        <w:rPr>
          <w:snapToGrid w:val="0"/>
        </w:rPr>
      </w:pPr>
      <w:bookmarkStart w:id="5" w:name="_Toc389729764"/>
      <w:r>
        <w:rPr>
          <w:rStyle w:val="CharSectno"/>
        </w:rPr>
        <w:t>4</w:t>
      </w:r>
      <w:r>
        <w:rPr>
          <w:snapToGrid w:val="0"/>
        </w:rPr>
        <w:t>.</w:t>
      </w:r>
      <w:r>
        <w:rPr>
          <w:snapToGrid w:val="0"/>
        </w:rPr>
        <w:tab/>
        <w:t>State Coroner — form of oath of office</w:t>
      </w:r>
      <w:bookmarkEnd w:id="5"/>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6" w:name="_Toc389729765"/>
      <w:r>
        <w:rPr>
          <w:rStyle w:val="CharSectno"/>
        </w:rPr>
        <w:t>5</w:t>
      </w:r>
      <w:r>
        <w:rPr>
          <w:snapToGrid w:val="0"/>
        </w:rPr>
        <w:t>.</w:t>
      </w:r>
      <w:r>
        <w:rPr>
          <w:snapToGrid w:val="0"/>
        </w:rPr>
        <w:tab/>
        <w:t>Restrict</w:t>
      </w:r>
      <w:r>
        <w:t>i</w:t>
      </w:r>
      <w:r>
        <w:rPr>
          <w:snapToGrid w:val="0"/>
        </w:rPr>
        <w:t>on on delegation</w:t>
      </w:r>
      <w:bookmarkEnd w:id="6"/>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in Gazette 11 Mar 2008 p. 816.]</w:t>
      </w:r>
    </w:p>
    <w:p>
      <w:pPr>
        <w:pStyle w:val="Heading5"/>
        <w:rPr>
          <w:snapToGrid w:val="0"/>
        </w:rPr>
      </w:pPr>
      <w:bookmarkStart w:id="7" w:name="_Toc389729766"/>
      <w:r>
        <w:rPr>
          <w:rStyle w:val="CharSectno"/>
        </w:rPr>
        <w:t>6</w:t>
      </w:r>
      <w:r>
        <w:rPr>
          <w:snapToGrid w:val="0"/>
        </w:rPr>
        <w:t>.</w:t>
      </w:r>
      <w:r>
        <w:rPr>
          <w:snapToGrid w:val="0"/>
        </w:rPr>
        <w:tab/>
        <w:t>Form of record of investigation into a death</w:t>
      </w:r>
      <w:bookmarkEnd w:id="7"/>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8" w:name="_Toc389729767"/>
      <w:r>
        <w:rPr>
          <w:rStyle w:val="CharSectno"/>
        </w:rPr>
        <w:t>7</w:t>
      </w:r>
      <w:r>
        <w:rPr>
          <w:snapToGrid w:val="0"/>
        </w:rPr>
        <w:t>.</w:t>
      </w:r>
      <w:r>
        <w:rPr>
          <w:snapToGrid w:val="0"/>
        </w:rPr>
        <w:tab/>
        <w:t>Form of certificate of disposal of body</w:t>
      </w:r>
      <w:bookmarkEnd w:id="8"/>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9" w:name="_Toc389729768"/>
      <w:r>
        <w:rPr>
          <w:rStyle w:val="CharSectno"/>
        </w:rPr>
        <w:t>8</w:t>
      </w:r>
      <w:r>
        <w:rPr>
          <w:snapToGrid w:val="0"/>
        </w:rPr>
        <w:t>.</w:t>
      </w:r>
      <w:r>
        <w:rPr>
          <w:snapToGrid w:val="0"/>
        </w:rPr>
        <w:tab/>
        <w:t>Request that post mortem be performed</w:t>
      </w:r>
      <w:bookmarkEnd w:id="9"/>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10" w:name="_Toc389729769"/>
      <w:r>
        <w:rPr>
          <w:rStyle w:val="CharSectno"/>
        </w:rPr>
        <w:t>9</w:t>
      </w:r>
      <w:r>
        <w:rPr>
          <w:snapToGrid w:val="0"/>
        </w:rPr>
        <w:t>.</w:t>
      </w:r>
      <w:r>
        <w:rPr>
          <w:snapToGrid w:val="0"/>
        </w:rPr>
        <w:tab/>
        <w:t>Direction to perform post mortem</w:t>
      </w:r>
      <w:bookmarkEnd w:id="10"/>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11" w:name="_Toc389729770"/>
      <w:r>
        <w:rPr>
          <w:rStyle w:val="CharSectno"/>
        </w:rPr>
        <w:t>10</w:t>
      </w:r>
      <w:r>
        <w:rPr>
          <w:snapToGrid w:val="0"/>
        </w:rPr>
        <w:t>.</w:t>
      </w:r>
      <w:r>
        <w:rPr>
          <w:snapToGrid w:val="0"/>
        </w:rPr>
        <w:tab/>
        <w:t>Form of order for exhumation</w:t>
      </w:r>
      <w:bookmarkEnd w:id="11"/>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12" w:name="_Toc389729771"/>
      <w:r>
        <w:rPr>
          <w:rStyle w:val="CharSectno"/>
        </w:rPr>
        <w:t>11</w:t>
      </w:r>
      <w:r>
        <w:rPr>
          <w:snapToGrid w:val="0"/>
        </w:rPr>
        <w:t>.</w:t>
      </w:r>
      <w:r>
        <w:rPr>
          <w:snapToGrid w:val="0"/>
        </w:rPr>
        <w:tab/>
        <w:t>Request not to exhume</w:t>
      </w:r>
      <w:bookmarkEnd w:id="12"/>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13" w:name="_Toc389729772"/>
      <w:r>
        <w:rPr>
          <w:rStyle w:val="CharSectno"/>
        </w:rPr>
        <w:t>12</w:t>
      </w:r>
      <w:r>
        <w:rPr>
          <w:snapToGrid w:val="0"/>
        </w:rPr>
        <w:t>.</w:t>
      </w:r>
      <w:r>
        <w:rPr>
          <w:snapToGrid w:val="0"/>
        </w:rPr>
        <w:tab/>
        <w:t>Form of notice of restriction of access to area</w:t>
      </w:r>
      <w:bookmarkEnd w:id="13"/>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14" w:name="_Toc389729773"/>
      <w:r>
        <w:rPr>
          <w:rStyle w:val="CharSectno"/>
        </w:rPr>
        <w:t>13</w:t>
      </w:r>
      <w:r>
        <w:rPr>
          <w:snapToGrid w:val="0"/>
        </w:rPr>
        <w:t>.</w:t>
      </w:r>
      <w:r>
        <w:rPr>
          <w:snapToGrid w:val="0"/>
        </w:rPr>
        <w:tab/>
        <w:t>Form of agreement of coroner to restricted access to area</w:t>
      </w:r>
      <w:bookmarkEnd w:id="14"/>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15" w:name="_Toc389729774"/>
      <w:r>
        <w:rPr>
          <w:rStyle w:val="CharSectno"/>
        </w:rPr>
        <w:t>14</w:t>
      </w:r>
      <w:r>
        <w:rPr>
          <w:snapToGrid w:val="0"/>
        </w:rPr>
        <w:t>.</w:t>
      </w:r>
      <w:r>
        <w:rPr>
          <w:snapToGrid w:val="0"/>
        </w:rPr>
        <w:tab/>
        <w:t>Form of authorisation, form of undertaking and requests for release of things</w:t>
      </w:r>
      <w:bookmarkEnd w:id="15"/>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16" w:name="_Toc389729775"/>
      <w:r>
        <w:rPr>
          <w:rStyle w:val="CharSectno"/>
        </w:rPr>
        <w:t>15</w:t>
      </w:r>
      <w:r>
        <w:rPr>
          <w:snapToGrid w:val="0"/>
        </w:rPr>
        <w:t>.</w:t>
      </w:r>
      <w:r>
        <w:rPr>
          <w:snapToGrid w:val="0"/>
        </w:rPr>
        <w:tab/>
        <w:t>Request for an inquest into a death</w:t>
      </w:r>
      <w:bookmarkEnd w:id="16"/>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17" w:name="_Toc389729776"/>
      <w:r>
        <w:rPr>
          <w:rStyle w:val="CharSectno"/>
        </w:rPr>
        <w:t>16</w:t>
      </w:r>
      <w:r>
        <w:rPr>
          <w:snapToGrid w:val="0"/>
        </w:rPr>
        <w:t>.</w:t>
      </w:r>
      <w:r>
        <w:rPr>
          <w:snapToGrid w:val="0"/>
        </w:rPr>
        <w:tab/>
        <w:t>Form of summons and warrant, and service of summons</w:t>
      </w:r>
      <w:bookmarkEnd w:id="17"/>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18" w:name="_Toc389729777"/>
      <w:r>
        <w:rPr>
          <w:rStyle w:val="CharSectno"/>
        </w:rPr>
        <w:t>17</w:t>
      </w:r>
      <w:r>
        <w:rPr>
          <w:snapToGrid w:val="0"/>
        </w:rPr>
        <w:t>.</w:t>
      </w:r>
      <w:r>
        <w:rPr>
          <w:snapToGrid w:val="0"/>
        </w:rPr>
        <w:tab/>
        <w:t>Interested persons for the purposes of section 44(3)</w:t>
      </w:r>
      <w:bookmarkEnd w:id="18"/>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in Gazette 30 Jun 2003 p. 2600.]</w:t>
      </w:r>
    </w:p>
    <w:p>
      <w:pPr>
        <w:pStyle w:val="Heading5"/>
        <w:rPr>
          <w:snapToGrid w:val="0"/>
        </w:rPr>
      </w:pPr>
      <w:bookmarkStart w:id="19" w:name="_Toc389729778"/>
      <w:r>
        <w:rPr>
          <w:rStyle w:val="CharSectno"/>
        </w:rPr>
        <w:t>18</w:t>
      </w:r>
      <w:r>
        <w:rPr>
          <w:snapToGrid w:val="0"/>
        </w:rPr>
        <w:t>.</w:t>
      </w:r>
      <w:r>
        <w:rPr>
          <w:snapToGrid w:val="0"/>
        </w:rPr>
        <w:tab/>
        <w:t>Form of order of exclusion from an inquest</w:t>
      </w:r>
      <w:bookmarkEnd w:id="19"/>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20" w:name="_Toc389729779"/>
      <w:r>
        <w:rPr>
          <w:rStyle w:val="CharSectno"/>
        </w:rPr>
        <w:t>19</w:t>
      </w:r>
      <w:r>
        <w:rPr>
          <w:snapToGrid w:val="0"/>
        </w:rPr>
        <w:t>.</w:t>
      </w:r>
      <w:r>
        <w:rPr>
          <w:snapToGrid w:val="0"/>
        </w:rPr>
        <w:tab/>
        <w:t>Access to records</w:t>
      </w:r>
      <w:bookmarkEnd w:id="20"/>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21" w:name="_Toc389729780"/>
      <w:r>
        <w:rPr>
          <w:rStyle w:val="CharSectno"/>
        </w:rPr>
        <w:t>20</w:t>
      </w:r>
      <w:r>
        <w:rPr>
          <w:snapToGrid w:val="0"/>
        </w:rPr>
        <w:t>.</w:t>
      </w:r>
      <w:r>
        <w:rPr>
          <w:snapToGrid w:val="0"/>
        </w:rPr>
        <w:tab/>
        <w:t>Form of oath or affirmation for witness</w:t>
      </w:r>
      <w:bookmarkEnd w:id="21"/>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22" w:name="_Toc389729781"/>
      <w:r>
        <w:rPr>
          <w:rStyle w:val="CharSectno"/>
        </w:rPr>
        <w:t>21</w:t>
      </w:r>
      <w:r>
        <w:rPr>
          <w:snapToGrid w:val="0"/>
        </w:rPr>
        <w:t>.</w:t>
      </w:r>
      <w:r>
        <w:rPr>
          <w:snapToGrid w:val="0"/>
        </w:rPr>
        <w:tab/>
        <w:t>Fees for post mortem services</w:t>
      </w:r>
      <w:bookmarkEnd w:id="22"/>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in Gazette 4 Sep 2009 p. 3491.]</w:t>
      </w:r>
    </w:p>
    <w:p>
      <w:pPr>
        <w:pStyle w:val="Heading5"/>
        <w:spacing w:before="200"/>
      </w:pPr>
      <w:bookmarkStart w:id="23" w:name="_Toc389729782"/>
      <w:r>
        <w:rPr>
          <w:rStyle w:val="CharSectno"/>
        </w:rPr>
        <w:t>22</w:t>
      </w:r>
      <w:r>
        <w:t>.</w:t>
      </w:r>
      <w:r>
        <w:tab/>
        <w:t>Other fees</w:t>
      </w:r>
      <w:bookmarkEnd w:id="23"/>
    </w:p>
    <w:p>
      <w:pPr>
        <w:pStyle w:val="Subsection"/>
        <w:spacing w:before="140"/>
      </w:pPr>
      <w:r>
        <w:tab/>
      </w:r>
      <w:r>
        <w:tab/>
        <w:t>The fees set out in Schedule 3 are to be charged in respect of the matters referred to in that Schedule.</w:t>
      </w:r>
    </w:p>
    <w:p>
      <w:pPr>
        <w:pStyle w:val="Footnotesection"/>
        <w:spacing w:before="80"/>
      </w:pPr>
      <w:r>
        <w:tab/>
        <w:t>[Regulation 22 inserted in Gazette 4 Sep 2009 p. 3492.]</w:t>
      </w:r>
    </w:p>
    <w:p>
      <w:pPr>
        <w:pStyle w:val="Heading5"/>
      </w:pPr>
      <w:bookmarkStart w:id="24" w:name="_Toc389729783"/>
      <w:r>
        <w:rPr>
          <w:rStyle w:val="CharSectno"/>
        </w:rPr>
        <w:t>23</w:t>
      </w:r>
      <w:r>
        <w:t>.</w:t>
      </w:r>
      <w:r>
        <w:tab/>
        <w:t>Coroner’s registrar may remit fees</w:t>
      </w:r>
      <w:bookmarkEnd w:id="24"/>
    </w:p>
    <w:p>
      <w:pPr>
        <w:pStyle w:val="Subsection"/>
      </w:pPr>
      <w:r>
        <w:tab/>
        <w:t>(1)</w:t>
      </w:r>
      <w:r>
        <w:tab/>
        <w:t xml:space="preserve">A coroner’s registrar may on an application in an approved form, in a particular case, on the ground of financial hardship or if it is in the interests of justice to do so, direct — </w:t>
      </w:r>
    </w:p>
    <w:p>
      <w:pPr>
        <w:pStyle w:val="Indenta"/>
      </w:pPr>
      <w:r>
        <w:tab/>
        <w:t>(a)</w:t>
      </w:r>
      <w:r>
        <w:tab/>
        <w:t>that payment of a fee be waived; or</w:t>
      </w:r>
    </w:p>
    <w:p>
      <w:pPr>
        <w:pStyle w:val="Indenta"/>
      </w:pPr>
      <w:r>
        <w:tab/>
        <w:t>(b)</w:t>
      </w:r>
      <w:r>
        <w:tab/>
        <w:t>that a fee be reduced or that the whole or a part of a fee be refunded; or</w:t>
      </w:r>
    </w:p>
    <w:p>
      <w:pPr>
        <w:pStyle w:val="Indenta"/>
      </w:pPr>
      <w:r>
        <w:tab/>
        <w:t>(c)</w:t>
      </w:r>
      <w:r>
        <w:tab/>
        <w:t>that the payment of the whole or a part of a fee be postponed until such time, and upon such conditions, if any, as the registrar thinks fit.</w:t>
      </w:r>
    </w:p>
    <w:p>
      <w:pPr>
        <w:pStyle w:val="Subsection"/>
      </w:pPr>
      <w:r>
        <w:tab/>
        <w:t>(2)</w:t>
      </w:r>
      <w:r>
        <w:tab/>
        <w:t>Before determining an application under subregulation (1), a coroner’s registrar may require the applicant to provide the registrar with such further information as the registrar requires either in writing or orally.</w:t>
      </w:r>
    </w:p>
    <w:p>
      <w:pPr>
        <w:pStyle w:val="Footnotesection"/>
      </w:pPr>
      <w:r>
        <w:tab/>
        <w:t>[Regulation 23 inserted in Gazette 4 Sep 2009 p. 3492.]</w:t>
      </w:r>
    </w:p>
    <w:p>
      <w:pPr>
        <w:pStyle w:val="Heading5"/>
      </w:pPr>
      <w:bookmarkStart w:id="25" w:name="_Toc389729784"/>
      <w:r>
        <w:rPr>
          <w:rStyle w:val="CharSectno"/>
        </w:rPr>
        <w:t>24</w:t>
      </w:r>
      <w:r>
        <w:t>.</w:t>
      </w:r>
      <w:r>
        <w:tab/>
        <w:t>Resolution of disputes as to fees</w:t>
      </w:r>
      <w:bookmarkEnd w:id="25"/>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in Gazette 4 Sep 2009 p. 3492.]</w:t>
      </w:r>
    </w:p>
    <w:p>
      <w:pPr>
        <w:pStyle w:val="Heading5"/>
      </w:pPr>
      <w:bookmarkStart w:id="26" w:name="_Toc389729785"/>
      <w:r>
        <w:rPr>
          <w:rStyle w:val="CharSectno"/>
        </w:rPr>
        <w:t>25</w:t>
      </w:r>
      <w:r>
        <w:t>.</w:t>
      </w:r>
      <w:r>
        <w:tab/>
        <w:t>Recovery of unpaid fees</w:t>
      </w:r>
      <w:bookmarkEnd w:id="26"/>
    </w:p>
    <w:p>
      <w:pPr>
        <w:pStyle w:val="Subsection"/>
      </w:pPr>
      <w:r>
        <w:tab/>
      </w:r>
      <w:r>
        <w:tab/>
        <w:t>Any unpaid fee is a debt due to the State and may be recovered by action in a court of competent jurisdiction.</w:t>
      </w:r>
    </w:p>
    <w:p>
      <w:pPr>
        <w:pStyle w:val="Footnotesection"/>
      </w:pPr>
      <w:r>
        <w:tab/>
        <w:t>[Regulation 25 inserted in Gazette 4 Sep 2009 p. 3492.]</w:t>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27" w:name="_Toc389729738"/>
      <w:bookmarkStart w:id="28" w:name="_Toc389729786"/>
      <w:r>
        <w:rPr>
          <w:rStyle w:val="CharSchNo"/>
        </w:rPr>
        <w:t>Schedule 1</w:t>
      </w:r>
      <w:r>
        <w:t> — </w:t>
      </w:r>
      <w:r>
        <w:rPr>
          <w:rStyle w:val="CharSchText"/>
        </w:rPr>
        <w:t>Forms</w:t>
      </w:r>
      <w:bookmarkEnd w:id="27"/>
      <w:bookmarkEnd w:id="28"/>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in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in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rPr>
          <w:snapToGrid w:val="0"/>
        </w:rPr>
      </w:pPr>
      <w:r>
        <w:rPr>
          <w:snapToGrid w:val="0"/>
        </w:rPr>
        <w:t>3.</w:t>
      </w:r>
      <w:r>
        <w:rPr>
          <w:snapToGrid w:val="0"/>
        </w:rPr>
        <w:tab/>
        <w:t>*Find that — </w:t>
      </w:r>
    </w:p>
    <w:p>
      <w:pPr>
        <w:pStyle w:val="yMiscellaneousBody"/>
        <w:ind w:left="567" w:hanging="567"/>
        <w:rPr>
          <w:snapToGrid w:val="0"/>
        </w:rPr>
      </w:pPr>
      <w:r>
        <w:rPr>
          <w:snapToGrid w:val="0"/>
        </w:rPr>
        <w:tab/>
        <w:t>*The identity of the deceased person was ............................ and that death</w:t>
      </w:r>
    </w:p>
    <w:p>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TableNAm"/>
        <w:spacing w:before="60"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TableNAm"/>
        <w:spacing w:before="60"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TableNAm"/>
        <w:spacing w:before="60"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TableNAm"/>
        <w:spacing w:before="60"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TableNAm"/>
        <w:spacing w:before="60"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TableNAm"/>
        <w:spacing w:before="60"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TableNAm"/>
        <w:spacing w:before="60"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in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in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TableNAm"/>
        <w:spacing w:before="60" w:after="6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TableNAm"/>
        <w:spacing w:before="60" w:after="6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pPr>
      <w:bookmarkStart w:id="29" w:name="_Toc389729739"/>
      <w:bookmarkStart w:id="30" w:name="_Toc389729787"/>
      <w:r>
        <w:rPr>
          <w:rStyle w:val="CharSchNo"/>
        </w:rPr>
        <w:t>Schedule 2</w:t>
      </w:r>
      <w:r>
        <w:rPr>
          <w:rStyle w:val="CharSDivNo"/>
        </w:rPr>
        <w:t> </w:t>
      </w:r>
      <w:r>
        <w:rPr>
          <w:bCs/>
        </w:rPr>
        <w:t>—</w:t>
      </w:r>
      <w:r>
        <w:rPr>
          <w:rStyle w:val="CharSDivText"/>
        </w:rPr>
        <w:t> </w:t>
      </w:r>
      <w:r>
        <w:rPr>
          <w:rStyle w:val="CharSchText"/>
        </w:rPr>
        <w:t>Fees for post mortem services</w:t>
      </w:r>
      <w:bookmarkEnd w:id="29"/>
      <w:bookmarkEnd w:id="30"/>
    </w:p>
    <w:p>
      <w:pPr>
        <w:pStyle w:val="yShoulderClause"/>
      </w:pPr>
      <w:r>
        <w:t>[r. 21]</w:t>
      </w:r>
    </w:p>
    <w:p>
      <w:pPr>
        <w:pStyle w:val="yFootnoteheading"/>
        <w:spacing w:after="120"/>
      </w:pPr>
      <w:r>
        <w:tab/>
        <w:t>[Heading inserted in Gazette 4 Sep 2009 p. 3492</w:t>
      </w:r>
      <w:r>
        <w:noBreakHyphen/>
        <w:t>3.]</w:t>
      </w:r>
    </w:p>
    <w:tbl>
      <w:tblPr>
        <w:tblW w:w="0" w:type="auto"/>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31" w:name="_Toc389729740"/>
      <w:bookmarkStart w:id="32" w:name="_Toc389729788"/>
      <w:r>
        <w:rPr>
          <w:rStyle w:val="CharSchNo"/>
        </w:rPr>
        <w:t>Schedule 3</w:t>
      </w:r>
      <w:r>
        <w:t> — </w:t>
      </w:r>
      <w:r>
        <w:rPr>
          <w:rStyle w:val="CharSchText"/>
        </w:rPr>
        <w:t>Other fees</w:t>
      </w:r>
      <w:bookmarkEnd w:id="31"/>
      <w:bookmarkEnd w:id="32"/>
    </w:p>
    <w:p>
      <w:pPr>
        <w:pStyle w:val="yShoulderClause"/>
      </w:pPr>
      <w:r>
        <w:t>[r. 22]</w:t>
      </w:r>
    </w:p>
    <w:p>
      <w:pPr>
        <w:pStyle w:val="yFootnoteheading"/>
        <w:spacing w:after="120"/>
      </w:pPr>
      <w:r>
        <w:tab/>
        <w:t>[Heading inserted in Gazette 4 Sep 2009 p. 3493.]</w:t>
      </w:r>
    </w:p>
    <w:tbl>
      <w:tblPr>
        <w:tblW w:w="0" w:type="auto"/>
        <w:tblInd w:w="108"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851"/>
        <w:gridCol w:w="5552"/>
        <w:gridCol w:w="737"/>
      </w:tblGrid>
      <w:tr>
        <w:trPr>
          <w:tblHeader/>
        </w:trPr>
        <w:tc>
          <w:tcPr>
            <w:tcW w:w="851" w:type="dxa"/>
            <w:tcBorders>
              <w:bottom w:val="single" w:sz="4" w:space="0" w:color="auto"/>
            </w:tcBorders>
          </w:tcPr>
          <w:p>
            <w:pPr>
              <w:pStyle w:val="yTableNAm"/>
              <w:rPr>
                <w:b/>
                <w:bCs/>
              </w:rPr>
            </w:pPr>
            <w:r>
              <w:rPr>
                <w:b/>
                <w:bCs/>
              </w:rPr>
              <w:t>Item</w:t>
            </w:r>
          </w:p>
        </w:tc>
        <w:tc>
          <w:tcPr>
            <w:tcW w:w="5552" w:type="dxa"/>
            <w:tcBorders>
              <w:bottom w:val="single" w:sz="4" w:space="0" w:color="auto"/>
            </w:tcBorders>
          </w:tcPr>
          <w:p>
            <w:pPr>
              <w:pStyle w:val="yTableNAm"/>
              <w:jc w:val="center"/>
              <w:rPr>
                <w:b/>
                <w:bCs/>
              </w:rPr>
            </w:pPr>
            <w:r>
              <w:rPr>
                <w:b/>
                <w:bCs/>
              </w:rPr>
              <w:t>Matter</w:t>
            </w:r>
          </w:p>
        </w:tc>
        <w:tc>
          <w:tcPr>
            <w:tcW w:w="737" w:type="dxa"/>
            <w:tcBorders>
              <w:bottom w:val="single" w:sz="4" w:space="0" w:color="auto"/>
            </w:tcBorders>
          </w:tcPr>
          <w:p>
            <w:pPr>
              <w:pStyle w:val="yTableNAm"/>
              <w:tabs>
                <w:tab w:val="clear" w:pos="567"/>
              </w:tabs>
              <w:jc w:val="center"/>
              <w:rPr>
                <w:b/>
                <w:bCs/>
              </w:rPr>
            </w:pPr>
            <w:r>
              <w:rPr>
                <w:b/>
                <w:bCs/>
              </w:rPr>
              <w:t>$</w:t>
            </w:r>
          </w:p>
        </w:tc>
      </w:tr>
      <w:tr>
        <w:tc>
          <w:tcPr>
            <w:tcW w:w="851" w:type="dxa"/>
            <w:tcBorders>
              <w:bottom w:val="nil"/>
            </w:tcBorders>
          </w:tcPr>
          <w:p>
            <w:pPr>
              <w:pStyle w:val="yTableNAm"/>
            </w:pPr>
            <w:r>
              <w:t>1.</w:t>
            </w:r>
          </w:p>
        </w:tc>
        <w:tc>
          <w:tcPr>
            <w:tcW w:w="5552" w:type="dxa"/>
            <w:tcBorders>
              <w:bottom w:val="nil"/>
            </w:tcBorders>
          </w:tcPr>
          <w:p>
            <w:pPr>
              <w:pStyle w:val="yTableNAm"/>
              <w:rPr>
                <w:rStyle w:val="DraftersNotes"/>
              </w:rPr>
            </w:pPr>
            <w:r>
              <w:t>Copy of document or exhibit, for each page or part of a page</w:t>
            </w:r>
          </w:p>
        </w:tc>
        <w:tc>
          <w:tcPr>
            <w:tcW w:w="737" w:type="dxa"/>
            <w:tcBorders>
              <w:bottom w:val="nil"/>
            </w:tcBorders>
          </w:tcPr>
          <w:p>
            <w:pPr>
              <w:pStyle w:val="yTableNAm"/>
              <w:tabs>
                <w:tab w:val="clear" w:pos="567"/>
              </w:tabs>
              <w:ind w:right="20"/>
              <w:jc w:val="right"/>
            </w:pPr>
            <w:r>
              <w:t>1.50</w:t>
            </w:r>
          </w:p>
        </w:tc>
      </w:tr>
      <w:tr>
        <w:tc>
          <w:tcPr>
            <w:tcW w:w="851" w:type="dxa"/>
            <w:tcBorders>
              <w:top w:val="nil"/>
              <w:bottom w:val="nil"/>
            </w:tcBorders>
          </w:tcPr>
          <w:p>
            <w:pPr>
              <w:pStyle w:val="yTableNAm"/>
            </w:pPr>
            <w:r>
              <w:t>2.</w:t>
            </w:r>
          </w:p>
        </w:tc>
        <w:tc>
          <w:tcPr>
            <w:tcW w:w="5552" w:type="dxa"/>
            <w:tcBorders>
              <w:top w:val="nil"/>
              <w:bottom w:val="nil"/>
            </w:tcBorders>
          </w:tcPr>
          <w:p>
            <w:pPr>
              <w:pStyle w:val="yTableNAm"/>
              <w:ind w:left="567" w:hanging="567"/>
            </w:pPr>
            <w:r>
              <w:t xml:space="preserve">Copy of record of investigation into a death — </w:t>
            </w:r>
          </w:p>
          <w:p>
            <w:pPr>
              <w:pStyle w:val="yTableNAm"/>
              <w:ind w:left="567" w:hanging="567"/>
              <w:rPr>
                <w:rStyle w:val="DraftersNotes"/>
              </w:rPr>
            </w:pPr>
            <w:r>
              <w:t>(a)</w:t>
            </w:r>
            <w:r>
              <w:tab/>
              <w:t>for one copy on the request of a person who is an interested person under regulation 17(a) or (b)</w:t>
            </w:r>
          </w:p>
        </w:tc>
        <w:tc>
          <w:tcPr>
            <w:tcW w:w="737" w:type="dxa"/>
            <w:tcBorders>
              <w:top w:val="nil"/>
              <w:bottom w:val="nil"/>
            </w:tcBorders>
          </w:tcPr>
          <w:p>
            <w:pPr>
              <w:pStyle w:val="yTableNAm"/>
              <w:tabs>
                <w:tab w:val="clear" w:pos="567"/>
              </w:tabs>
              <w:jc w:val="right"/>
            </w:pPr>
          </w:p>
          <w:p>
            <w:pPr>
              <w:pStyle w:val="yTableNAm"/>
              <w:tabs>
                <w:tab w:val="clear" w:pos="567"/>
              </w:tabs>
              <w:jc w:val="right"/>
            </w:pPr>
            <w:r>
              <w:br/>
              <w:t>Nil</w:t>
            </w:r>
          </w:p>
        </w:tc>
      </w:tr>
      <w:tr>
        <w:tc>
          <w:tcPr>
            <w:tcW w:w="851" w:type="dxa"/>
            <w:tcBorders>
              <w:top w:val="nil"/>
              <w:bottom w:val="nil"/>
            </w:tcBorders>
          </w:tcPr>
          <w:p>
            <w:pPr>
              <w:pStyle w:val="yTableNAm"/>
              <w:spacing w:before="0"/>
            </w:pPr>
          </w:p>
        </w:tc>
        <w:tc>
          <w:tcPr>
            <w:tcW w:w="5552" w:type="dxa"/>
            <w:tcBorders>
              <w:top w:val="nil"/>
              <w:bottom w:val="nil"/>
            </w:tcBorders>
          </w:tcPr>
          <w:p>
            <w:pPr>
              <w:pStyle w:val="yTableNAm"/>
              <w:spacing w:before="0"/>
              <w:ind w:left="567" w:hanging="567"/>
            </w:pPr>
            <w:r>
              <w:t>(b)</w:t>
            </w:r>
            <w:r>
              <w:tab/>
              <w:t>for each additional copy on the request of a person who is an interested person under regulation 17(a) or (b), for each page or part of a page</w:t>
            </w:r>
          </w:p>
        </w:tc>
        <w:tc>
          <w:tcPr>
            <w:tcW w:w="737" w:type="dxa"/>
            <w:tcBorders>
              <w:top w:val="nil"/>
              <w:bottom w:val="nil"/>
            </w:tcBorders>
          </w:tcPr>
          <w:p>
            <w:pPr>
              <w:pStyle w:val="yTableNAm"/>
              <w:tabs>
                <w:tab w:val="clear" w:pos="567"/>
              </w:tabs>
              <w:spacing w:before="0"/>
              <w:jc w:val="right"/>
            </w:pPr>
            <w:r>
              <w:br/>
            </w:r>
            <w:r>
              <w:br/>
            </w:r>
            <w:r>
              <w:rPr>
                <w:szCs w:val="22"/>
              </w:rPr>
              <w:t>1.25</w:t>
            </w:r>
          </w:p>
        </w:tc>
      </w:tr>
      <w:tr>
        <w:tc>
          <w:tcPr>
            <w:tcW w:w="851" w:type="dxa"/>
            <w:tcBorders>
              <w:top w:val="nil"/>
              <w:bottom w:val="nil"/>
            </w:tcBorders>
          </w:tcPr>
          <w:p>
            <w:pPr>
              <w:pStyle w:val="yTableNAm"/>
              <w:spacing w:before="0"/>
            </w:pPr>
          </w:p>
        </w:tc>
        <w:tc>
          <w:tcPr>
            <w:tcW w:w="5552" w:type="dxa"/>
            <w:tcBorders>
              <w:top w:val="nil"/>
              <w:bottom w:val="nil"/>
            </w:tcBorders>
          </w:tcPr>
          <w:p>
            <w:pPr>
              <w:pStyle w:val="yTableNAm"/>
              <w:spacing w:before="0"/>
              <w:ind w:left="567" w:hanging="567"/>
            </w:pPr>
            <w:r>
              <w:t>(c)</w:t>
            </w:r>
            <w:r>
              <w:tab/>
              <w:t>for each copy on the request of any other person, for each page or part of a page</w:t>
            </w:r>
          </w:p>
        </w:tc>
        <w:tc>
          <w:tcPr>
            <w:tcW w:w="737" w:type="dxa"/>
            <w:tcBorders>
              <w:top w:val="nil"/>
              <w:bottom w:val="nil"/>
            </w:tcBorders>
          </w:tcPr>
          <w:p>
            <w:pPr>
              <w:pStyle w:val="yTableNAm"/>
              <w:tabs>
                <w:tab w:val="clear" w:pos="567"/>
              </w:tabs>
              <w:spacing w:before="0"/>
              <w:ind w:right="20"/>
              <w:jc w:val="right"/>
            </w:pPr>
            <w:r>
              <w:br/>
            </w:r>
            <w:r>
              <w:rPr>
                <w:szCs w:val="22"/>
              </w:rPr>
              <w:t>1.25</w:t>
            </w:r>
          </w:p>
        </w:tc>
      </w:tr>
      <w:tr>
        <w:tc>
          <w:tcPr>
            <w:tcW w:w="851" w:type="dxa"/>
            <w:tcBorders>
              <w:top w:val="nil"/>
              <w:bottom w:val="nil"/>
            </w:tcBorders>
          </w:tcPr>
          <w:p>
            <w:pPr>
              <w:pStyle w:val="yTableNAm"/>
            </w:pPr>
            <w:r>
              <w:t>3.</w:t>
            </w:r>
          </w:p>
        </w:tc>
        <w:tc>
          <w:tcPr>
            <w:tcW w:w="5552" w:type="dxa"/>
            <w:tcBorders>
              <w:top w:val="nil"/>
              <w:bottom w:val="nil"/>
            </w:tcBorders>
          </w:tcPr>
          <w:p>
            <w:pPr>
              <w:pStyle w:val="yTableNAm"/>
              <w:rPr>
                <w:rStyle w:val="DraftersNotes"/>
              </w:rPr>
            </w:pPr>
            <w:r>
              <w:t>Certifying under seal that a document is a true copy</w:t>
            </w:r>
          </w:p>
        </w:tc>
        <w:tc>
          <w:tcPr>
            <w:tcW w:w="737" w:type="dxa"/>
            <w:tcBorders>
              <w:top w:val="nil"/>
              <w:bottom w:val="nil"/>
            </w:tcBorders>
          </w:tcPr>
          <w:p>
            <w:pPr>
              <w:pStyle w:val="yTableNAm"/>
              <w:tabs>
                <w:tab w:val="clear" w:pos="567"/>
              </w:tabs>
              <w:ind w:right="20"/>
              <w:jc w:val="right"/>
            </w:pPr>
            <w:r>
              <w:rPr>
                <w:szCs w:val="22"/>
              </w:rPr>
              <w:t>15.35</w:t>
            </w:r>
          </w:p>
        </w:tc>
      </w:tr>
      <w:tr>
        <w:tc>
          <w:tcPr>
            <w:tcW w:w="851" w:type="dxa"/>
            <w:tcBorders>
              <w:top w:val="nil"/>
              <w:bottom w:val="nil"/>
            </w:tcBorders>
          </w:tcPr>
          <w:p>
            <w:pPr>
              <w:pStyle w:val="yTableNAm"/>
            </w:pPr>
            <w:r>
              <w:t>4.</w:t>
            </w:r>
          </w:p>
        </w:tc>
        <w:tc>
          <w:tcPr>
            <w:tcW w:w="5552" w:type="dxa"/>
            <w:tcBorders>
              <w:top w:val="nil"/>
              <w:bottom w:val="nil"/>
            </w:tcBorders>
          </w:tcPr>
          <w:p>
            <w:pPr>
              <w:pStyle w:val="yTableNAm"/>
            </w:pPr>
            <w:r>
              <w:t>Copy of transcript or notes of evidence, for each page or part of a page (minimum fee — </w:t>
            </w:r>
            <w:r>
              <w:rPr>
                <w:szCs w:val="22"/>
              </w:rPr>
              <w:t>$22.00</w:t>
            </w:r>
            <w:r>
              <w:t>)</w:t>
            </w:r>
          </w:p>
        </w:tc>
        <w:tc>
          <w:tcPr>
            <w:tcW w:w="737" w:type="dxa"/>
            <w:tcBorders>
              <w:top w:val="nil"/>
              <w:bottom w:val="nil"/>
            </w:tcBorders>
          </w:tcPr>
          <w:p>
            <w:pPr>
              <w:pStyle w:val="yTableNAm"/>
              <w:tabs>
                <w:tab w:val="clear" w:pos="567"/>
              </w:tabs>
              <w:jc w:val="right"/>
            </w:pPr>
            <w:r>
              <w:br/>
            </w:r>
            <w:r>
              <w:rPr>
                <w:szCs w:val="22"/>
              </w:rPr>
              <w:t>6.20</w:t>
            </w:r>
          </w:p>
        </w:tc>
      </w:tr>
      <w:tr>
        <w:tc>
          <w:tcPr>
            <w:tcW w:w="851" w:type="dxa"/>
            <w:tcBorders>
              <w:top w:val="nil"/>
              <w:bottom w:val="nil"/>
            </w:tcBorders>
          </w:tcPr>
          <w:p>
            <w:pPr>
              <w:pStyle w:val="yTableNAm"/>
            </w:pPr>
            <w:r>
              <w:t>5.</w:t>
            </w:r>
          </w:p>
        </w:tc>
        <w:tc>
          <w:tcPr>
            <w:tcW w:w="5552" w:type="dxa"/>
            <w:tcBorders>
              <w:top w:val="nil"/>
              <w:bottom w:val="nil"/>
            </w:tcBorders>
          </w:tcPr>
          <w:p>
            <w:pPr>
              <w:pStyle w:val="yTableNAm"/>
            </w:pPr>
            <w:r>
              <w:t>Copy of transcript or notes of evidence in electronic format if a fee has been paid under item 4 by the applicant for a copy of the transcript or notes of evidence, for each day of transcript or notes of evidence</w:t>
            </w:r>
          </w:p>
        </w:tc>
        <w:tc>
          <w:tcPr>
            <w:tcW w:w="737" w:type="dxa"/>
            <w:tcBorders>
              <w:top w:val="nil"/>
              <w:bottom w:val="nil"/>
            </w:tcBorders>
          </w:tcPr>
          <w:p>
            <w:pPr>
              <w:pStyle w:val="yTableNAm"/>
              <w:tabs>
                <w:tab w:val="clear" w:pos="567"/>
              </w:tabs>
              <w:jc w:val="right"/>
            </w:pPr>
            <w:r>
              <w:br/>
            </w:r>
            <w:r>
              <w:br/>
            </w:r>
            <w:r>
              <w:br/>
            </w:r>
            <w:r>
              <w:rPr>
                <w:szCs w:val="22"/>
              </w:rPr>
              <w:t>15.35</w:t>
            </w:r>
          </w:p>
        </w:tc>
      </w:tr>
      <w:tr>
        <w:tc>
          <w:tcPr>
            <w:tcW w:w="851" w:type="dxa"/>
            <w:tcBorders>
              <w:top w:val="nil"/>
              <w:bottom w:val="single" w:sz="4" w:space="0" w:color="auto"/>
            </w:tcBorders>
          </w:tcPr>
          <w:p>
            <w:pPr>
              <w:pStyle w:val="yTableNAm"/>
            </w:pPr>
            <w:r>
              <w:t>6.</w:t>
            </w:r>
          </w:p>
        </w:tc>
        <w:tc>
          <w:tcPr>
            <w:tcW w:w="5552" w:type="dxa"/>
            <w:tcBorders>
              <w:top w:val="nil"/>
              <w:bottom w:val="single" w:sz="4" w:space="0" w:color="auto"/>
            </w:tcBorders>
          </w:tcPr>
          <w:p>
            <w:pPr>
              <w:pStyle w:val="yTableNAm"/>
            </w:pPr>
            <w:r>
              <w:t>Copy of transcript or notes of evidence not in electronic format if a fee has been paid under item 4 by the applicant for a copy of the transcript or notes of evidence, for each page or part of a page</w:t>
            </w:r>
          </w:p>
        </w:tc>
        <w:tc>
          <w:tcPr>
            <w:tcW w:w="737" w:type="dxa"/>
            <w:tcBorders>
              <w:top w:val="nil"/>
              <w:bottom w:val="single" w:sz="4" w:space="0" w:color="auto"/>
            </w:tcBorders>
          </w:tcPr>
          <w:p>
            <w:pPr>
              <w:pStyle w:val="yTableNAm"/>
              <w:tabs>
                <w:tab w:val="clear" w:pos="567"/>
              </w:tabs>
              <w:ind w:right="20"/>
              <w:jc w:val="right"/>
            </w:pPr>
            <w:r>
              <w:br/>
            </w:r>
            <w:r>
              <w:br/>
            </w:r>
            <w:r>
              <w:br/>
              <w:t>1.50</w:t>
            </w:r>
          </w:p>
        </w:tc>
      </w:tr>
    </w:tbl>
    <w:p>
      <w:pPr>
        <w:pStyle w:val="yFootnotesection"/>
      </w:pPr>
      <w:r>
        <w:tab/>
        <w:t>[Schedule 3 inserted in Gazette 4 Sep 2009 p. 3493; amended in Gazette 8 Mar 2011 p. 800; 20 Dec 2011 p. 5393; 30 Nov 2012 p. 5801; 15 Nov 2013 p. 5253.]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pPr>
      <w:bookmarkStart w:id="33" w:name="_Toc389729741"/>
      <w:bookmarkStart w:id="34" w:name="_Toc389729789"/>
      <w:r>
        <w:t>Notes</w:t>
      </w:r>
      <w:bookmarkEnd w:id="33"/>
      <w:bookmarkEnd w:id="34"/>
    </w:p>
    <w:p>
      <w:pPr>
        <w:pStyle w:val="nSubsection"/>
        <w:rPr>
          <w:snapToGrid w:val="0"/>
        </w:rPr>
      </w:pPr>
      <w:r>
        <w:rPr>
          <w:snapToGrid w:val="0"/>
          <w:vertAlign w:val="superscript"/>
        </w:rPr>
        <w:t>1</w:t>
      </w:r>
      <w:r>
        <w:rPr>
          <w:snapToGrid w:val="0"/>
        </w:rPr>
        <w:tab/>
        <w:t xml:space="preserve">This reprint is a compilation as at 23 May 2014 of the </w:t>
      </w:r>
      <w:r>
        <w:rPr>
          <w:i/>
          <w:noProof/>
          <w:snapToGrid w:val="0"/>
        </w:rPr>
        <w:t>Coroners Regulations 1997</w:t>
      </w:r>
      <w:r>
        <w:rPr>
          <w:snapToGrid w:val="0"/>
        </w:rPr>
        <w:t xml:space="preserve"> and includes the amendments made by the other written laws referred to in the following table.  The table also contains information about any reprint.</w:t>
      </w:r>
    </w:p>
    <w:p>
      <w:pPr>
        <w:pStyle w:val="nHeading3"/>
      </w:pPr>
      <w:bookmarkStart w:id="35" w:name="_Toc389729790"/>
      <w:r>
        <w:t>Compilation table</w:t>
      </w:r>
      <w:bookmarkEnd w:id="3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rFonts w:ascii="Times" w:hAnsi="Times"/>
                <w:sz w:val="19"/>
              </w:rPr>
            </w:pPr>
            <w:r>
              <w:rPr>
                <w:rFonts w:ascii="Times" w:hAnsi="Times"/>
                <w:i/>
                <w:sz w:val="19"/>
              </w:rPr>
              <w:t>Coroners Regulations 1997</w:t>
            </w:r>
          </w:p>
        </w:tc>
        <w:tc>
          <w:tcPr>
            <w:tcW w:w="1276" w:type="dxa"/>
            <w:tcBorders>
              <w:top w:val="single" w:sz="8" w:space="0" w:color="auto"/>
            </w:tcBorders>
          </w:tcPr>
          <w:p>
            <w:pPr>
              <w:pStyle w:val="nTable"/>
              <w:spacing w:after="40"/>
              <w:rPr>
                <w:rFonts w:ascii="Times" w:hAnsi="Times"/>
                <w:sz w:val="19"/>
              </w:rPr>
            </w:pPr>
            <w:r>
              <w:rPr>
                <w:rFonts w:ascii="Times" w:hAnsi="Times"/>
                <w:sz w:val="19"/>
              </w:rPr>
              <w:t>18 Mar 1997 p. 1551</w:t>
            </w:r>
            <w:r>
              <w:rPr>
                <w:rFonts w:ascii="Times" w:hAnsi="Times"/>
                <w:sz w:val="19"/>
              </w:rPr>
              <w:noBreakHyphen/>
              <w:t>74</w:t>
            </w:r>
          </w:p>
        </w:tc>
        <w:tc>
          <w:tcPr>
            <w:tcW w:w="2694" w:type="dxa"/>
            <w:tcBorders>
              <w:top w:val="single" w:sz="8" w:space="0" w:color="auto"/>
            </w:tcBorders>
          </w:tcPr>
          <w:p>
            <w:pPr>
              <w:pStyle w:val="nTable"/>
              <w:spacing w:after="40"/>
              <w:rPr>
                <w:rFonts w:ascii="Times" w:hAnsi="Times"/>
                <w:sz w:val="19"/>
              </w:rPr>
            </w:pPr>
            <w:r>
              <w:rPr>
                <w:rFonts w:ascii="Times" w:hAnsi="Times"/>
                <w:sz w:val="19"/>
              </w:rPr>
              <w:t xml:space="preserve">7 Apr 1997 (see r. 2 and </w:t>
            </w:r>
            <w:r>
              <w:rPr>
                <w:rFonts w:ascii="Times" w:hAnsi="Times"/>
                <w:i/>
                <w:sz w:val="19"/>
              </w:rPr>
              <w:t>Gazette</w:t>
            </w:r>
            <w:r>
              <w:rPr>
                <w:rFonts w:ascii="Times" w:hAnsi="Times"/>
                <w:sz w:val="19"/>
              </w:rPr>
              <w:t xml:space="preserve"> 18 Mar 1997 p. 1529)</w:t>
            </w:r>
          </w:p>
        </w:tc>
      </w:tr>
      <w:tr>
        <w:tc>
          <w:tcPr>
            <w:tcW w:w="3118" w:type="dxa"/>
          </w:tcPr>
          <w:p>
            <w:pPr>
              <w:pStyle w:val="nTable"/>
              <w:spacing w:after="40"/>
              <w:rPr>
                <w:rFonts w:ascii="Times" w:hAnsi="Times"/>
                <w:sz w:val="19"/>
              </w:rPr>
            </w:pPr>
            <w:r>
              <w:rPr>
                <w:rFonts w:ascii="Times" w:hAnsi="Times"/>
                <w:i/>
                <w:sz w:val="19"/>
              </w:rPr>
              <w:t>Equality of Status Subsidiary Legislation Amendment Regulations 2003</w:t>
            </w:r>
            <w:r>
              <w:rPr>
                <w:rFonts w:ascii="Times" w:hAnsi="Times"/>
                <w:sz w:val="19"/>
              </w:rPr>
              <w:t xml:space="preserve"> Pt. 10</w:t>
            </w:r>
          </w:p>
        </w:tc>
        <w:tc>
          <w:tcPr>
            <w:tcW w:w="1276" w:type="dxa"/>
          </w:tcPr>
          <w:p>
            <w:pPr>
              <w:pStyle w:val="nTable"/>
              <w:spacing w:after="40"/>
              <w:rPr>
                <w:rFonts w:ascii="Times" w:hAnsi="Times"/>
                <w:sz w:val="19"/>
              </w:rPr>
            </w:pPr>
            <w:r>
              <w:rPr>
                <w:rFonts w:ascii="Times" w:hAnsi="Times"/>
                <w:sz w:val="19"/>
              </w:rPr>
              <w:t>30 Jun 2003 p. 2581</w:t>
            </w:r>
            <w:r>
              <w:rPr>
                <w:rFonts w:ascii="Times" w:hAnsi="Times"/>
                <w:sz w:val="19"/>
              </w:rPr>
              <w:noBreakHyphen/>
              <w:t>638</w:t>
            </w:r>
          </w:p>
        </w:tc>
        <w:tc>
          <w:tcPr>
            <w:tcW w:w="2694" w:type="dxa"/>
          </w:tcPr>
          <w:p>
            <w:pPr>
              <w:pStyle w:val="nTable"/>
              <w:spacing w:after="40"/>
              <w:rPr>
                <w:rFonts w:ascii="Times" w:hAnsi="Times"/>
                <w:sz w:val="19"/>
              </w:rPr>
            </w:pPr>
            <w:r>
              <w:rPr>
                <w:rFonts w:ascii="Times" w:hAnsi="Times"/>
                <w:sz w:val="19"/>
              </w:rPr>
              <w:t xml:space="preserve">1 Jul 2003 (see r. 2 and </w:t>
            </w:r>
            <w:r>
              <w:rPr>
                <w:rFonts w:ascii="Times" w:hAnsi="Times"/>
                <w:i/>
                <w:sz w:val="19"/>
              </w:rPr>
              <w:t xml:space="preserve">Gazette </w:t>
            </w:r>
            <w:r>
              <w:rPr>
                <w:rFonts w:ascii="Times" w:hAnsi="Times"/>
                <w:sz w:val="19"/>
              </w:rPr>
              <w:t>30 Jun 2003 p. 2579)</w:t>
            </w:r>
          </w:p>
        </w:tc>
      </w:tr>
      <w:tr>
        <w:trPr>
          <w:cantSplit/>
        </w:trPr>
        <w:tc>
          <w:tcPr>
            <w:tcW w:w="7088" w:type="dxa"/>
            <w:gridSpan w:val="3"/>
          </w:tcPr>
          <w:p>
            <w:pPr>
              <w:pStyle w:val="nTable"/>
              <w:spacing w:after="40"/>
              <w:rPr>
                <w:rFonts w:ascii="Times" w:hAnsi="Times"/>
                <w:sz w:val="19"/>
              </w:rPr>
            </w:pPr>
            <w:r>
              <w:rPr>
                <w:rFonts w:ascii="Times" w:hAnsi="Times"/>
                <w:b/>
                <w:sz w:val="19"/>
              </w:rPr>
              <w:t xml:space="preserve">Reprint 1: The </w:t>
            </w:r>
            <w:r>
              <w:rPr>
                <w:rFonts w:ascii="Times" w:hAnsi="Times"/>
                <w:b/>
                <w:i/>
                <w:sz w:val="19"/>
              </w:rPr>
              <w:t>Coroners Regulations 1997</w:t>
            </w:r>
            <w:r>
              <w:rPr>
                <w:rFonts w:ascii="Times" w:hAnsi="Times"/>
                <w:b/>
                <w:sz w:val="19"/>
              </w:rPr>
              <w:t xml:space="preserve"> as at 16 Jan 2004</w:t>
            </w:r>
            <w:r>
              <w:rPr>
                <w:rFonts w:ascii="Times" w:hAnsi="Times"/>
                <w:sz w:val="19"/>
              </w:rPr>
              <w:t xml:space="preserve"> (includes amendments listed above)</w:t>
            </w:r>
          </w:p>
        </w:tc>
      </w:tr>
      <w:tr>
        <w:tc>
          <w:tcPr>
            <w:tcW w:w="3118" w:type="dxa"/>
          </w:tcPr>
          <w:p>
            <w:pPr>
              <w:pStyle w:val="nTable"/>
              <w:spacing w:after="40"/>
              <w:rPr>
                <w:rFonts w:ascii="Times" w:hAnsi="Times"/>
                <w:iCs/>
                <w:sz w:val="19"/>
              </w:rPr>
            </w:pPr>
            <w:r>
              <w:rPr>
                <w:rFonts w:ascii="Times" w:hAnsi="Times"/>
                <w:i/>
                <w:sz w:val="19"/>
              </w:rPr>
              <w:t>Courts and Legal Practice (Consequential Amendments) Regulations 2005</w:t>
            </w:r>
            <w:r>
              <w:rPr>
                <w:rFonts w:ascii="Times" w:hAnsi="Times"/>
                <w:iCs/>
                <w:sz w:val="19"/>
              </w:rPr>
              <w:t xml:space="preserve"> r. 3</w:t>
            </w:r>
          </w:p>
        </w:tc>
        <w:tc>
          <w:tcPr>
            <w:tcW w:w="1276" w:type="dxa"/>
          </w:tcPr>
          <w:p>
            <w:pPr>
              <w:pStyle w:val="nTable"/>
              <w:spacing w:after="40"/>
              <w:rPr>
                <w:rFonts w:ascii="Times" w:hAnsi="Times"/>
                <w:sz w:val="19"/>
              </w:rPr>
            </w:pPr>
            <w:r>
              <w:rPr>
                <w:rFonts w:ascii="Times" w:hAnsi="Times"/>
                <w:sz w:val="19"/>
              </w:rPr>
              <w:t>19 Apr 2005 p. 1294</w:t>
            </w:r>
            <w:r>
              <w:rPr>
                <w:rFonts w:ascii="Times" w:hAnsi="Times"/>
                <w:sz w:val="19"/>
              </w:rPr>
              <w:noBreakHyphen/>
              <w:t>302</w:t>
            </w:r>
          </w:p>
        </w:tc>
        <w:tc>
          <w:tcPr>
            <w:tcW w:w="2694" w:type="dxa"/>
          </w:tcPr>
          <w:p>
            <w:pPr>
              <w:pStyle w:val="nTable"/>
              <w:spacing w:after="40"/>
              <w:rPr>
                <w:rFonts w:ascii="Times" w:hAnsi="Times"/>
                <w:sz w:val="19"/>
              </w:rPr>
            </w:pPr>
            <w:r>
              <w:rPr>
                <w:rFonts w:ascii="Times" w:hAnsi="Times"/>
                <w:sz w:val="19"/>
              </w:rPr>
              <w:t>19 Apr 2005</w:t>
            </w:r>
          </w:p>
        </w:tc>
      </w:tr>
      <w:tr>
        <w:tc>
          <w:tcPr>
            <w:tcW w:w="3118" w:type="dxa"/>
          </w:tcPr>
          <w:p>
            <w:pPr>
              <w:pStyle w:val="nTable"/>
              <w:spacing w:after="40"/>
              <w:rPr>
                <w:rFonts w:ascii="Times" w:hAnsi="Times"/>
                <w:i/>
                <w:sz w:val="19"/>
              </w:rPr>
            </w:pPr>
            <w:r>
              <w:rPr>
                <w:rFonts w:ascii="Times" w:hAnsi="Times"/>
                <w:i/>
                <w:sz w:val="19"/>
              </w:rPr>
              <w:t>Coroners Amendment Regulations 2008</w:t>
            </w:r>
          </w:p>
        </w:tc>
        <w:tc>
          <w:tcPr>
            <w:tcW w:w="1276" w:type="dxa"/>
          </w:tcPr>
          <w:p>
            <w:pPr>
              <w:pStyle w:val="nTable"/>
              <w:spacing w:after="40"/>
              <w:rPr>
                <w:rFonts w:ascii="Times" w:hAnsi="Times"/>
                <w:sz w:val="19"/>
              </w:rPr>
            </w:pPr>
            <w:r>
              <w:rPr>
                <w:rFonts w:ascii="Times" w:hAnsi="Times"/>
                <w:sz w:val="19"/>
              </w:rPr>
              <w:t>11 Mar 2008 p. 816</w:t>
            </w:r>
          </w:p>
        </w:tc>
        <w:tc>
          <w:tcPr>
            <w:tcW w:w="2694" w:type="dxa"/>
          </w:tcPr>
          <w:p>
            <w:pPr>
              <w:pStyle w:val="nTable"/>
              <w:spacing w:after="40"/>
              <w:rPr>
                <w:rFonts w:ascii="Times" w:hAnsi="Times"/>
                <w:sz w:val="19"/>
              </w:rPr>
            </w:pPr>
            <w:r>
              <w:rPr>
                <w:rFonts w:ascii="Times" w:hAnsi="Times"/>
                <w:snapToGrid w:val="0"/>
                <w:sz w:val="19"/>
              </w:rPr>
              <w:t>r. 1 and 2: 11 Mar 2008 (see r. 2(a));</w:t>
            </w:r>
            <w:r>
              <w:rPr>
                <w:rFonts w:ascii="Times" w:hAnsi="Times"/>
                <w:snapToGrid w:val="0"/>
                <w:sz w:val="19"/>
              </w:rPr>
              <w:br/>
              <w:t>Regulations other than r. 1 and 2: 12 Mar 2008 (see r. 2(b))</w:t>
            </w:r>
          </w:p>
        </w:tc>
      </w:tr>
      <w:tr>
        <w:tc>
          <w:tcPr>
            <w:tcW w:w="3118" w:type="dxa"/>
          </w:tcPr>
          <w:p>
            <w:pPr>
              <w:pStyle w:val="nTable"/>
              <w:spacing w:after="40"/>
              <w:rPr>
                <w:rFonts w:ascii="Times" w:hAnsi="Times"/>
                <w:i/>
                <w:sz w:val="19"/>
              </w:rPr>
            </w:pPr>
            <w:r>
              <w:rPr>
                <w:rFonts w:ascii="Times" w:hAnsi="Times"/>
                <w:i/>
                <w:sz w:val="19"/>
              </w:rPr>
              <w:t>Coroners Amendment Regulations 2009</w:t>
            </w:r>
          </w:p>
        </w:tc>
        <w:tc>
          <w:tcPr>
            <w:tcW w:w="1276" w:type="dxa"/>
          </w:tcPr>
          <w:p>
            <w:pPr>
              <w:pStyle w:val="nTable"/>
              <w:spacing w:after="40"/>
              <w:rPr>
                <w:rFonts w:ascii="Times" w:hAnsi="Times"/>
                <w:sz w:val="19"/>
              </w:rPr>
            </w:pPr>
            <w:r>
              <w:rPr>
                <w:rFonts w:ascii="Times" w:hAnsi="Times"/>
                <w:sz w:val="19"/>
              </w:rPr>
              <w:t>4 Sep 2009 p. 3491</w:t>
            </w:r>
            <w:r>
              <w:rPr>
                <w:rFonts w:ascii="Times" w:hAnsi="Times"/>
                <w:sz w:val="19"/>
              </w:rPr>
              <w:noBreakHyphen/>
              <w:t>3</w:t>
            </w:r>
          </w:p>
        </w:tc>
        <w:tc>
          <w:tcPr>
            <w:tcW w:w="2694" w:type="dxa"/>
          </w:tcPr>
          <w:p>
            <w:pPr>
              <w:pStyle w:val="nTable"/>
              <w:spacing w:after="40"/>
              <w:rPr>
                <w:rFonts w:ascii="Times" w:hAnsi="Times"/>
                <w:snapToGrid w:val="0"/>
                <w:sz w:val="19"/>
              </w:rPr>
            </w:pPr>
            <w:r>
              <w:rPr>
                <w:rFonts w:ascii="Times" w:hAnsi="Times"/>
                <w:snapToGrid w:val="0"/>
                <w:sz w:val="19"/>
              </w:rPr>
              <w:t>r. 1 and 2: 4 Sep 2009 (see r. 2(a));</w:t>
            </w:r>
            <w:r>
              <w:rPr>
                <w:rFonts w:ascii="Times" w:hAnsi="Times"/>
                <w:snapToGrid w:val="0"/>
                <w:sz w:val="19"/>
              </w:rPr>
              <w:br/>
              <w:t>Regulations other than r. 1 and 2: 5 Sep 2009 (see r. 2(b))</w:t>
            </w:r>
          </w:p>
        </w:tc>
      </w:tr>
      <w:tr>
        <w:trPr>
          <w:cantSplit/>
        </w:trPr>
        <w:tc>
          <w:tcPr>
            <w:tcW w:w="7088" w:type="dxa"/>
            <w:gridSpan w:val="3"/>
          </w:tcPr>
          <w:p>
            <w:pPr>
              <w:pStyle w:val="nTable"/>
              <w:spacing w:after="40"/>
              <w:rPr>
                <w:rFonts w:ascii="Times" w:hAnsi="Times"/>
                <w:snapToGrid w:val="0"/>
                <w:sz w:val="19"/>
              </w:rPr>
            </w:pPr>
            <w:r>
              <w:rPr>
                <w:rFonts w:ascii="Times" w:hAnsi="Times"/>
                <w:b/>
                <w:sz w:val="19"/>
              </w:rPr>
              <w:t xml:space="preserve">Reprint 2: The </w:t>
            </w:r>
            <w:r>
              <w:rPr>
                <w:rFonts w:ascii="Times" w:hAnsi="Times"/>
                <w:b/>
                <w:i/>
                <w:sz w:val="19"/>
              </w:rPr>
              <w:t>Coroners Regulations 1997</w:t>
            </w:r>
            <w:r>
              <w:rPr>
                <w:rFonts w:ascii="Times" w:hAnsi="Times"/>
                <w:b/>
                <w:sz w:val="19"/>
              </w:rPr>
              <w:t xml:space="preserve"> as at 6 Nov 2009</w:t>
            </w:r>
            <w:r>
              <w:rPr>
                <w:rFonts w:ascii="Times" w:hAnsi="Times"/>
                <w:sz w:val="19"/>
              </w:rPr>
              <w:t xml:space="preserve"> (includes amendments listed above)</w:t>
            </w:r>
          </w:p>
        </w:tc>
      </w:tr>
      <w:tr>
        <w:tc>
          <w:tcPr>
            <w:tcW w:w="3118" w:type="dxa"/>
          </w:tcPr>
          <w:p>
            <w:pPr>
              <w:pStyle w:val="nTable"/>
              <w:spacing w:after="40"/>
              <w:rPr>
                <w:rFonts w:ascii="Times" w:hAnsi="Times"/>
                <w:i/>
                <w:sz w:val="19"/>
              </w:rPr>
            </w:pPr>
            <w:r>
              <w:rPr>
                <w:rFonts w:ascii="Times" w:hAnsi="Times"/>
                <w:i/>
                <w:sz w:val="19"/>
              </w:rPr>
              <w:t>Coroners Amendment Regulations 2011</w:t>
            </w:r>
          </w:p>
        </w:tc>
        <w:tc>
          <w:tcPr>
            <w:tcW w:w="1276" w:type="dxa"/>
          </w:tcPr>
          <w:p>
            <w:pPr>
              <w:pStyle w:val="nTable"/>
              <w:spacing w:after="40"/>
              <w:rPr>
                <w:rFonts w:ascii="Times" w:hAnsi="Times"/>
                <w:sz w:val="19"/>
              </w:rPr>
            </w:pPr>
            <w:r>
              <w:rPr>
                <w:rFonts w:ascii="Times" w:hAnsi="Times"/>
                <w:sz w:val="19"/>
              </w:rPr>
              <w:t>8 Mar 2011 p. 799</w:t>
            </w:r>
            <w:r>
              <w:rPr>
                <w:rFonts w:ascii="Times" w:hAnsi="Times"/>
                <w:sz w:val="19"/>
              </w:rPr>
              <w:noBreakHyphen/>
              <w:t>800</w:t>
            </w:r>
          </w:p>
        </w:tc>
        <w:tc>
          <w:tcPr>
            <w:tcW w:w="2694" w:type="dxa"/>
          </w:tcPr>
          <w:p>
            <w:pPr>
              <w:pStyle w:val="nTable"/>
              <w:spacing w:after="40"/>
              <w:rPr>
                <w:rFonts w:ascii="Times" w:hAnsi="Times"/>
                <w:snapToGrid w:val="0"/>
                <w:sz w:val="19"/>
              </w:rPr>
            </w:pPr>
            <w:r>
              <w:rPr>
                <w:rFonts w:ascii="Times" w:hAnsi="Times"/>
                <w:snapToGrid w:val="0"/>
                <w:sz w:val="19"/>
              </w:rPr>
              <w:t>r. 1 and 2: 8 Mar 2011 (see r. 2(a));</w:t>
            </w:r>
            <w:r>
              <w:rPr>
                <w:rFonts w:ascii="Times" w:hAnsi="Times"/>
                <w:snapToGrid w:val="0"/>
                <w:sz w:val="19"/>
              </w:rPr>
              <w:br/>
              <w:t>Regulations other than r. 1 and 2: 9 Mar 2011 (see r. 2(b))</w:t>
            </w:r>
          </w:p>
        </w:tc>
      </w:tr>
      <w:tr>
        <w:tc>
          <w:tcPr>
            <w:tcW w:w="3118" w:type="dxa"/>
          </w:tcPr>
          <w:p>
            <w:pPr>
              <w:pStyle w:val="nTable"/>
              <w:spacing w:after="40"/>
              <w:rPr>
                <w:rFonts w:ascii="Times" w:hAnsi="Times"/>
                <w:i/>
                <w:sz w:val="19"/>
              </w:rPr>
            </w:pPr>
            <w:r>
              <w:rPr>
                <w:rFonts w:ascii="Times" w:hAnsi="Times"/>
                <w:i/>
                <w:sz w:val="19"/>
              </w:rPr>
              <w:t>Coroners Amendment Regulations (No. 2) 2011</w:t>
            </w:r>
          </w:p>
        </w:tc>
        <w:tc>
          <w:tcPr>
            <w:tcW w:w="1276" w:type="dxa"/>
          </w:tcPr>
          <w:p>
            <w:pPr>
              <w:pStyle w:val="nTable"/>
              <w:spacing w:after="40"/>
              <w:rPr>
                <w:rFonts w:ascii="Times" w:hAnsi="Times"/>
                <w:sz w:val="19"/>
              </w:rPr>
            </w:pPr>
            <w:r>
              <w:rPr>
                <w:rFonts w:ascii="Times" w:hAnsi="Times"/>
                <w:sz w:val="19"/>
              </w:rPr>
              <w:t>20 Dec 2011 p. 5392</w:t>
            </w:r>
            <w:r>
              <w:rPr>
                <w:rFonts w:ascii="Times" w:hAnsi="Times"/>
                <w:sz w:val="19"/>
              </w:rPr>
              <w:noBreakHyphen/>
              <w:t>3</w:t>
            </w:r>
          </w:p>
        </w:tc>
        <w:tc>
          <w:tcPr>
            <w:tcW w:w="2694" w:type="dxa"/>
          </w:tcPr>
          <w:p>
            <w:pPr>
              <w:pStyle w:val="nTable"/>
              <w:spacing w:after="40"/>
              <w:rPr>
                <w:rFonts w:ascii="Times" w:hAnsi="Times"/>
                <w:snapToGrid w:val="0"/>
                <w:sz w:val="19"/>
              </w:rPr>
            </w:pPr>
            <w:r>
              <w:rPr>
                <w:rFonts w:ascii="Times" w:hAnsi="Times"/>
                <w:snapToGrid w:val="0"/>
                <w:sz w:val="19"/>
              </w:rPr>
              <w:t>r. 1 and 2: 20 Dec 2011 (see r. 2(a));</w:t>
            </w:r>
            <w:r>
              <w:rPr>
                <w:rFonts w:ascii="Times" w:hAnsi="Times"/>
                <w:snapToGrid w:val="0"/>
                <w:sz w:val="19"/>
              </w:rPr>
              <w:br/>
              <w:t>Regulations other than r. 1 and 2: 21 Dec 2011 (see r. 2(b))</w:t>
            </w:r>
          </w:p>
        </w:tc>
      </w:tr>
      <w:tr>
        <w:tc>
          <w:tcPr>
            <w:tcW w:w="3118" w:type="dxa"/>
          </w:tcPr>
          <w:p>
            <w:pPr>
              <w:pStyle w:val="nTable"/>
              <w:spacing w:after="40"/>
              <w:rPr>
                <w:rFonts w:ascii="Times" w:hAnsi="Times"/>
                <w:i/>
                <w:sz w:val="19"/>
              </w:rPr>
            </w:pPr>
            <w:r>
              <w:rPr>
                <w:rFonts w:ascii="Times" w:hAnsi="Times"/>
                <w:i/>
                <w:sz w:val="19"/>
              </w:rPr>
              <w:t>Coroners Amendment Regulations 2012</w:t>
            </w:r>
          </w:p>
        </w:tc>
        <w:tc>
          <w:tcPr>
            <w:tcW w:w="1276" w:type="dxa"/>
          </w:tcPr>
          <w:p>
            <w:pPr>
              <w:pStyle w:val="nTable"/>
              <w:spacing w:after="40"/>
              <w:rPr>
                <w:rFonts w:ascii="Times" w:hAnsi="Times"/>
                <w:sz w:val="19"/>
              </w:rPr>
            </w:pPr>
            <w:r>
              <w:rPr>
                <w:rFonts w:ascii="Times" w:hAnsi="Times"/>
                <w:sz w:val="19"/>
              </w:rPr>
              <w:t>30 Nov 2012 p. 5801</w:t>
            </w:r>
          </w:p>
        </w:tc>
        <w:tc>
          <w:tcPr>
            <w:tcW w:w="2694" w:type="dxa"/>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c>
          <w:tcPr>
            <w:tcW w:w="3118" w:type="dxa"/>
          </w:tcPr>
          <w:p>
            <w:pPr>
              <w:pStyle w:val="nTable"/>
              <w:keepNext/>
              <w:spacing w:after="40"/>
              <w:rPr>
                <w:rFonts w:ascii="Times" w:hAnsi="Times"/>
                <w:i/>
                <w:sz w:val="19"/>
              </w:rPr>
            </w:pPr>
            <w:r>
              <w:rPr>
                <w:rFonts w:ascii="Times" w:hAnsi="Times"/>
                <w:i/>
                <w:sz w:val="19"/>
              </w:rPr>
              <w:t>Coroners Amendment Regulations (No. 2) 2012</w:t>
            </w:r>
          </w:p>
        </w:tc>
        <w:tc>
          <w:tcPr>
            <w:tcW w:w="1276" w:type="dxa"/>
          </w:tcPr>
          <w:p>
            <w:pPr>
              <w:pStyle w:val="nTable"/>
              <w:keepNext/>
              <w:spacing w:after="40"/>
              <w:rPr>
                <w:rFonts w:ascii="Times" w:hAnsi="Times"/>
                <w:sz w:val="19"/>
              </w:rPr>
            </w:pPr>
            <w:r>
              <w:rPr>
                <w:rFonts w:ascii="Times" w:hAnsi="Times"/>
                <w:sz w:val="19"/>
              </w:rPr>
              <w:t>12 Feb 2013 p. 921-2</w:t>
            </w:r>
          </w:p>
        </w:tc>
        <w:tc>
          <w:tcPr>
            <w:tcW w:w="2694" w:type="dxa"/>
          </w:tcPr>
          <w:p>
            <w:pPr>
              <w:pStyle w:val="nTable"/>
              <w:keepNext/>
              <w:spacing w:after="40"/>
              <w:rPr>
                <w:rFonts w:ascii="Times" w:hAnsi="Times"/>
                <w:snapToGrid w:val="0"/>
                <w:sz w:val="19"/>
              </w:rPr>
            </w:pPr>
            <w:r>
              <w:rPr>
                <w:rFonts w:ascii="Times" w:hAnsi="Times"/>
                <w:snapToGrid w:val="0"/>
                <w:sz w:val="19"/>
              </w:rPr>
              <w:t>r. 1 and 2: 12 Feb 2013 (see r. 2(a));</w:t>
            </w:r>
            <w:r>
              <w:rPr>
                <w:rFonts w:ascii="Times" w:hAnsi="Times"/>
                <w:snapToGrid w:val="0"/>
                <w:sz w:val="19"/>
              </w:rPr>
              <w:br/>
              <w:t>Regulations other than r. 1 and 2: 13 Feb 2013 (see r. 2(b))</w:t>
            </w:r>
          </w:p>
        </w:tc>
      </w:tr>
      <w:tr>
        <w:tc>
          <w:tcPr>
            <w:tcW w:w="3118" w:type="dxa"/>
            <w:shd w:val="clear" w:color="auto" w:fill="auto"/>
          </w:tcPr>
          <w:p>
            <w:pPr>
              <w:pStyle w:val="nTable"/>
              <w:keepNext/>
              <w:spacing w:after="40"/>
              <w:rPr>
                <w:rFonts w:ascii="Times" w:hAnsi="Times"/>
                <w:i/>
                <w:sz w:val="19"/>
              </w:rPr>
            </w:pPr>
            <w:r>
              <w:rPr>
                <w:rFonts w:ascii="Times" w:hAnsi="Times"/>
                <w:i/>
                <w:sz w:val="19"/>
              </w:rPr>
              <w:t>Coroners Amendment Regulations 2013</w:t>
            </w:r>
          </w:p>
        </w:tc>
        <w:tc>
          <w:tcPr>
            <w:tcW w:w="1276" w:type="dxa"/>
            <w:shd w:val="clear" w:color="auto" w:fill="auto"/>
          </w:tcPr>
          <w:p>
            <w:pPr>
              <w:pStyle w:val="nTable"/>
              <w:keepNext/>
              <w:spacing w:after="40"/>
              <w:rPr>
                <w:rFonts w:ascii="Times" w:hAnsi="Times"/>
                <w:sz w:val="19"/>
              </w:rPr>
            </w:pPr>
            <w:r>
              <w:rPr>
                <w:rFonts w:ascii="Times" w:hAnsi="Times"/>
                <w:sz w:val="19"/>
              </w:rPr>
              <w:t>15 Nov 2013 p. 5252</w:t>
            </w:r>
            <w:r>
              <w:rPr>
                <w:rFonts w:ascii="Times" w:hAnsi="Times"/>
                <w:sz w:val="19"/>
              </w:rPr>
              <w:noBreakHyphen/>
              <w:t>3</w:t>
            </w:r>
          </w:p>
        </w:tc>
        <w:tc>
          <w:tcPr>
            <w:tcW w:w="2694" w:type="dxa"/>
            <w:shd w:val="clear" w:color="auto" w:fill="auto"/>
          </w:tcPr>
          <w:p>
            <w:pPr>
              <w:pStyle w:val="nTable"/>
              <w:keepNext/>
              <w:spacing w:after="40"/>
              <w:rPr>
                <w:rFonts w:ascii="Times" w:hAnsi="Times"/>
                <w:snapToGrid w:val="0"/>
                <w:sz w:val="19"/>
              </w:rPr>
            </w:pPr>
            <w:r>
              <w:rPr>
                <w:rFonts w:ascii="Times" w:hAnsi="Times"/>
                <w:bCs/>
                <w:snapToGrid w:val="0"/>
                <w:sz w:val="19"/>
              </w:rPr>
              <w:t>r. 1 and 2: 15 Nov 2013 (see r. 2(a));</w:t>
            </w:r>
            <w:r>
              <w:rPr>
                <w:rFonts w:ascii="Times" w:hAnsi="Times"/>
                <w:bCs/>
                <w:snapToGrid w:val="0"/>
                <w:sz w:val="19"/>
              </w:rPr>
              <w:br/>
              <w:t>Regulations other than r. 1 and 2: 16 Nov 2013 (see r. 2(b)(ii))</w:t>
            </w:r>
          </w:p>
        </w:tc>
      </w:tr>
      <w:tr>
        <w:tc>
          <w:tcPr>
            <w:tcW w:w="7088" w:type="dxa"/>
            <w:gridSpan w:val="3"/>
            <w:tcBorders>
              <w:bottom w:val="single" w:sz="8" w:space="0" w:color="auto"/>
            </w:tcBorders>
            <w:shd w:val="clear" w:color="auto" w:fill="auto"/>
          </w:tcPr>
          <w:p>
            <w:pPr>
              <w:pStyle w:val="nTable"/>
              <w:keepNext/>
              <w:spacing w:after="40"/>
              <w:rPr>
                <w:rFonts w:ascii="Times" w:hAnsi="Times"/>
                <w:bCs/>
                <w:snapToGrid w:val="0"/>
                <w:sz w:val="19"/>
              </w:rPr>
            </w:pPr>
            <w:r>
              <w:rPr>
                <w:rFonts w:ascii="Times" w:hAnsi="Times"/>
                <w:b/>
                <w:sz w:val="19"/>
              </w:rPr>
              <w:t xml:space="preserve">Reprint 3: The </w:t>
            </w:r>
            <w:r>
              <w:rPr>
                <w:rFonts w:ascii="Times" w:hAnsi="Times"/>
                <w:b/>
                <w:i/>
                <w:sz w:val="19"/>
              </w:rPr>
              <w:t>Coroners Regulations 1997</w:t>
            </w:r>
            <w:r>
              <w:rPr>
                <w:rFonts w:ascii="Times" w:hAnsi="Times"/>
                <w:b/>
                <w:sz w:val="19"/>
              </w:rPr>
              <w:t xml:space="preserve"> as at 23 May 2014</w:t>
            </w:r>
            <w:r>
              <w:rPr>
                <w:rFonts w:ascii="Times" w:hAnsi="Times"/>
                <w:sz w:val="19"/>
              </w:rPr>
              <w:t xml:space="preserve"> (includes amendments listed above)</w:t>
            </w:r>
          </w:p>
        </w:tc>
      </w:tr>
    </w:tbl>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
      <w:pPr>
        <w:pStyle w:val="nHeading2"/>
        <w:rPr>
          <w:sz w:val="28"/>
        </w:rPr>
      </w:pPr>
      <w:bookmarkStart w:id="36" w:name="_Toc389729743"/>
      <w:bookmarkStart w:id="37" w:name="_Toc389729791"/>
      <w:r>
        <w:rPr>
          <w:sz w:val="28"/>
        </w:rPr>
        <w:t>Defined terms</w:t>
      </w:r>
      <w:bookmarkEnd w:id="36"/>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8" w:name="DefinedTerms"/>
      <w:bookmarkEnd w:id="38"/>
      <w:r>
        <w:t>approved form</w:t>
      </w:r>
      <w:r>
        <w:tab/>
        <w:t>3A</w:t>
      </w:r>
    </w:p>
    <w:p>
      <w:pPr>
        <w:pStyle w:val="DefinedTerms"/>
      </w:pPr>
      <w:r>
        <w:t>fee</w:t>
      </w:r>
      <w:r>
        <w:tab/>
        <w:t>3A</w:t>
      </w:r>
    </w:p>
    <w:p>
      <w:pPr>
        <w:pStyle w:val="DefinedTerms"/>
      </w:pPr>
    </w:p>
    <w:p>
      <w:pPr>
        <w:spacing w:before="6800"/>
      </w:pPr>
    </w:p>
    <w:p/>
    <w:p/>
    <w:p/>
    <w:p/>
    <w:p/>
    <w:p>
      <w:pPr>
        <w:sectPr>
          <w:headerReference w:type="even" r:id="rId38"/>
          <w:headerReference w:type="default" r:id="rId39"/>
          <w:footerReference w:type="even" r:id="rId40"/>
          <w:footerReference w:type="default" r:id="rId41"/>
          <w:headerReference w:type="first" r:id="rId42"/>
          <w:footerReference w:type="first" r:id="rId43"/>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4"/>
      <w:headerReference w:type="defaul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24</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25</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Coroners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Coroners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Coroners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Coroners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Coroners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Coroners Regulations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Coroners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Coroners Regulations 1997</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Coroners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Coroners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Coroners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Coroners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Coroners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B6A694C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22E4DC7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10511"/>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10511" w:val="RemoveTocBookmarks,RemoveLanguageTags,RemoveTrackChanges,RunningHeaders"/>
    <w:docVar w:name="WAFER_20140605110511_GUID" w:val="45e7bc13-a8ec-4e1c-9c88-a2af07bad8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header" Target="header19.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9.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image" Target="media/image4.png"/><Relationship Id="rId37" Type="http://schemas.openxmlformats.org/officeDocument/2006/relationships/header" Target="header16.xml"/><Relationship Id="rId40" Type="http://schemas.openxmlformats.org/officeDocument/2006/relationships/footer" Target="footer10.xml"/><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1.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4506</Words>
  <Characters>24518</Characters>
  <Application>Microsoft Office Word</Application>
  <DocSecurity>0</DocSecurity>
  <Lines>790</Lines>
  <Paragraphs>558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1997 - 03-00-00</dc:title>
  <dc:subject/>
  <dc:creator/>
  <cp:keywords/>
  <dc:description/>
  <cp:lastModifiedBy>svcMRProcess</cp:lastModifiedBy>
  <cp:revision>4</cp:revision>
  <cp:lastPrinted>2014-05-19T03:28:00Z</cp:lastPrinted>
  <dcterms:created xsi:type="dcterms:W3CDTF">2020-03-07T02:43:00Z</dcterms:created>
  <dcterms:modified xsi:type="dcterms:W3CDTF">2020-03-07T02:44:00Z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CommencementDate">
    <vt:lpwstr>20140523</vt:lpwstr>
  </property>
  <property fmtid="{D5CDD505-2E9C-101B-9397-08002B2CF9AE}" pid="4" name="DocumentType">
    <vt:lpwstr>Reg</vt:lpwstr>
  </property>
  <property fmtid="{D5CDD505-2E9C-101B-9397-08002B2CF9AE}" pid="5" name="OwlsUID">
    <vt:i4>4371</vt:i4>
  </property>
  <property fmtid="{D5CDD505-2E9C-101B-9397-08002B2CF9AE}" pid="6" name="AsAtDate">
    <vt:lpwstr>23 May 2014</vt:lpwstr>
  </property>
  <property fmtid="{D5CDD505-2E9C-101B-9397-08002B2CF9AE}" pid="7" name="Suffix">
    <vt:lpwstr>03-00-00</vt:lpwstr>
  </property>
  <property fmtid="{D5CDD505-2E9C-101B-9397-08002B2CF9AE}" pid="8" name="ReprintNo">
    <vt:lpwstr>3</vt:lpwstr>
  </property>
  <property fmtid="{D5CDD505-2E9C-101B-9397-08002B2CF9AE}" pid="9" name="ReprintedAsAt">
    <vt:filetime>2014-05-22T16:00:00Z</vt:filetime>
  </property>
</Properties>
</file>