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(Noonkanbah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_Toc421007460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_Toc421007461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Noonkanbah Aboriginal Community</w:t>
      </w:r>
      <w:r>
        <w:tab/>
      </w:r>
      <w:r>
        <w:fldChar w:fldCharType="begin"/>
      </w:r>
      <w:r>
        <w:instrText xml:space="preserve"> PAGEREF _Toc421007462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_Toc421007463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_Toc421007464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_Toc421007465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Noonkanbah Aboriginal Community</w:t>
      </w:r>
      <w:r>
        <w:tab/>
      </w:r>
      <w:r>
        <w:fldChar w:fldCharType="begin"/>
      </w:r>
      <w:r>
        <w:instrText xml:space="preserve"> PAGEREF _Toc421007466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_Toc421007467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_Toc421007468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_Toc421007470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(Noonkanbah Restricted Area) Regulations 2009</w:t>
      </w:r>
    </w:p>
    <w:p>
      <w:pPr>
        <w:pStyle w:val="Heading5"/>
      </w:pPr>
      <w:bookmarkStart w:id="3" w:name="_Toc389742264"/>
      <w:bookmarkStart w:id="4" w:name="_Toc42100746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6" w:name="_Toc389742265"/>
      <w:bookmarkStart w:id="7" w:name="_Toc42100746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89742266"/>
      <w:bookmarkStart w:id="9" w:name="_Toc421007462"/>
      <w:r>
        <w:rPr>
          <w:rStyle w:val="CharSectno"/>
        </w:rPr>
        <w:t>3</w:t>
      </w:r>
      <w:r>
        <w:t>.</w:t>
      </w:r>
      <w:r>
        <w:tab/>
        <w:t>Term used: Noonkanbah Aboriginal Community</w:t>
      </w:r>
      <w:bookmarkEnd w:id="8"/>
      <w:bookmarkEnd w:id="9"/>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Crown Lease 3114/576 (</w:t>
      </w:r>
      <w:smartTag w:uri="urn:schemas-microsoft-com:office:smarttags" w:element="place">
        <w:r>
          <w:t>Lot</w:t>
        </w:r>
      </w:smartTag>
      <w:r>
        <w:t xml:space="preserve"> 255),</w:t>
      </w:r>
    </w:p>
    <w:p>
      <w:pPr>
        <w:pStyle w:val="Defstart"/>
      </w:pPr>
      <w:r>
        <w:tab/>
        <w:t>and the portion of Crown Reserve 23226 bounded to the north and south by Crown Lease 3114/576 (</w:t>
      </w:r>
      <w:smartTag w:uri="urn:schemas-microsoft-com:office:smarttags" w:element="place">
        <w:r>
          <w:t>Lot</w:t>
        </w:r>
      </w:smartTag>
      <w:r>
        <w:t> 255).</w:t>
      </w:r>
    </w:p>
    <w:p>
      <w:pPr>
        <w:pStyle w:val="Footnotesection"/>
      </w:pPr>
      <w:r>
        <w:tab/>
        <w:t>[Regulation 3 amended in Gazette 8 Nov 2011 p. 4676.]</w:t>
      </w:r>
    </w:p>
    <w:p>
      <w:pPr>
        <w:pStyle w:val="Heading5"/>
      </w:pPr>
      <w:bookmarkStart w:id="10" w:name="_Toc389742267"/>
      <w:bookmarkStart w:id="11" w:name="_Toc421007463"/>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89742268"/>
      <w:bookmarkStart w:id="13" w:name="_Toc421007464"/>
      <w:r>
        <w:rPr>
          <w:rStyle w:val="CharSectno"/>
        </w:rPr>
        <w:t>5</w:t>
      </w:r>
      <w:r>
        <w:t>.</w:t>
      </w:r>
      <w:r>
        <w:tab/>
        <w:t>Declaration of restricted area</w:t>
      </w:r>
      <w:bookmarkEnd w:id="12"/>
      <w:bookmarkEnd w:id="13"/>
    </w:p>
    <w:p>
      <w:pPr>
        <w:pStyle w:val="Subsection"/>
      </w:pPr>
      <w:r>
        <w:tab/>
      </w:r>
      <w:r>
        <w:tab/>
        <w:t>The Noonkanbah Aboriginal Community is declared to be a restricted area for the purposes of section 175(1a) of the Act.</w:t>
      </w:r>
    </w:p>
    <w:p>
      <w:pPr>
        <w:pStyle w:val="Heading5"/>
      </w:pPr>
      <w:bookmarkStart w:id="14" w:name="_Toc389742269"/>
      <w:bookmarkStart w:id="15" w:name="_Toc421007465"/>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9742270"/>
      <w:bookmarkStart w:id="17" w:name="_Toc421007466"/>
      <w:r>
        <w:rPr>
          <w:rStyle w:val="CharSectno"/>
        </w:rPr>
        <w:t>7</w:t>
      </w:r>
      <w:r>
        <w:t>.</w:t>
      </w:r>
      <w:r>
        <w:tab/>
        <w:t>Prohibitions as to liquor in the Noonkanbah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9742271"/>
      <w:bookmarkStart w:id="19" w:name="_Toc421007467"/>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9742272"/>
      <w:bookmarkStart w:id="21" w:name="_Toc421007468"/>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of 8 years commencing at the time regulation 5 comes into operation.</w:t>
      </w:r>
    </w:p>
    <w:p>
      <w:pPr>
        <w:pStyle w:val="Footnotesection"/>
      </w:pPr>
      <w:r>
        <w:tab/>
        <w:t>[Regulation 9 amended in Gazette 22 Jul 2011 p. 3026; 6 Jun 2014 p. 1792.]</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9742273"/>
      <w:bookmarkStart w:id="23" w:name="_Toc421007458"/>
      <w:bookmarkStart w:id="24" w:name="_Toc421007469"/>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Pr>
          <w:vertAlign w:val="superscript"/>
        </w:rPr>
        <w:t> 2</w:t>
      </w:r>
      <w:r>
        <w:rPr>
          <w:snapToGrid w:val="0"/>
        </w:rPr>
        <w:t xml:space="preserve"> and includes the amendments made by the other written laws referred to in the following table</w:t>
      </w:r>
    </w:p>
    <w:p>
      <w:pPr>
        <w:pStyle w:val="nHeading3"/>
      </w:pPr>
      <w:bookmarkStart w:id="25" w:name="_Toc389742274"/>
      <w:bookmarkStart w:id="26" w:name="_Toc421007470"/>
      <w:r>
        <w:t>Compilation table</w:t>
      </w:r>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single" w:sz="4" w:space="0" w:color="auto"/>
              <w:right w:val="nil"/>
            </w:tcBorders>
          </w:tcPr>
          <w:p>
            <w:pPr>
              <w:pStyle w:val="nTable"/>
              <w:rPr>
                <w:i/>
              </w:rPr>
            </w:pPr>
            <w:r>
              <w:rPr>
                <w:i/>
              </w:rPr>
              <w:t>Liquor Control (Noonkanbah Restricted Area) Amendment Regulations 2014</w:t>
            </w:r>
          </w:p>
        </w:tc>
        <w:tc>
          <w:tcPr>
            <w:tcW w:w="1276" w:type="dxa"/>
            <w:tcBorders>
              <w:top w:val="nil"/>
              <w:left w:val="nil"/>
              <w:bottom w:val="single" w:sz="4" w:space="0" w:color="auto"/>
              <w:right w:val="nil"/>
            </w:tcBorders>
          </w:tcPr>
          <w:p>
            <w:pPr>
              <w:pStyle w:val="nTable"/>
            </w:pPr>
            <w:r>
              <w:t>6 Jun 2014 p. 1791</w:t>
            </w:r>
            <w:r>
              <w:noBreakHyphen/>
              <w:t>2</w:t>
            </w:r>
          </w:p>
        </w:tc>
        <w:tc>
          <w:tcPr>
            <w:tcW w:w="2693" w:type="dxa"/>
            <w:tcBorders>
              <w:top w:val="nil"/>
              <w:left w:val="nil"/>
              <w:bottom w:val="single" w:sz="4" w:space="0" w:color="auto"/>
            </w:tcBorders>
          </w:tcPr>
          <w:p>
            <w:pPr>
              <w:pStyle w:val="nTable"/>
              <w:rPr>
                <w:snapToGrid w:val="0"/>
                <w:spacing w:val="-2"/>
              </w:rPr>
            </w:pPr>
            <w:r>
              <w:rPr>
                <w:rFonts w:ascii="Times" w:hAnsi="Times"/>
                <w:bCs/>
                <w:snapToGrid w:val="0"/>
                <w:spacing w:val="-2"/>
              </w:rPr>
              <w:t>r. 1 and 2: 6 Jun 2014 (see r. 2(a));</w:t>
            </w:r>
            <w:r>
              <w:rPr>
                <w:rFonts w:ascii="Times" w:hAnsi="Times"/>
                <w:bCs/>
                <w:snapToGrid w:val="0"/>
                <w:spacing w:val="-2"/>
              </w:rPr>
              <w:br/>
              <w:t>Regulations other than r. 1 and 2: 7 Jun 2014 (see r. 2(b))</w:t>
            </w:r>
          </w:p>
        </w:tc>
      </w:tr>
    </w:tbl>
    <w:p>
      <w:pPr>
        <w:pStyle w:val="nSubsection"/>
      </w:pPr>
      <w:r>
        <w:rPr>
          <w:vertAlign w:val="superscript"/>
        </w:rPr>
        <w:t>2</w:t>
      </w:r>
      <w:r>
        <w:tab/>
        <w:t>These regulations expire 25 Jul 2017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 w:name="_Toc421007471"/>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Noonkanbah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701"/>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936</Words>
  <Characters>4615</Characters>
  <Application>Microsoft Office Word</Application>
  <DocSecurity>0</DocSecurity>
  <Lines>170</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2009 - 00-d0-02</dc:title>
  <dc:subject/>
  <dc:creator/>
  <cp:keywords/>
  <dc:description/>
  <cp:lastModifiedBy>svcMRProcess</cp:lastModifiedBy>
  <cp:revision>4</cp:revision>
  <cp:lastPrinted>2009-03-16T03:07:00Z</cp:lastPrinted>
  <dcterms:created xsi:type="dcterms:W3CDTF">2015-11-26T02:41:00Z</dcterms:created>
  <dcterms:modified xsi:type="dcterms:W3CDTF">2015-11-26T02:41:00Z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20140607</vt:lpwstr>
  </property>
  <property fmtid="{D5CDD505-2E9C-101B-9397-08002B2CF9AE}" pid="4" name="OwlsUID">
    <vt:i4>40293</vt:i4>
  </property>
  <property fmtid="{D5CDD505-2E9C-101B-9397-08002B2CF9AE}" pid="5" name="DocumentType">
    <vt:lpwstr>Reg</vt:lpwstr>
  </property>
  <property fmtid="{D5CDD505-2E9C-101B-9397-08002B2CF9AE}" pid="6" name="AsAtDate">
    <vt:lpwstr>07 Jun 2014</vt:lpwstr>
  </property>
  <property fmtid="{D5CDD505-2E9C-101B-9397-08002B2CF9AE}" pid="7" name="Suffix">
    <vt:lpwstr>00-d0-02</vt:lpwstr>
  </property>
</Properties>
</file>