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Transport Authority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Transport Authority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_Toc424741898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_Toc424741899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_Toc424741900 \h </w:instrText>
      </w:r>
      <w:r>
        <w:fldChar w:fldCharType="separate"/>
      </w:r>
      <w:r>
        <w:t>1</w:t>
      </w:r>
      <w:r>
        <w:fldChar w:fldCharType="end"/>
      </w:r>
    </w:p>
    <w:p>
      <w:pPr>
        <w:pStyle w:val="TOC8"/>
        <w:rPr>
          <w:rFonts w:asciiTheme="minorHAnsi" w:eastAsiaTheme="minorEastAsia" w:hAnsiTheme="minorHAnsi" w:cstheme="minorBidi"/>
          <w:szCs w:val="22"/>
        </w:rPr>
      </w:pPr>
      <w:r>
        <w:t>4.</w:t>
      </w:r>
      <w:r>
        <w:tab/>
        <w:t>Offences prescribed as infringement notice offences</w:t>
      </w:r>
      <w:r>
        <w:tab/>
      </w:r>
      <w:r>
        <w:fldChar w:fldCharType="begin"/>
      </w:r>
      <w:r>
        <w:instrText xml:space="preserve"> PAGEREF _Toc424741901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Tickets</w:t>
      </w:r>
    </w:p>
    <w:p>
      <w:pPr>
        <w:pStyle w:val="TOC8"/>
        <w:rPr>
          <w:rFonts w:asciiTheme="minorHAnsi" w:eastAsiaTheme="minorEastAsia" w:hAnsiTheme="minorHAnsi" w:cstheme="minorBidi"/>
          <w:szCs w:val="22"/>
        </w:rPr>
      </w:pPr>
      <w:r>
        <w:t>5.</w:t>
      </w:r>
      <w:r>
        <w:tab/>
        <w:t>Invalid ticket</w:t>
      </w:r>
      <w:r>
        <w:tab/>
      </w:r>
      <w:r>
        <w:fldChar w:fldCharType="begin"/>
      </w:r>
      <w:r>
        <w:instrText xml:space="preserve"> PAGEREF _Toc424741903 \h </w:instrText>
      </w:r>
      <w:r>
        <w:fldChar w:fldCharType="separate"/>
      </w:r>
      <w:r>
        <w:t>3</w:t>
      </w:r>
      <w:r>
        <w:fldChar w:fldCharType="end"/>
      </w:r>
    </w:p>
    <w:p>
      <w:pPr>
        <w:pStyle w:val="TOC8"/>
        <w:rPr>
          <w:rFonts w:asciiTheme="minorHAnsi" w:eastAsiaTheme="minorEastAsia" w:hAnsiTheme="minorHAnsi" w:cstheme="minorBidi"/>
          <w:szCs w:val="22"/>
        </w:rPr>
      </w:pPr>
      <w:r>
        <w:t>6.</w:t>
      </w:r>
      <w:r>
        <w:tab/>
        <w:t>Using a public passenger transport service without a valid ticket</w:t>
      </w:r>
      <w:r>
        <w:tab/>
      </w:r>
      <w:r>
        <w:fldChar w:fldCharType="begin"/>
      </w:r>
      <w:r>
        <w:instrText xml:space="preserve"> PAGEREF _Toc424741904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Conduct in relation to Authority property</w:t>
      </w:r>
    </w:p>
    <w:p>
      <w:pPr>
        <w:pStyle w:val="TOC8"/>
        <w:rPr>
          <w:rFonts w:asciiTheme="minorHAnsi" w:eastAsiaTheme="minorEastAsia" w:hAnsiTheme="minorHAnsi" w:cstheme="minorBidi"/>
          <w:szCs w:val="22"/>
        </w:rPr>
      </w:pPr>
      <w:r>
        <w:t>7.</w:t>
      </w:r>
      <w:r>
        <w:tab/>
        <w:t>Interference with property</w:t>
      </w:r>
      <w:r>
        <w:tab/>
      </w:r>
      <w:r>
        <w:fldChar w:fldCharType="begin"/>
      </w:r>
      <w:r>
        <w:instrText xml:space="preserve"> PAGEREF _Toc424741906 \h </w:instrText>
      </w:r>
      <w:r>
        <w:fldChar w:fldCharType="separate"/>
      </w:r>
      <w:r>
        <w:t>5</w:t>
      </w:r>
      <w:r>
        <w:fldChar w:fldCharType="end"/>
      </w:r>
    </w:p>
    <w:p>
      <w:pPr>
        <w:pStyle w:val="TOC8"/>
        <w:rPr>
          <w:rFonts w:asciiTheme="minorHAnsi" w:eastAsiaTheme="minorEastAsia" w:hAnsiTheme="minorHAnsi" w:cstheme="minorBidi"/>
          <w:szCs w:val="22"/>
        </w:rPr>
      </w:pPr>
      <w:r>
        <w:t>8.</w:t>
      </w:r>
      <w:r>
        <w:tab/>
        <w:t>Travelling on part of conveyance not intended for conveyance of passengers</w:t>
      </w:r>
      <w:r>
        <w:tab/>
      </w:r>
      <w:r>
        <w:fldChar w:fldCharType="begin"/>
      </w:r>
      <w:r>
        <w:instrText xml:space="preserve"> PAGEREF _Toc424741907 \h </w:instrText>
      </w:r>
      <w:r>
        <w:fldChar w:fldCharType="separate"/>
      </w:r>
      <w:r>
        <w:t>5</w:t>
      </w:r>
      <w:r>
        <w:fldChar w:fldCharType="end"/>
      </w:r>
    </w:p>
    <w:p>
      <w:pPr>
        <w:pStyle w:val="TOC8"/>
        <w:rPr>
          <w:rFonts w:asciiTheme="minorHAnsi" w:eastAsiaTheme="minorEastAsia" w:hAnsiTheme="minorHAnsi" w:cstheme="minorBidi"/>
          <w:szCs w:val="22"/>
        </w:rPr>
      </w:pPr>
      <w:r>
        <w:t>9.</w:t>
      </w:r>
      <w:r>
        <w:tab/>
        <w:t>Entering or leaving a conveyance other than through a door</w:t>
      </w:r>
      <w:r>
        <w:tab/>
      </w:r>
      <w:r>
        <w:fldChar w:fldCharType="begin"/>
      </w:r>
      <w:r>
        <w:instrText xml:space="preserve"> PAGEREF _Toc424741908 \h </w:instrText>
      </w:r>
      <w:r>
        <w:fldChar w:fldCharType="separate"/>
      </w:r>
      <w:r>
        <w:t>5</w:t>
      </w:r>
      <w:r>
        <w:fldChar w:fldCharType="end"/>
      </w:r>
    </w:p>
    <w:p>
      <w:pPr>
        <w:pStyle w:val="TOC8"/>
        <w:rPr>
          <w:rFonts w:asciiTheme="minorHAnsi" w:eastAsiaTheme="minorEastAsia" w:hAnsiTheme="minorHAnsi" w:cstheme="minorBidi"/>
          <w:szCs w:val="22"/>
        </w:rPr>
      </w:pPr>
      <w:r>
        <w:t>10.</w:t>
      </w:r>
      <w:r>
        <w:tab/>
        <w:t>No standing allowed in certain areas on a conveyance</w:t>
      </w:r>
      <w:r>
        <w:tab/>
      </w:r>
      <w:r>
        <w:fldChar w:fldCharType="begin"/>
      </w:r>
      <w:r>
        <w:instrText xml:space="preserve"> PAGEREF _Toc424741909 \h </w:instrText>
      </w:r>
      <w:r>
        <w:fldChar w:fldCharType="separate"/>
      </w:r>
      <w:r>
        <w:t>6</w:t>
      </w:r>
      <w:r>
        <w:fldChar w:fldCharType="end"/>
      </w:r>
    </w:p>
    <w:p>
      <w:pPr>
        <w:pStyle w:val="TOC8"/>
        <w:rPr>
          <w:rFonts w:asciiTheme="minorHAnsi" w:eastAsiaTheme="minorEastAsia" w:hAnsiTheme="minorHAnsi" w:cstheme="minorBidi"/>
          <w:szCs w:val="22"/>
        </w:rPr>
      </w:pPr>
      <w:r>
        <w:t>11.</w:t>
      </w:r>
      <w:r>
        <w:tab/>
        <w:t>Smoking prohibited</w:t>
      </w:r>
      <w:r>
        <w:tab/>
      </w:r>
      <w:r>
        <w:fldChar w:fldCharType="begin"/>
      </w:r>
      <w:r>
        <w:instrText xml:space="preserve"> PAGEREF _Toc424741910 \h </w:instrText>
      </w:r>
      <w:r>
        <w:fldChar w:fldCharType="separate"/>
      </w:r>
      <w:r>
        <w:t>6</w:t>
      </w:r>
      <w:r>
        <w:fldChar w:fldCharType="end"/>
      </w:r>
    </w:p>
    <w:p>
      <w:pPr>
        <w:pStyle w:val="TOC8"/>
        <w:rPr>
          <w:rFonts w:asciiTheme="minorHAnsi" w:eastAsiaTheme="minorEastAsia" w:hAnsiTheme="minorHAnsi" w:cstheme="minorBidi"/>
          <w:szCs w:val="22"/>
        </w:rPr>
      </w:pPr>
      <w:r>
        <w:t>12.</w:t>
      </w:r>
      <w:r>
        <w:tab/>
        <w:t>Consumption of alcohol</w:t>
      </w:r>
      <w:r>
        <w:tab/>
      </w:r>
      <w:r>
        <w:fldChar w:fldCharType="begin"/>
      </w:r>
      <w:r>
        <w:instrText xml:space="preserve"> PAGEREF _Toc424741911 \h </w:instrText>
      </w:r>
      <w:r>
        <w:fldChar w:fldCharType="separate"/>
      </w:r>
      <w:r>
        <w:t>6</w:t>
      </w:r>
      <w:r>
        <w:fldChar w:fldCharType="end"/>
      </w:r>
    </w:p>
    <w:p>
      <w:pPr>
        <w:pStyle w:val="TOC8"/>
        <w:rPr>
          <w:rFonts w:asciiTheme="minorHAnsi" w:eastAsiaTheme="minorEastAsia" w:hAnsiTheme="minorHAnsi" w:cstheme="minorBidi"/>
          <w:szCs w:val="22"/>
        </w:rPr>
      </w:pPr>
      <w:r>
        <w:t>13.</w:t>
      </w:r>
      <w:r>
        <w:tab/>
        <w:t>Nuisance</w:t>
      </w:r>
      <w:r>
        <w:tab/>
      </w:r>
      <w:r>
        <w:fldChar w:fldCharType="begin"/>
      </w:r>
      <w:r>
        <w:instrText xml:space="preserve"> PAGEREF _Toc424741912 \h </w:instrText>
      </w:r>
      <w:r>
        <w:fldChar w:fldCharType="separate"/>
      </w:r>
      <w:r>
        <w:t>7</w:t>
      </w:r>
      <w:r>
        <w:fldChar w:fldCharType="end"/>
      </w:r>
    </w:p>
    <w:p>
      <w:pPr>
        <w:pStyle w:val="TOC8"/>
        <w:rPr>
          <w:rFonts w:asciiTheme="minorHAnsi" w:eastAsiaTheme="minorEastAsia" w:hAnsiTheme="minorHAnsi" w:cstheme="minorBidi"/>
          <w:szCs w:val="22"/>
        </w:rPr>
      </w:pPr>
      <w:r>
        <w:t>14.</w:t>
      </w:r>
      <w:r>
        <w:tab/>
        <w:t>Begging and busking prohibited</w:t>
      </w:r>
      <w:r>
        <w:tab/>
      </w:r>
      <w:r>
        <w:fldChar w:fldCharType="begin"/>
      </w:r>
      <w:r>
        <w:instrText xml:space="preserve"> PAGEREF _Toc424741913 \h </w:instrText>
      </w:r>
      <w:r>
        <w:fldChar w:fldCharType="separate"/>
      </w:r>
      <w:r>
        <w:t>7</w:t>
      </w:r>
      <w:r>
        <w:fldChar w:fldCharType="end"/>
      </w:r>
    </w:p>
    <w:p>
      <w:pPr>
        <w:pStyle w:val="TOC8"/>
        <w:rPr>
          <w:rFonts w:asciiTheme="minorHAnsi" w:eastAsiaTheme="minorEastAsia" w:hAnsiTheme="minorHAnsi" w:cstheme="minorBidi"/>
          <w:szCs w:val="22"/>
        </w:rPr>
      </w:pPr>
      <w:r>
        <w:t>15.</w:t>
      </w:r>
      <w:r>
        <w:tab/>
        <w:t>Damage to a conveyance or facility</w:t>
      </w:r>
      <w:r>
        <w:tab/>
      </w:r>
      <w:r>
        <w:fldChar w:fldCharType="begin"/>
      </w:r>
      <w:r>
        <w:instrText xml:space="preserve"> PAGEREF _Toc424741914 \h </w:instrText>
      </w:r>
      <w:r>
        <w:fldChar w:fldCharType="separate"/>
      </w:r>
      <w:r>
        <w:t>7</w:t>
      </w:r>
      <w:r>
        <w:fldChar w:fldCharType="end"/>
      </w:r>
    </w:p>
    <w:p>
      <w:pPr>
        <w:pStyle w:val="TOC8"/>
        <w:rPr>
          <w:rFonts w:asciiTheme="minorHAnsi" w:eastAsiaTheme="minorEastAsia" w:hAnsiTheme="minorHAnsi" w:cstheme="minorBidi"/>
          <w:szCs w:val="22"/>
        </w:rPr>
      </w:pPr>
      <w:r>
        <w:t>16.</w:t>
      </w:r>
      <w:r>
        <w:tab/>
        <w:t>Audible devices</w:t>
      </w:r>
      <w:r>
        <w:tab/>
      </w:r>
      <w:r>
        <w:fldChar w:fldCharType="begin"/>
      </w:r>
      <w:r>
        <w:instrText xml:space="preserve"> PAGEREF _Toc424741915 \h </w:instrText>
      </w:r>
      <w:r>
        <w:fldChar w:fldCharType="separate"/>
      </w:r>
      <w:r>
        <w:t>8</w:t>
      </w:r>
      <w:r>
        <w:fldChar w:fldCharType="end"/>
      </w:r>
    </w:p>
    <w:p>
      <w:pPr>
        <w:pStyle w:val="TOC8"/>
        <w:rPr>
          <w:rFonts w:asciiTheme="minorHAnsi" w:eastAsiaTheme="minorEastAsia" w:hAnsiTheme="minorHAnsi" w:cstheme="minorBidi"/>
          <w:szCs w:val="22"/>
        </w:rPr>
      </w:pPr>
      <w:r>
        <w:t>17.</w:t>
      </w:r>
      <w:r>
        <w:tab/>
        <w:t>Selling things or services or distributing handbills etc. prohibited</w:t>
      </w:r>
      <w:r>
        <w:tab/>
      </w:r>
      <w:r>
        <w:fldChar w:fldCharType="begin"/>
      </w:r>
      <w:r>
        <w:instrText xml:space="preserve"> PAGEREF _Toc424741916 \h </w:instrText>
      </w:r>
      <w:r>
        <w:fldChar w:fldCharType="separate"/>
      </w:r>
      <w:r>
        <w:t>8</w:t>
      </w:r>
      <w:r>
        <w:fldChar w:fldCharType="end"/>
      </w:r>
    </w:p>
    <w:p>
      <w:pPr>
        <w:pStyle w:val="TOC8"/>
        <w:rPr>
          <w:rFonts w:asciiTheme="minorHAnsi" w:eastAsiaTheme="minorEastAsia" w:hAnsiTheme="minorHAnsi" w:cstheme="minorBidi"/>
          <w:szCs w:val="22"/>
        </w:rPr>
      </w:pPr>
      <w:r>
        <w:t>18.</w:t>
      </w:r>
      <w:r>
        <w:tab/>
        <w:t>Food and drink</w:t>
      </w:r>
      <w:r>
        <w:tab/>
      </w:r>
      <w:r>
        <w:fldChar w:fldCharType="begin"/>
      </w:r>
      <w:r>
        <w:instrText xml:space="preserve"> PAGEREF _Toc424741917 \h </w:instrText>
      </w:r>
      <w:r>
        <w:fldChar w:fldCharType="separate"/>
      </w:r>
      <w:r>
        <w:t>9</w:t>
      </w:r>
      <w:r>
        <w:fldChar w:fldCharType="end"/>
      </w:r>
    </w:p>
    <w:p>
      <w:pPr>
        <w:pStyle w:val="TOC8"/>
        <w:rPr>
          <w:rFonts w:asciiTheme="minorHAnsi" w:eastAsiaTheme="minorEastAsia" w:hAnsiTheme="minorHAnsi" w:cstheme="minorBidi"/>
          <w:szCs w:val="22"/>
        </w:rPr>
      </w:pPr>
      <w:r>
        <w:t>19.</w:t>
      </w:r>
      <w:r>
        <w:tab/>
        <w:t>Feet not to be placed on seats</w:t>
      </w:r>
      <w:r>
        <w:tab/>
      </w:r>
      <w:r>
        <w:fldChar w:fldCharType="begin"/>
      </w:r>
      <w:r>
        <w:instrText xml:space="preserve"> PAGEREF _Toc424741918 \h </w:instrText>
      </w:r>
      <w:r>
        <w:fldChar w:fldCharType="separate"/>
      </w:r>
      <w:r>
        <w:t>9</w:t>
      </w:r>
      <w:r>
        <w:fldChar w:fldCharType="end"/>
      </w:r>
    </w:p>
    <w:p>
      <w:pPr>
        <w:pStyle w:val="TOC8"/>
        <w:rPr>
          <w:rFonts w:asciiTheme="minorHAnsi" w:eastAsiaTheme="minorEastAsia" w:hAnsiTheme="minorHAnsi" w:cstheme="minorBidi"/>
          <w:szCs w:val="22"/>
        </w:rPr>
      </w:pPr>
      <w:r>
        <w:t>20.</w:t>
      </w:r>
      <w:r>
        <w:tab/>
        <w:t>Luggage not to obstruct or endanger passengers</w:t>
      </w:r>
      <w:r>
        <w:tab/>
      </w:r>
      <w:r>
        <w:fldChar w:fldCharType="begin"/>
      </w:r>
      <w:r>
        <w:instrText xml:space="preserve"> PAGEREF _Toc424741919 \h </w:instrText>
      </w:r>
      <w:r>
        <w:fldChar w:fldCharType="separate"/>
      </w:r>
      <w:r>
        <w:t>9</w:t>
      </w:r>
      <w:r>
        <w:fldChar w:fldCharType="end"/>
      </w:r>
    </w:p>
    <w:p>
      <w:pPr>
        <w:pStyle w:val="TOC8"/>
        <w:rPr>
          <w:rFonts w:asciiTheme="minorHAnsi" w:eastAsiaTheme="minorEastAsia" w:hAnsiTheme="minorHAnsi" w:cstheme="minorBidi"/>
          <w:szCs w:val="22"/>
        </w:rPr>
      </w:pPr>
      <w:r>
        <w:t>21.</w:t>
      </w:r>
      <w:r>
        <w:tab/>
        <w:t>Possessing certain things prohibited</w:t>
      </w:r>
      <w:r>
        <w:tab/>
      </w:r>
      <w:r>
        <w:fldChar w:fldCharType="begin"/>
      </w:r>
      <w:r>
        <w:instrText xml:space="preserve"> PAGEREF _Toc424741920 \h </w:instrText>
      </w:r>
      <w:r>
        <w:fldChar w:fldCharType="separate"/>
      </w:r>
      <w:r>
        <w:t>10</w:t>
      </w:r>
      <w:r>
        <w:fldChar w:fldCharType="end"/>
      </w:r>
    </w:p>
    <w:p>
      <w:pPr>
        <w:pStyle w:val="TOC8"/>
        <w:rPr>
          <w:rFonts w:asciiTheme="minorHAnsi" w:eastAsiaTheme="minorEastAsia" w:hAnsiTheme="minorHAnsi" w:cstheme="minorBidi"/>
          <w:szCs w:val="22"/>
        </w:rPr>
      </w:pPr>
      <w:r>
        <w:t>22.</w:t>
      </w:r>
      <w:r>
        <w:tab/>
        <w:t>Goods likely to spill, stain, or damage a conveyance</w:t>
      </w:r>
      <w:r>
        <w:tab/>
      </w:r>
      <w:r>
        <w:fldChar w:fldCharType="begin"/>
      </w:r>
      <w:r>
        <w:instrText xml:space="preserve"> PAGEREF _Toc424741921 \h </w:instrText>
      </w:r>
      <w:r>
        <w:fldChar w:fldCharType="separate"/>
      </w:r>
      <w:r>
        <w:t>10</w:t>
      </w:r>
      <w:r>
        <w:fldChar w:fldCharType="end"/>
      </w:r>
    </w:p>
    <w:p>
      <w:pPr>
        <w:pStyle w:val="TOC8"/>
        <w:rPr>
          <w:rFonts w:asciiTheme="minorHAnsi" w:eastAsiaTheme="minorEastAsia" w:hAnsiTheme="minorHAnsi" w:cstheme="minorBidi"/>
          <w:szCs w:val="22"/>
        </w:rPr>
      </w:pPr>
      <w:r>
        <w:t>23.</w:t>
      </w:r>
      <w:r>
        <w:tab/>
        <w:t>Persons to stay inside conveyance</w:t>
      </w:r>
      <w:r>
        <w:tab/>
      </w:r>
      <w:r>
        <w:fldChar w:fldCharType="begin"/>
      </w:r>
      <w:r>
        <w:instrText xml:space="preserve"> PAGEREF _Toc424741922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 of persons and vehicles on Authority property</w:t>
      </w:r>
    </w:p>
    <w:p>
      <w:pPr>
        <w:pStyle w:val="TOC8"/>
        <w:rPr>
          <w:rFonts w:asciiTheme="minorHAnsi" w:eastAsiaTheme="minorEastAsia" w:hAnsiTheme="minorHAnsi" w:cstheme="minorBidi"/>
          <w:szCs w:val="22"/>
        </w:rPr>
      </w:pPr>
      <w:r>
        <w:t>24.</w:t>
      </w:r>
      <w:r>
        <w:tab/>
        <w:t>Terms used in this Part</w:t>
      </w:r>
      <w:r>
        <w:tab/>
      </w:r>
      <w:r>
        <w:fldChar w:fldCharType="begin"/>
      </w:r>
      <w:r>
        <w:instrText xml:space="preserve"> PAGEREF _Toc424741924 \h </w:instrText>
      </w:r>
      <w:r>
        <w:fldChar w:fldCharType="separate"/>
      </w:r>
      <w:r>
        <w:t>12</w:t>
      </w:r>
      <w:r>
        <w:fldChar w:fldCharType="end"/>
      </w:r>
    </w:p>
    <w:p>
      <w:pPr>
        <w:pStyle w:val="TOC8"/>
        <w:rPr>
          <w:rFonts w:asciiTheme="minorHAnsi" w:eastAsiaTheme="minorEastAsia" w:hAnsiTheme="minorHAnsi" w:cstheme="minorBidi"/>
          <w:szCs w:val="22"/>
        </w:rPr>
      </w:pPr>
      <w:r>
        <w:t>24A.</w:t>
      </w:r>
      <w:r>
        <w:tab/>
        <w:t>Government railways parking stations</w:t>
      </w:r>
      <w:r>
        <w:tab/>
      </w:r>
      <w:r>
        <w:fldChar w:fldCharType="begin"/>
      </w:r>
      <w:r>
        <w:instrText xml:space="preserve"> PAGEREF _Toc424741925 \h </w:instrText>
      </w:r>
      <w:r>
        <w:fldChar w:fldCharType="separate"/>
      </w:r>
      <w:r>
        <w:t>13</w:t>
      </w:r>
      <w:r>
        <w:fldChar w:fldCharType="end"/>
      </w:r>
    </w:p>
    <w:p>
      <w:pPr>
        <w:pStyle w:val="TOC8"/>
        <w:rPr>
          <w:rFonts w:asciiTheme="minorHAnsi" w:eastAsiaTheme="minorEastAsia" w:hAnsiTheme="minorHAnsi" w:cstheme="minorBidi"/>
          <w:szCs w:val="22"/>
        </w:rPr>
      </w:pPr>
      <w:r>
        <w:t>25.</w:t>
      </w:r>
      <w:r>
        <w:tab/>
        <w:t>Regulation of persons and vehicles on Authority property</w:t>
      </w:r>
      <w:r>
        <w:tab/>
      </w:r>
      <w:r>
        <w:fldChar w:fldCharType="begin"/>
      </w:r>
      <w:r>
        <w:instrText xml:space="preserve"> PAGEREF _Toc424741926 \h </w:instrText>
      </w:r>
      <w:r>
        <w:fldChar w:fldCharType="separate"/>
      </w:r>
      <w:r>
        <w:t>13</w:t>
      </w:r>
      <w:r>
        <w:fldChar w:fldCharType="end"/>
      </w:r>
    </w:p>
    <w:p>
      <w:pPr>
        <w:pStyle w:val="TOC8"/>
        <w:rPr>
          <w:rFonts w:asciiTheme="minorHAnsi" w:eastAsiaTheme="minorEastAsia" w:hAnsiTheme="minorHAnsi" w:cstheme="minorBidi"/>
          <w:szCs w:val="22"/>
        </w:rPr>
      </w:pPr>
      <w:r>
        <w:t>26.</w:t>
      </w:r>
      <w:r>
        <w:tab/>
        <w:t>Obstruction</w:t>
      </w:r>
      <w:r>
        <w:tab/>
      </w:r>
      <w:r>
        <w:fldChar w:fldCharType="begin"/>
      </w:r>
      <w:r>
        <w:instrText xml:space="preserve"> PAGEREF _Toc424741927 \h </w:instrText>
      </w:r>
      <w:r>
        <w:fldChar w:fldCharType="separate"/>
      </w:r>
      <w:r>
        <w:t>13</w:t>
      </w:r>
      <w:r>
        <w:fldChar w:fldCharType="end"/>
      </w:r>
    </w:p>
    <w:p>
      <w:pPr>
        <w:pStyle w:val="TOC8"/>
        <w:rPr>
          <w:rFonts w:asciiTheme="minorHAnsi" w:eastAsiaTheme="minorEastAsia" w:hAnsiTheme="minorHAnsi" w:cstheme="minorBidi"/>
          <w:szCs w:val="22"/>
        </w:rPr>
      </w:pPr>
      <w:r>
        <w:t>27.</w:t>
      </w:r>
      <w:r>
        <w:tab/>
        <w:t>Direction not to park in area</w:t>
      </w:r>
      <w:r>
        <w:tab/>
      </w:r>
      <w:r>
        <w:fldChar w:fldCharType="begin"/>
      </w:r>
      <w:r>
        <w:instrText xml:space="preserve"> PAGEREF _Toc424741928 \h </w:instrText>
      </w:r>
      <w:r>
        <w:fldChar w:fldCharType="separate"/>
      </w:r>
      <w:r>
        <w:t>14</w:t>
      </w:r>
      <w:r>
        <w:fldChar w:fldCharType="end"/>
      </w:r>
    </w:p>
    <w:p>
      <w:pPr>
        <w:pStyle w:val="TOC8"/>
        <w:rPr>
          <w:rFonts w:asciiTheme="minorHAnsi" w:eastAsiaTheme="minorEastAsia" w:hAnsiTheme="minorHAnsi" w:cstheme="minorBidi"/>
          <w:szCs w:val="22"/>
        </w:rPr>
      </w:pPr>
      <w:r>
        <w:t>28.</w:t>
      </w:r>
      <w:r>
        <w:tab/>
        <w:t>Loading zone</w:t>
      </w:r>
      <w:r>
        <w:tab/>
      </w:r>
      <w:r>
        <w:fldChar w:fldCharType="begin"/>
      </w:r>
      <w:r>
        <w:instrText xml:space="preserve"> PAGEREF _Toc424741929 \h </w:instrText>
      </w:r>
      <w:r>
        <w:fldChar w:fldCharType="separate"/>
      </w:r>
      <w:r>
        <w:t>14</w:t>
      </w:r>
      <w:r>
        <w:fldChar w:fldCharType="end"/>
      </w:r>
    </w:p>
    <w:p>
      <w:pPr>
        <w:pStyle w:val="TOC8"/>
        <w:rPr>
          <w:rFonts w:asciiTheme="minorHAnsi" w:eastAsiaTheme="minorEastAsia" w:hAnsiTheme="minorHAnsi" w:cstheme="minorBidi"/>
          <w:szCs w:val="22"/>
        </w:rPr>
      </w:pPr>
      <w:r>
        <w:t>29.</w:t>
      </w:r>
      <w:r>
        <w:tab/>
        <w:t>Designation of parking spaces for vehicles of persons with disability</w:t>
      </w:r>
      <w:r>
        <w:tab/>
      </w:r>
      <w:r>
        <w:fldChar w:fldCharType="begin"/>
      </w:r>
      <w:r>
        <w:instrText xml:space="preserve"> PAGEREF _Toc424741930 \h </w:instrText>
      </w:r>
      <w:r>
        <w:fldChar w:fldCharType="separate"/>
      </w:r>
      <w:r>
        <w:t>15</w:t>
      </w:r>
      <w:r>
        <w:fldChar w:fldCharType="end"/>
      </w:r>
    </w:p>
    <w:p>
      <w:pPr>
        <w:pStyle w:val="TOC8"/>
        <w:rPr>
          <w:rFonts w:asciiTheme="minorHAnsi" w:eastAsiaTheme="minorEastAsia" w:hAnsiTheme="minorHAnsi" w:cstheme="minorBidi"/>
          <w:szCs w:val="22"/>
        </w:rPr>
      </w:pPr>
      <w:r>
        <w:t>30.</w:t>
      </w:r>
      <w:r>
        <w:tab/>
      </w:r>
      <w:r>
        <w:rPr>
          <w:snapToGrid w:val="0"/>
        </w:rPr>
        <w:t>Disabled parking</w:t>
      </w:r>
      <w:r>
        <w:tab/>
      </w:r>
      <w:r>
        <w:fldChar w:fldCharType="begin"/>
      </w:r>
      <w:r>
        <w:instrText xml:space="preserve"> PAGEREF _Toc424741931 \h </w:instrText>
      </w:r>
      <w:r>
        <w:fldChar w:fldCharType="separate"/>
      </w:r>
      <w:r>
        <w:t>15</w:t>
      </w:r>
      <w:r>
        <w:fldChar w:fldCharType="end"/>
      </w:r>
    </w:p>
    <w:p>
      <w:pPr>
        <w:pStyle w:val="TOC8"/>
        <w:rPr>
          <w:rFonts w:asciiTheme="minorHAnsi" w:eastAsiaTheme="minorEastAsia" w:hAnsiTheme="minorHAnsi" w:cstheme="minorBidi"/>
          <w:szCs w:val="22"/>
        </w:rPr>
      </w:pPr>
      <w:r>
        <w:t>31.</w:t>
      </w:r>
      <w:r>
        <w:tab/>
      </w:r>
      <w:r>
        <w:rPr>
          <w:snapToGrid w:val="0"/>
        </w:rPr>
        <w:t>Vehicles</w:t>
      </w:r>
      <w:r>
        <w:t xml:space="preserve"> and parking</w:t>
      </w:r>
      <w:r>
        <w:tab/>
      </w:r>
      <w:r>
        <w:fldChar w:fldCharType="begin"/>
      </w:r>
      <w:r>
        <w:instrText xml:space="preserve"> PAGEREF _Toc424741932 \h </w:instrText>
      </w:r>
      <w:r>
        <w:fldChar w:fldCharType="separate"/>
      </w:r>
      <w:r>
        <w:t>15</w:t>
      </w:r>
      <w:r>
        <w:fldChar w:fldCharType="end"/>
      </w:r>
    </w:p>
    <w:p>
      <w:pPr>
        <w:pStyle w:val="TOC8"/>
        <w:rPr>
          <w:rFonts w:asciiTheme="minorHAnsi" w:eastAsiaTheme="minorEastAsia" w:hAnsiTheme="minorHAnsi" w:cstheme="minorBidi"/>
          <w:szCs w:val="22"/>
        </w:rPr>
      </w:pPr>
      <w:r>
        <w:t>32.</w:t>
      </w:r>
      <w:r>
        <w:tab/>
        <w:t>Parking charges</w:t>
      </w:r>
      <w:r>
        <w:tab/>
      </w:r>
      <w:r>
        <w:fldChar w:fldCharType="begin"/>
      </w:r>
      <w:r>
        <w:instrText xml:space="preserve"> PAGEREF _Toc424741933 \h </w:instrText>
      </w:r>
      <w:r>
        <w:fldChar w:fldCharType="separate"/>
      </w:r>
      <w:r>
        <w:t>16</w:t>
      </w:r>
      <w:r>
        <w:fldChar w:fldCharType="end"/>
      </w:r>
    </w:p>
    <w:p>
      <w:pPr>
        <w:pStyle w:val="TOC8"/>
        <w:rPr>
          <w:rFonts w:asciiTheme="minorHAnsi" w:eastAsiaTheme="minorEastAsia" w:hAnsiTheme="minorHAnsi" w:cstheme="minorBidi"/>
          <w:szCs w:val="22"/>
        </w:rPr>
      </w:pPr>
      <w:r>
        <w:t>33.</w:t>
      </w:r>
      <w:r>
        <w:tab/>
        <w:t>Removing vehicle from secured parking facility</w:t>
      </w:r>
      <w:r>
        <w:tab/>
      </w:r>
      <w:r>
        <w:fldChar w:fldCharType="begin"/>
      </w:r>
      <w:r>
        <w:instrText xml:space="preserve"> PAGEREF _Toc424741934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Bicycles on passenger trains</w:t>
      </w:r>
    </w:p>
    <w:p>
      <w:pPr>
        <w:pStyle w:val="TOC8"/>
        <w:rPr>
          <w:rFonts w:asciiTheme="minorHAnsi" w:eastAsiaTheme="minorEastAsia" w:hAnsiTheme="minorHAnsi" w:cstheme="minorBidi"/>
          <w:szCs w:val="22"/>
        </w:rPr>
      </w:pPr>
      <w:r>
        <w:t>33A.</w:t>
      </w:r>
      <w:r>
        <w:tab/>
        <w:t>Terms used in this Part</w:t>
      </w:r>
      <w:r>
        <w:tab/>
      </w:r>
      <w:r>
        <w:fldChar w:fldCharType="begin"/>
      </w:r>
      <w:r>
        <w:instrText xml:space="preserve"> PAGEREF _Toc424741936 \h </w:instrText>
      </w:r>
      <w:r>
        <w:fldChar w:fldCharType="separate"/>
      </w:r>
      <w:r>
        <w:t>18</w:t>
      </w:r>
      <w:r>
        <w:fldChar w:fldCharType="end"/>
      </w:r>
    </w:p>
    <w:p>
      <w:pPr>
        <w:pStyle w:val="TOC8"/>
        <w:rPr>
          <w:rFonts w:asciiTheme="minorHAnsi" w:eastAsiaTheme="minorEastAsia" w:hAnsiTheme="minorHAnsi" w:cstheme="minorBidi"/>
          <w:szCs w:val="22"/>
        </w:rPr>
      </w:pPr>
      <w:r>
        <w:t>33B.</w:t>
      </w:r>
      <w:r>
        <w:tab/>
        <w:t>Bikes on trains generally</w:t>
      </w:r>
      <w:r>
        <w:tab/>
      </w:r>
      <w:r>
        <w:fldChar w:fldCharType="begin"/>
      </w:r>
      <w:r>
        <w:instrText xml:space="preserve"> PAGEREF _Toc424741937 \h </w:instrText>
      </w:r>
      <w:r>
        <w:fldChar w:fldCharType="separate"/>
      </w:r>
      <w:r>
        <w:t>18</w:t>
      </w:r>
      <w:r>
        <w:fldChar w:fldCharType="end"/>
      </w:r>
    </w:p>
    <w:p>
      <w:pPr>
        <w:pStyle w:val="TOC8"/>
        <w:rPr>
          <w:rFonts w:asciiTheme="minorHAnsi" w:eastAsiaTheme="minorEastAsia" w:hAnsiTheme="minorHAnsi" w:cstheme="minorBidi"/>
          <w:szCs w:val="22"/>
        </w:rPr>
      </w:pPr>
      <w:r>
        <w:t>33C.</w:t>
      </w:r>
      <w:r>
        <w:tab/>
        <w:t>Bikes on trains in peak times</w:t>
      </w:r>
      <w:r>
        <w:tab/>
      </w:r>
      <w:r>
        <w:fldChar w:fldCharType="begin"/>
      </w:r>
      <w:r>
        <w:instrText xml:space="preserve"> PAGEREF _Toc424741938 \h </w:instrText>
      </w:r>
      <w:r>
        <w:fldChar w:fldCharType="separate"/>
      </w:r>
      <w:r>
        <w:t>18</w:t>
      </w:r>
      <w:r>
        <w:fldChar w:fldCharType="end"/>
      </w:r>
    </w:p>
    <w:p>
      <w:pPr>
        <w:pStyle w:val="TOC8"/>
        <w:rPr>
          <w:rFonts w:asciiTheme="minorHAnsi" w:eastAsiaTheme="minorEastAsia" w:hAnsiTheme="minorHAnsi" w:cstheme="minorBidi"/>
          <w:szCs w:val="22"/>
        </w:rPr>
      </w:pPr>
      <w:r>
        <w:t>33D.</w:t>
      </w:r>
      <w:r>
        <w:tab/>
        <w:t>Special events</w:t>
      </w:r>
      <w:r>
        <w:tab/>
      </w:r>
      <w:r>
        <w:fldChar w:fldCharType="begin"/>
      </w:r>
      <w:r>
        <w:instrText xml:space="preserve"> PAGEREF _Toc424741939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34.</w:t>
      </w:r>
      <w:r>
        <w:tab/>
        <w:t>Secondary functions: section 12(3) of the Act</w:t>
      </w:r>
      <w:r>
        <w:tab/>
      </w:r>
      <w:r>
        <w:fldChar w:fldCharType="begin"/>
      </w:r>
      <w:r>
        <w:instrText xml:space="preserve"> PAGEREF _Toc424741941 \h </w:instrText>
      </w:r>
      <w:r>
        <w:fldChar w:fldCharType="separate"/>
      </w:r>
      <w:r>
        <w:t>21</w:t>
      </w:r>
      <w:r>
        <w:fldChar w:fldCharType="end"/>
      </w:r>
    </w:p>
    <w:p>
      <w:pPr>
        <w:pStyle w:val="TOC8"/>
        <w:rPr>
          <w:rFonts w:asciiTheme="minorHAnsi" w:eastAsiaTheme="minorEastAsia" w:hAnsiTheme="minorHAnsi" w:cstheme="minorBidi"/>
          <w:szCs w:val="22"/>
        </w:rPr>
      </w:pPr>
      <w:r>
        <w:t>35.</w:t>
      </w:r>
      <w:r>
        <w:tab/>
        <w:t>Criteria for Minister’s approval not being required under section 15 of the Act</w:t>
      </w:r>
      <w:r>
        <w:tab/>
      </w:r>
      <w:r>
        <w:fldChar w:fldCharType="begin"/>
      </w:r>
      <w:r>
        <w:instrText xml:space="preserve"> PAGEREF _Toc424741942 \h </w:instrText>
      </w:r>
      <w:r>
        <w:fldChar w:fldCharType="separate"/>
      </w:r>
      <w:r>
        <w:t>21</w:t>
      </w:r>
      <w:r>
        <w:fldChar w:fldCharType="end"/>
      </w:r>
    </w:p>
    <w:p>
      <w:pPr>
        <w:pStyle w:val="TOC8"/>
        <w:rPr>
          <w:rFonts w:asciiTheme="minorHAnsi" w:eastAsiaTheme="minorEastAsia" w:hAnsiTheme="minorHAnsi" w:cstheme="minorBidi"/>
          <w:szCs w:val="22"/>
        </w:rPr>
      </w:pPr>
      <w:r>
        <w:t>36.</w:t>
      </w:r>
      <w:r>
        <w:tab/>
        <w:t>Disposal of an estate in land other than Crown land without the Minister’s approval: section 16 of the Act</w:t>
      </w:r>
      <w:r>
        <w:tab/>
      </w:r>
      <w:r>
        <w:fldChar w:fldCharType="begin"/>
      </w:r>
      <w:r>
        <w:instrText xml:space="preserve"> PAGEREF _Toc424741943 \h </w:instrText>
      </w:r>
      <w:r>
        <w:fldChar w:fldCharType="separate"/>
      </w:r>
      <w:r>
        <w:t>22</w:t>
      </w:r>
      <w:r>
        <w:fldChar w:fldCharType="end"/>
      </w:r>
    </w:p>
    <w:p>
      <w:pPr>
        <w:pStyle w:val="TOC8"/>
        <w:rPr>
          <w:rFonts w:asciiTheme="minorHAnsi" w:eastAsiaTheme="minorEastAsia" w:hAnsiTheme="minorHAnsi" w:cstheme="minorBidi"/>
          <w:szCs w:val="22"/>
        </w:rPr>
      </w:pPr>
      <w:r>
        <w:t>37.</w:t>
      </w:r>
      <w:r>
        <w:tab/>
        <w:t>Crossings by traction engines and large vehicles</w:t>
      </w:r>
      <w:r>
        <w:tab/>
      </w:r>
      <w:r>
        <w:fldChar w:fldCharType="begin"/>
      </w:r>
      <w:r>
        <w:instrText xml:space="preserve"> PAGEREF _Toc424741944 \h </w:instrText>
      </w:r>
      <w:r>
        <w:fldChar w:fldCharType="separate"/>
      </w:r>
      <w:r>
        <w:t>22</w:t>
      </w:r>
      <w:r>
        <w:fldChar w:fldCharType="end"/>
      </w:r>
    </w:p>
    <w:p>
      <w:pPr>
        <w:pStyle w:val="TOC8"/>
        <w:rPr>
          <w:rFonts w:asciiTheme="minorHAnsi" w:eastAsiaTheme="minorEastAsia" w:hAnsiTheme="minorHAnsi" w:cstheme="minorBidi"/>
          <w:szCs w:val="22"/>
        </w:rPr>
      </w:pPr>
      <w:r>
        <w:t>38.</w:t>
      </w:r>
      <w:r>
        <w:tab/>
        <w:t>Sewage etc.</w:t>
      </w:r>
      <w:r>
        <w:tab/>
      </w:r>
      <w:r>
        <w:fldChar w:fldCharType="begin"/>
      </w:r>
      <w:r>
        <w:instrText xml:space="preserve"> PAGEREF _Toc424741945 \h </w:instrText>
      </w:r>
      <w:r>
        <w:fldChar w:fldCharType="separate"/>
      </w:r>
      <w:r>
        <w:t>23</w:t>
      </w:r>
      <w:r>
        <w:fldChar w:fldCharType="end"/>
      </w:r>
    </w:p>
    <w:p>
      <w:pPr>
        <w:pStyle w:val="TOC8"/>
        <w:rPr>
          <w:rFonts w:asciiTheme="minorHAnsi" w:eastAsiaTheme="minorEastAsia" w:hAnsiTheme="minorHAnsi" w:cstheme="minorBidi"/>
          <w:szCs w:val="22"/>
        </w:rPr>
      </w:pPr>
      <w:r>
        <w:t>39.</w:t>
      </w:r>
      <w:r>
        <w:tab/>
        <w:t>Animals</w:t>
      </w:r>
      <w:r>
        <w:tab/>
      </w:r>
      <w:r>
        <w:fldChar w:fldCharType="begin"/>
      </w:r>
      <w:r>
        <w:instrText xml:space="preserve"> PAGEREF _Toc424741946 \h </w:instrText>
      </w:r>
      <w:r>
        <w:fldChar w:fldCharType="separate"/>
      </w:r>
      <w:r>
        <w:t>23</w:t>
      </w:r>
      <w:r>
        <w:fldChar w:fldCharType="end"/>
      </w:r>
    </w:p>
    <w:p>
      <w:pPr>
        <w:pStyle w:val="TOC8"/>
        <w:rPr>
          <w:rFonts w:asciiTheme="minorHAnsi" w:eastAsiaTheme="minorEastAsia" w:hAnsiTheme="minorHAnsi" w:cstheme="minorBidi"/>
          <w:szCs w:val="22"/>
        </w:rPr>
      </w:pPr>
      <w:r>
        <w:t>40.</w:t>
      </w:r>
      <w:r>
        <w:tab/>
        <w:t>Obstructing an authorised person</w:t>
      </w:r>
      <w:r>
        <w:tab/>
      </w:r>
      <w:r>
        <w:fldChar w:fldCharType="begin"/>
      </w:r>
      <w:r>
        <w:instrText xml:space="preserve"> PAGEREF _Toc424741947 \h </w:instrText>
      </w:r>
      <w:r>
        <w:fldChar w:fldCharType="separate"/>
      </w:r>
      <w:r>
        <w:t>23</w:t>
      </w:r>
      <w:r>
        <w:fldChar w:fldCharType="end"/>
      </w:r>
    </w:p>
    <w:p>
      <w:pPr>
        <w:pStyle w:val="TOC8"/>
        <w:rPr>
          <w:rFonts w:asciiTheme="minorHAnsi" w:eastAsiaTheme="minorEastAsia" w:hAnsiTheme="minorHAnsi" w:cstheme="minorBidi"/>
          <w:szCs w:val="22"/>
        </w:rPr>
      </w:pPr>
      <w:r>
        <w:t>41.</w:t>
      </w:r>
      <w:r>
        <w:tab/>
        <w:t>Refusal of passage</w:t>
      </w:r>
      <w:r>
        <w:tab/>
      </w:r>
      <w:r>
        <w:fldChar w:fldCharType="begin"/>
      </w:r>
      <w:r>
        <w:instrText xml:space="preserve"> PAGEREF _Toc424741948 \h </w:instrText>
      </w:r>
      <w:r>
        <w:fldChar w:fldCharType="separate"/>
      </w:r>
      <w:r>
        <w:t>24</w:t>
      </w:r>
      <w:r>
        <w:fldChar w:fldCharType="end"/>
      </w:r>
    </w:p>
    <w:p>
      <w:pPr>
        <w:pStyle w:val="TOC8"/>
        <w:rPr>
          <w:rFonts w:asciiTheme="minorHAnsi" w:eastAsiaTheme="minorEastAsia" w:hAnsiTheme="minorHAnsi" w:cstheme="minorBidi"/>
          <w:szCs w:val="22"/>
        </w:rPr>
      </w:pPr>
      <w:r>
        <w:t>42.</w:t>
      </w:r>
      <w:r>
        <w:tab/>
        <w:t>Failure to comply with refusal of travel</w:t>
      </w:r>
      <w:r>
        <w:tab/>
      </w:r>
      <w:r>
        <w:fldChar w:fldCharType="begin"/>
      </w:r>
      <w:r>
        <w:instrText xml:space="preserve"> PAGEREF _Toc424741949 \h </w:instrText>
      </w:r>
      <w:r>
        <w:fldChar w:fldCharType="separate"/>
      </w:r>
      <w:r>
        <w:t>25</w:t>
      </w:r>
      <w:r>
        <w:fldChar w:fldCharType="end"/>
      </w:r>
    </w:p>
    <w:p>
      <w:pPr>
        <w:pStyle w:val="TOC8"/>
        <w:rPr>
          <w:rFonts w:asciiTheme="minorHAnsi" w:eastAsiaTheme="minorEastAsia" w:hAnsiTheme="minorHAnsi" w:cstheme="minorBidi"/>
          <w:szCs w:val="22"/>
        </w:rPr>
      </w:pPr>
      <w:r>
        <w:t>43.</w:t>
      </w:r>
      <w:r>
        <w:tab/>
        <w:t>Ejecting people from Authority property: section 65 of the Act</w:t>
      </w:r>
      <w:r>
        <w:tab/>
      </w:r>
      <w:r>
        <w:fldChar w:fldCharType="begin"/>
      </w:r>
      <w:r>
        <w:instrText xml:space="preserve"> PAGEREF _Toc424741950 \h </w:instrText>
      </w:r>
      <w:r>
        <w:fldChar w:fldCharType="separate"/>
      </w:r>
      <w:r>
        <w:t>25</w:t>
      </w:r>
      <w:r>
        <w:fldChar w:fldCharType="end"/>
      </w:r>
    </w:p>
    <w:p>
      <w:pPr>
        <w:pStyle w:val="TOC8"/>
        <w:rPr>
          <w:rFonts w:asciiTheme="minorHAnsi" w:eastAsiaTheme="minorEastAsia" w:hAnsiTheme="minorHAnsi" w:cstheme="minorBidi"/>
          <w:szCs w:val="22"/>
        </w:rPr>
      </w:pPr>
      <w:r>
        <w:t>44.</w:t>
      </w:r>
      <w:r>
        <w:tab/>
        <w:t>Recording information printed on a ticket or retention of ticket</w:t>
      </w:r>
      <w:r>
        <w:tab/>
      </w:r>
      <w:r>
        <w:fldChar w:fldCharType="begin"/>
      </w:r>
      <w:r>
        <w:instrText xml:space="preserve"> PAGEREF _Toc424741951 \h </w:instrText>
      </w:r>
      <w:r>
        <w:fldChar w:fldCharType="separate"/>
      </w:r>
      <w:r>
        <w:t>27</w:t>
      </w:r>
      <w:r>
        <w:fldChar w:fldCharType="end"/>
      </w:r>
    </w:p>
    <w:p>
      <w:pPr>
        <w:pStyle w:val="TOC8"/>
        <w:rPr>
          <w:rFonts w:asciiTheme="minorHAnsi" w:eastAsiaTheme="minorEastAsia" w:hAnsiTheme="minorHAnsi" w:cstheme="minorBidi"/>
          <w:szCs w:val="22"/>
        </w:rPr>
      </w:pPr>
      <w:r>
        <w:t>45.</w:t>
      </w:r>
      <w:r>
        <w:tab/>
        <w:t>Infringement notice</w:t>
      </w:r>
      <w:r>
        <w:tab/>
      </w:r>
      <w:r>
        <w:fldChar w:fldCharType="begin"/>
      </w:r>
      <w:r>
        <w:instrText xml:space="preserve"> PAGEREF _Toc424741952 \h </w:instrText>
      </w:r>
      <w:r>
        <w:fldChar w:fldCharType="separate"/>
      </w:r>
      <w:r>
        <w:t>28</w:t>
      </w:r>
      <w:r>
        <w:fldChar w:fldCharType="end"/>
      </w:r>
    </w:p>
    <w:p>
      <w:pPr>
        <w:pStyle w:val="TOC8"/>
        <w:rPr>
          <w:rFonts w:asciiTheme="minorHAnsi" w:eastAsiaTheme="minorEastAsia" w:hAnsiTheme="minorHAnsi" w:cstheme="minorBidi"/>
          <w:szCs w:val="22"/>
        </w:rPr>
      </w:pPr>
      <w:r>
        <w:t>46.</w:t>
      </w:r>
      <w:r>
        <w:tab/>
        <w:t>Withdrawal of infringement notice</w:t>
      </w:r>
      <w:r>
        <w:tab/>
      </w:r>
      <w:r>
        <w:fldChar w:fldCharType="begin"/>
      </w:r>
      <w:r>
        <w:instrText xml:space="preserve"> PAGEREF _Toc424741953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Charges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_Toc424741957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3" w:name="_Toc390418058"/>
      <w:bookmarkStart w:id="4" w:name="_Toc424741836"/>
      <w:bookmarkStart w:id="5" w:name="_Toc42474189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90418059"/>
      <w:bookmarkStart w:id="7" w:name="_Toc424741898"/>
      <w:r>
        <w:rPr>
          <w:rStyle w:val="CharSectno"/>
        </w:rPr>
        <w:t>1</w:t>
      </w:r>
      <w:r>
        <w:t>.</w:t>
      </w:r>
      <w:r>
        <w:tab/>
        <w:t>Citation</w:t>
      </w:r>
      <w:bookmarkEnd w:id="6"/>
      <w:bookmarkEnd w:id="7"/>
    </w:p>
    <w:p>
      <w:pPr>
        <w:pStyle w:val="Subsection"/>
      </w:pPr>
      <w:r>
        <w:tab/>
      </w:r>
      <w:r>
        <w:tab/>
      </w:r>
      <w:bookmarkStart w:id="8" w:name="Start_Cursor"/>
      <w:bookmarkEnd w:id="8"/>
      <w:r>
        <w:t xml:space="preserve">These regulations may be cited as the </w:t>
      </w:r>
      <w:r>
        <w:rPr>
          <w:i/>
        </w:rPr>
        <w:t>Public Transport Authority Regulations 2003</w:t>
      </w:r>
      <w:r>
        <w:rPr>
          <w:iCs/>
          <w:vertAlign w:val="superscript"/>
        </w:rPr>
        <w:t> 1</w:t>
      </w:r>
      <w:r>
        <w:t>.</w:t>
      </w:r>
    </w:p>
    <w:p>
      <w:pPr>
        <w:pStyle w:val="Heading5"/>
        <w:rPr>
          <w:spacing w:val="-2"/>
        </w:rPr>
      </w:pPr>
      <w:bookmarkStart w:id="9" w:name="_Toc390418060"/>
      <w:bookmarkStart w:id="10" w:name="_Toc424741899"/>
      <w:r>
        <w:rPr>
          <w:rStyle w:val="CharSectno"/>
        </w:rPr>
        <w:t>2</w:t>
      </w:r>
      <w:r>
        <w:t>.</w:t>
      </w:r>
      <w:r>
        <w:tab/>
        <w:t>Commencement</w:t>
      </w:r>
      <w:bookmarkEnd w:id="9"/>
      <w:bookmarkEnd w:id="10"/>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rPr>
          <w:iCs/>
          <w:vertAlign w:val="superscript"/>
        </w:rPr>
        <w:t> 1</w:t>
      </w:r>
      <w:r>
        <w:t>.</w:t>
      </w:r>
    </w:p>
    <w:p>
      <w:pPr>
        <w:pStyle w:val="Heading5"/>
      </w:pPr>
      <w:bookmarkStart w:id="11" w:name="_Toc390418061"/>
      <w:bookmarkStart w:id="12" w:name="_Toc424741900"/>
      <w:r>
        <w:rPr>
          <w:rStyle w:val="CharSectno"/>
        </w:rPr>
        <w:t>3</w:t>
      </w:r>
      <w:r>
        <w:t>.</w:t>
      </w:r>
      <w:r>
        <w:tab/>
        <w:t>Terms used in these regulations</w:t>
      </w:r>
      <w:bookmarkEnd w:id="11"/>
      <w:bookmarkEnd w:id="12"/>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ticket</w:t>
      </w:r>
      <w:r>
        <w:t xml:space="preserve"> </w:t>
      </w:r>
      <w:bookmarkStart w:id="13" w:name="comma"/>
      <w:bookmarkEnd w:id="13"/>
      <w:r>
        <w:t>means a ticket, voucher, document or other thing issued by or on behalf of the Authority for the use of a public passenger transport service provided by the Authority.</w:t>
      </w:r>
    </w:p>
    <w:p>
      <w:pPr>
        <w:pStyle w:val="Footnotesection"/>
      </w:pPr>
      <w:r>
        <w:tab/>
        <w:t>[Regulation 3 amended in Gazette 5 Nov 2013 p. 4950.]</w:t>
      </w:r>
    </w:p>
    <w:p>
      <w:pPr>
        <w:pStyle w:val="Heading5"/>
      </w:pPr>
      <w:bookmarkStart w:id="14" w:name="_Toc390418062"/>
      <w:bookmarkStart w:id="15" w:name="_Toc424741901"/>
      <w:r>
        <w:rPr>
          <w:rStyle w:val="CharSectno"/>
        </w:rPr>
        <w:t>4</w:t>
      </w:r>
      <w:r>
        <w:t>.</w:t>
      </w:r>
      <w:r>
        <w:tab/>
        <w:t>Offences prescribed as infringement notice offences</w:t>
      </w:r>
      <w:bookmarkEnd w:id="14"/>
      <w:bookmarkEnd w:id="15"/>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16" w:name="_Toc390418063"/>
      <w:bookmarkStart w:id="17" w:name="_Toc424741841"/>
      <w:bookmarkStart w:id="18" w:name="_Toc424741902"/>
      <w:r>
        <w:rPr>
          <w:rStyle w:val="CharPartNo"/>
        </w:rPr>
        <w:t>Part 2</w:t>
      </w:r>
      <w:r>
        <w:rPr>
          <w:rStyle w:val="CharDivNo"/>
        </w:rPr>
        <w:t> </w:t>
      </w:r>
      <w:r>
        <w:rPr>
          <w:sz w:val="24"/>
        </w:rPr>
        <w:t>—</w:t>
      </w:r>
      <w:r>
        <w:rPr>
          <w:rStyle w:val="CharDivText"/>
        </w:rPr>
        <w:t> </w:t>
      </w:r>
      <w:r>
        <w:rPr>
          <w:rStyle w:val="CharPartText"/>
        </w:rPr>
        <w:t>Tickets</w:t>
      </w:r>
      <w:bookmarkEnd w:id="16"/>
      <w:bookmarkEnd w:id="17"/>
      <w:bookmarkEnd w:id="18"/>
    </w:p>
    <w:p>
      <w:pPr>
        <w:pStyle w:val="Heading5"/>
      </w:pPr>
      <w:bookmarkStart w:id="19" w:name="_Toc390418064"/>
      <w:bookmarkStart w:id="20" w:name="_Toc424741903"/>
      <w:r>
        <w:rPr>
          <w:rStyle w:val="CharSectno"/>
        </w:rPr>
        <w:t>5</w:t>
      </w:r>
      <w:r>
        <w:t>.</w:t>
      </w:r>
      <w:r>
        <w:tab/>
        <w:t>Invalid ticket</w:t>
      </w:r>
      <w:bookmarkEnd w:id="19"/>
      <w:bookmarkEnd w:id="20"/>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21" w:name="_Toc390418065"/>
      <w:bookmarkStart w:id="22" w:name="_Toc424741904"/>
      <w:r>
        <w:rPr>
          <w:rStyle w:val="CharSectno"/>
        </w:rPr>
        <w:t>6</w:t>
      </w:r>
      <w:r>
        <w:t>.</w:t>
      </w:r>
      <w:r>
        <w:tab/>
        <w:t>Using a public passenger transport service without a valid ticket</w:t>
      </w:r>
      <w:bookmarkEnd w:id="21"/>
      <w:bookmarkEnd w:id="22"/>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a fine of $100.</w:t>
      </w:r>
    </w:p>
    <w:p>
      <w:pPr>
        <w:pStyle w:val="Penstart"/>
      </w:pPr>
      <w:r>
        <w:tab/>
        <w:t>Penalty: a fine of $500.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in Gazette 24 Jul 2009 p. 2953; 5 Nov 2013 p. 4954.]</w:t>
      </w:r>
    </w:p>
    <w:p>
      <w:pPr>
        <w:pStyle w:val="Heading2"/>
      </w:pPr>
      <w:bookmarkStart w:id="23" w:name="_Toc390418066"/>
      <w:bookmarkStart w:id="24" w:name="_Toc424741844"/>
      <w:bookmarkStart w:id="25" w:name="_Toc424741905"/>
      <w:r>
        <w:rPr>
          <w:rStyle w:val="CharPartNo"/>
        </w:rPr>
        <w:t>Part 3</w:t>
      </w:r>
      <w:r>
        <w:rPr>
          <w:rStyle w:val="CharDivNo"/>
        </w:rPr>
        <w:t> </w:t>
      </w:r>
      <w:r>
        <w:t>—</w:t>
      </w:r>
      <w:r>
        <w:rPr>
          <w:rStyle w:val="CharDivText"/>
        </w:rPr>
        <w:t> </w:t>
      </w:r>
      <w:r>
        <w:rPr>
          <w:rStyle w:val="CharPartText"/>
        </w:rPr>
        <w:t>Conduct in relation to Authority property</w:t>
      </w:r>
      <w:bookmarkEnd w:id="23"/>
      <w:bookmarkEnd w:id="24"/>
      <w:bookmarkEnd w:id="25"/>
    </w:p>
    <w:p>
      <w:pPr>
        <w:pStyle w:val="Heading5"/>
      </w:pPr>
      <w:bookmarkStart w:id="26" w:name="_Toc390418067"/>
      <w:bookmarkStart w:id="27" w:name="_Toc424741906"/>
      <w:r>
        <w:rPr>
          <w:rStyle w:val="CharSectno"/>
        </w:rPr>
        <w:t>7</w:t>
      </w:r>
      <w:r>
        <w:t>.</w:t>
      </w:r>
      <w:r>
        <w:tab/>
        <w:t>Interference with property</w:t>
      </w:r>
      <w:bookmarkEnd w:id="26"/>
      <w:bookmarkEnd w:id="27"/>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in Gazette 5 Nov 2013 p. 4954.]</w:t>
      </w:r>
    </w:p>
    <w:p>
      <w:pPr>
        <w:pStyle w:val="Heading5"/>
      </w:pPr>
      <w:bookmarkStart w:id="28" w:name="_Toc390418068"/>
      <w:bookmarkStart w:id="29" w:name="_Toc424741907"/>
      <w:r>
        <w:rPr>
          <w:rStyle w:val="CharSectno"/>
        </w:rPr>
        <w:t>8</w:t>
      </w:r>
      <w:r>
        <w:t>.</w:t>
      </w:r>
      <w:r>
        <w:tab/>
        <w:t>Travelling on part of conveyance not intended for conveyance of passengers</w:t>
      </w:r>
      <w:bookmarkEnd w:id="28"/>
      <w:bookmarkEnd w:id="29"/>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in Gazette 5 Nov 2013 p. 4954.]</w:t>
      </w:r>
    </w:p>
    <w:p>
      <w:pPr>
        <w:pStyle w:val="Heading5"/>
      </w:pPr>
      <w:bookmarkStart w:id="30" w:name="_Toc390418069"/>
      <w:bookmarkStart w:id="31" w:name="_Toc424741908"/>
      <w:r>
        <w:rPr>
          <w:rStyle w:val="CharSectno"/>
        </w:rPr>
        <w:t>9</w:t>
      </w:r>
      <w:r>
        <w:t>.</w:t>
      </w:r>
      <w:r>
        <w:tab/>
        <w:t>Entering or leaving a conveyance other than through a door</w:t>
      </w:r>
      <w:bookmarkEnd w:id="30"/>
      <w:bookmarkEnd w:id="31"/>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a fine of $200.</w:t>
      </w:r>
    </w:p>
    <w:p>
      <w:pPr>
        <w:pStyle w:val="Penstart"/>
      </w:pPr>
      <w:r>
        <w:tab/>
        <w:t>Penalty: a fine of $2 000.</w:t>
      </w:r>
    </w:p>
    <w:p>
      <w:pPr>
        <w:pStyle w:val="Subsection"/>
        <w:spacing w:before="120"/>
      </w:pPr>
      <w:r>
        <w:tab/>
        <w:t>(2)</w:t>
      </w:r>
      <w:r>
        <w:tab/>
        <w:t>Subregulation (1) does not apply to a driver, master, authorised person, or a security officer acting in the proper exercise of his or her duties.</w:t>
      </w:r>
    </w:p>
    <w:p>
      <w:pPr>
        <w:pStyle w:val="Footnotesection"/>
      </w:pPr>
      <w:r>
        <w:tab/>
        <w:t>[Regulation 9 amended in Gazette 5 Nov 2013 p. 4954.]</w:t>
      </w:r>
    </w:p>
    <w:p>
      <w:pPr>
        <w:pStyle w:val="Heading5"/>
      </w:pPr>
      <w:bookmarkStart w:id="32" w:name="_Toc390418070"/>
      <w:bookmarkStart w:id="33" w:name="_Toc424741909"/>
      <w:r>
        <w:rPr>
          <w:rStyle w:val="CharSectno"/>
        </w:rPr>
        <w:t>10</w:t>
      </w:r>
      <w:r>
        <w:t>.</w:t>
      </w:r>
      <w:r>
        <w:tab/>
        <w:t>No standing allowed in certain areas on a conveyance</w:t>
      </w:r>
      <w:bookmarkEnd w:id="32"/>
      <w:bookmarkEnd w:id="33"/>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in Gazette 24 Jul 2009 p. 2953; 5 Nov 2013 p. 4950 and 4954.]</w:t>
      </w:r>
    </w:p>
    <w:p>
      <w:pPr>
        <w:pStyle w:val="Heading5"/>
      </w:pPr>
      <w:bookmarkStart w:id="34" w:name="_Toc390418071"/>
      <w:bookmarkStart w:id="35" w:name="_Toc424741910"/>
      <w:r>
        <w:rPr>
          <w:rStyle w:val="CharSectno"/>
        </w:rPr>
        <w:t>11</w:t>
      </w:r>
      <w:r>
        <w:t>.</w:t>
      </w:r>
      <w:r>
        <w:tab/>
        <w:t>Smoking prohibited</w:t>
      </w:r>
      <w:bookmarkEnd w:id="34"/>
      <w:bookmarkEnd w:id="35"/>
    </w:p>
    <w:p>
      <w:pPr>
        <w:pStyle w:val="Subsection"/>
      </w:pPr>
      <w:r>
        <w:tab/>
        <w:t>(1)</w:t>
      </w:r>
      <w:r>
        <w:tab/>
        <w:t>A person who smokes in or on a conveyance commits an offence.</w:t>
      </w:r>
    </w:p>
    <w:p>
      <w:pPr>
        <w:pStyle w:val="Penstart"/>
      </w:pPr>
      <w:r>
        <w:tab/>
        <w:t>Modified penalty: a fine of $100.</w:t>
      </w:r>
    </w:p>
    <w:p>
      <w:pPr>
        <w:pStyle w:val="Penstart"/>
      </w:pPr>
      <w:r>
        <w:tab/>
        <w:t>Penalty: a fine of $500.</w:t>
      </w:r>
    </w:p>
    <w:p>
      <w:pPr>
        <w:pStyle w:val="Subsection"/>
      </w:pPr>
      <w:r>
        <w:tab/>
        <w:t>(2)</w:t>
      </w:r>
      <w:r>
        <w:tab/>
        <w:t>A person who smokes in or on a facility in respect of which a notice is displayed that smoking is prohibited commits an offence.</w:t>
      </w:r>
    </w:p>
    <w:p>
      <w:pPr>
        <w:pStyle w:val="Penstart"/>
      </w:pPr>
      <w:r>
        <w:tab/>
        <w:t>Modified penalty: a fine of $100.</w:t>
      </w:r>
    </w:p>
    <w:p>
      <w:pPr>
        <w:pStyle w:val="Penstart"/>
      </w:pPr>
      <w:r>
        <w:tab/>
        <w:t>Penalty: a fine of $500.</w:t>
      </w:r>
    </w:p>
    <w:p>
      <w:pPr>
        <w:pStyle w:val="Subsection"/>
      </w:pPr>
      <w:r>
        <w:tab/>
        <w:t>(3)</w:t>
      </w:r>
      <w:r>
        <w:tab/>
        <w:t xml:space="preserve">This regulation does not limit the operation of the </w:t>
      </w:r>
      <w:r>
        <w:rPr>
          <w:i/>
        </w:rPr>
        <w:t>Health (Smoking in Enclosed Public Places) Regulations 1999</w:t>
      </w:r>
      <w:r>
        <w:rPr>
          <w:iCs/>
          <w:vertAlign w:val="superscript"/>
        </w:rPr>
        <w:t> 2</w:t>
      </w:r>
      <w:r>
        <w:t>.</w:t>
      </w:r>
    </w:p>
    <w:p>
      <w:pPr>
        <w:pStyle w:val="Footnotesection"/>
      </w:pPr>
      <w:r>
        <w:tab/>
        <w:t>[Regulation 11 amended in Gazette 24 Jul 2009 p. 2953-4; 5 Nov 2013 p. 4954.]</w:t>
      </w:r>
    </w:p>
    <w:p>
      <w:pPr>
        <w:pStyle w:val="Heading5"/>
      </w:pPr>
      <w:bookmarkStart w:id="36" w:name="_Toc390418072"/>
      <w:bookmarkStart w:id="37" w:name="_Toc424741911"/>
      <w:r>
        <w:rPr>
          <w:rStyle w:val="CharSectno"/>
        </w:rPr>
        <w:t>12</w:t>
      </w:r>
      <w:r>
        <w:t>.</w:t>
      </w:r>
      <w:r>
        <w:tab/>
        <w:t>Consumption of alcohol</w:t>
      </w:r>
      <w:bookmarkEnd w:id="36"/>
      <w:bookmarkEnd w:id="37"/>
    </w:p>
    <w:p>
      <w:pPr>
        <w:pStyle w:val="Subsection"/>
      </w:pPr>
      <w:r>
        <w:tab/>
        <w:t>(1)</w:t>
      </w:r>
      <w:r>
        <w:tab/>
        <w:t>Subject to subregulation (2), a person who consumes alcohol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A person may consume alcohol in or on a conveyance or a facility with the approval of the chief executive officer if that approval is obtained before the alcohol is consumed.</w:t>
      </w:r>
    </w:p>
    <w:p>
      <w:pPr>
        <w:pStyle w:val="Footnotesection"/>
      </w:pPr>
      <w:r>
        <w:tab/>
        <w:t>[Regulation 12 amended in Gazette 24 Jul 2009 p. 2954; 5 Nov 2013 p. 4954.]</w:t>
      </w:r>
    </w:p>
    <w:p>
      <w:pPr>
        <w:pStyle w:val="Heading5"/>
        <w:spacing w:before="200"/>
      </w:pPr>
      <w:bookmarkStart w:id="38" w:name="_Toc390418073"/>
      <w:bookmarkStart w:id="39" w:name="_Toc424741912"/>
      <w:r>
        <w:rPr>
          <w:rStyle w:val="CharSectno"/>
        </w:rPr>
        <w:t>13</w:t>
      </w:r>
      <w:r>
        <w:t>.</w:t>
      </w:r>
      <w:r>
        <w:tab/>
        <w:t>Nuisance</w:t>
      </w:r>
      <w:bookmarkEnd w:id="38"/>
      <w:bookmarkEnd w:id="39"/>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13 amended in Gazette 24 Jul 2009 p. 2954; 5 Nov 2013 p. 4954.]</w:t>
      </w:r>
    </w:p>
    <w:p>
      <w:pPr>
        <w:pStyle w:val="Heading5"/>
        <w:spacing w:before="200"/>
      </w:pPr>
      <w:bookmarkStart w:id="40" w:name="_Toc390418074"/>
      <w:bookmarkStart w:id="41" w:name="_Toc424741913"/>
      <w:r>
        <w:rPr>
          <w:rStyle w:val="CharSectno"/>
        </w:rPr>
        <w:t>14</w:t>
      </w:r>
      <w:r>
        <w:t>.</w:t>
      </w:r>
      <w:r>
        <w:tab/>
        <w:t>Begging and busking prohibited</w:t>
      </w:r>
      <w:bookmarkEnd w:id="40"/>
      <w:bookmarkEnd w:id="41"/>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14 amended in Gazette 24 Jul 2009 p. 2954; 5 Nov 2013 p. 4954.]</w:t>
      </w:r>
    </w:p>
    <w:p>
      <w:pPr>
        <w:pStyle w:val="Heading5"/>
        <w:spacing w:before="200"/>
      </w:pPr>
      <w:bookmarkStart w:id="42" w:name="_Toc390418075"/>
      <w:bookmarkStart w:id="43" w:name="_Toc424741914"/>
      <w:r>
        <w:rPr>
          <w:rStyle w:val="CharSectno"/>
        </w:rPr>
        <w:t>15</w:t>
      </w:r>
      <w:r>
        <w:t>.</w:t>
      </w:r>
      <w:r>
        <w:tab/>
        <w:t>Damage to a conveyance or facility</w:t>
      </w:r>
      <w:bookmarkEnd w:id="42"/>
      <w:bookmarkEnd w:id="43"/>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pPr>
      <w:r>
        <w:tab/>
        <w:t>Penalty: a fine of $2 000.</w:t>
      </w:r>
    </w:p>
    <w:p>
      <w:pPr>
        <w:pStyle w:val="Footnotesection"/>
      </w:pPr>
      <w:r>
        <w:tab/>
        <w:t>[Regulation 15 amended in Gazette 5 Nov 2013 p. 4954.]</w:t>
      </w:r>
    </w:p>
    <w:p>
      <w:pPr>
        <w:pStyle w:val="Heading5"/>
        <w:spacing w:before="200"/>
      </w:pPr>
      <w:bookmarkStart w:id="44" w:name="_Toc390418076"/>
      <w:bookmarkStart w:id="45" w:name="_Toc424741915"/>
      <w:r>
        <w:rPr>
          <w:rStyle w:val="CharSectno"/>
        </w:rPr>
        <w:t>16</w:t>
      </w:r>
      <w:r>
        <w:t>.</w:t>
      </w:r>
      <w:r>
        <w:tab/>
        <w:t>Audible devices</w:t>
      </w:r>
      <w:bookmarkEnd w:id="44"/>
      <w:bookmarkEnd w:id="45"/>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a fine of $100.</w:t>
      </w:r>
    </w:p>
    <w:p>
      <w:pPr>
        <w:pStyle w:val="Penstart"/>
      </w:pPr>
      <w:r>
        <w:tab/>
        <w:t>Penalty: a fine of $500.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a fine of $100.</w:t>
      </w:r>
    </w:p>
    <w:p>
      <w:pPr>
        <w:pStyle w:val="Penstart"/>
      </w:pPr>
      <w:r>
        <w:tab/>
        <w:t>Penalty: a fine of $500.</w:t>
      </w:r>
    </w:p>
    <w:p>
      <w:pPr>
        <w:pStyle w:val="Footnotesection"/>
      </w:pPr>
      <w:r>
        <w:tab/>
        <w:t>[Regulation 16 amended in Gazette 24 Jul 2009 p. 2954; 5 Nov 2013 p. 4954-5.]</w:t>
      </w:r>
    </w:p>
    <w:p>
      <w:pPr>
        <w:pStyle w:val="Heading5"/>
      </w:pPr>
      <w:bookmarkStart w:id="46" w:name="_Toc390418077"/>
      <w:bookmarkStart w:id="47" w:name="_Toc424741916"/>
      <w:r>
        <w:rPr>
          <w:rStyle w:val="CharSectno"/>
        </w:rPr>
        <w:t>17</w:t>
      </w:r>
      <w:r>
        <w:t>.</w:t>
      </w:r>
      <w:r>
        <w:tab/>
        <w:t>Selling things or services or distributing handbills etc. prohibited</w:t>
      </w:r>
      <w:bookmarkEnd w:id="46"/>
      <w:bookmarkEnd w:id="47"/>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17 amended in Gazette 24 Jul 2009 p. 2954-5; 5 Nov 2013 p. 4954-5.]</w:t>
      </w:r>
    </w:p>
    <w:p>
      <w:pPr>
        <w:pStyle w:val="Heading5"/>
      </w:pPr>
      <w:bookmarkStart w:id="48" w:name="_Toc390418078"/>
      <w:bookmarkStart w:id="49" w:name="_Toc424741917"/>
      <w:r>
        <w:rPr>
          <w:rStyle w:val="CharSectno"/>
        </w:rPr>
        <w:t>18</w:t>
      </w:r>
      <w:r>
        <w:t>.</w:t>
      </w:r>
      <w:r>
        <w:tab/>
        <w:t>Food and drink</w:t>
      </w:r>
      <w:bookmarkEnd w:id="48"/>
      <w:bookmarkEnd w:id="49"/>
    </w:p>
    <w:p>
      <w:pPr>
        <w:pStyle w:val="Subsection"/>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pPr>
      <w:r>
        <w:tab/>
        <w:t>Penalty: a fine of $500.</w:t>
      </w:r>
    </w:p>
    <w:p>
      <w:pPr>
        <w:pStyle w:val="Footnotesection"/>
      </w:pPr>
      <w:r>
        <w:tab/>
        <w:t>[Regulation 18 amended in Gazette 24 Jul 2009 p. 2955; 5 Nov 2013 p. 4954-5.]</w:t>
      </w:r>
    </w:p>
    <w:p>
      <w:pPr>
        <w:pStyle w:val="Heading5"/>
      </w:pPr>
      <w:bookmarkStart w:id="50" w:name="_Toc390418079"/>
      <w:bookmarkStart w:id="51" w:name="_Toc424741918"/>
      <w:r>
        <w:rPr>
          <w:rStyle w:val="CharSectno"/>
        </w:rPr>
        <w:t>19</w:t>
      </w:r>
      <w:r>
        <w:t>.</w:t>
      </w:r>
      <w:r>
        <w:tab/>
        <w:t>Feet not to be placed on seats</w:t>
      </w:r>
      <w:bookmarkEnd w:id="50"/>
      <w:bookmarkEnd w:id="51"/>
    </w:p>
    <w:p>
      <w:pPr>
        <w:pStyle w:val="Subsection"/>
      </w:pPr>
      <w:r>
        <w:tab/>
      </w:r>
      <w:r>
        <w:tab/>
        <w:t>A person who places or rests his or her foot or feet on or against a seat of a conveyance commits an offence.</w:t>
      </w:r>
    </w:p>
    <w:p>
      <w:pPr>
        <w:pStyle w:val="Penstart"/>
      </w:pPr>
      <w:r>
        <w:tab/>
        <w:t>Modified penalty: a fine of $100.</w:t>
      </w:r>
    </w:p>
    <w:p>
      <w:pPr>
        <w:pStyle w:val="Penstart"/>
      </w:pPr>
      <w:r>
        <w:tab/>
        <w:t>Penalty: a fine of $500.</w:t>
      </w:r>
    </w:p>
    <w:p>
      <w:pPr>
        <w:pStyle w:val="Footnotesection"/>
      </w:pPr>
      <w:r>
        <w:tab/>
        <w:t>[Regulation 19 amended in Gazette 24 Jul 2009 p. 2955; 5 Nov 2013 p. 4954-5.]</w:t>
      </w:r>
    </w:p>
    <w:p>
      <w:pPr>
        <w:pStyle w:val="Heading5"/>
      </w:pPr>
      <w:bookmarkStart w:id="52" w:name="_Toc390418080"/>
      <w:bookmarkStart w:id="53" w:name="_Toc424741919"/>
      <w:r>
        <w:rPr>
          <w:rStyle w:val="CharSectno"/>
        </w:rPr>
        <w:t>20</w:t>
      </w:r>
      <w:r>
        <w:t>.</w:t>
      </w:r>
      <w:r>
        <w:tab/>
        <w:t>Luggage not to obstruct or endanger passengers</w:t>
      </w:r>
      <w:bookmarkEnd w:id="52"/>
      <w:bookmarkEnd w:id="53"/>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20 amended in Gazette 24 Jul 2009 p. 2955; 5 Nov 2013 p. 4954-5.]</w:t>
      </w:r>
    </w:p>
    <w:p>
      <w:pPr>
        <w:pStyle w:val="Heading5"/>
      </w:pPr>
      <w:bookmarkStart w:id="54" w:name="_Toc390418081"/>
      <w:bookmarkStart w:id="55" w:name="_Toc424741920"/>
      <w:r>
        <w:rPr>
          <w:rStyle w:val="CharSectno"/>
        </w:rPr>
        <w:t>21</w:t>
      </w:r>
      <w:r>
        <w:t>.</w:t>
      </w:r>
      <w:r>
        <w:tab/>
        <w:t>Possessing certain things prohibited</w:t>
      </w:r>
      <w:bookmarkEnd w:id="54"/>
      <w:bookmarkEnd w:id="55"/>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pPr>
      <w:r>
        <w:tab/>
      </w:r>
      <w:r>
        <w:tab/>
        <w:t>Penalty applicable to paragraph (e): a fine of $500.</w:t>
      </w:r>
    </w:p>
    <w:p>
      <w:pPr>
        <w:pStyle w:val="Footnotesection"/>
      </w:pPr>
      <w:r>
        <w:tab/>
        <w:t>[Regulation 21 amended in Gazette 24 Jul 2009 p. 2955; 5 Nov 2013 p. 4950-1.]</w:t>
      </w:r>
    </w:p>
    <w:p>
      <w:pPr>
        <w:pStyle w:val="Heading5"/>
      </w:pPr>
      <w:bookmarkStart w:id="56" w:name="_Toc390418082"/>
      <w:bookmarkStart w:id="57" w:name="_Toc424741921"/>
      <w:r>
        <w:rPr>
          <w:rStyle w:val="CharSectno"/>
        </w:rPr>
        <w:t>22</w:t>
      </w:r>
      <w:r>
        <w:t>.</w:t>
      </w:r>
      <w:r>
        <w:tab/>
        <w:t>Goods likely to spill, stain, or damage a conveyance</w:t>
      </w:r>
      <w:bookmarkEnd w:id="56"/>
      <w:bookmarkEnd w:id="57"/>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22 amended in Gazette 24 Jul 2009 p. 2955; 5 Nov 2013 p. 4954-5.]</w:t>
      </w:r>
    </w:p>
    <w:p>
      <w:pPr>
        <w:pStyle w:val="Heading5"/>
      </w:pPr>
      <w:bookmarkStart w:id="58" w:name="_Toc390418083"/>
      <w:bookmarkStart w:id="59" w:name="_Toc424741922"/>
      <w:r>
        <w:rPr>
          <w:rStyle w:val="CharSectno"/>
        </w:rPr>
        <w:t>23</w:t>
      </w:r>
      <w:r>
        <w:t>.</w:t>
      </w:r>
      <w:r>
        <w:tab/>
        <w:t>Persons to stay inside conveyance</w:t>
      </w:r>
      <w:bookmarkEnd w:id="58"/>
      <w:bookmarkEnd w:id="59"/>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a fine of $100.</w:t>
      </w:r>
    </w:p>
    <w:p>
      <w:pPr>
        <w:pStyle w:val="Penstart"/>
      </w:pPr>
      <w:r>
        <w:tab/>
        <w:t>Penalty: a fine of $500.</w:t>
      </w:r>
    </w:p>
    <w:p>
      <w:pPr>
        <w:pStyle w:val="Footnotesection"/>
      </w:pPr>
      <w:r>
        <w:tab/>
        <w:t>[Regulation 23 amended in Gazette 24 Jul 2009 p. 2956; 5 Nov 2013 p. 4954-5.]</w:t>
      </w:r>
    </w:p>
    <w:p>
      <w:pPr>
        <w:pStyle w:val="Heading2"/>
      </w:pPr>
      <w:bookmarkStart w:id="60" w:name="_Toc390418084"/>
      <w:bookmarkStart w:id="61" w:name="_Toc424741862"/>
      <w:bookmarkStart w:id="62" w:name="_Toc424741923"/>
      <w:r>
        <w:rPr>
          <w:rStyle w:val="CharPartNo"/>
        </w:rPr>
        <w:t>Part 4</w:t>
      </w:r>
      <w:r>
        <w:rPr>
          <w:rStyle w:val="CharDivNo"/>
        </w:rPr>
        <w:t> </w:t>
      </w:r>
      <w:r>
        <w:t>—</w:t>
      </w:r>
      <w:r>
        <w:rPr>
          <w:rStyle w:val="CharDivText"/>
        </w:rPr>
        <w:t> </w:t>
      </w:r>
      <w:r>
        <w:rPr>
          <w:rStyle w:val="CharPartText"/>
        </w:rPr>
        <w:t>Regulation of persons and vehicles on Authority property</w:t>
      </w:r>
      <w:bookmarkEnd w:id="60"/>
      <w:bookmarkEnd w:id="61"/>
      <w:bookmarkEnd w:id="62"/>
    </w:p>
    <w:p>
      <w:pPr>
        <w:pStyle w:val="Heading5"/>
        <w:spacing w:before="240"/>
      </w:pPr>
      <w:bookmarkStart w:id="63" w:name="_Toc390418085"/>
      <w:bookmarkStart w:id="64" w:name="_Toc424741924"/>
      <w:r>
        <w:rPr>
          <w:rStyle w:val="CharSectno"/>
        </w:rPr>
        <w:t>24</w:t>
      </w:r>
      <w:r>
        <w:t>.</w:t>
      </w:r>
      <w:r>
        <w:tab/>
        <w:t>Terms used in this Part</w:t>
      </w:r>
      <w:bookmarkEnd w:id="63"/>
      <w:bookmarkEnd w:id="64"/>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in Gazette 12 Dec 2003 p. 5040; 5 Nov 2013 p. 4951.]</w:t>
      </w:r>
    </w:p>
    <w:p>
      <w:pPr>
        <w:pStyle w:val="Heading5"/>
      </w:pPr>
      <w:bookmarkStart w:id="65" w:name="_Toc390418086"/>
      <w:bookmarkStart w:id="66" w:name="_Toc424741925"/>
      <w:r>
        <w:rPr>
          <w:rStyle w:val="CharSectno"/>
        </w:rPr>
        <w:t>24A</w:t>
      </w:r>
      <w:r>
        <w:t>.</w:t>
      </w:r>
      <w:r>
        <w:tab/>
        <w:t>Government railways parking stations</w:t>
      </w:r>
      <w:bookmarkEnd w:id="65"/>
      <w:bookmarkEnd w:id="66"/>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67" w:name="_Toc390418087"/>
      <w:bookmarkStart w:id="68" w:name="_Toc424741926"/>
      <w:r>
        <w:rPr>
          <w:rStyle w:val="CharSectno"/>
        </w:rPr>
        <w:t>25</w:t>
      </w:r>
      <w:r>
        <w:t>.</w:t>
      </w:r>
      <w:r>
        <w:tab/>
        <w:t>Regulation of persons and vehicles on Authority property</w:t>
      </w:r>
      <w:bookmarkEnd w:id="67"/>
      <w:bookmarkEnd w:id="68"/>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a fine of $50.</w:t>
      </w:r>
    </w:p>
    <w:p>
      <w:pPr>
        <w:pStyle w:val="Penstart"/>
      </w:pPr>
      <w:r>
        <w:tab/>
        <w:t>Penalty: a fine of $250.</w:t>
      </w:r>
    </w:p>
    <w:p>
      <w:pPr>
        <w:pStyle w:val="Footnotesection"/>
      </w:pPr>
      <w:r>
        <w:tab/>
        <w:t>[Regulation 25 amended in Gazette 5 Nov 2013 p. 4951-2 and 4954-5.]</w:t>
      </w:r>
    </w:p>
    <w:p>
      <w:pPr>
        <w:pStyle w:val="Heading5"/>
      </w:pPr>
      <w:bookmarkStart w:id="69" w:name="_Toc390418088"/>
      <w:bookmarkStart w:id="70" w:name="_Toc424741927"/>
      <w:r>
        <w:rPr>
          <w:rStyle w:val="CharSectno"/>
        </w:rPr>
        <w:t>26</w:t>
      </w:r>
      <w:r>
        <w:t>.</w:t>
      </w:r>
      <w:r>
        <w:tab/>
        <w:t>Obstruction</w:t>
      </w:r>
      <w:bookmarkEnd w:id="69"/>
      <w:bookmarkEnd w:id="70"/>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in Gazette 5 Nov 2013 p. 4954-5.]</w:t>
      </w:r>
    </w:p>
    <w:p>
      <w:pPr>
        <w:pStyle w:val="Heading5"/>
      </w:pPr>
      <w:bookmarkStart w:id="71" w:name="_Toc390418089"/>
      <w:bookmarkStart w:id="72" w:name="_Toc424741928"/>
      <w:r>
        <w:rPr>
          <w:rStyle w:val="CharSectno"/>
        </w:rPr>
        <w:t>27</w:t>
      </w:r>
      <w:r>
        <w:t>.</w:t>
      </w:r>
      <w:r>
        <w:tab/>
        <w:t>Direction not to park in area</w:t>
      </w:r>
      <w:bookmarkEnd w:id="71"/>
      <w:bookmarkEnd w:id="72"/>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in Gazette 5 Nov 2013 p. 4954-5.]</w:t>
      </w:r>
    </w:p>
    <w:p>
      <w:pPr>
        <w:pStyle w:val="Heading5"/>
      </w:pPr>
      <w:bookmarkStart w:id="73" w:name="_Toc390418090"/>
      <w:bookmarkStart w:id="74" w:name="_Toc424741929"/>
      <w:r>
        <w:rPr>
          <w:rStyle w:val="CharSectno"/>
        </w:rPr>
        <w:t>28</w:t>
      </w:r>
      <w:r>
        <w:t>.</w:t>
      </w:r>
      <w:r>
        <w:tab/>
        <w:t>Loading zone</w:t>
      </w:r>
      <w:bookmarkEnd w:id="73"/>
      <w:bookmarkEnd w:id="74"/>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a fine of $50.</w:t>
      </w:r>
    </w:p>
    <w:p>
      <w:pPr>
        <w:pStyle w:val="Penstart"/>
      </w:pPr>
      <w:r>
        <w:tab/>
        <w:t>Penalty: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in Gazette 12 Dec 2003 p. 5041; amended in Gazette 5 Nov 2013 p. 4954-5.]</w:t>
      </w:r>
    </w:p>
    <w:p>
      <w:pPr>
        <w:pStyle w:val="Heading5"/>
      </w:pPr>
      <w:bookmarkStart w:id="75" w:name="_Toc390418091"/>
      <w:bookmarkStart w:id="76" w:name="_Toc424741930"/>
      <w:r>
        <w:rPr>
          <w:rStyle w:val="CharSectno"/>
        </w:rPr>
        <w:t>29</w:t>
      </w:r>
      <w:r>
        <w:t>.</w:t>
      </w:r>
      <w:r>
        <w:tab/>
        <w:t>Designation of parking spaces for vehicles of persons with disability</w:t>
      </w:r>
      <w:bookmarkEnd w:id="75"/>
      <w:bookmarkEnd w:id="76"/>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in Gazette 5 Nov 2013 p. 4952.]</w:t>
      </w:r>
    </w:p>
    <w:p>
      <w:pPr>
        <w:pStyle w:val="Heading5"/>
        <w:spacing w:before="180"/>
        <w:rPr>
          <w:snapToGrid w:val="0"/>
        </w:rPr>
      </w:pPr>
      <w:bookmarkStart w:id="77" w:name="_Toc390418092"/>
      <w:bookmarkStart w:id="78" w:name="_Toc424741931"/>
      <w:r>
        <w:rPr>
          <w:rStyle w:val="CharSectno"/>
        </w:rPr>
        <w:t>30</w:t>
      </w:r>
      <w:r>
        <w:t>.</w:t>
      </w:r>
      <w:r>
        <w:tab/>
      </w:r>
      <w:r>
        <w:rPr>
          <w:snapToGrid w:val="0"/>
        </w:rPr>
        <w:t>Disabled parking</w:t>
      </w:r>
      <w:bookmarkEnd w:id="77"/>
      <w:bookmarkEnd w:id="78"/>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a fine of $50.</w:t>
      </w:r>
    </w:p>
    <w:p>
      <w:pPr>
        <w:pStyle w:val="Penstart"/>
      </w:pPr>
      <w:r>
        <w:tab/>
        <w:t>Penalty: a fine of $250.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a fine of $50.</w:t>
      </w:r>
    </w:p>
    <w:p>
      <w:pPr>
        <w:pStyle w:val="Penstart"/>
      </w:pPr>
      <w:r>
        <w:tab/>
        <w:t>Penalty: a fine of $250.</w:t>
      </w:r>
    </w:p>
    <w:p>
      <w:pPr>
        <w:pStyle w:val="Footnotesection"/>
      </w:pPr>
      <w:r>
        <w:tab/>
        <w:t>[Regulation 30 amended in Gazette 5 Nov 2013 p. 4952 and 4954-5.]</w:t>
      </w:r>
    </w:p>
    <w:p>
      <w:pPr>
        <w:pStyle w:val="Heading5"/>
        <w:spacing w:before="180"/>
      </w:pPr>
      <w:bookmarkStart w:id="79" w:name="_Toc390418093"/>
      <w:bookmarkStart w:id="80" w:name="_Toc424741932"/>
      <w:r>
        <w:rPr>
          <w:rStyle w:val="CharSectno"/>
        </w:rPr>
        <w:t>31</w:t>
      </w:r>
      <w:r>
        <w:t>.</w:t>
      </w:r>
      <w:r>
        <w:tab/>
      </w:r>
      <w:r>
        <w:rPr>
          <w:snapToGrid w:val="0"/>
        </w:rPr>
        <w:t>Vehicles</w:t>
      </w:r>
      <w:r>
        <w:t xml:space="preserve"> and parking</w:t>
      </w:r>
      <w:bookmarkEnd w:id="79"/>
      <w:bookmarkEnd w:id="80"/>
    </w:p>
    <w:p>
      <w:pPr>
        <w:pStyle w:val="Subsection"/>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in Gazette 5 Nov 2013 p. 4954-5.]</w:t>
      </w:r>
    </w:p>
    <w:p>
      <w:pPr>
        <w:pStyle w:val="Heading5"/>
      </w:pPr>
      <w:bookmarkStart w:id="81" w:name="_Toc390418094"/>
      <w:bookmarkStart w:id="82" w:name="_Toc424741933"/>
      <w:r>
        <w:rPr>
          <w:rStyle w:val="CharSectno"/>
        </w:rPr>
        <w:t>32</w:t>
      </w:r>
      <w:r>
        <w:t>.</w:t>
      </w:r>
      <w:r>
        <w:tab/>
        <w:t>Parking charges</w:t>
      </w:r>
      <w:bookmarkEnd w:id="81"/>
      <w:bookmarkEnd w:id="82"/>
    </w:p>
    <w:p>
      <w:pPr>
        <w:pStyle w:val="Subsection"/>
      </w:pPr>
      <w:r>
        <w:tab/>
        <w:t>(1)</w:t>
      </w:r>
      <w:r>
        <w:tab/>
        <w:t xml:space="preserve">If an area of Authority property is designated for parking subject to the payment of a charge set out in Schedule 1 item 1, a person must not park a vehicle in such an area at any time when the charge applies unless the charge for the relevant time — </w:t>
      </w:r>
    </w:p>
    <w:p>
      <w:pPr>
        <w:pStyle w:val="Indenta"/>
      </w:pPr>
      <w:r>
        <w:tab/>
        <w:t>(a)</w:t>
      </w:r>
      <w:r>
        <w:tab/>
        <w:t>has been paid into a ticket vending machine and, during the relevant time, a parking ticket issued from the ticket vending machine is displayed in accordance with subregulation (2); or</w:t>
      </w:r>
    </w:p>
    <w:p>
      <w:pPr>
        <w:pStyle w:val="Indenta"/>
      </w:pPr>
      <w:r>
        <w:tab/>
        <w:t>(b)</w:t>
      </w:r>
      <w:r>
        <w:tab/>
        <w:t>has been paid to the Authority in another manner approved by the Authority under subregulation (3).</w:t>
      </w:r>
    </w:p>
    <w:p>
      <w:pPr>
        <w:pStyle w:val="Penstart"/>
      </w:pPr>
      <w:r>
        <w:tab/>
        <w:t>Modified penalty: a fine of $50.</w:t>
      </w:r>
    </w:p>
    <w:p>
      <w:pPr>
        <w:pStyle w:val="Penstart"/>
      </w:pPr>
      <w:r>
        <w:tab/>
        <w:t>Penalty: a fine of $250.</w:t>
      </w:r>
    </w:p>
    <w:p>
      <w:pPr>
        <w:pStyle w:val="Subsection"/>
      </w:pPr>
      <w:r>
        <w:tab/>
        <w:t>(2)</w:t>
      </w:r>
      <w:r>
        <w:tab/>
        <w:t>The ticket must be displayed so that the date and an expiry time for permitted parking are clearly visible from outside the vehicle.</w:t>
      </w:r>
    </w:p>
    <w:p>
      <w:pPr>
        <w:pStyle w:val="Subsection"/>
      </w:pPr>
      <w:r>
        <w:tab/>
        <w:t>(3)</w:t>
      </w:r>
      <w:r>
        <w:tab/>
        <w:t xml:space="preserve">The Authority may approve an alternative manner of payment for the purposes of this regulation by notice published in the </w:t>
      </w:r>
      <w:r>
        <w:rPr>
          <w:i/>
        </w:rPr>
        <w:t>Gazette</w:t>
      </w:r>
      <w:r>
        <w:t>.</w:t>
      </w:r>
    </w:p>
    <w:p>
      <w:pPr>
        <w:pStyle w:val="Footnotesection"/>
      </w:pPr>
      <w:r>
        <w:tab/>
        <w:t>[Regulation 32 inserted in Gazette 5 Nov 2013 p. 4952-3.]</w:t>
      </w:r>
    </w:p>
    <w:p>
      <w:pPr>
        <w:pStyle w:val="Heading5"/>
      </w:pPr>
      <w:bookmarkStart w:id="83" w:name="_Toc390418095"/>
      <w:bookmarkStart w:id="84" w:name="_Toc424741934"/>
      <w:r>
        <w:rPr>
          <w:rStyle w:val="CharSectno"/>
        </w:rPr>
        <w:t>33</w:t>
      </w:r>
      <w:r>
        <w:t>.</w:t>
      </w:r>
      <w:r>
        <w:tab/>
        <w:t>Removing vehicle from secured parking facility</w:t>
      </w:r>
      <w:bookmarkEnd w:id="83"/>
      <w:bookmarkEnd w:id="84"/>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in Gazette 5 Nov 2013 p. 4953.]</w:t>
      </w:r>
    </w:p>
    <w:p>
      <w:pPr>
        <w:pStyle w:val="Heading2"/>
      </w:pPr>
      <w:bookmarkStart w:id="85" w:name="_Toc390418096"/>
      <w:bookmarkStart w:id="86" w:name="_Toc424741874"/>
      <w:bookmarkStart w:id="87" w:name="_Toc424741935"/>
      <w:r>
        <w:rPr>
          <w:rStyle w:val="CharPartNo"/>
        </w:rPr>
        <w:t>Part 4A</w:t>
      </w:r>
      <w:r>
        <w:rPr>
          <w:b w:val="0"/>
        </w:rPr>
        <w:t> </w:t>
      </w:r>
      <w:r>
        <w:t>—</w:t>
      </w:r>
      <w:r>
        <w:rPr>
          <w:b w:val="0"/>
        </w:rPr>
        <w:t> </w:t>
      </w:r>
      <w:r>
        <w:rPr>
          <w:rStyle w:val="CharPartText"/>
        </w:rPr>
        <w:t>Bicycles on passenger trains</w:t>
      </w:r>
      <w:bookmarkEnd w:id="85"/>
      <w:bookmarkEnd w:id="86"/>
      <w:bookmarkEnd w:id="87"/>
    </w:p>
    <w:p>
      <w:pPr>
        <w:pStyle w:val="Footnoteheading"/>
      </w:pPr>
      <w:r>
        <w:tab/>
        <w:t>[Heading inserted in Gazette 11 Feb 2005 p. 697.]</w:t>
      </w:r>
    </w:p>
    <w:p>
      <w:pPr>
        <w:pStyle w:val="Heading5"/>
        <w:spacing w:before="260"/>
      </w:pPr>
      <w:bookmarkStart w:id="88" w:name="_Toc390418097"/>
      <w:bookmarkStart w:id="89" w:name="_Toc424741936"/>
      <w:r>
        <w:rPr>
          <w:rStyle w:val="CharSectno"/>
        </w:rPr>
        <w:t>33A</w:t>
      </w:r>
      <w:r>
        <w:t>.</w:t>
      </w:r>
      <w:r>
        <w:tab/>
        <w:t>Terms used in this Part</w:t>
      </w:r>
      <w:bookmarkEnd w:id="88"/>
      <w:bookmarkEnd w:id="89"/>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in Gazette 11 Feb 2005 p. 697.]</w:t>
      </w:r>
    </w:p>
    <w:p>
      <w:pPr>
        <w:pStyle w:val="Heading5"/>
        <w:spacing w:before="260"/>
      </w:pPr>
      <w:bookmarkStart w:id="90" w:name="_Toc390418098"/>
      <w:bookmarkStart w:id="91" w:name="_Toc424741937"/>
      <w:r>
        <w:rPr>
          <w:rStyle w:val="CharSectno"/>
        </w:rPr>
        <w:t>33B</w:t>
      </w:r>
      <w:r>
        <w:t>.</w:t>
      </w:r>
      <w:r>
        <w:tab/>
        <w:t>Bikes on trains generally</w:t>
      </w:r>
      <w:bookmarkEnd w:id="90"/>
      <w:bookmarkEnd w:id="91"/>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spacing w:before="260"/>
      </w:pPr>
      <w:bookmarkStart w:id="92" w:name="_Toc390418099"/>
      <w:bookmarkStart w:id="93" w:name="_Toc424741938"/>
      <w:r>
        <w:rPr>
          <w:rStyle w:val="CharSectno"/>
        </w:rPr>
        <w:t>33C</w:t>
      </w:r>
      <w:r>
        <w:t>.</w:t>
      </w:r>
      <w:r>
        <w:tab/>
        <w:t>Bikes on trains in peak times</w:t>
      </w:r>
      <w:bookmarkEnd w:id="92"/>
      <w:bookmarkEnd w:id="93"/>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 a fine of $100.</w:t>
      </w:r>
    </w:p>
    <w:p>
      <w:pPr>
        <w:pStyle w:val="Penstart"/>
      </w:pPr>
      <w:r>
        <w:tab/>
        <w:t>Penalty: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a fine of $100.</w:t>
      </w:r>
    </w:p>
    <w:p>
      <w:pPr>
        <w:pStyle w:val="Penstart"/>
      </w:pPr>
      <w:r>
        <w:tab/>
        <w:t>Penalty: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 amended in Gazette 24 Jul 2009 p. 2956; 5 Nov 2013 p. 4954</w:t>
      </w:r>
      <w:r>
        <w:noBreakHyphen/>
        <w:t>5.]</w:t>
      </w:r>
    </w:p>
    <w:p>
      <w:pPr>
        <w:pStyle w:val="Heading5"/>
      </w:pPr>
      <w:bookmarkStart w:id="94" w:name="_Toc390418100"/>
      <w:bookmarkStart w:id="95" w:name="_Toc424741939"/>
      <w:r>
        <w:rPr>
          <w:rStyle w:val="CharSectno"/>
        </w:rPr>
        <w:t>33D</w:t>
      </w:r>
      <w:r>
        <w:t>.</w:t>
      </w:r>
      <w:r>
        <w:tab/>
        <w:t>Special events</w:t>
      </w:r>
      <w:bookmarkEnd w:id="94"/>
      <w:bookmarkEnd w:id="95"/>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a fine of $100.</w:t>
      </w:r>
    </w:p>
    <w:p>
      <w:pPr>
        <w:pStyle w:val="Penstart"/>
      </w:pPr>
      <w:r>
        <w:tab/>
        <w:t>Penalty: a fine of $2 000.</w:t>
      </w:r>
    </w:p>
    <w:p>
      <w:pPr>
        <w:pStyle w:val="Footnotesection"/>
      </w:pPr>
      <w:r>
        <w:tab/>
        <w:t>[Regulation 33D inserted in Gazette 11 Feb 2005 p. 698; amended in Gazette 24 Jul 2009 p. 2956; 5 Nov 2013 p. 4954</w:t>
      </w:r>
      <w:r>
        <w:noBreakHyphen/>
        <w:t>5.]</w:t>
      </w:r>
    </w:p>
    <w:p>
      <w:pPr>
        <w:pStyle w:val="Heading2"/>
      </w:pPr>
      <w:bookmarkStart w:id="96" w:name="_Toc390418101"/>
      <w:bookmarkStart w:id="97" w:name="_Toc424741879"/>
      <w:bookmarkStart w:id="98" w:name="_Toc424741940"/>
      <w:r>
        <w:rPr>
          <w:rStyle w:val="CharPartNo"/>
        </w:rPr>
        <w:t>Part 5</w:t>
      </w:r>
      <w:r>
        <w:rPr>
          <w:rStyle w:val="CharDivNo"/>
        </w:rPr>
        <w:t> </w:t>
      </w:r>
      <w:r>
        <w:t>—</w:t>
      </w:r>
      <w:r>
        <w:rPr>
          <w:rStyle w:val="CharDivText"/>
        </w:rPr>
        <w:t> </w:t>
      </w:r>
      <w:r>
        <w:rPr>
          <w:rStyle w:val="CharPartText"/>
        </w:rPr>
        <w:t>Miscellaneous</w:t>
      </w:r>
      <w:bookmarkEnd w:id="96"/>
      <w:bookmarkEnd w:id="97"/>
      <w:bookmarkEnd w:id="98"/>
    </w:p>
    <w:p>
      <w:pPr>
        <w:pStyle w:val="Heading5"/>
      </w:pPr>
      <w:bookmarkStart w:id="99" w:name="_Toc390418102"/>
      <w:bookmarkStart w:id="100" w:name="_Toc424741941"/>
      <w:r>
        <w:rPr>
          <w:rStyle w:val="CharSectno"/>
        </w:rPr>
        <w:t>34</w:t>
      </w:r>
      <w:r>
        <w:t>.</w:t>
      </w:r>
      <w:r>
        <w:tab/>
        <w:t>Secondary functions: section 12(3) of the Act</w:t>
      </w:r>
      <w:bookmarkEnd w:id="99"/>
      <w:bookmarkEnd w:id="100"/>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101" w:name="_Toc390418103"/>
      <w:bookmarkStart w:id="102" w:name="_Toc424741942"/>
      <w:r>
        <w:rPr>
          <w:rStyle w:val="CharSectno"/>
        </w:rPr>
        <w:t>35</w:t>
      </w:r>
      <w:r>
        <w:t>.</w:t>
      </w:r>
      <w:r>
        <w:tab/>
        <w:t>Criteria for Minister’s approval not being required under section 15 of the Act</w:t>
      </w:r>
      <w:bookmarkEnd w:id="101"/>
      <w:bookmarkEnd w:id="102"/>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103" w:name="_Toc390418104"/>
      <w:bookmarkStart w:id="104" w:name="_Toc424741943"/>
      <w:r>
        <w:rPr>
          <w:rStyle w:val="CharSectno"/>
        </w:rPr>
        <w:t>36</w:t>
      </w:r>
      <w:r>
        <w:t>.</w:t>
      </w:r>
      <w:r>
        <w:tab/>
        <w:t>Disposal of an estate in land other than Crown land without the Minister’s approval: section 16 of the Act</w:t>
      </w:r>
      <w:bookmarkEnd w:id="103"/>
      <w:bookmarkEnd w:id="104"/>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105" w:name="_Toc390418105"/>
      <w:bookmarkStart w:id="106" w:name="_Toc424741944"/>
      <w:r>
        <w:rPr>
          <w:rStyle w:val="CharSectno"/>
        </w:rPr>
        <w:t>37</w:t>
      </w:r>
      <w:r>
        <w:t>.</w:t>
      </w:r>
      <w:r>
        <w:tab/>
        <w:t>Crossings by traction engines and large vehicles</w:t>
      </w:r>
      <w:bookmarkEnd w:id="105"/>
      <w:bookmarkEnd w:id="106"/>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a fine of $400.</w:t>
      </w:r>
    </w:p>
    <w:p>
      <w:pPr>
        <w:pStyle w:val="Penstart"/>
      </w:pPr>
      <w:r>
        <w:tab/>
        <w:t>Penalty: a fine of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in Gazette 5 Nov 2013 p. 4954-5.]</w:t>
      </w:r>
    </w:p>
    <w:p>
      <w:pPr>
        <w:pStyle w:val="Heading5"/>
      </w:pPr>
      <w:bookmarkStart w:id="107" w:name="_Toc390418106"/>
      <w:bookmarkStart w:id="108" w:name="_Toc424741945"/>
      <w:r>
        <w:rPr>
          <w:rStyle w:val="CharSectno"/>
        </w:rPr>
        <w:t>38</w:t>
      </w:r>
      <w:r>
        <w:t>.</w:t>
      </w:r>
      <w:r>
        <w:tab/>
        <w:t>Sewage etc.</w:t>
      </w:r>
      <w:bookmarkEnd w:id="107"/>
      <w:bookmarkEnd w:id="108"/>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in Gazette 5 Nov 2013 p. 4954-5.]</w:t>
      </w:r>
    </w:p>
    <w:p>
      <w:pPr>
        <w:pStyle w:val="Heading5"/>
      </w:pPr>
      <w:bookmarkStart w:id="109" w:name="_Toc390418107"/>
      <w:bookmarkStart w:id="110" w:name="_Toc424741946"/>
      <w:r>
        <w:rPr>
          <w:rStyle w:val="CharSectno"/>
        </w:rPr>
        <w:t>39</w:t>
      </w:r>
      <w:r>
        <w:t>.</w:t>
      </w:r>
      <w:r>
        <w:tab/>
        <w:t>Animals</w:t>
      </w:r>
      <w:bookmarkEnd w:id="109"/>
      <w:bookmarkEnd w:id="110"/>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in Gazette 5 Nov 2013 p. 4954-5.]</w:t>
      </w:r>
    </w:p>
    <w:p>
      <w:pPr>
        <w:pStyle w:val="Heading5"/>
      </w:pPr>
      <w:bookmarkStart w:id="111" w:name="_Toc390418108"/>
      <w:bookmarkStart w:id="112" w:name="_Toc424741947"/>
      <w:r>
        <w:rPr>
          <w:rStyle w:val="CharSectno"/>
        </w:rPr>
        <w:t>40</w:t>
      </w:r>
      <w:r>
        <w:t>.</w:t>
      </w:r>
      <w:r>
        <w:tab/>
        <w:t>Obstructing an authorised person</w:t>
      </w:r>
      <w:bookmarkEnd w:id="111"/>
      <w:bookmarkEnd w:id="112"/>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a fine of $200.</w:t>
      </w:r>
    </w:p>
    <w:p>
      <w:pPr>
        <w:pStyle w:val="Penstart"/>
      </w:pPr>
      <w:r>
        <w:tab/>
        <w:t>Penalty: a fine of $1 000.</w:t>
      </w:r>
    </w:p>
    <w:p>
      <w:pPr>
        <w:pStyle w:val="Footnotesection"/>
      </w:pPr>
      <w:r>
        <w:tab/>
        <w:t>[Regulation 40 amended in Gazette 5 Nov 2013 p. 4954-5.]</w:t>
      </w:r>
    </w:p>
    <w:p>
      <w:pPr>
        <w:pStyle w:val="Heading5"/>
      </w:pPr>
      <w:bookmarkStart w:id="113" w:name="_Toc390418109"/>
      <w:bookmarkStart w:id="114" w:name="_Toc424741948"/>
      <w:r>
        <w:rPr>
          <w:rStyle w:val="CharSectno"/>
        </w:rPr>
        <w:t>41</w:t>
      </w:r>
      <w:r>
        <w:t>.</w:t>
      </w:r>
      <w:r>
        <w:tab/>
        <w:t>Refusal of passage</w:t>
      </w:r>
      <w:bookmarkEnd w:id="113"/>
      <w:bookmarkEnd w:id="114"/>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him or her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tab/>
        <w:t>(h)</w:t>
      </w:r>
      <w:r>
        <w:tab/>
        <w:t>is in such an unclean condition that he or she is likely to soil the conveyance; or</w:t>
      </w:r>
    </w:p>
    <w:p>
      <w:pPr>
        <w:pStyle w:val="Indenta"/>
      </w:pPr>
      <w:r>
        <w:tab/>
        <w:t>(i)</w:t>
      </w:r>
      <w:r>
        <w:tab/>
        <w:t>is abusive or disorderly; or</w:t>
      </w:r>
    </w:p>
    <w:p>
      <w:pPr>
        <w:pStyle w:val="Indenta"/>
      </w:pPr>
      <w:r>
        <w:tab/>
        <w:t>(j)</w:t>
      </w:r>
      <w:r>
        <w:tab/>
        <w:t>is under the influence of alcohol or drugs to such an extent that he or she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Footnotesection"/>
      </w:pPr>
      <w:r>
        <w:tab/>
        <w:t>[Regulation 41 amended in Gazette 13 Jun 2014 p. 1901.]</w:t>
      </w:r>
    </w:p>
    <w:p>
      <w:pPr>
        <w:pStyle w:val="Heading5"/>
      </w:pPr>
      <w:bookmarkStart w:id="115" w:name="_Toc390418110"/>
      <w:bookmarkStart w:id="116" w:name="_Toc424741949"/>
      <w:r>
        <w:rPr>
          <w:rStyle w:val="CharSectno"/>
        </w:rPr>
        <w:t>42</w:t>
      </w:r>
      <w:r>
        <w:t>.</w:t>
      </w:r>
      <w:r>
        <w:tab/>
        <w:t>Failure to comply with refusal of travel</w:t>
      </w:r>
      <w:bookmarkEnd w:id="115"/>
      <w:bookmarkEnd w:id="116"/>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in Gazette 5 Nov 2013 p. 4954-5.]</w:t>
      </w:r>
    </w:p>
    <w:p>
      <w:pPr>
        <w:pStyle w:val="Heading5"/>
      </w:pPr>
      <w:bookmarkStart w:id="117" w:name="_Toc390418111"/>
      <w:bookmarkStart w:id="118" w:name="_Toc424741950"/>
      <w:r>
        <w:rPr>
          <w:rStyle w:val="CharSectno"/>
        </w:rPr>
        <w:t>43</w:t>
      </w:r>
      <w:r>
        <w:t>.</w:t>
      </w:r>
      <w:r>
        <w:tab/>
        <w:t>Ejecting people from Authority property: section 65 of the Act</w:t>
      </w:r>
      <w:bookmarkEnd w:id="117"/>
      <w:bookmarkEnd w:id="118"/>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 29 Feb 2008 p. 699; 27 Mar 2009 p. 932.]</w:t>
      </w:r>
    </w:p>
    <w:p>
      <w:pPr>
        <w:pStyle w:val="Ednotesection"/>
      </w:pPr>
      <w:r>
        <w:t>[</w:t>
      </w:r>
      <w:r>
        <w:rPr>
          <w:b/>
          <w:bCs/>
        </w:rPr>
        <w:t>43A, 43B.</w:t>
      </w:r>
      <w:r>
        <w:rPr>
          <w:b/>
          <w:bCs/>
        </w:rPr>
        <w:tab/>
      </w:r>
      <w:r>
        <w:t>Deleted in Gazette 27 Mar 2009 p. 932.]</w:t>
      </w:r>
    </w:p>
    <w:p>
      <w:pPr>
        <w:pStyle w:val="Heading5"/>
      </w:pPr>
      <w:bookmarkStart w:id="119" w:name="_Toc390418112"/>
      <w:bookmarkStart w:id="120" w:name="_Toc424741951"/>
      <w:r>
        <w:rPr>
          <w:rStyle w:val="CharSectno"/>
        </w:rPr>
        <w:t>44</w:t>
      </w:r>
      <w:r>
        <w:t>.</w:t>
      </w:r>
      <w:r>
        <w:tab/>
        <w:t>Recording information printed on a ticket or retention of ticket</w:t>
      </w:r>
      <w:bookmarkEnd w:id="119"/>
      <w:bookmarkEnd w:id="120"/>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121" w:name="_Toc390418113"/>
      <w:bookmarkStart w:id="122" w:name="_Toc424741952"/>
      <w:r>
        <w:rPr>
          <w:rStyle w:val="CharSectno"/>
        </w:rPr>
        <w:t>45</w:t>
      </w:r>
      <w:r>
        <w:t>.</w:t>
      </w:r>
      <w:r>
        <w:tab/>
        <w:t>Infringement notice</w:t>
      </w:r>
      <w:bookmarkEnd w:id="121"/>
      <w:bookmarkEnd w:id="122"/>
    </w:p>
    <w:p>
      <w:pPr>
        <w:pStyle w:val="Subsection"/>
      </w:pPr>
      <w:r>
        <w:tab/>
      </w:r>
      <w:r>
        <w:tab/>
        <w:t>Schedule 2 Form 1 is prescribed, under section 45(1) of the Act, as the form of infringement notice.</w:t>
      </w:r>
    </w:p>
    <w:p>
      <w:pPr>
        <w:pStyle w:val="Heading5"/>
      </w:pPr>
      <w:bookmarkStart w:id="123" w:name="_Toc390418114"/>
      <w:bookmarkStart w:id="124" w:name="_Toc424741953"/>
      <w:r>
        <w:rPr>
          <w:rStyle w:val="CharSectno"/>
        </w:rPr>
        <w:t>46</w:t>
      </w:r>
      <w:r>
        <w:t>.</w:t>
      </w:r>
      <w:r>
        <w:tab/>
        <w:t>Withdrawal of infringement notice</w:t>
      </w:r>
      <w:bookmarkEnd w:id="123"/>
      <w:bookmarkEnd w:id="124"/>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5" w:name="_Toc390418115"/>
      <w:bookmarkStart w:id="126" w:name="_Toc424741893"/>
      <w:bookmarkStart w:id="127" w:name="_Toc424741954"/>
      <w:r>
        <w:rPr>
          <w:rStyle w:val="CharSchNo"/>
        </w:rPr>
        <w:t>Schedule 1</w:t>
      </w:r>
      <w:r>
        <w:t> — </w:t>
      </w:r>
      <w:r>
        <w:rPr>
          <w:rStyle w:val="CharSchText"/>
        </w:rPr>
        <w:t>Charges</w:t>
      </w:r>
      <w:bookmarkEnd w:id="125"/>
      <w:bookmarkEnd w:id="126"/>
      <w:bookmarkEnd w:id="127"/>
    </w:p>
    <w:p>
      <w:pPr>
        <w:pStyle w:val="yShoulderClause"/>
      </w:pPr>
      <w:r>
        <w:t>[r. 32, 33]</w:t>
      </w:r>
    </w:p>
    <w:p>
      <w:pPr>
        <w:pStyle w:val="yNumberedItem"/>
      </w:pPr>
      <w:r>
        <w:t>1.</w:t>
      </w:r>
      <w:r>
        <w:tab/>
        <w:t>The charge to be paid under regulation 32 on a day other than Saturday or Sunday for any period between 5 a.m. and 9 p.m. is $2.00 per day including GST.</w:t>
      </w:r>
    </w:p>
    <w:p>
      <w:pPr>
        <w:pStyle w:val="yNumberedItem"/>
      </w:pPr>
      <w:r>
        <w:t>2.</w:t>
      </w:r>
      <w:r>
        <w:tab/>
        <w:t>The charge to be paid under regulation 33(1) is $10.00 including GST.</w:t>
      </w:r>
    </w:p>
    <w:p>
      <w:pPr>
        <w:pStyle w:val="yFootnotesection"/>
      </w:pPr>
      <w:r>
        <w:tab/>
        <w:t>[Schedule 1 amended in Gazette 26 Jun 2007 p. 3059; 5 Nov 2013 p. 4953.]</w:t>
      </w:r>
    </w:p>
    <w:p>
      <w:pPr>
        <w:pStyle w:val="yScheduleHeading"/>
        <w:keepNext w:val="0"/>
      </w:pPr>
      <w:bookmarkStart w:id="128" w:name="_Toc390418116"/>
      <w:bookmarkStart w:id="129" w:name="_Toc424741894"/>
      <w:bookmarkStart w:id="130" w:name="_Toc424741955"/>
      <w:r>
        <w:rPr>
          <w:rStyle w:val="CharSchNo"/>
        </w:rPr>
        <w:t>Schedule 2</w:t>
      </w:r>
      <w:r>
        <w:t> — </w:t>
      </w:r>
      <w:r>
        <w:rPr>
          <w:rStyle w:val="CharSchText"/>
        </w:rPr>
        <w:t>Forms</w:t>
      </w:r>
      <w:bookmarkEnd w:id="128"/>
      <w:bookmarkEnd w:id="129"/>
      <w:bookmarkEnd w:id="130"/>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80" w:type="dxa"/>
        <w:tblLayout w:type="fixed"/>
        <w:tblLook w:val="0000" w:firstRow="0" w:lastRow="0" w:firstColumn="0" w:lastColumn="0" w:noHBand="0" w:noVBand="0"/>
      </w:tblPr>
      <w:tblGrid>
        <w:gridCol w:w="595"/>
        <w:gridCol w:w="426"/>
        <w:gridCol w:w="1275"/>
        <w:gridCol w:w="3686"/>
        <w:gridCol w:w="1134"/>
      </w:tblGrid>
      <w:tr>
        <w:trPr>
          <w:cantSplit/>
        </w:trPr>
        <w:tc>
          <w:tcPr>
            <w:tcW w:w="7116" w:type="dxa"/>
            <w:gridSpan w:val="5"/>
          </w:tcPr>
          <w:p>
            <w:pPr>
              <w:pStyle w:val="yTable"/>
              <w:jc w:val="right"/>
            </w:pPr>
            <w:r>
              <w:t>Serial No.            </w:t>
            </w:r>
          </w:p>
        </w:tc>
      </w:tr>
      <w:tr>
        <w:trPr>
          <w:cantSplit/>
        </w:trPr>
        <w:tc>
          <w:tcPr>
            <w:tcW w:w="595"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95"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116"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1021"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567"/>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709"/>
        </w:tabs>
        <w:spacing w:before="260"/>
        <w:ind w:left="567" w:hanging="567"/>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709"/>
        </w:tabs>
        <w:spacing w:before="260"/>
        <w:ind w:left="567" w:hanging="567"/>
      </w:pPr>
      <w:r>
        <w:t>5.</w:t>
      </w:r>
      <w:r>
        <w:tab/>
        <w:t>Please see the reverse side of this form for payment options.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rPr>
          <w:sz w:val="18"/>
          <w:szCs w:val="18"/>
        </w:rPr>
      </w:pPr>
      <w:r>
        <w:rPr>
          <w:sz w:val="18"/>
          <w:szCs w:val="18"/>
        </w:rPr>
        <w:t>Alternatively, the modified penalty may be paid personally by presenting this notice and the payment amount to the following offices:</w:t>
      </w:r>
      <w:r>
        <w:rPr>
          <w:sz w:val="18"/>
          <w:szCs w:val="18"/>
        </w:rPr>
        <w:br/>
      </w:r>
    </w:p>
    <w:tbl>
      <w:tblPr>
        <w:tblStyle w:val="TableGrid"/>
        <w:tblW w:w="0" w:type="auto"/>
        <w:tblInd w:w="108" w:type="dxa"/>
        <w:tblLook w:val="04A0" w:firstRow="1" w:lastRow="0" w:firstColumn="1" w:lastColumn="0" w:noHBand="0" w:noVBand="1"/>
      </w:tblPr>
      <w:tblGrid>
        <w:gridCol w:w="1985"/>
        <w:gridCol w:w="1701"/>
        <w:gridCol w:w="3260"/>
      </w:tblGrid>
      <w:tr>
        <w:trPr>
          <w:tblHeader/>
        </w:trPr>
        <w:tc>
          <w:tcPr>
            <w:tcW w:w="1985" w:type="dxa"/>
          </w:tcPr>
          <w:p>
            <w:pPr>
              <w:pStyle w:val="yTableNAm"/>
              <w:jc w:val="center"/>
            </w:pPr>
            <w:r>
              <w:rPr>
                <w:b/>
                <w:sz w:val="16"/>
                <w:szCs w:val="16"/>
              </w:rPr>
              <w:t>Info Centre / Booking Office</w:t>
            </w:r>
          </w:p>
        </w:tc>
        <w:tc>
          <w:tcPr>
            <w:tcW w:w="1701"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1985" w:type="dxa"/>
          </w:tcPr>
          <w:p>
            <w:pPr>
              <w:pStyle w:val="yTableNAm"/>
            </w:pPr>
            <w:r>
              <w:rPr>
                <w:sz w:val="16"/>
                <w:szCs w:val="16"/>
              </w:rPr>
              <w:t>Perth Station</w:t>
            </w:r>
          </w:p>
        </w:tc>
        <w:tc>
          <w:tcPr>
            <w:tcW w:w="1701"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Saturday: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Sunday:</w:t>
            </w:r>
            <w:r>
              <w:rPr>
                <w:sz w:val="16"/>
                <w:szCs w:val="16"/>
              </w:rPr>
              <w:t xml:space="preserve"> 8.30 a.m. </w:t>
            </w:r>
            <w:r>
              <w:rPr>
                <w:sz w:val="16"/>
                <w:szCs w:val="16"/>
              </w:rPr>
              <w:noBreakHyphen/>
              <w:t xml:space="preserve"> 6.00 p.m.</w:t>
            </w:r>
          </w:p>
          <w:p>
            <w:pPr>
              <w:pStyle w:val="yTableNAm"/>
              <w:spacing w:before="0"/>
              <w:rPr>
                <w:sz w:val="16"/>
                <w:szCs w:val="16"/>
              </w:rPr>
            </w:pPr>
            <w:r>
              <w:rPr>
                <w:b/>
                <w:sz w:val="16"/>
                <w:szCs w:val="16"/>
              </w:rPr>
              <w:t>Public Holidays:</w:t>
            </w:r>
            <w:r>
              <w:rPr>
                <w:sz w:val="16"/>
                <w:szCs w:val="16"/>
              </w:rPr>
              <w:t xml:space="preserve"> 8.30 a.m. </w:t>
            </w:r>
            <w:r>
              <w:rPr>
                <w:sz w:val="16"/>
                <w:szCs w:val="16"/>
              </w:rPr>
              <w:noBreakHyphen/>
              <w:t xml:space="preserve"> 6.00 p.m.</w:t>
            </w:r>
          </w:p>
        </w:tc>
      </w:tr>
      <w:tr>
        <w:tc>
          <w:tcPr>
            <w:tcW w:w="1985" w:type="dxa"/>
          </w:tcPr>
          <w:p>
            <w:pPr>
              <w:pStyle w:val="yTableNAm"/>
            </w:pPr>
            <w:r>
              <w:rPr>
                <w:sz w:val="16"/>
                <w:szCs w:val="16"/>
              </w:rPr>
              <w:t>Perth Underground Station</w:t>
            </w:r>
          </w:p>
        </w:tc>
        <w:tc>
          <w:tcPr>
            <w:tcW w:w="1701"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9.00 a.m. </w:t>
            </w:r>
            <w:r>
              <w:rPr>
                <w:sz w:val="16"/>
                <w:szCs w:val="16"/>
              </w:rPr>
              <w:noBreakHyphen/>
              <w:t xml:space="preserve"> 5.00 p.m.</w:t>
            </w:r>
          </w:p>
          <w:p>
            <w:pPr>
              <w:pStyle w:val="yTableNAm"/>
              <w:spacing w:before="0"/>
              <w:rPr>
                <w:sz w:val="16"/>
                <w:szCs w:val="16"/>
              </w:rPr>
            </w:pPr>
            <w:r>
              <w:rPr>
                <w:b/>
                <w:sz w:val="16"/>
                <w:szCs w:val="16"/>
              </w:rPr>
              <w:t>Sunday:</w:t>
            </w:r>
            <w:r>
              <w:rPr>
                <w:sz w:val="16"/>
                <w:szCs w:val="16"/>
              </w:rPr>
              <w:t xml:space="preserve"> 11.00 a.m. </w:t>
            </w:r>
            <w:r>
              <w:rPr>
                <w:sz w:val="16"/>
                <w:szCs w:val="16"/>
              </w:rPr>
              <w:noBreakHyphen/>
              <w:t xml:space="preserve"> 3.00 p.m.</w:t>
            </w:r>
          </w:p>
          <w:p>
            <w:pPr>
              <w:pStyle w:val="yTableNAm"/>
              <w:spacing w:before="0"/>
              <w:rPr>
                <w:sz w:val="16"/>
                <w:szCs w:val="16"/>
              </w:rPr>
            </w:pPr>
            <w:r>
              <w:rPr>
                <w:b/>
                <w:sz w:val="16"/>
                <w:szCs w:val="16"/>
              </w:rPr>
              <w:t>Public Holidays:</w:t>
            </w:r>
            <w:r>
              <w:rPr>
                <w:sz w:val="16"/>
                <w:szCs w:val="16"/>
              </w:rPr>
              <w:t xml:space="preserve"> 11.00 a.m. </w:t>
            </w:r>
            <w:r>
              <w:rPr>
                <w:sz w:val="16"/>
                <w:szCs w:val="16"/>
              </w:rPr>
              <w:noBreakHyphen/>
              <w:t xml:space="preserve"> 3.00 p.m.</w:t>
            </w:r>
          </w:p>
          <w:p>
            <w:pPr>
              <w:pStyle w:val="yTableNAm"/>
              <w:spacing w:before="0"/>
              <w:rPr>
                <w:sz w:val="16"/>
                <w:szCs w:val="16"/>
              </w:rPr>
            </w:pPr>
            <w:r>
              <w:rPr>
                <w:sz w:val="16"/>
                <w:szCs w:val="16"/>
              </w:rPr>
              <w:t>(excluding Christmas Day and Boxing Day)</w:t>
            </w:r>
          </w:p>
        </w:tc>
      </w:tr>
      <w:tr>
        <w:tc>
          <w:tcPr>
            <w:tcW w:w="1985" w:type="dxa"/>
          </w:tcPr>
          <w:p>
            <w:pPr>
              <w:pStyle w:val="yTableNAm"/>
            </w:pPr>
            <w:r>
              <w:rPr>
                <w:sz w:val="16"/>
                <w:szCs w:val="16"/>
              </w:rPr>
              <w:t>Esplanade Busport</w:t>
            </w:r>
          </w:p>
        </w:tc>
        <w:tc>
          <w:tcPr>
            <w:tcW w:w="1701"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10.00 a.m. </w:t>
            </w:r>
            <w:r>
              <w:rPr>
                <w:sz w:val="16"/>
                <w:szCs w:val="16"/>
              </w:rPr>
              <w:noBreakHyphen/>
              <w:t xml:space="preserve"> 2.00 p.m.</w:t>
            </w:r>
          </w:p>
          <w:p>
            <w:pPr>
              <w:pStyle w:val="yTableNAm"/>
              <w:spacing w:before="0"/>
              <w:rPr>
                <w:sz w:val="16"/>
                <w:szCs w:val="16"/>
              </w:rPr>
            </w:pPr>
            <w:r>
              <w:rPr>
                <w:b/>
                <w:sz w:val="16"/>
                <w:szCs w:val="16"/>
              </w:rPr>
              <w:t>Sunday:</w:t>
            </w:r>
            <w:r>
              <w:rPr>
                <w:sz w:val="16"/>
                <w:szCs w:val="16"/>
              </w:rPr>
              <w:t xml:space="preserve"> 12.00 p.m. </w:t>
            </w:r>
            <w:r>
              <w:rPr>
                <w:sz w:val="16"/>
                <w:szCs w:val="16"/>
              </w:rPr>
              <w:noBreakHyphen/>
              <w:t xml:space="preserve"> 4.00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Wellington Street Bus Station</w:t>
            </w:r>
          </w:p>
        </w:tc>
        <w:tc>
          <w:tcPr>
            <w:tcW w:w="1701"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8.00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w:t>
            </w:r>
            <w:r>
              <w:rPr>
                <w:sz w:val="16"/>
                <w:szCs w:val="16"/>
              </w:rPr>
              <w:t xml:space="preserve"> Closed</w:t>
            </w:r>
          </w:p>
        </w:tc>
      </w:tr>
      <w:tr>
        <w:tc>
          <w:tcPr>
            <w:tcW w:w="1985" w:type="dxa"/>
          </w:tcPr>
          <w:p>
            <w:pPr>
              <w:pStyle w:val="yTableNAm"/>
            </w:pPr>
            <w:r>
              <w:rPr>
                <w:sz w:val="16"/>
                <w:szCs w:val="16"/>
              </w:rPr>
              <w:t>Public Transport Centre</w:t>
            </w:r>
          </w:p>
        </w:tc>
        <w:tc>
          <w:tcPr>
            <w:tcW w:w="1701"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w:t>
            </w:r>
            <w:r>
              <w:rPr>
                <w:sz w:val="16"/>
                <w:szCs w:val="16"/>
              </w:rPr>
              <w:noBreakHyphen/>
              <w:t xml:space="preserve"> 5.00 p.m.</w:t>
            </w:r>
          </w:p>
          <w:p>
            <w:pPr>
              <w:pStyle w:val="yTableNAm"/>
              <w:spacing w:before="0"/>
              <w:rPr>
                <w:sz w:val="16"/>
                <w:szCs w:val="16"/>
              </w:rPr>
            </w:pPr>
            <w:r>
              <w:rPr>
                <w:b/>
                <w:sz w:val="16"/>
                <w:szCs w:val="16"/>
              </w:rPr>
              <w:t>Friday:</w:t>
            </w:r>
            <w:r>
              <w:rPr>
                <w:sz w:val="16"/>
                <w:szCs w:val="16"/>
              </w:rPr>
              <w:t xml:space="preserve"> 6.30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6.30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7.30 a.m. </w:t>
            </w:r>
            <w:r>
              <w:rPr>
                <w:sz w:val="16"/>
                <w:szCs w:val="16"/>
              </w:rPr>
              <w:noBreakHyphen/>
              <w:t xml:space="preserve"> 3.30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Armadale Booking Office</w:t>
            </w:r>
          </w:p>
        </w:tc>
        <w:tc>
          <w:tcPr>
            <w:tcW w:w="1701"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Midland Booking Office</w:t>
            </w:r>
          </w:p>
        </w:tc>
        <w:tc>
          <w:tcPr>
            <w:tcW w:w="1701" w:type="dxa"/>
          </w:tcPr>
          <w:p>
            <w:pPr>
              <w:pStyle w:val="yTableNAm"/>
            </w:pPr>
            <w:r>
              <w:rPr>
                <w:sz w:val="16"/>
                <w:szCs w:val="16"/>
              </w:rPr>
              <w:t>Midland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keepNext/>
            </w:pPr>
            <w:r>
              <w:rPr>
                <w:sz w:val="16"/>
                <w:szCs w:val="16"/>
              </w:rPr>
              <w:t>Transit Admin Office</w:t>
            </w:r>
          </w:p>
        </w:tc>
        <w:tc>
          <w:tcPr>
            <w:tcW w:w="1701" w:type="dxa"/>
          </w:tcPr>
          <w:p>
            <w:pPr>
              <w:pStyle w:val="yTableNAm"/>
              <w:keepNext/>
            </w:pPr>
            <w:r>
              <w:rPr>
                <w:sz w:val="16"/>
                <w:szCs w:val="16"/>
              </w:rPr>
              <w:t>Perth Railway Station</w:t>
            </w:r>
          </w:p>
        </w:tc>
        <w:tc>
          <w:tcPr>
            <w:tcW w:w="3260" w:type="dxa"/>
          </w:tcPr>
          <w:p>
            <w:pPr>
              <w:pStyle w:val="yTableNAm"/>
              <w:keepNext/>
              <w:rPr>
                <w:sz w:val="16"/>
                <w:szCs w:val="16"/>
              </w:rPr>
            </w:pPr>
            <w:r>
              <w:rPr>
                <w:b/>
                <w:sz w:val="16"/>
                <w:szCs w:val="16"/>
              </w:rPr>
              <w:t>Monday — Friday:</w:t>
            </w:r>
            <w:r>
              <w:rPr>
                <w:sz w:val="16"/>
                <w:szCs w:val="16"/>
              </w:rPr>
              <w:t xml:space="preserve"> 8.30 a.m. </w:t>
            </w:r>
            <w:r>
              <w:rPr>
                <w:sz w:val="16"/>
                <w:szCs w:val="16"/>
              </w:rPr>
              <w:noBreakHyphen/>
              <w:t xml:space="preserve"> 4.30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bl>
    <w:p>
      <w:pPr>
        <w:pStyle w:val="yMiscellaneousBody"/>
        <w:rPr>
          <w:sz w:val="18"/>
          <w:szCs w:val="18"/>
        </w:rPr>
      </w:pPr>
      <w:r>
        <w:rPr>
          <w:sz w:val="18"/>
          <w:szCs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r>
        <w:rPr>
          <w:sz w:val="18"/>
          <w:szCs w:val="18"/>
        </w:rPr>
        <w:t>.</w:t>
      </w:r>
    </w:p>
    <w:p>
      <w:pPr>
        <w:pStyle w:val="yFootnotesection"/>
      </w:pPr>
      <w:r>
        <w:tab/>
        <w:t>[Form 1 amended in Gazette 5 Nov 2013 p. 4953-4; 13 Jun 2014 p. 1902.]</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32" w:name="_Toc390418117"/>
      <w:bookmarkStart w:id="133" w:name="_Toc424741895"/>
      <w:bookmarkStart w:id="134" w:name="_Toc424741956"/>
      <w:r>
        <w:t>Notes</w:t>
      </w:r>
      <w:bookmarkEnd w:id="132"/>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135" w:name="_Toc390418118"/>
      <w:bookmarkStart w:id="136" w:name="_Toc424741957"/>
      <w:r>
        <w:t>Compilation table</w:t>
      </w:r>
      <w:bookmarkEnd w:id="135"/>
      <w:bookmarkEnd w:id="1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c>
          <w:tcPr>
            <w:tcW w:w="3119" w:type="dxa"/>
            <w:tcBorders>
              <w:bottom w:val="single" w:sz="4" w:space="0" w:color="auto"/>
            </w:tcBorders>
          </w:tcPr>
          <w:p>
            <w:pPr>
              <w:pStyle w:val="nTable"/>
              <w:keepNext/>
              <w:spacing w:after="40"/>
              <w:rPr>
                <w:i/>
              </w:rPr>
            </w:pPr>
            <w:r>
              <w:rPr>
                <w:i/>
              </w:rPr>
              <w:t>Public Transport Authority Amendment Regulations 2014</w:t>
            </w:r>
          </w:p>
        </w:tc>
        <w:tc>
          <w:tcPr>
            <w:tcW w:w="1276" w:type="dxa"/>
            <w:tcBorders>
              <w:bottom w:val="single" w:sz="4" w:space="0" w:color="auto"/>
            </w:tcBorders>
          </w:tcPr>
          <w:p>
            <w:pPr>
              <w:pStyle w:val="nTable"/>
              <w:keepNext/>
              <w:spacing w:after="40"/>
            </w:pPr>
            <w:r>
              <w:t>13 Jun 2014 p. 1901</w:t>
            </w:r>
            <w:r>
              <w:noBreakHyphen/>
              <w:t>2</w:t>
            </w:r>
          </w:p>
        </w:tc>
        <w:tc>
          <w:tcPr>
            <w:tcW w:w="2693" w:type="dxa"/>
            <w:tcBorders>
              <w:bottom w:val="single" w:sz="4" w:space="0" w:color="auto"/>
            </w:tcBorders>
          </w:tcPr>
          <w:p>
            <w:pPr>
              <w:pStyle w:val="nTable"/>
              <w:keepNext/>
              <w:spacing w:after="40"/>
              <w:rPr>
                <w:snapToGrid w:val="0"/>
              </w:rPr>
            </w:pPr>
            <w:r>
              <w:rPr>
                <w:rFonts w:ascii="Times" w:hAnsi="Times"/>
                <w:bCs/>
                <w:snapToGrid w:val="0"/>
                <w:spacing w:val="-2"/>
              </w:rPr>
              <w:t>r. 1 and 2: 13 Jun 2014 (see r. 2(a));</w:t>
            </w:r>
            <w:r>
              <w:rPr>
                <w:rFonts w:ascii="Times" w:hAnsi="Times"/>
                <w:bCs/>
                <w:snapToGrid w:val="0"/>
                <w:spacing w:val="-2"/>
              </w:rPr>
              <w:br/>
              <w:t>Regulations other than r. 1 and 2: 14 Jun 2014 (see r. 2(b))</w:t>
            </w:r>
          </w:p>
        </w:tc>
      </w:tr>
    </w:tbl>
    <w:p>
      <w:pPr>
        <w:pStyle w:val="nSubsection"/>
      </w:pPr>
      <w:r>
        <w:rPr>
          <w:vertAlign w:val="superscript"/>
        </w:rPr>
        <w:t>2</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38" w:name="_Toc424741958"/>
      <w:r>
        <w:rPr>
          <w:sz w:val="28"/>
        </w:rPr>
        <w:t>Defined terms</w:t>
      </w:r>
      <w:bookmarkEnd w:id="1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permit</w:t>
      </w:r>
      <w:r>
        <w:tab/>
        <w:t>24</w:t>
      </w:r>
    </w:p>
    <w:p>
      <w:pPr>
        <w:pStyle w:val="DefinedTerms"/>
      </w:pPr>
      <w:r>
        <w:t>Act</w:t>
      </w:r>
      <w:r>
        <w:tab/>
        <w:t>3</w:t>
      </w:r>
    </w:p>
    <w:p>
      <w:pPr>
        <w:pStyle w:val="DefinedTerms"/>
      </w:pPr>
      <w:r>
        <w:t>conveyance</w:t>
      </w:r>
      <w:r>
        <w:tab/>
        <w:t>3</w:t>
      </w:r>
    </w:p>
    <w:p>
      <w:pPr>
        <w:pStyle w:val="DefinedTerms"/>
      </w:pPr>
      <w:r>
        <w:t>counter flow direction</w:t>
      </w:r>
      <w:r>
        <w:tab/>
        <w:t>33A</w:t>
      </w:r>
    </w:p>
    <w:p>
      <w:pPr>
        <w:pStyle w:val="DefinedTerms"/>
      </w:pPr>
      <w:r>
        <w:t>designated</w:t>
      </w:r>
      <w:r>
        <w:tab/>
        <w:t>3</w:t>
      </w:r>
    </w:p>
    <w:p>
      <w:pPr>
        <w:pStyle w:val="DefinedTerms"/>
      </w:pPr>
      <w:r>
        <w:t>driver</w:t>
      </w:r>
      <w:r>
        <w:tab/>
        <w:t>3, 24</w:t>
      </w:r>
    </w:p>
    <w:p>
      <w:pPr>
        <w:pStyle w:val="DefinedTerms"/>
      </w:pPr>
      <w:r>
        <w:t>facility</w:t>
      </w:r>
      <w:r>
        <w:tab/>
        <w:t>3</w:t>
      </w:r>
    </w:p>
    <w:p>
      <w:pPr>
        <w:pStyle w:val="DefinedTerms"/>
      </w:pPr>
      <w:r>
        <w:t>goods</w:t>
      </w:r>
      <w:r>
        <w:tab/>
        <w:t>28(2)</w:t>
      </w:r>
    </w:p>
    <w:p>
      <w:pPr>
        <w:pStyle w:val="DefinedTerms"/>
      </w:pPr>
      <w:r>
        <w:t>master</w:t>
      </w:r>
      <w:r>
        <w:tab/>
        <w:t>3</w:t>
      </w:r>
    </w:p>
    <w:p>
      <w:pPr>
        <w:pStyle w:val="DefinedTerms"/>
      </w:pPr>
      <w:r>
        <w:t>park</w:t>
      </w:r>
      <w:r>
        <w:tab/>
        <w:t>24</w:t>
      </w:r>
    </w:p>
    <w:p>
      <w:pPr>
        <w:pStyle w:val="DefinedTerms"/>
      </w:pPr>
      <w:r>
        <w:t>parking</w:t>
      </w:r>
      <w:r>
        <w:tab/>
        <w:t>24</w:t>
      </w:r>
    </w:p>
    <w:p>
      <w:pPr>
        <w:pStyle w:val="DefinedTerms"/>
      </w:pPr>
      <w:r>
        <w:t>parking space</w:t>
      </w:r>
      <w:r>
        <w:tab/>
        <w:t>24</w:t>
      </w:r>
    </w:p>
    <w:p>
      <w:pPr>
        <w:pStyle w:val="DefinedTerms"/>
      </w:pPr>
      <w:r>
        <w:t>peak flow direction</w:t>
      </w:r>
      <w:r>
        <w:tab/>
        <w:t>33A</w:t>
      </w:r>
    </w:p>
    <w:p>
      <w:pPr>
        <w:pStyle w:val="DefinedTerms"/>
      </w:pPr>
      <w:r>
        <w:t>peak time</w:t>
      </w:r>
      <w:r>
        <w:tab/>
        <w:t>33A</w:t>
      </w:r>
    </w:p>
    <w:p>
      <w:pPr>
        <w:pStyle w:val="DefinedTerms"/>
      </w:pPr>
      <w:r>
        <w:t>secured parking facility</w:t>
      </w:r>
      <w:r>
        <w:tab/>
        <w:t>24</w:t>
      </w:r>
    </w:p>
    <w:p>
      <w:pPr>
        <w:pStyle w:val="DefinedTerms"/>
      </w:pPr>
      <w:r>
        <w:t>sign</w:t>
      </w:r>
      <w:r>
        <w:tab/>
        <w:t>3</w:t>
      </w:r>
    </w:p>
    <w:p>
      <w:pPr>
        <w:pStyle w:val="DefinedTerms"/>
      </w:pPr>
      <w:r>
        <w:t>stand</w:t>
      </w:r>
      <w:r>
        <w:tab/>
        <w:t>24</w:t>
      </w:r>
    </w:p>
    <w:p>
      <w:pPr>
        <w:pStyle w:val="DefinedTerms"/>
      </w:pPr>
      <w:r>
        <w:t>standing</w:t>
      </w:r>
      <w:r>
        <w:tab/>
        <w:t>24</w:t>
      </w:r>
    </w:p>
    <w:p>
      <w:pPr>
        <w:pStyle w:val="DefinedTerms"/>
      </w:pPr>
      <w:r>
        <w:t>ticket</w:t>
      </w:r>
      <w:r>
        <w:tab/>
        <w:t>3</w:t>
      </w:r>
    </w:p>
    <w:p>
      <w:pPr>
        <w:pStyle w:val="DefinedTerms"/>
      </w:pPr>
      <w:r>
        <w:t>ticket vending machine</w:t>
      </w:r>
      <w:r>
        <w:tab/>
        <w:t>24</w:t>
      </w:r>
    </w:p>
    <w:p>
      <w:pPr>
        <w:pStyle w:val="DefinedTerms"/>
      </w:pPr>
      <w:r>
        <w:t>working day</w:t>
      </w:r>
      <w:r>
        <w:tab/>
        <w:t>33A</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31" w:name="Schedule"/>
    <w:bookmarkEnd w:id="1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9" w:name="DefinedTerms"/>
    <w:bookmarkEnd w:id="1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 w:name="Coversheet"/>
    <w:bookmarkEnd w:id="1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17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4539"/>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FC38C-E634-4F07-B87E-07215534A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7812</Words>
  <Characters>37972</Characters>
  <Application>Microsoft Office Word</Application>
  <DocSecurity>0</DocSecurity>
  <Lines>1150</Lines>
  <Paragraphs>817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44967</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2003 - 01-e0-02</dc:title>
  <dc:subject/>
  <dc:creator/>
  <cp:keywords/>
  <dc:description/>
  <cp:lastModifiedBy>svcMRProcess</cp:lastModifiedBy>
  <cp:revision>4</cp:revision>
  <cp:lastPrinted>2008-06-17T04:08:00Z</cp:lastPrinted>
  <dcterms:created xsi:type="dcterms:W3CDTF">2015-11-26T04:09:00Z</dcterms:created>
  <dcterms:modified xsi:type="dcterms:W3CDTF">2015-11-26T04:09:00Z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20140614</vt:lpwstr>
  </property>
  <property fmtid="{D5CDD505-2E9C-101B-9397-08002B2CF9AE}" pid="4" name="OwlsUID">
    <vt:i4>33768</vt:i4>
  </property>
  <property fmtid="{D5CDD505-2E9C-101B-9397-08002B2CF9AE}" pid="5" name="ReprintNo">
    <vt:lpwstr>1</vt:lpwstr>
  </property>
  <property fmtid="{D5CDD505-2E9C-101B-9397-08002B2CF9AE}" pid="6" name="DocumentType">
    <vt:lpwstr>Reg</vt:lpwstr>
  </property>
  <property fmtid="{D5CDD505-2E9C-101B-9397-08002B2CF9AE}" pid="7" name="AsAtDate">
    <vt:lpwstr>14 Jun 2014</vt:lpwstr>
  </property>
  <property fmtid="{D5CDD505-2E9C-101B-9397-08002B2CF9AE}" pid="8" name="Suffix">
    <vt:lpwstr>01-e0-02</vt:lpwstr>
  </property>
</Properties>
</file>