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Hospitals and Health Services Act 1927</w:t>
      </w:r>
    </w:p>
    <w:p>
      <w:pPr>
        <w:pStyle w:val="NameofActRegPage1"/>
        <w:spacing w:before="1960" w:after="4200"/>
        <w:ind w:left="1021" w:right="1021"/>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Royal Perth Hospital By-laws 2009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_Toc390432450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_Toc390432451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_Toc390432452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_Toc390432454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_Toc390432455 \h </w:instrText>
      </w:r>
      <w:r>
        <w:fldChar w:fldCharType="separate"/>
      </w:r>
      <w:r>
        <w:t>3</w:t>
      </w:r>
      <w:r>
        <w:fldChar w:fldCharType="end"/>
      </w:r>
    </w:p>
    <w:p>
      <w:pPr>
        <w:pStyle w:val="TOC8"/>
        <w:rPr>
          <w:rFonts w:asciiTheme="minorHAnsi" w:eastAsiaTheme="minorEastAsia" w:hAnsiTheme="minorHAnsi" w:cstheme="minorBidi"/>
          <w:szCs w:val="22"/>
        </w:rPr>
      </w:pPr>
      <w:r>
        <w:t>6.</w:t>
      </w:r>
      <w:r>
        <w:tab/>
        <w:t>Liquor</w:t>
      </w:r>
      <w:r>
        <w:tab/>
      </w:r>
      <w:r>
        <w:fldChar w:fldCharType="begin"/>
      </w:r>
      <w:r>
        <w:instrText xml:space="preserve"> PAGEREF _Toc390432456 \h </w:instrText>
      </w:r>
      <w:r>
        <w:fldChar w:fldCharType="separate"/>
      </w:r>
      <w:r>
        <w:t>3</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_Toc390432457 \h </w:instrText>
      </w:r>
      <w:r>
        <w:fldChar w:fldCharType="separate"/>
      </w:r>
      <w:r>
        <w:t>3</w:t>
      </w:r>
      <w:r>
        <w:fldChar w:fldCharType="end"/>
      </w:r>
    </w:p>
    <w:p>
      <w:pPr>
        <w:pStyle w:val="TOC8"/>
        <w:rPr>
          <w:rFonts w:asciiTheme="minorHAnsi" w:eastAsiaTheme="minorEastAsia" w:hAnsiTheme="minorHAnsi" w:cstheme="minorBidi"/>
          <w:szCs w:val="22"/>
        </w:rPr>
      </w:pPr>
      <w:r>
        <w:t>8.</w:t>
      </w:r>
      <w:r>
        <w:tab/>
        <w:t>Disorderly persons may be removed from site</w:t>
      </w:r>
      <w:r>
        <w:tab/>
      </w:r>
      <w:r>
        <w:fldChar w:fldCharType="begin"/>
      </w:r>
      <w:r>
        <w:instrText xml:space="preserve"> PAGEREF _Toc390432458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_Toc390432461 \h </w:instrText>
      </w:r>
      <w:r>
        <w:fldChar w:fldCharType="separate"/>
      </w:r>
      <w:r>
        <w:t>5</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_Toc390432462 \h </w:instrText>
      </w:r>
      <w:r>
        <w:fldChar w:fldCharType="separate"/>
      </w:r>
      <w:r>
        <w:t>5</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_Toc390432463 \h </w:instrText>
      </w:r>
      <w:r>
        <w:fldChar w:fldCharType="separate"/>
      </w:r>
      <w:r>
        <w:t>5</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_Toc390432464 \h </w:instrText>
      </w:r>
      <w:r>
        <w:fldChar w:fldCharType="separate"/>
      </w:r>
      <w:r>
        <w:t>6</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_Toc390432465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_Toc390432467 \h </w:instrText>
      </w:r>
      <w:r>
        <w:fldChar w:fldCharType="separate"/>
      </w:r>
      <w:r>
        <w:t>6</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_Toc390432468 \h </w:instrText>
      </w:r>
      <w:r>
        <w:fldChar w:fldCharType="separate"/>
      </w:r>
      <w:r>
        <w:t>6</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_Toc390432469 \h </w:instrText>
      </w:r>
      <w:r>
        <w:fldChar w:fldCharType="separate"/>
      </w:r>
      <w:r>
        <w:t>7</w:t>
      </w:r>
      <w:r>
        <w:fldChar w:fldCharType="end"/>
      </w:r>
    </w:p>
    <w:p>
      <w:pPr>
        <w:pStyle w:val="TOC8"/>
        <w:rPr>
          <w:rFonts w:asciiTheme="minorHAnsi" w:eastAsiaTheme="minorEastAsia" w:hAnsiTheme="minorHAnsi" w:cstheme="minorBidi"/>
          <w:szCs w:val="22"/>
        </w:rPr>
      </w:pPr>
      <w:r>
        <w:t>17.</w:t>
      </w:r>
      <w:r>
        <w:tab/>
        <w:t>Permit</w:t>
      </w:r>
      <w:r>
        <w:tab/>
      </w:r>
      <w:r>
        <w:fldChar w:fldCharType="begin"/>
      </w:r>
      <w:r>
        <w:instrText xml:space="preserve"> PAGEREF _Toc390432470 \h </w:instrText>
      </w:r>
      <w:r>
        <w:fldChar w:fldCharType="separate"/>
      </w:r>
      <w:r>
        <w:t>7</w:t>
      </w:r>
      <w:r>
        <w:fldChar w:fldCharType="end"/>
      </w:r>
    </w:p>
    <w:p>
      <w:pPr>
        <w:pStyle w:val="TOC8"/>
        <w:rPr>
          <w:rFonts w:asciiTheme="minorHAnsi" w:eastAsiaTheme="minorEastAsia" w:hAnsiTheme="minorHAnsi" w:cstheme="minorBidi"/>
          <w:szCs w:val="22"/>
        </w:rPr>
      </w:pPr>
      <w:r>
        <w:t>18.</w:t>
      </w:r>
      <w:r>
        <w:tab/>
        <w:t>Refund of permit fees</w:t>
      </w:r>
      <w:r>
        <w:tab/>
      </w:r>
      <w:r>
        <w:fldChar w:fldCharType="begin"/>
      </w:r>
      <w:r>
        <w:instrText xml:space="preserve"> PAGEREF _Toc390432471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_Toc390432473 \h </w:instrText>
      </w:r>
      <w:r>
        <w:fldChar w:fldCharType="separate"/>
      </w:r>
      <w:r>
        <w:t>10</w:t>
      </w:r>
      <w:r>
        <w:fldChar w:fldCharType="end"/>
      </w:r>
    </w:p>
    <w:p>
      <w:pPr>
        <w:pStyle w:val="TOC8"/>
        <w:rPr>
          <w:rFonts w:asciiTheme="minorHAnsi" w:eastAsiaTheme="minorEastAsia" w:hAnsiTheme="minorHAnsi" w:cstheme="minorBidi"/>
          <w:szCs w:val="22"/>
        </w:rPr>
      </w:pPr>
      <w:r>
        <w:t>20.</w:t>
      </w:r>
      <w:r>
        <w:tab/>
        <w:t>Infringement notices</w:t>
      </w:r>
      <w:r>
        <w:tab/>
      </w:r>
      <w:r>
        <w:fldChar w:fldCharType="begin"/>
      </w:r>
      <w:r>
        <w:instrText xml:space="preserve"> PAGEREF _Toc390432474 \h </w:instrText>
      </w:r>
      <w:r>
        <w:fldChar w:fldCharType="separate"/>
      </w:r>
      <w:r>
        <w:t>10</w:t>
      </w:r>
      <w:r>
        <w:fldChar w:fldCharType="end"/>
      </w:r>
    </w:p>
    <w:p>
      <w:pPr>
        <w:pStyle w:val="TOC8"/>
        <w:rPr>
          <w:rFonts w:asciiTheme="minorHAnsi" w:eastAsiaTheme="minorEastAsia" w:hAnsiTheme="minorHAnsi" w:cstheme="minorBidi"/>
          <w:szCs w:val="22"/>
        </w:rPr>
      </w:pPr>
      <w:r>
        <w:t>21.</w:t>
      </w:r>
      <w:r>
        <w:tab/>
        <w:t>Withdrawal of infringement notice</w:t>
      </w:r>
      <w:r>
        <w:tab/>
      </w:r>
      <w:r>
        <w:fldChar w:fldCharType="begin"/>
      </w:r>
      <w:r>
        <w:instrText xml:space="preserve"> PAGEREF _Toc390432475 \h </w:instrText>
      </w:r>
      <w:r>
        <w:fldChar w:fldCharType="separate"/>
      </w:r>
      <w:r>
        <w:t>11</w:t>
      </w:r>
      <w:r>
        <w:fldChar w:fldCharType="end"/>
      </w:r>
    </w:p>
    <w:p>
      <w:pPr>
        <w:pStyle w:val="TOC8"/>
        <w:rPr>
          <w:rFonts w:asciiTheme="minorHAnsi" w:eastAsiaTheme="minorEastAsia" w:hAnsiTheme="minorHAnsi" w:cstheme="minorBidi"/>
          <w:szCs w:val="22"/>
        </w:rPr>
      </w:pPr>
      <w:r>
        <w:t>22.</w:t>
      </w:r>
      <w:r>
        <w:tab/>
        <w:t>Authorised person to have certificate</w:t>
      </w:r>
      <w:r>
        <w:tab/>
      </w:r>
      <w:r>
        <w:fldChar w:fldCharType="begin"/>
      </w:r>
      <w:r>
        <w:instrText xml:space="preserve"> PAGEREF _Toc390432476 \h </w:instrText>
      </w:r>
      <w:r>
        <w:fldChar w:fldCharType="separate"/>
      </w:r>
      <w:r>
        <w:t>11</w:t>
      </w:r>
      <w:r>
        <w:fldChar w:fldCharType="end"/>
      </w:r>
    </w:p>
    <w:p>
      <w:pPr>
        <w:pStyle w:val="TOC8"/>
        <w:rPr>
          <w:rFonts w:asciiTheme="minorHAnsi" w:eastAsiaTheme="minorEastAsia" w:hAnsiTheme="minorHAnsi" w:cstheme="minorBidi"/>
          <w:szCs w:val="22"/>
        </w:rPr>
      </w:pPr>
      <w:r>
        <w:t>23.</w:t>
      </w:r>
      <w:r>
        <w:tab/>
        <w:t>Authorised persons only to endorse and alter infringement notices</w:t>
      </w:r>
      <w:r>
        <w:tab/>
      </w:r>
      <w:r>
        <w:fldChar w:fldCharType="begin"/>
      </w:r>
      <w:r>
        <w:instrText xml:space="preserve"> PAGEREF _Toc390432477 \h </w:instrText>
      </w:r>
      <w:r>
        <w:fldChar w:fldCharType="separate"/>
      </w:r>
      <w:r>
        <w:t>12</w:t>
      </w:r>
      <w:r>
        <w:fldChar w:fldCharType="end"/>
      </w:r>
    </w:p>
    <w:p>
      <w:pPr>
        <w:pStyle w:val="TOC8"/>
        <w:rPr>
          <w:rFonts w:asciiTheme="minorHAnsi" w:eastAsiaTheme="minorEastAsia" w:hAnsiTheme="minorHAnsi" w:cstheme="minorBidi"/>
          <w:szCs w:val="22"/>
        </w:rPr>
      </w:pPr>
      <w:r>
        <w:t>24.</w:t>
      </w:r>
      <w:r>
        <w:tab/>
        <w:t>Restriction on removal of infringement notices</w:t>
      </w:r>
      <w:r>
        <w:tab/>
      </w:r>
      <w:r>
        <w:fldChar w:fldCharType="begin"/>
      </w:r>
      <w:r>
        <w:instrText xml:space="preserve"> PAGEREF _Toc390432478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tab/>
        <w:t>Removal of vehicles</w:t>
      </w:r>
      <w:r>
        <w:tab/>
      </w:r>
      <w:r>
        <w:fldChar w:fldCharType="begin"/>
      </w:r>
      <w:r>
        <w:instrText xml:space="preserve"> PAGEREF _Toc390432480 \h </w:instrText>
      </w:r>
      <w:r>
        <w:fldChar w:fldCharType="separate"/>
      </w:r>
      <w:r>
        <w:t>13</w:t>
      </w:r>
      <w:r>
        <w:fldChar w:fldCharType="end"/>
      </w:r>
    </w:p>
    <w:p>
      <w:pPr>
        <w:pStyle w:val="TOC8"/>
        <w:rPr>
          <w:rFonts w:asciiTheme="minorHAnsi" w:eastAsiaTheme="minorEastAsia" w:hAnsiTheme="minorHAnsi" w:cstheme="minorBidi"/>
          <w:szCs w:val="22"/>
        </w:rPr>
      </w:pPr>
      <w:r>
        <w:t>26.</w:t>
      </w:r>
      <w:r>
        <w:tab/>
        <w:t>Registered owner may be treated as being driver or person in charge of vehicle at time of offence</w:t>
      </w:r>
      <w:r>
        <w:tab/>
      </w:r>
      <w:r>
        <w:fldChar w:fldCharType="begin"/>
      </w:r>
      <w:r>
        <w:instrText xml:space="preserve"> PAGEREF _Toc390432481 \h </w:instrText>
      </w:r>
      <w:r>
        <w:fldChar w:fldCharType="separate"/>
      </w:r>
      <w:r>
        <w:t>14</w:t>
      </w:r>
      <w:r>
        <w:fldChar w:fldCharType="end"/>
      </w:r>
    </w:p>
    <w:p>
      <w:pPr>
        <w:pStyle w:val="TOC8"/>
        <w:rPr>
          <w:rFonts w:asciiTheme="minorHAnsi" w:eastAsiaTheme="minorEastAsia" w:hAnsiTheme="minorHAnsi" w:cstheme="minorBidi"/>
          <w:szCs w:val="22"/>
        </w:rPr>
      </w:pPr>
      <w:r>
        <w:t>27.</w:t>
      </w:r>
      <w:r>
        <w:tab/>
        <w:t>Other offences</w:t>
      </w:r>
      <w:r>
        <w:tab/>
      </w:r>
      <w:r>
        <w:fldChar w:fldCharType="begin"/>
      </w:r>
      <w:r>
        <w:instrText xml:space="preserve"> PAGEREF _Toc390432482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Hospital sites</w:t>
      </w:r>
    </w:p>
    <w:p>
      <w:pPr>
        <w:pStyle w:val="TOC2"/>
        <w:tabs>
          <w:tab w:val="right" w:leader="dot" w:pos="7086"/>
        </w:tabs>
        <w:rPr>
          <w:rFonts w:asciiTheme="minorHAnsi" w:eastAsiaTheme="minorEastAsia" w:hAnsiTheme="minorHAnsi" w:cstheme="minorBidi"/>
          <w:b w:val="0"/>
          <w:sz w:val="22"/>
          <w:szCs w:val="22"/>
        </w:rPr>
      </w:pPr>
      <w:r>
        <w:t>Schedule 2A — Fees</w:t>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_Toc390432488 \h </w:instrText>
      </w:r>
      <w:r>
        <w:fldChar w:fldCharType="separate"/>
      </w:r>
      <w:r>
        <w:t>23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_Toc390432489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390432449"/>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0432450"/>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4" w:name="_Toc390432451"/>
      <w:r>
        <w:rPr>
          <w:rStyle w:val="CharSectno"/>
        </w:rPr>
        <w:t>2</w:t>
      </w:r>
      <w:r>
        <w:t>.</w:t>
      </w:r>
      <w:r>
        <w:tab/>
        <w:t>Commencement</w:t>
      </w:r>
      <w:bookmarkEnd w:id="4"/>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5" w:name="_Toc390432452"/>
      <w:r>
        <w:rPr>
          <w:rStyle w:val="CharSectno"/>
        </w:rPr>
        <w:t>3</w:t>
      </w:r>
      <w:r>
        <w:t>.</w:t>
      </w:r>
      <w:r>
        <w:tab/>
        <w:t>Terms used</w:t>
      </w:r>
      <w:bookmarkEnd w:id="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6" w:name="_Toc390432453"/>
      <w:r>
        <w:rPr>
          <w:rStyle w:val="CharPartNo"/>
        </w:rPr>
        <w:t>Part 2</w:t>
      </w:r>
      <w:r>
        <w:rPr>
          <w:rStyle w:val="CharDivNo"/>
        </w:rPr>
        <w:t> </w:t>
      </w:r>
      <w:r>
        <w:t>—</w:t>
      </w:r>
      <w:r>
        <w:rPr>
          <w:rStyle w:val="CharDivText"/>
        </w:rPr>
        <w:t> </w:t>
      </w:r>
      <w:r>
        <w:rPr>
          <w:rStyle w:val="CharPartText"/>
        </w:rPr>
        <w:t>Trespass and order</w:t>
      </w:r>
      <w:bookmarkEnd w:id="6"/>
    </w:p>
    <w:p>
      <w:pPr>
        <w:pStyle w:val="Heading5"/>
        <w:rPr>
          <w:snapToGrid w:val="0"/>
        </w:rPr>
      </w:pPr>
      <w:bookmarkStart w:id="7" w:name="_Toc390432454"/>
      <w:r>
        <w:rPr>
          <w:rStyle w:val="CharSectno"/>
        </w:rPr>
        <w:t>4</w:t>
      </w:r>
      <w:r>
        <w:t>.</w:t>
      </w:r>
      <w:r>
        <w:tab/>
        <w:t>No entry without cause</w:t>
      </w:r>
      <w:bookmarkEnd w:id="7"/>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8" w:name="_Toc390432455"/>
      <w:r>
        <w:rPr>
          <w:rStyle w:val="CharSectno"/>
        </w:rPr>
        <w:t>5</w:t>
      </w:r>
      <w:r>
        <w:t>.</w:t>
      </w:r>
      <w:r>
        <w:tab/>
      </w:r>
      <w:r>
        <w:rPr>
          <w:snapToGrid w:val="0"/>
        </w:rPr>
        <w:t>Directions as to use of certain areas</w:t>
      </w:r>
      <w:bookmarkEnd w:id="8"/>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9" w:name="_Toc390432456"/>
      <w:r>
        <w:rPr>
          <w:rStyle w:val="CharSectno"/>
        </w:rPr>
        <w:t>6</w:t>
      </w:r>
      <w:r>
        <w:t>.</w:t>
      </w:r>
      <w:r>
        <w:tab/>
        <w:t>Liquor</w:t>
      </w:r>
      <w:bookmarkEnd w:id="9"/>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10" w:name="_Toc390432457"/>
      <w:r>
        <w:rPr>
          <w:rStyle w:val="CharSectno"/>
        </w:rPr>
        <w:t>7</w:t>
      </w:r>
      <w:r>
        <w:t>.</w:t>
      </w:r>
      <w:r>
        <w:tab/>
        <w:t>Smoking</w:t>
      </w:r>
      <w:bookmarkEnd w:id="10"/>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1" w:name="_Toc390432458"/>
      <w:r>
        <w:rPr>
          <w:rStyle w:val="CharSectno"/>
        </w:rPr>
        <w:t>8</w:t>
      </w:r>
      <w:r>
        <w:t>.</w:t>
      </w:r>
      <w:r>
        <w:tab/>
        <w:t>Disorderly persons may be removed from site</w:t>
      </w:r>
      <w:bookmarkEnd w:id="11"/>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2" w:name="_Toc390432459"/>
      <w:r>
        <w:rPr>
          <w:rStyle w:val="CharPartNo"/>
        </w:rPr>
        <w:t>Part 3</w:t>
      </w:r>
      <w:r>
        <w:t> — </w:t>
      </w:r>
      <w:r>
        <w:rPr>
          <w:rStyle w:val="CharPartText"/>
        </w:rPr>
        <w:t>Traffic control</w:t>
      </w:r>
      <w:bookmarkEnd w:id="12"/>
    </w:p>
    <w:p>
      <w:pPr>
        <w:pStyle w:val="Heading3"/>
      </w:pPr>
      <w:bookmarkStart w:id="13" w:name="_Toc390432460"/>
      <w:r>
        <w:rPr>
          <w:rStyle w:val="CharDivNo"/>
        </w:rPr>
        <w:t>Division 1</w:t>
      </w:r>
      <w:r>
        <w:t> — </w:t>
      </w:r>
      <w:r>
        <w:rPr>
          <w:rStyle w:val="CharDivText"/>
        </w:rPr>
        <w:t>Driving and use of vehicles</w:t>
      </w:r>
      <w:bookmarkEnd w:id="13"/>
    </w:p>
    <w:p>
      <w:pPr>
        <w:pStyle w:val="Heading5"/>
      </w:pPr>
      <w:bookmarkStart w:id="14" w:name="_Toc390432461"/>
      <w:r>
        <w:rPr>
          <w:rStyle w:val="CharSectno"/>
        </w:rPr>
        <w:t>9</w:t>
      </w:r>
      <w:r>
        <w:t>.</w:t>
      </w:r>
      <w:r>
        <w:tab/>
        <w:t>Driving of vehicles</w:t>
      </w:r>
      <w:bookmarkEnd w:id="14"/>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15" w:name="_Toc390432462"/>
      <w:r>
        <w:rPr>
          <w:rStyle w:val="CharSectno"/>
        </w:rPr>
        <w:t>10</w:t>
      </w:r>
      <w:r>
        <w:t>.</w:t>
      </w:r>
      <w:r>
        <w:tab/>
        <w:t>Driver to obey reasonable direction</w:t>
      </w:r>
      <w:bookmarkEnd w:id="15"/>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16" w:name="_Toc390432463"/>
      <w:r>
        <w:rPr>
          <w:rStyle w:val="CharSectno"/>
        </w:rPr>
        <w:t>11</w:t>
      </w:r>
      <w:r>
        <w:t>.</w:t>
      </w:r>
      <w:r>
        <w:tab/>
        <w:t>Speed limits</w:t>
      </w:r>
      <w:bookmarkEnd w:id="16"/>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17" w:name="_Toc390432464"/>
      <w:r>
        <w:rPr>
          <w:rStyle w:val="CharSectno"/>
        </w:rPr>
        <w:t>12</w:t>
      </w:r>
      <w:r>
        <w:t>.</w:t>
      </w:r>
      <w:r>
        <w:tab/>
        <w:t>Giving way</w:t>
      </w:r>
      <w:bookmarkEnd w:id="17"/>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18" w:name="_Toc390432465"/>
      <w:r>
        <w:rPr>
          <w:rStyle w:val="CharSectno"/>
        </w:rPr>
        <w:t>13</w:t>
      </w:r>
      <w:r>
        <w:t>.</w:t>
      </w:r>
      <w:r>
        <w:tab/>
      </w:r>
      <w:r>
        <w:rPr>
          <w:snapToGrid w:val="0"/>
        </w:rPr>
        <w:t>No instruction or repairs on site</w:t>
      </w:r>
      <w:bookmarkEnd w:id="1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9" w:name="_Toc390432466"/>
      <w:r>
        <w:rPr>
          <w:rStyle w:val="CharDivNo"/>
        </w:rPr>
        <w:t>Division 2</w:t>
      </w:r>
      <w:r>
        <w:t> — </w:t>
      </w:r>
      <w:r>
        <w:rPr>
          <w:rStyle w:val="CharDivText"/>
        </w:rPr>
        <w:t>Parking</w:t>
      </w:r>
      <w:bookmarkEnd w:id="19"/>
    </w:p>
    <w:p>
      <w:pPr>
        <w:pStyle w:val="Heading5"/>
      </w:pPr>
      <w:bookmarkStart w:id="20" w:name="_Toc390432467"/>
      <w:r>
        <w:rPr>
          <w:rStyle w:val="CharSectno"/>
        </w:rPr>
        <w:t>14</w:t>
      </w:r>
      <w:r>
        <w:t>.</w:t>
      </w:r>
      <w:r>
        <w:tab/>
        <w:t>Parking to be in parking spaces only</w:t>
      </w:r>
      <w:bookmarkEnd w:id="20"/>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21" w:name="_Toc390432468"/>
      <w:r>
        <w:rPr>
          <w:rStyle w:val="CharSectno"/>
        </w:rPr>
        <w:t>15</w:t>
      </w:r>
      <w:r>
        <w:t>.</w:t>
      </w:r>
      <w:r>
        <w:tab/>
        <w:t>Signs to be obeyed</w:t>
      </w:r>
      <w:bookmarkEnd w:id="2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22" w:name="_Toc390432469"/>
      <w:r>
        <w:rPr>
          <w:rStyle w:val="CharSectno"/>
        </w:rPr>
        <w:t>16</w:t>
      </w:r>
      <w:r>
        <w:t>.</w:t>
      </w:r>
      <w:r>
        <w:tab/>
        <w:t>Parking in parking spaces</w:t>
      </w:r>
      <w:bookmarkEnd w:id="22"/>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23" w:name="_Toc390432470"/>
      <w:r>
        <w:rPr>
          <w:rStyle w:val="CharSectno"/>
        </w:rPr>
        <w:t>17</w:t>
      </w:r>
      <w:r>
        <w:t>.</w:t>
      </w:r>
      <w:r>
        <w:tab/>
        <w:t>Permit</w:t>
      </w:r>
      <w:bookmarkEnd w:id="23"/>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24" w:name="_Toc390432471"/>
      <w:r>
        <w:rPr>
          <w:rStyle w:val="CharSectno"/>
        </w:rPr>
        <w:t>18</w:t>
      </w:r>
      <w:r>
        <w:t>.</w:t>
      </w:r>
      <w:r>
        <w:tab/>
        <w:t>Refund of permit fees</w:t>
      </w:r>
      <w:bookmarkEnd w:id="24"/>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25" w:name="_Toc390432472"/>
      <w:r>
        <w:rPr>
          <w:rStyle w:val="CharPartNo"/>
        </w:rPr>
        <w:t>Part 4</w:t>
      </w:r>
      <w:r>
        <w:rPr>
          <w:rStyle w:val="CharDivNo"/>
        </w:rPr>
        <w:t> </w:t>
      </w:r>
      <w:r>
        <w:t>—</w:t>
      </w:r>
      <w:r>
        <w:rPr>
          <w:rStyle w:val="CharDivText"/>
        </w:rPr>
        <w:t> </w:t>
      </w:r>
      <w:r>
        <w:rPr>
          <w:rStyle w:val="CharPartText"/>
        </w:rPr>
        <w:t>Infringement notices</w:t>
      </w:r>
      <w:bookmarkEnd w:id="25"/>
    </w:p>
    <w:p>
      <w:pPr>
        <w:pStyle w:val="Heading5"/>
        <w:rPr>
          <w:snapToGrid w:val="0"/>
        </w:rPr>
      </w:pPr>
      <w:bookmarkStart w:id="26" w:name="_Toc390432473"/>
      <w:r>
        <w:rPr>
          <w:rStyle w:val="CharSectno"/>
        </w:rPr>
        <w:t>19</w:t>
      </w:r>
      <w:r>
        <w:t>.</w:t>
      </w:r>
      <w:r>
        <w:tab/>
        <w:t>Terms used</w:t>
      </w:r>
      <w:bookmarkEnd w:id="26"/>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27" w:name="endcomma"/>
      <w:bookmarkEnd w:id="27"/>
      <w:r>
        <w:t xml:space="preserve"> </w:t>
      </w:r>
      <w:bookmarkStart w:id="28" w:name="comma"/>
      <w:bookmarkEnd w:id="28"/>
      <w:r>
        <w:t>means a penalty prescribed in Schedule 2 for an offence under Part 3 or 4.</w:t>
      </w:r>
    </w:p>
    <w:p>
      <w:pPr>
        <w:pStyle w:val="Heading5"/>
      </w:pPr>
      <w:bookmarkStart w:id="29" w:name="_Toc390432474"/>
      <w:r>
        <w:rPr>
          <w:rStyle w:val="CharSectno"/>
        </w:rPr>
        <w:t>20</w:t>
      </w:r>
      <w:r>
        <w:t>.</w:t>
      </w:r>
      <w:r>
        <w:tab/>
        <w:t>Infringement notices</w:t>
      </w:r>
      <w:bookmarkEnd w:id="29"/>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w:t>
      </w:r>
    </w:p>
    <w:p>
      <w:pPr>
        <w:pStyle w:val="Heading5"/>
      </w:pPr>
      <w:bookmarkStart w:id="30" w:name="_Toc390432475"/>
      <w:r>
        <w:rPr>
          <w:rStyle w:val="CharSectno"/>
        </w:rPr>
        <w:t>21</w:t>
      </w:r>
      <w:r>
        <w:t>.</w:t>
      </w:r>
      <w:r>
        <w:tab/>
        <w:t>Withdrawal of infringement notice</w:t>
      </w:r>
      <w:bookmarkEnd w:id="30"/>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31" w:name="_Toc390432476"/>
      <w:r>
        <w:rPr>
          <w:rStyle w:val="CharSectno"/>
        </w:rPr>
        <w:t>22</w:t>
      </w:r>
      <w:r>
        <w:t>.</w:t>
      </w:r>
      <w:r>
        <w:tab/>
        <w:t>Authorised person to have certificate</w:t>
      </w:r>
      <w:bookmarkEnd w:id="3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32" w:name="_Toc390432477"/>
      <w:r>
        <w:rPr>
          <w:rStyle w:val="CharSectno"/>
        </w:rPr>
        <w:t>23</w:t>
      </w:r>
      <w:r>
        <w:t>.</w:t>
      </w:r>
      <w:r>
        <w:tab/>
        <w:t>Authorised persons only to endorse and alter infringement notices</w:t>
      </w:r>
      <w:bookmarkEnd w:id="3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33" w:name="_Toc390432478"/>
      <w:r>
        <w:rPr>
          <w:rStyle w:val="CharSectno"/>
        </w:rPr>
        <w:t>24</w:t>
      </w:r>
      <w:r>
        <w:t>.</w:t>
      </w:r>
      <w:r>
        <w:tab/>
        <w:t>Restriction on removal of infringement notices</w:t>
      </w:r>
      <w:bookmarkEnd w:id="33"/>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34" w:name="_Toc390432479"/>
      <w:r>
        <w:rPr>
          <w:rStyle w:val="CharPartNo"/>
        </w:rPr>
        <w:t>Part 5</w:t>
      </w:r>
      <w:r>
        <w:rPr>
          <w:rStyle w:val="CharDivNo"/>
        </w:rPr>
        <w:t> </w:t>
      </w:r>
      <w:r>
        <w:t>—</w:t>
      </w:r>
      <w:r>
        <w:rPr>
          <w:rStyle w:val="CharDivText"/>
        </w:rPr>
        <w:t> </w:t>
      </w:r>
      <w:r>
        <w:rPr>
          <w:rStyle w:val="CharPartText"/>
        </w:rPr>
        <w:t>General</w:t>
      </w:r>
      <w:bookmarkEnd w:id="34"/>
    </w:p>
    <w:p>
      <w:pPr>
        <w:pStyle w:val="Heading5"/>
      </w:pPr>
      <w:bookmarkStart w:id="35" w:name="_Toc390432480"/>
      <w:r>
        <w:rPr>
          <w:rStyle w:val="CharSectno"/>
        </w:rPr>
        <w:t>25</w:t>
      </w:r>
      <w:r>
        <w:t>.</w:t>
      </w:r>
      <w:r>
        <w:tab/>
        <w:t>Removal of vehicles</w:t>
      </w:r>
      <w:bookmarkEnd w:id="35"/>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36" w:name="_Toc390432481"/>
      <w:r>
        <w:rPr>
          <w:rStyle w:val="CharSectno"/>
        </w:rPr>
        <w:t>26</w:t>
      </w:r>
      <w:r>
        <w:t>.</w:t>
      </w:r>
      <w:r>
        <w:tab/>
        <w:t>Registered owner may be treated as being driver or person in charge of vehicle at time of offence</w:t>
      </w:r>
      <w:bookmarkEnd w:id="36"/>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37" w:name="_Toc390432482"/>
      <w:r>
        <w:rPr>
          <w:rStyle w:val="CharSectno"/>
        </w:rPr>
        <w:t>27</w:t>
      </w:r>
      <w:r>
        <w:t>.</w:t>
      </w:r>
      <w:r>
        <w:tab/>
        <w:t>Other offences</w:t>
      </w:r>
      <w:bookmarkEnd w:id="3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8" w:name="_Toc390432483"/>
      <w:r>
        <w:rPr>
          <w:rStyle w:val="CharSchNo"/>
        </w:rPr>
        <w:t>Schedule 1</w:t>
      </w:r>
      <w:r>
        <w:rPr>
          <w:rStyle w:val="CharSDivNo"/>
        </w:rPr>
        <w:t> </w:t>
      </w:r>
      <w:r>
        <w:t>—</w:t>
      </w:r>
      <w:bookmarkStart w:id="39" w:name="AutoSch"/>
      <w:bookmarkEnd w:id="39"/>
      <w:r>
        <w:rPr>
          <w:rStyle w:val="CharSDivText"/>
        </w:rPr>
        <w:t> </w:t>
      </w:r>
      <w:r>
        <w:rPr>
          <w:rStyle w:val="CharSchText"/>
        </w:rPr>
        <w:t>Hospital sites</w:t>
      </w:r>
      <w:bookmarkEnd w:id="38"/>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40" w:name="_Toc390432484"/>
      <w:r>
        <w:rPr>
          <w:rStyle w:val="CharSchNo"/>
        </w:rPr>
        <w:t>Schedule 2A</w:t>
      </w:r>
      <w:r>
        <w:t> — </w:t>
      </w:r>
      <w:r>
        <w:rPr>
          <w:rStyle w:val="CharSchText"/>
        </w:rPr>
        <w:t>Fees</w:t>
      </w:r>
      <w:bookmarkEnd w:id="40"/>
    </w:p>
    <w:p>
      <w:pPr>
        <w:pStyle w:val="yShoulderClause"/>
      </w:pPr>
      <w:r>
        <w:rPr>
          <w:szCs w:val="22"/>
        </w:rPr>
        <w:t>[bl. 17(4A)]</w:t>
      </w:r>
    </w:p>
    <w:p>
      <w:pPr>
        <w:pStyle w:val="Footnoteheading"/>
      </w:pPr>
      <w:r>
        <w:tab/>
        <w:t>[Heading inserted in Gazette 26 Nov 2010 p. 5949; amended in Gazette 23 Dec 2011 p. 5436.]</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jc w:val="center"/>
              <w:rPr>
                <w:b/>
                <w:bCs/>
              </w:rPr>
            </w:pPr>
            <w:r>
              <w:rPr>
                <w:b/>
                <w:bCs/>
              </w:rPr>
              <w:t>Type of permit</w:t>
            </w:r>
          </w:p>
        </w:tc>
        <w:tc>
          <w:tcPr>
            <w:tcW w:w="3261" w:type="dxa"/>
          </w:tcPr>
          <w:p>
            <w:pPr>
              <w:pStyle w:val="yTableNAm"/>
              <w:jc w:val="center"/>
              <w:rPr>
                <w:b/>
                <w:bCs/>
              </w:rPr>
            </w:pPr>
            <w:r>
              <w:rPr>
                <w:b/>
                <w:bCs/>
              </w:rPr>
              <w:t>Fee</w:t>
            </w:r>
          </w:p>
        </w:tc>
      </w:tr>
      <w:tr>
        <w:tc>
          <w:tcPr>
            <w:tcW w:w="3827" w:type="dxa"/>
          </w:tcPr>
          <w:p>
            <w:pPr>
              <w:pStyle w:val="yTableNAm"/>
            </w:pPr>
            <w:r>
              <w:t>All types of parking permit at Wellington Street Campus</w:t>
            </w:r>
          </w:p>
        </w:tc>
        <w:tc>
          <w:tcPr>
            <w:tcW w:w="3261" w:type="dxa"/>
          </w:tcPr>
          <w:p>
            <w:pPr>
              <w:pStyle w:val="yTableNAm"/>
            </w:pPr>
            <w:r>
              <w:t>$4.80 (for each day on which the permit holder is permitted to park a vehicle on the site, up to a maximum of $24.00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26 Nov 2010 p. 5949; amended in Gazette 24 Jun 2011 p. 2506; 23 Dec 2011 p. 5436; 23 Oct 2012 p. 5056; 28 Jun 2013 p. 2751.]</w:t>
      </w:r>
    </w:p>
    <w:p>
      <w:pPr>
        <w:pStyle w:val="yScheduleHeading"/>
        <w:outlineLvl w:val="0"/>
      </w:pPr>
      <w:bookmarkStart w:id="41" w:name="_Toc390432485"/>
      <w:r>
        <w:rPr>
          <w:rStyle w:val="CharSchNo"/>
        </w:rPr>
        <w:t>Schedule 2</w:t>
      </w:r>
      <w:r>
        <w:t> — </w:t>
      </w:r>
      <w:r>
        <w:rPr>
          <w:rStyle w:val="CharSchText"/>
        </w:rPr>
        <w:t>Infringement notices and modified penalties</w:t>
      </w:r>
      <w:bookmarkEnd w:id="41"/>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6"/>
          <w:headerReference w:type="default" r:id="rId27"/>
          <w:endnotePr>
            <w:numFmt w:val="decimal"/>
          </w:endnotePr>
          <w:pgSz w:w="11906" w:h="16838" w:code="9"/>
          <w:pgMar w:top="2381" w:right="2410" w:bottom="3544" w:left="2410" w:header="720" w:footer="3380" w:gutter="0"/>
          <w:cols w:space="720"/>
          <w:docGrid w:linePitch="326"/>
        </w:sectPr>
      </w:pPr>
    </w:p>
    <w:p>
      <w:pPr>
        <w:pStyle w:val="yScheduleHeading"/>
        <w:outlineLvl w:val="0"/>
      </w:pPr>
      <w:bookmarkStart w:id="42" w:name="_Toc390432486"/>
      <w:r>
        <w:rPr>
          <w:rStyle w:val="CharSchNo"/>
        </w:rPr>
        <w:t>Schedule 3</w:t>
      </w:r>
      <w:r>
        <w:t> — </w:t>
      </w:r>
      <w:r>
        <w:rPr>
          <w:rStyle w:val="CharSchText"/>
        </w:rPr>
        <w:t>Forms</w:t>
      </w:r>
      <w:bookmarkEnd w:id="42"/>
    </w:p>
    <w:p>
      <w:pPr>
        <w:pStyle w:val="yShoulderClause"/>
      </w:pPr>
      <w:r>
        <w:t>[bl. 20 and 21]</w:t>
      </w:r>
    </w:p>
    <w:p>
      <w:pPr>
        <w:pStyle w:val="yMiscellaneousHeading"/>
        <w:spacing w:after="120"/>
        <w:rPr>
          <w:b/>
          <w:bCs/>
        </w:rPr>
      </w:pPr>
      <w:r>
        <w:rPr>
          <w:rStyle w:val="CharSClsNo"/>
          <w:b/>
        </w:rPr>
        <w:t>Form 1</w:t>
      </w:r>
      <w:r>
        <w:rPr>
          <w:b/>
          <w:bCs/>
        </w:rPr>
        <w:t>: Infringement Notice (by</w:t>
      </w:r>
      <w:r>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rPr>
          <w:cantSplit/>
        </w:trP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Royal</w:t>
                </w:r>
              </w:smartTag>
              <w:r>
                <w:rPr>
                  <w:b/>
                  <w:i/>
                  <w:sz w:val="22"/>
                  <w:szCs w:val="22"/>
                </w:rPr>
                <w:t xml:space="preserve"> </w:t>
              </w:r>
              <w:smartTag w:uri="urn:schemas-microsoft-com:office:smarttags" w:element="PlaceName">
                <w:r>
                  <w:rPr>
                    <w:b/>
                    <w:i/>
                    <w:sz w:val="22"/>
                    <w:szCs w:val="22"/>
                  </w:rPr>
                  <w:t>Perth</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2009</w:t>
            </w:r>
          </w:p>
        </w:tc>
      </w:tr>
      <w:tr>
        <w:trPr>
          <w:cantSplit/>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Vehicle</w:t>
            </w:r>
          </w:p>
        </w:tc>
      </w:tr>
      <w:tr>
        <w:trPr>
          <w:cantSplit/>
        </w:trP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4032" w:type="dxa"/>
            <w:gridSpan w:val="2"/>
            <w:tcBorders>
              <w:top w:val="nil"/>
              <w:bottom w:val="nil"/>
            </w:tcBorders>
          </w:tcPr>
          <w:p>
            <w:pPr>
              <w:pStyle w:val="TableNAm"/>
              <w:rPr>
                <w:sz w:val="22"/>
                <w:szCs w:val="22"/>
              </w:rPr>
            </w:pPr>
            <w:r>
              <w:rPr>
                <w:sz w:val="22"/>
                <w:szCs w:val="22"/>
              </w:rPr>
              <w:t>Date</w:t>
            </w:r>
          </w:p>
        </w:tc>
        <w:tc>
          <w:tcPr>
            <w:tcW w:w="3168" w:type="dxa"/>
            <w:gridSpan w:val="2"/>
            <w:tcBorders>
              <w:top w:val="nil"/>
              <w:bottom w:val="nil"/>
            </w:tcBorders>
          </w:tcPr>
          <w:p>
            <w:pPr>
              <w:pStyle w:val="TableNAm"/>
              <w:rPr>
                <w:sz w:val="22"/>
                <w:szCs w:val="22"/>
              </w:rPr>
            </w:pPr>
            <w:r>
              <w:rPr>
                <w:sz w:val="22"/>
                <w:szCs w:val="22"/>
              </w:rPr>
              <w:t>Time</w:t>
            </w:r>
          </w:p>
        </w:tc>
      </w:tr>
      <w:tr>
        <w:trPr>
          <w:cantSplit/>
        </w:trPr>
        <w:tc>
          <w:tcPr>
            <w:tcW w:w="403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68" w:type="dxa"/>
            <w:gridSpan w:val="2"/>
            <w:tcBorders>
              <w:top w:val="nil"/>
              <w:bottom w:val="nil"/>
            </w:tcBorders>
          </w:tcPr>
          <w:p>
            <w:pPr>
              <w:pStyle w:val="TableNAm"/>
              <w:rPr>
                <w:sz w:val="22"/>
                <w:szCs w:val="22"/>
              </w:rPr>
            </w:pPr>
            <w:r>
              <w:rPr>
                <w:sz w:val="22"/>
                <w:szCs w:val="22"/>
              </w:rPr>
              <w:t>Modified penalty</w:t>
            </w:r>
          </w:p>
        </w:tc>
      </w:tr>
      <w:tr>
        <w:trPr>
          <w:cantSplit/>
        </w:trPr>
        <w:tc>
          <w:tcPr>
            <w:tcW w:w="4032" w:type="dxa"/>
            <w:gridSpan w:val="2"/>
            <w:tcBorders>
              <w:top w:val="nil"/>
              <w:bottom w:val="nil"/>
            </w:tcBorders>
          </w:tcPr>
          <w:p>
            <w:pPr>
              <w:pStyle w:val="TableNAm"/>
              <w:rPr>
                <w:b/>
                <w:sz w:val="22"/>
                <w:szCs w:val="22"/>
              </w:rPr>
            </w:pPr>
            <w:r>
              <w:rPr>
                <w:b/>
                <w:sz w:val="22"/>
                <w:szCs w:val="22"/>
              </w:rPr>
              <w:t>Issuing Officer</w:t>
            </w:r>
          </w:p>
        </w:tc>
        <w:tc>
          <w:tcPr>
            <w:tcW w:w="3168" w:type="dxa"/>
            <w:gridSpan w:val="2"/>
            <w:tcBorders>
              <w:top w:val="nil"/>
              <w:bottom w:val="nil"/>
            </w:tcBorders>
          </w:tcPr>
          <w:p>
            <w:pPr>
              <w:pStyle w:val="TableNAm"/>
              <w:rPr>
                <w:sz w:val="22"/>
                <w:szCs w:val="22"/>
              </w:rPr>
            </w:pPr>
          </w:p>
        </w:tc>
      </w:tr>
      <w:tr>
        <w:trPr>
          <w:cantSplit/>
        </w:trPr>
        <w:tc>
          <w:tcPr>
            <w:tcW w:w="403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68"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200" w:type="dxa"/>
            <w:gridSpan w:val="4"/>
            <w:tcBorders>
              <w:top w:val="nil"/>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r>
              <w:t>.....</w:t>
            </w:r>
            <w:r>
              <w:rPr>
                <w:sz w:val="22"/>
                <w:szCs w:val="22"/>
              </w:rPr>
              <w:t>...............</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Mount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5437</w:t>
      </w:r>
      <w:r>
        <w:noBreakHyphen/>
        <w:t>8.]</w:t>
      </w:r>
    </w:p>
    <w:p>
      <w:pPr>
        <w:pStyle w:val="yMiscellaneousHeading"/>
        <w:keepLines/>
        <w:spacing w:after="120"/>
        <w:rPr>
          <w:b/>
          <w:bCs/>
        </w:rPr>
      </w:pPr>
      <w:r>
        <w:rPr>
          <w:rStyle w:val="CharSClsNo"/>
          <w:b/>
        </w:rPr>
        <w:t>Form 2</w:t>
      </w:r>
      <w:r>
        <w:rPr>
          <w:b/>
          <w:bCs/>
        </w:rPr>
        <w:t>: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keepNext/>
              <w:keepLines/>
              <w:spacing w:before="0"/>
              <w:rPr>
                <w:i/>
                <w:iCs/>
                <w:sz w:val="20"/>
              </w:rPr>
            </w:pPr>
            <w:r>
              <w:rPr>
                <w:b/>
                <w:sz w:val="18"/>
              </w:rPr>
              <w:br w:type="page"/>
            </w:r>
            <w:r>
              <w:rPr>
                <w:i/>
                <w:iCs/>
                <w:sz w:val="20"/>
              </w:rPr>
              <w:t>Royal Perth Hospital By</w:t>
            </w:r>
            <w:r>
              <w:rPr>
                <w:i/>
                <w:iCs/>
                <w:sz w:val="20"/>
              </w:rPr>
              <w:noBreakHyphen/>
              <w:t>laws 2009</w:t>
            </w:r>
          </w:p>
          <w:p>
            <w:pPr>
              <w:pStyle w:val="yTable"/>
              <w:keepNext/>
              <w:keepLines/>
              <w:spacing w:before="0"/>
              <w:rPr>
                <w:b/>
                <w:sz w:val="28"/>
              </w:rPr>
            </w:pPr>
            <w:r>
              <w:rPr>
                <w:b/>
                <w:sz w:val="28"/>
              </w:rPr>
              <w:t>Withdrawal of Infringement Notice</w:t>
            </w:r>
          </w:p>
        </w:tc>
        <w:tc>
          <w:tcPr>
            <w:tcW w:w="2268" w:type="dxa"/>
            <w:tcBorders>
              <w:bottom w:val="single" w:sz="4" w:space="0" w:color="auto"/>
            </w:tcBorders>
          </w:tcPr>
          <w:p>
            <w:pPr>
              <w:pStyle w:val="yTable"/>
              <w:keepNext/>
              <w:keepLines/>
              <w:spacing w:before="0"/>
              <w:rPr>
                <w:sz w:val="20"/>
              </w:rPr>
            </w:pPr>
            <w:r>
              <w:rPr>
                <w:sz w:val="20"/>
              </w:rPr>
              <w:t>Notice No.:</w:t>
            </w:r>
          </w:p>
        </w:tc>
      </w:tr>
      <w:tr>
        <w:trPr>
          <w:cantSplit/>
        </w:trPr>
        <w:tc>
          <w:tcPr>
            <w:tcW w:w="1428" w:type="dxa"/>
            <w:vMerge w:val="restart"/>
          </w:tcPr>
          <w:p>
            <w:pPr>
              <w:pStyle w:val="yTableNAm"/>
              <w:keepNext/>
              <w:keepLines/>
              <w:spacing w:before="0"/>
              <w:rPr>
                <w:b/>
                <w:sz w:val="20"/>
              </w:rPr>
            </w:pPr>
            <w:r>
              <w:rPr>
                <w:b/>
                <w:sz w:val="20"/>
              </w:rPr>
              <w:t>To</w:t>
            </w:r>
          </w:p>
          <w:p>
            <w:pPr>
              <w:pStyle w:val="yTableNAm"/>
              <w:keepNext/>
              <w:keepLines/>
              <w:spacing w:before="0"/>
              <w:rPr>
                <w:i/>
                <w:iCs/>
                <w:sz w:val="14"/>
              </w:rPr>
            </w:pPr>
            <w:r>
              <w:rPr>
                <w:i/>
                <w:iCs/>
                <w:sz w:val="14"/>
              </w:rPr>
              <w:t>[Person to whom Infringement Notice was issued]</w:t>
            </w:r>
          </w:p>
        </w:tc>
        <w:tc>
          <w:tcPr>
            <w:tcW w:w="5768" w:type="dxa"/>
            <w:gridSpan w:val="2"/>
          </w:tcPr>
          <w:p>
            <w:pPr>
              <w:pStyle w:val="yTableNAm"/>
              <w:keepNext/>
              <w:keepLines/>
              <w:spacing w:before="0"/>
              <w:rPr>
                <w:sz w:val="20"/>
              </w:rPr>
            </w:pPr>
            <w:r>
              <w:rPr>
                <w:sz w:val="20"/>
              </w:rPr>
              <w:t>Family name</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keepNext/>
              <w:keepLines/>
              <w:spacing w:before="0"/>
              <w:rPr>
                <w:sz w:val="20"/>
              </w:rPr>
            </w:pPr>
          </w:p>
        </w:tc>
        <w:tc>
          <w:tcPr>
            <w:tcW w:w="5768" w:type="dxa"/>
            <w:gridSpan w:val="2"/>
            <w:tcBorders>
              <w:bottom w:val="single" w:sz="4" w:space="0" w:color="auto"/>
            </w:tcBorders>
          </w:tcPr>
          <w:p>
            <w:pPr>
              <w:pStyle w:val="yTableNAm"/>
              <w:keepNext/>
              <w:keepLines/>
              <w:spacing w:before="0"/>
              <w:rPr>
                <w:sz w:val="20"/>
              </w:rPr>
            </w:pPr>
            <w:r>
              <w:rPr>
                <w:sz w:val="20"/>
              </w:rPr>
              <w:t>Address   .…………………………………………………………….</w:t>
            </w:r>
          </w:p>
          <w:p>
            <w:pPr>
              <w:pStyle w:val="yTableNAm"/>
              <w:keepNext/>
              <w:keepLines/>
              <w:spacing w:before="0"/>
              <w:rPr>
                <w:sz w:val="20"/>
              </w:rPr>
            </w:pPr>
            <w:r>
              <w:rPr>
                <w:sz w:val="20"/>
              </w:rPr>
              <w:t>…………..…………………………………………………………….</w:t>
            </w:r>
          </w:p>
        </w:tc>
      </w:tr>
      <w:tr>
        <w:trPr>
          <w:cantSplit/>
        </w:trPr>
        <w:tc>
          <w:tcPr>
            <w:tcW w:w="1428" w:type="dxa"/>
            <w:vMerge w:val="restart"/>
          </w:tcPr>
          <w:p>
            <w:pPr>
              <w:pStyle w:val="yTableNAm"/>
              <w:keepNext/>
              <w:keepLines/>
              <w:spacing w:before="0"/>
              <w:rPr>
                <w:b/>
                <w:sz w:val="20"/>
              </w:rPr>
            </w:pPr>
            <w:r>
              <w:rPr>
                <w:b/>
                <w:sz w:val="20"/>
              </w:rPr>
              <w:t>Infringement Notice</w:t>
            </w:r>
          </w:p>
        </w:tc>
        <w:tc>
          <w:tcPr>
            <w:tcW w:w="5768" w:type="dxa"/>
            <w:gridSpan w:val="2"/>
          </w:tcPr>
          <w:p>
            <w:pPr>
              <w:pStyle w:val="yTableNAm"/>
              <w:keepNext/>
              <w:keepLines/>
              <w:spacing w:before="0"/>
              <w:rPr>
                <w:sz w:val="20"/>
              </w:rPr>
            </w:pPr>
            <w:r>
              <w:rPr>
                <w:sz w:val="20"/>
              </w:rPr>
              <w:t>Infringement Notice No.</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keepNext/>
              <w:keepLines/>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Date of issue  ………/……../20…….</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Alleged offence ….…..……………………………………………….</w:t>
            </w:r>
          </w:p>
          <w:p>
            <w:pPr>
              <w:pStyle w:val="yTableNAm"/>
              <w:keepNext/>
              <w:keepLines/>
              <w:spacing w:before="0"/>
              <w:rPr>
                <w:sz w:val="20"/>
              </w:rPr>
            </w:pPr>
            <w:r>
              <w:rPr>
                <w:sz w:val="20"/>
              </w:rPr>
              <w:t>………………………………………………………………………...</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9"/>
          <w:headerReference w:type="default" r:id="rId30"/>
          <w:endnotePr>
            <w:numFmt w:val="decimal"/>
          </w:endnotePr>
          <w:pgSz w:w="11906" w:h="16838" w:code="9"/>
          <w:pgMar w:top="2381" w:right="2410" w:bottom="3544" w:left="2410" w:header="720" w:footer="3380" w:gutter="0"/>
          <w:cols w:space="720"/>
          <w:docGrid w:linePitch="326"/>
        </w:sectPr>
      </w:pPr>
    </w:p>
    <w:p>
      <w:pPr>
        <w:pStyle w:val="nHeading2"/>
      </w:pPr>
      <w:bookmarkStart w:id="43" w:name="_Toc390432487"/>
      <w:r>
        <w:t>Notes</w:t>
      </w:r>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4" w:name="_Toc390432488"/>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rPr>
              <w:t>bl. 1 and 2: 17 Apr 2009 (see bl. 2(a));</w:t>
            </w:r>
            <w:r>
              <w:rPr>
                <w:snapToGrid w:val="0"/>
                <w:spacing w:val="-2"/>
                <w:sz w:val="19"/>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rPr>
            </w:pPr>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rPr>
            </w:pPr>
            <w:r>
              <w:rPr>
                <w:snapToGrid w:val="0"/>
                <w:spacing w:val="-2"/>
                <w:sz w:val="19"/>
              </w:rPr>
              <w:t>bl. 1 and 2: 24 Jun 2011 (see bl. 2(a));</w:t>
            </w:r>
            <w:r>
              <w:rPr>
                <w:snapToGrid w:val="0"/>
                <w:spacing w:val="-2"/>
                <w:sz w:val="19"/>
              </w:rPr>
              <w:br/>
              <w:t xml:space="preserve">By-laws other than bl. 1 and 2: </w:t>
            </w:r>
            <w:r>
              <w:rPr>
                <w:snapToGrid w:val="0"/>
                <w:sz w:val="19"/>
              </w:rPr>
              <w:t>1 Jul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nil"/>
            </w:tcBorders>
          </w:tcPr>
          <w:p>
            <w:pPr>
              <w:pStyle w:val="nTable"/>
              <w:spacing w:after="40"/>
              <w:rPr>
                <w:sz w:val="19"/>
              </w:rPr>
            </w:pPr>
            <w:r>
              <w:rPr>
                <w:sz w:val="19"/>
              </w:rPr>
              <w:t>23 Dec 2011 p. 5434</w:t>
            </w:r>
            <w:r>
              <w:rPr>
                <w:sz w:val="19"/>
              </w:rPr>
              <w:noBreakHyphen/>
              <w:t>8</w:t>
            </w:r>
          </w:p>
        </w:tc>
        <w:tc>
          <w:tcPr>
            <w:tcW w:w="2693" w:type="dxa"/>
            <w:tcBorders>
              <w:top w:val="nil"/>
              <w:bottom w:val="nil"/>
            </w:tcBorders>
          </w:tcPr>
          <w:p>
            <w:pPr>
              <w:pStyle w:val="nTable"/>
              <w:spacing w:after="40"/>
              <w:rPr>
                <w:snapToGrid w:val="0"/>
                <w:spacing w:val="-2"/>
                <w:sz w:val="19"/>
              </w:rPr>
            </w:pPr>
            <w:r>
              <w:rPr>
                <w:snapToGrid w:val="0"/>
                <w:spacing w:val="-2"/>
                <w:sz w:val="19"/>
              </w:rPr>
              <w:t>bl. 1 and 2: 23 Dec 2011 (see bl. 2(a));</w:t>
            </w:r>
            <w:r>
              <w:rPr>
                <w:snapToGrid w:val="0"/>
                <w:spacing w:val="-2"/>
                <w:sz w:val="19"/>
              </w:rPr>
              <w:br/>
              <w:t xml:space="preserve">By-laws other than bl. 1 and 2: </w:t>
            </w:r>
            <w:r>
              <w:rPr>
                <w:snapToGrid w:val="0"/>
                <w:sz w:val="19"/>
              </w:rPr>
              <w:t>1 Jan 2012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2012</w:t>
            </w:r>
          </w:p>
        </w:tc>
        <w:tc>
          <w:tcPr>
            <w:tcW w:w="1276" w:type="dxa"/>
            <w:tcBorders>
              <w:top w:val="nil"/>
              <w:bottom w:val="nil"/>
            </w:tcBorders>
          </w:tcPr>
          <w:p>
            <w:pPr>
              <w:pStyle w:val="nTable"/>
              <w:spacing w:after="40"/>
              <w:rPr>
                <w:sz w:val="19"/>
              </w:rPr>
            </w:pPr>
            <w:r>
              <w:rPr>
                <w:sz w:val="19"/>
              </w:rPr>
              <w:t>23 Oct 2012 p. 5056</w:t>
            </w:r>
          </w:p>
        </w:tc>
        <w:tc>
          <w:tcPr>
            <w:tcW w:w="2693" w:type="dxa"/>
            <w:tcBorders>
              <w:top w:val="nil"/>
              <w:bottom w:val="nil"/>
            </w:tcBorders>
          </w:tcPr>
          <w:p>
            <w:pPr>
              <w:pStyle w:val="nTable"/>
              <w:spacing w:after="40"/>
              <w:rPr>
                <w:snapToGrid w:val="0"/>
                <w:spacing w:val="-2"/>
                <w:sz w:val="19"/>
              </w:rPr>
            </w:pPr>
            <w:r>
              <w:rPr>
                <w:snapToGrid w:val="0"/>
                <w:spacing w:val="-2"/>
                <w:sz w:val="19"/>
              </w:rPr>
              <w:t>bl. 1 and 2: 23 Oct 2012 (see bl. 2(a));</w:t>
            </w:r>
            <w:r>
              <w:rPr>
                <w:snapToGrid w:val="0"/>
                <w:spacing w:val="-2"/>
                <w:sz w:val="19"/>
              </w:rPr>
              <w:br/>
              <w:t>By-laws other than bl. 1 and 2: 24 Oct 2012 (see bl. 2(b))</w:t>
            </w:r>
          </w:p>
        </w:tc>
      </w:tr>
      <w:tr>
        <w:tc>
          <w:tcPr>
            <w:tcW w:w="3118" w:type="dxa"/>
            <w:tcBorders>
              <w:top w:val="nil"/>
              <w:bottom w:val="nil"/>
            </w:tcBorders>
          </w:tcPr>
          <w:p>
            <w:pPr>
              <w:pStyle w:val="nTable"/>
              <w:spacing w:after="40"/>
              <w:rPr>
                <w:i/>
                <w:iCs/>
                <w:sz w:val="19"/>
              </w:rPr>
            </w:pPr>
            <w:r>
              <w:rPr>
                <w:i/>
                <w:iCs/>
                <w:sz w:val="19"/>
              </w:rPr>
              <w:t>Royal Perth Hospital Amendment By</w:t>
            </w:r>
            <w:r>
              <w:rPr>
                <w:i/>
                <w:iCs/>
                <w:sz w:val="19"/>
              </w:rPr>
              <w:noBreakHyphen/>
              <w:t>laws 2013</w:t>
            </w:r>
          </w:p>
        </w:tc>
        <w:tc>
          <w:tcPr>
            <w:tcW w:w="1276" w:type="dxa"/>
            <w:tcBorders>
              <w:top w:val="nil"/>
              <w:bottom w:val="nil"/>
            </w:tcBorders>
          </w:tcPr>
          <w:p>
            <w:pPr>
              <w:pStyle w:val="nTable"/>
              <w:spacing w:after="40"/>
              <w:rPr>
                <w:sz w:val="19"/>
              </w:rPr>
            </w:pPr>
            <w:r>
              <w:rPr>
                <w:sz w:val="19"/>
              </w:rPr>
              <w:t>28 Jun 2013 p. 2751</w:t>
            </w:r>
          </w:p>
        </w:tc>
        <w:tc>
          <w:tcPr>
            <w:tcW w:w="2693" w:type="dxa"/>
            <w:tcBorders>
              <w:top w:val="nil"/>
              <w:bottom w:val="nil"/>
            </w:tcBorders>
          </w:tcPr>
          <w:p>
            <w:pPr>
              <w:pStyle w:val="nTable"/>
              <w:spacing w:after="40"/>
              <w:rPr>
                <w:snapToGrid w:val="0"/>
                <w:spacing w:val="-2"/>
                <w:sz w:val="19"/>
              </w:rPr>
            </w:pPr>
            <w:r>
              <w:rPr>
                <w:snapToGrid w:val="0"/>
                <w:spacing w:val="-2"/>
                <w:sz w:val="19"/>
              </w:rPr>
              <w:t>bl. 1 and 2: 28 Jun 2013 (see bl. 2(a));</w:t>
            </w:r>
            <w:r>
              <w:rPr>
                <w:snapToGrid w:val="0"/>
                <w:spacing w:val="-2"/>
                <w:sz w:val="19"/>
              </w:rPr>
              <w:br/>
              <w:t>By-laws other than bl. 1 and 2: 1 Jul 2013 (see bl. 2(b))</w:t>
            </w:r>
          </w:p>
        </w:tc>
      </w:tr>
      <w:tr>
        <w:tc>
          <w:tcPr>
            <w:tcW w:w="7087" w:type="dxa"/>
            <w:gridSpan w:val="3"/>
            <w:tcBorders>
              <w:top w:val="nil"/>
              <w:bottom w:val="single" w:sz="8" w:space="0" w:color="auto"/>
            </w:tcBorders>
          </w:tcPr>
          <w:p>
            <w:pPr>
              <w:pStyle w:val="nTable"/>
              <w:spacing w:after="40"/>
              <w:rPr>
                <w:snapToGrid w:val="0"/>
                <w:spacing w:val="-2"/>
                <w:sz w:val="19"/>
              </w:rPr>
            </w:pPr>
            <w:r>
              <w:rPr>
                <w:b/>
                <w:snapToGrid w:val="0"/>
                <w:spacing w:val="-2"/>
                <w:sz w:val="19"/>
              </w:rPr>
              <w:t xml:space="preserve">Reprint 1:  The </w:t>
            </w:r>
            <w:r>
              <w:rPr>
                <w:b/>
                <w:i/>
                <w:snapToGrid w:val="0"/>
                <w:spacing w:val="-2"/>
                <w:sz w:val="19"/>
              </w:rPr>
              <w:t>Royal Perth Hospital By-laws 2009</w:t>
            </w:r>
            <w:r>
              <w:rPr>
                <w:b/>
                <w:snapToGrid w:val="0"/>
                <w:spacing w:val="-2"/>
                <w:sz w:val="19"/>
              </w:rPr>
              <w:t xml:space="preserve"> as at 5 Jul 2013</w:t>
            </w:r>
            <w:r>
              <w:rPr>
                <w:snapToGrid w:val="0"/>
                <w:spacing w:val="-2"/>
                <w:sz w:val="19"/>
              </w:rPr>
              <w:t xml:space="preserve"> (includes amendments listed above)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 w:name="_Toc390432489"/>
      <w:r>
        <w:t>Provisions that have not come into operation</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keepNext/>
              <w:spacing w:after="40"/>
              <w:rPr>
                <w:b/>
                <w:sz w:val="19"/>
              </w:rPr>
            </w:pPr>
            <w:r>
              <w:rPr>
                <w:b/>
                <w:sz w:val="19"/>
              </w:rPr>
              <w:t>Citation</w:t>
            </w:r>
          </w:p>
        </w:tc>
        <w:tc>
          <w:tcPr>
            <w:tcW w:w="1276" w:type="dxa"/>
            <w:tcBorders>
              <w:top w:val="single" w:sz="8" w:space="0" w:color="auto"/>
              <w:bottom w:val="single" w:sz="8" w:space="0" w:color="auto"/>
            </w:tcBorders>
          </w:tcPr>
          <w:p>
            <w:pPr>
              <w:pStyle w:val="nTable"/>
              <w:keepNext/>
              <w:spacing w:after="40"/>
              <w:rPr>
                <w:b/>
                <w:sz w:val="19"/>
              </w:rPr>
            </w:pPr>
            <w:r>
              <w:rPr>
                <w:b/>
                <w:sz w:val="19"/>
              </w:rPr>
              <w:t>Gazettal</w:t>
            </w:r>
          </w:p>
        </w:tc>
        <w:tc>
          <w:tcPr>
            <w:tcW w:w="2693"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szCs w:val="19"/>
                <w:vertAlign w:val="superscript"/>
              </w:rPr>
            </w:pPr>
            <w:r>
              <w:rPr>
                <w:i/>
                <w:sz w:val="19"/>
                <w:szCs w:val="19"/>
              </w:rPr>
              <w:t>Royal Perth Hospital Amendment By</w:t>
            </w:r>
            <w:r>
              <w:rPr>
                <w:i/>
                <w:sz w:val="19"/>
                <w:szCs w:val="19"/>
              </w:rPr>
              <w:noBreakHyphen/>
              <w:t>laws 2014</w:t>
            </w:r>
            <w:r>
              <w:rPr>
                <w:sz w:val="19"/>
                <w:szCs w:val="19"/>
              </w:rPr>
              <w:t xml:space="preserve"> bl. 3</w:t>
            </w:r>
            <w:r>
              <w:rPr>
                <w:sz w:val="19"/>
                <w:szCs w:val="19"/>
              </w:rPr>
              <w:noBreakHyphen/>
              <w:t>6 </w:t>
            </w:r>
            <w:r>
              <w:rPr>
                <w:sz w:val="19"/>
                <w:szCs w:val="19"/>
                <w:vertAlign w:val="superscript"/>
              </w:rPr>
              <w:t>2</w:t>
            </w:r>
          </w:p>
        </w:tc>
        <w:tc>
          <w:tcPr>
            <w:tcW w:w="1276" w:type="dxa"/>
            <w:tcBorders>
              <w:top w:val="single" w:sz="8" w:space="0" w:color="auto"/>
              <w:bottom w:val="single" w:sz="4" w:space="0" w:color="auto"/>
            </w:tcBorders>
          </w:tcPr>
          <w:p>
            <w:pPr>
              <w:pStyle w:val="nTable"/>
              <w:spacing w:after="40"/>
              <w:rPr>
                <w:sz w:val="19"/>
                <w:szCs w:val="19"/>
              </w:rPr>
            </w:pPr>
            <w:r>
              <w:rPr>
                <w:sz w:val="19"/>
                <w:szCs w:val="19"/>
              </w:rPr>
              <w:t>13 Jun 2014 p. 1871-4</w:t>
            </w:r>
          </w:p>
        </w:tc>
        <w:tc>
          <w:tcPr>
            <w:tcW w:w="2693" w:type="dxa"/>
            <w:tcBorders>
              <w:top w:val="single" w:sz="8" w:space="0" w:color="auto"/>
              <w:bottom w:val="single" w:sz="4" w:space="0" w:color="auto"/>
            </w:tcBorders>
          </w:tcPr>
          <w:p>
            <w:pPr>
              <w:pStyle w:val="nTable"/>
              <w:spacing w:after="40"/>
              <w:rPr>
                <w:sz w:val="19"/>
                <w:szCs w:val="19"/>
              </w:rPr>
            </w:pPr>
            <w:r>
              <w:rPr>
                <w:sz w:val="19"/>
                <w:szCs w:val="19"/>
              </w:rPr>
              <w:t>1 Jul 2014 (see bl.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Royal Perth Hospital Amendment By</w:t>
      </w:r>
      <w:r>
        <w:rPr>
          <w:i/>
        </w:rPr>
        <w:noBreakHyphen/>
        <w:t>laws 2014</w:t>
      </w:r>
      <w:r>
        <w:t xml:space="preserve"> bl.</w:t>
      </w:r>
      <w:r>
        <w:rPr>
          <w:snapToGrid w:val="0"/>
        </w:rPr>
        <w:t xml:space="preserve"> 3</w:t>
      </w:r>
      <w:r>
        <w:rPr>
          <w:snapToGrid w:val="0"/>
        </w:rPr>
        <w:noBreakHyphen/>
        <w:t>6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Royal Perth Hospital By</w:t>
      </w:r>
      <w:r>
        <w:rPr>
          <w:i/>
        </w:rPr>
        <w:noBreakHyphen/>
        <w:t>laws 2009</w:t>
      </w:r>
      <w:r>
        <w:t>.</w:t>
      </w:r>
    </w:p>
    <w:p>
      <w:pPr>
        <w:pStyle w:val="nzHeading5"/>
      </w:pPr>
      <w:r>
        <w:rPr>
          <w:rStyle w:val="CharSectno"/>
        </w:rPr>
        <w:t>4</w:t>
      </w:r>
      <w:r>
        <w:t>.</w:t>
      </w:r>
      <w:r>
        <w:tab/>
        <w:t>By</w:t>
      </w:r>
      <w:r>
        <w:noBreakHyphen/>
        <w:t>law 20 amended</w:t>
      </w:r>
    </w:p>
    <w:p>
      <w:pPr>
        <w:pStyle w:val="nzSubsection"/>
      </w:pPr>
      <w:r>
        <w:tab/>
      </w:r>
      <w:r>
        <w:tab/>
        <w:t>In by</w:t>
      </w:r>
      <w:r>
        <w:noBreakHyphen/>
        <w:t>law 20(6) delete “punished, for” and insert:</w:t>
      </w:r>
    </w:p>
    <w:p>
      <w:pPr>
        <w:pStyle w:val="BlankOpen"/>
      </w:pPr>
    </w:p>
    <w:p>
      <w:pPr>
        <w:pStyle w:val="nzSubsection"/>
      </w:pPr>
      <w:r>
        <w:tab/>
      </w:r>
      <w:r>
        <w:tab/>
        <w:t>punished for,</w:t>
      </w:r>
    </w:p>
    <w:p>
      <w:pPr>
        <w:pStyle w:val="BlankClose"/>
      </w:pPr>
    </w:p>
    <w:p>
      <w:pPr>
        <w:pStyle w:val="nzHeading5"/>
      </w:pPr>
      <w:r>
        <w:rPr>
          <w:rStyle w:val="CharSectno"/>
        </w:rPr>
        <w:t>5</w:t>
      </w:r>
      <w:r>
        <w:t>.</w:t>
      </w:r>
      <w:r>
        <w:tab/>
        <w:t>Schedule 2A replaced</w:t>
      </w:r>
    </w:p>
    <w:p>
      <w:pPr>
        <w:pStyle w:val="nzSubsection"/>
      </w:pPr>
      <w:r>
        <w:tab/>
      </w:r>
      <w:r>
        <w:tab/>
        <w:t>Delete Schedule 2A and insert:</w:t>
      </w:r>
    </w:p>
    <w:p>
      <w:pPr>
        <w:pStyle w:val="BlankOpen"/>
      </w:pPr>
    </w:p>
    <w:p>
      <w:pPr>
        <w:pStyle w:val="nzHeading2"/>
      </w:pPr>
      <w:r>
        <w:t>Schedule 2A — Fees</w:t>
      </w:r>
    </w:p>
    <w:p>
      <w:pPr>
        <w:pStyle w:val="nzMiscellaneousBody"/>
        <w:jc w:val="right"/>
      </w:pPr>
      <w:r>
        <w:t>[bl. 17(4A)]</w:t>
      </w:r>
    </w:p>
    <w:p>
      <w:pPr>
        <w:pStyle w:val="y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261"/>
      </w:tblGrid>
      <w:tr>
        <w:trPr>
          <w:tblHeader/>
        </w:trPr>
        <w:tc>
          <w:tcPr>
            <w:tcW w:w="3260" w:type="dxa"/>
          </w:tcPr>
          <w:p>
            <w:pPr>
              <w:pStyle w:val="yTableNAm"/>
              <w:jc w:val="center"/>
              <w:rPr>
                <w:sz w:val="20"/>
              </w:rPr>
            </w:pPr>
            <w:r>
              <w:rPr>
                <w:b/>
                <w:sz w:val="20"/>
              </w:rPr>
              <w:t>Type of permit</w:t>
            </w:r>
          </w:p>
        </w:tc>
        <w:tc>
          <w:tcPr>
            <w:tcW w:w="3261" w:type="dxa"/>
          </w:tcPr>
          <w:p>
            <w:pPr>
              <w:pStyle w:val="yTableNAm"/>
              <w:jc w:val="center"/>
              <w:rPr>
                <w:sz w:val="20"/>
              </w:rPr>
            </w:pPr>
            <w:r>
              <w:rPr>
                <w:b/>
                <w:sz w:val="20"/>
              </w:rPr>
              <w:t>Fee</w:t>
            </w:r>
          </w:p>
        </w:tc>
      </w:tr>
      <w:tr>
        <w:tc>
          <w:tcPr>
            <w:tcW w:w="3260" w:type="dxa"/>
          </w:tcPr>
          <w:p>
            <w:pPr>
              <w:pStyle w:val="yTableNAm"/>
              <w:rPr>
                <w:sz w:val="20"/>
              </w:rPr>
            </w:pPr>
            <w:r>
              <w:rPr>
                <w:sz w:val="20"/>
              </w:rPr>
              <w:t>All types of parking permit at Wellington Street Campus</w:t>
            </w:r>
          </w:p>
        </w:tc>
        <w:tc>
          <w:tcPr>
            <w:tcW w:w="3261" w:type="dxa"/>
          </w:tcPr>
          <w:p>
            <w:pPr>
              <w:pStyle w:val="yTableNAm"/>
              <w:rPr>
                <w:sz w:val="20"/>
              </w:rPr>
            </w:pPr>
            <w:r>
              <w:rPr>
                <w:sz w:val="20"/>
              </w:rPr>
              <w:t>$5.50 (for each day on which the permit holder is permitted to park a vehicle on the site, up to a maximum of $27.50 per week)</w:t>
            </w:r>
          </w:p>
        </w:tc>
      </w:tr>
      <w:tr>
        <w:tc>
          <w:tcPr>
            <w:tcW w:w="3260" w:type="dxa"/>
          </w:tcPr>
          <w:p>
            <w:pPr>
              <w:pStyle w:val="yTableNAm"/>
              <w:rPr>
                <w:sz w:val="20"/>
              </w:rPr>
            </w:pPr>
            <w:r>
              <w:rPr>
                <w:sz w:val="20"/>
              </w:rPr>
              <w:t>All types of parking permit at Shenton Park Campus</w:t>
            </w:r>
          </w:p>
        </w:tc>
        <w:tc>
          <w:tcPr>
            <w:tcW w:w="3261" w:type="dxa"/>
          </w:tcPr>
          <w:p>
            <w:pPr>
              <w:pStyle w:val="yTableNAm"/>
              <w:rPr>
                <w:sz w:val="20"/>
              </w:rPr>
            </w:pPr>
            <w:r>
              <w:rPr>
                <w:sz w:val="20"/>
              </w:rPr>
              <w:t>no fee</w:t>
            </w:r>
          </w:p>
        </w:tc>
      </w:tr>
    </w:tbl>
    <w:p>
      <w:pPr>
        <w:pStyle w:val="BlankClose"/>
      </w:pPr>
    </w:p>
    <w:p>
      <w:pPr>
        <w:pStyle w:val="nzHeading5"/>
      </w:pPr>
      <w:r>
        <w:rPr>
          <w:rStyle w:val="CharSectno"/>
        </w:rPr>
        <w:t>6</w:t>
      </w:r>
      <w:r>
        <w:t>.</w:t>
      </w:r>
      <w:r>
        <w:tab/>
        <w:t>Schedule 3 replaced</w:t>
      </w:r>
    </w:p>
    <w:p>
      <w:pPr>
        <w:pStyle w:val="nzSubsection"/>
        <w:keepNext/>
      </w:pPr>
      <w:r>
        <w:tab/>
      </w:r>
      <w:r>
        <w:tab/>
        <w:t>Delete Schedule 3 and insert:</w:t>
      </w:r>
    </w:p>
    <w:p>
      <w:pPr>
        <w:pStyle w:val="BlankOpen"/>
      </w:pPr>
    </w:p>
    <w:p>
      <w:pPr>
        <w:pStyle w:val="nzHeading2"/>
      </w:pPr>
      <w:r>
        <w:t>Schedule 3 — Forms</w:t>
      </w:r>
    </w:p>
    <w:p>
      <w:pPr>
        <w:pStyle w:val="nzMiscellaneousBody"/>
        <w:jc w:val="right"/>
      </w:pPr>
      <w:r>
        <w:t>[bl. 20 and 21]</w:t>
      </w:r>
    </w:p>
    <w:p>
      <w:pPr>
        <w:pStyle w:val="zyMiscellaneousHeading"/>
        <w:rPr>
          <w:b/>
        </w:rPr>
      </w:pPr>
      <w:r>
        <w:rPr>
          <w:rStyle w:val="CharSClsNo"/>
          <w:b/>
        </w:rPr>
        <w:t>Form 1</w:t>
      </w:r>
      <w:r>
        <w:rPr>
          <w:b/>
        </w:rPr>
        <w:t>: Infringement Notice (by</w:t>
      </w:r>
      <w:r>
        <w:rPr>
          <w:b/>
        </w:rPr>
        <w:noBreakHyphen/>
        <w:t>law 20)</w:t>
      </w:r>
    </w:p>
    <w:p>
      <w:pPr>
        <w:pStyle w:val="zyMiscellaneousHeading"/>
        <w:keepNext w:val="0"/>
        <w:widowControl w:val="0"/>
      </w:pPr>
      <w:r>
        <w:t>Government of Western Australia</w:t>
      </w:r>
    </w:p>
    <w:p>
      <w:pPr>
        <w:pStyle w:val="zyMiscellaneousHeading"/>
        <w:keepNext w:val="0"/>
        <w:widowControl w:val="0"/>
        <w:rPr>
          <w:szCs w:val="22"/>
        </w:rPr>
      </w:pPr>
      <w:r>
        <w:rPr>
          <w:szCs w:val="22"/>
        </w:rPr>
        <w:t>Department of Health</w:t>
      </w:r>
    </w:p>
    <w:p>
      <w:pPr>
        <w:pStyle w:val="zyMiscellaneousHeading"/>
        <w:keepNext w:val="0"/>
        <w:widowControl w:val="0"/>
        <w:rPr>
          <w:szCs w:val="22"/>
        </w:rPr>
      </w:pPr>
      <w:r>
        <w:rPr>
          <w:szCs w:val="22"/>
        </w:rPr>
        <w:t>Metropolitan Access and Parking Department</w:t>
      </w:r>
    </w:p>
    <w:p>
      <w:pPr>
        <w:pStyle w:val="zyMiscellaneousHeading"/>
        <w:spacing w:after="120"/>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zyMiscellaneousHeading"/>
        <w:rPr>
          <w:b/>
          <w:bCs/>
        </w:rPr>
      </w:pPr>
      <w:r>
        <w:rPr>
          <w:rStyle w:val="CharSClsNo"/>
          <w:b/>
        </w:rPr>
        <w:t>Form 2</w:t>
      </w:r>
      <w:r>
        <w:rPr>
          <w:b/>
          <w:bCs/>
        </w:rPr>
        <w:t>: Withdrawal of Infringement Notice (by</w:t>
      </w:r>
      <w:r>
        <w:rPr>
          <w:b/>
          <w:bCs/>
        </w:rPr>
        <w:noBreakHyphen/>
        <w:t>law 21)</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nzMiscellaneousBody"/>
      </w:pPr>
    </w:p>
    <w:p>
      <w:pPr>
        <w:pStyle w:val="nzMiscellaneousBody"/>
        <w:rPr>
          <w:szCs w:val="22"/>
        </w:rPr>
      </w:pPr>
      <w:r>
        <w:rPr>
          <w:szCs w:val="22"/>
        </w:rPr>
        <w:t>Date ..................................</w:t>
      </w:r>
    </w:p>
    <w:p>
      <w:pPr>
        <w:pStyle w:val="nzMiscellaneousBody"/>
        <w:rPr>
          <w:szCs w:val="22"/>
        </w:rPr>
      </w:pPr>
      <w:r>
        <w:rPr>
          <w:szCs w:val="22"/>
        </w:rPr>
        <w:t>Infringement Notice ........................</w:t>
      </w:r>
    </w:p>
    <w:p>
      <w:pPr>
        <w:pStyle w:val="nzMiscellaneousBody"/>
        <w:rPr>
          <w:szCs w:val="22"/>
        </w:rPr>
      </w:pPr>
      <w:r>
        <w:rPr>
          <w:szCs w:val="22"/>
        </w:rPr>
        <w:t>Dear</w:t>
      </w:r>
    </w:p>
    <w:p>
      <w:pPr>
        <w:pStyle w:val="nzMiscellaneousBody"/>
        <w:rPr>
          <w:szCs w:val="22"/>
        </w:rPr>
      </w:pPr>
      <w:r>
        <w:rPr>
          <w:szCs w:val="22"/>
        </w:rPr>
        <w:t>Infringement notice No. ........................ served on you on ..............</w:t>
      </w:r>
    </w:p>
    <w:p>
      <w:pPr>
        <w:pStyle w:val="nzMiscellaneousBody"/>
        <w:rPr>
          <w:szCs w:val="22"/>
        </w:rPr>
      </w:pPr>
      <w:r>
        <w:rPr>
          <w:szCs w:val="22"/>
        </w:rPr>
        <w:t>for the alleged offence of .................................................................</w:t>
      </w:r>
    </w:p>
    <w:p>
      <w:pPr>
        <w:pStyle w:val="nzMiscellaneousBody"/>
        <w:rPr>
          <w:szCs w:val="22"/>
        </w:rPr>
      </w:pPr>
      <w:r>
        <w:rPr>
          <w:szCs w:val="22"/>
        </w:rPr>
        <w:t>........................................................................................................</w:t>
      </w:r>
    </w:p>
    <w:p>
      <w:pPr>
        <w:pStyle w:val="nzMiscellaneousBody"/>
        <w:rPr>
          <w:szCs w:val="22"/>
        </w:rPr>
      </w:pPr>
      <w:r>
        <w:rPr>
          <w:szCs w:val="22"/>
        </w:rPr>
        <w:t>........................................................................................................</w:t>
      </w:r>
    </w:p>
    <w:p>
      <w:pPr>
        <w:pStyle w:val="nzMiscellaneousBody"/>
        <w:rPr>
          <w:szCs w:val="22"/>
        </w:rPr>
      </w:pPr>
      <w:r>
        <w:rPr>
          <w:szCs w:val="22"/>
        </w:rPr>
        <w:t>is hereby withdrawn and no further action will be taken against you.</w:t>
      </w:r>
    </w:p>
    <w:p>
      <w:pPr>
        <w:pStyle w:val="nzMiscellaneousBody"/>
        <w:rPr>
          <w:szCs w:val="22"/>
        </w:rPr>
      </w:pPr>
      <w:r>
        <w:rPr>
          <w:szCs w:val="22"/>
        </w:rPr>
        <w:t>If you paid the modified penalty before the Infringement Notice was withdrawn, please contact 1800 753 191 or post receipt to</w:t>
      </w:r>
    </w:p>
    <w:p>
      <w:pPr>
        <w:pStyle w:val="nzMiscellaneousBody"/>
        <w:rPr>
          <w:szCs w:val="22"/>
        </w:rPr>
      </w:pPr>
      <w:r>
        <w:rPr>
          <w:szCs w:val="22"/>
        </w:rPr>
        <w:t>Metropolitan Access Parking</w:t>
      </w:r>
      <w:r>
        <w:rPr>
          <w:szCs w:val="22"/>
        </w:rPr>
        <w:br/>
        <w:t>PO Box 1135</w:t>
      </w:r>
      <w:r>
        <w:rPr>
          <w:szCs w:val="22"/>
        </w:rPr>
        <w:br/>
        <w:t>Osborne Park  WA  6916</w:t>
      </w:r>
    </w:p>
    <w:p>
      <w:pPr>
        <w:pStyle w:val="nzMiscellaneousBody"/>
        <w:rPr>
          <w:szCs w:val="22"/>
        </w:rPr>
      </w:pPr>
      <w:r>
        <w:rPr>
          <w:szCs w:val="22"/>
        </w:rPr>
        <w:t>Your payment will be refunded.</w:t>
      </w:r>
    </w:p>
    <w:p>
      <w:pPr>
        <w:pStyle w:val="nzMiscellaneousBody"/>
        <w:rPr>
          <w:szCs w:val="22"/>
        </w:rPr>
      </w:pPr>
    </w:p>
    <w:p>
      <w:pPr>
        <w:pStyle w:val="nzMiscellaneousBody"/>
        <w:rPr>
          <w:szCs w:val="22"/>
        </w:rPr>
      </w:pPr>
      <w:r>
        <w:rPr>
          <w:szCs w:val="22"/>
        </w:rPr>
        <w:t>Yours sincerely</w:t>
      </w:r>
    </w:p>
    <w:p>
      <w:pPr>
        <w:pStyle w:val="nzMiscellaneousBody"/>
        <w:rPr>
          <w:szCs w:val="22"/>
        </w:rPr>
      </w:pPr>
    </w:p>
    <w:p>
      <w:pPr>
        <w:pStyle w:val="nz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BlankClose"/>
      </w:pPr>
    </w:p>
    <w:p>
      <w:pPr>
        <w:pStyle w:val="BlankClose"/>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6" w:name="_Toc390432490"/>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 w:name="DefinedTerms"/>
      <w:bookmarkEnd w:id="47"/>
      <w:r>
        <w:t>alleged offender</w:t>
      </w:r>
      <w:r>
        <w:tab/>
        <w:t>19</w:t>
      </w:r>
    </w:p>
    <w:p>
      <w:pPr>
        <w:pStyle w:val="DefinedTerms"/>
      </w:pPr>
      <w:r>
        <w:t>authorised person</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 17(1)</w:t>
      </w:r>
    </w:p>
    <w:p>
      <w:pPr>
        <w:pStyle w:val="DefinedTerms"/>
      </w:pPr>
      <w:r>
        <w:t>speed restriction sign</w:t>
      </w:r>
      <w:r>
        <w:tab/>
        <w:t>3(1)</w:t>
      </w:r>
    </w:p>
    <w:p>
      <w:pPr>
        <w:pStyle w:val="DefinedTerms"/>
      </w:pPr>
      <w:r>
        <w:t>vehicle</w:t>
      </w:r>
      <w:r>
        <w:tab/>
        <w:t>3(1)</w:t>
      </w:r>
    </w:p>
    <w:p>
      <w:pPr>
        <w:pStyle w:val="DefinedTerms"/>
      </w:pPr>
      <w:r>
        <w:t>Wellington Street Campus</w:t>
      </w:r>
      <w:r>
        <w:tab/>
        <w:t>3(1)</w:t>
      </w:r>
    </w:p>
    <w:p/>
    <w:p>
      <w:pPr>
        <w:sectPr>
          <w:headerReference w:type="even" r:id="rId34"/>
          <w:headerReference w:type="default" r:id="rId35"/>
          <w:footerReference w:type="even"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rPr>
              <w:b/>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0</w:t>
          </w:r>
          <w:r>
            <w:fldChar w:fldCharType="end"/>
          </w:r>
        </w:p>
      </w:tc>
      <w:tc>
        <w:tcPr>
          <w:tcW w:w="5715" w:type="dxa"/>
        </w:tcPr>
        <w:p>
          <w:pPr>
            <w:pStyle w:val="HeaderTextLeft"/>
            <w:rPr>
              <w:b/>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fldSimple w:instr=" styleref CharSchText ">
            <w:r>
              <w:rPr>
                <w:noProof/>
              </w:rPr>
              <w:t>Infringement notices and modified penalties</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separate"/>
          </w:r>
          <w:r>
            <w:rPr>
              <w:bCs/>
              <w:noProof/>
            </w:rPr>
            <w:t>Schedule 2</w: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tabs>
              <w:tab w:val="left" w:pos="664"/>
            </w:tabs>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3141632"/>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5280</Words>
  <Characters>26032</Characters>
  <Application>Microsoft Office Word</Application>
  <DocSecurity>0</DocSecurity>
  <Lines>964</Lines>
  <Paragraphs>680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2009 - 01-b0-00</dc:title>
  <dc:subject/>
  <dc:creator/>
  <cp:keywords/>
  <dc:description/>
  <cp:lastModifiedBy>svcMRProcess</cp:lastModifiedBy>
  <cp:revision>4</cp:revision>
  <cp:lastPrinted>2013-07-11T06:14:00Z</cp:lastPrinted>
  <dcterms:created xsi:type="dcterms:W3CDTF">2018-09-18T00:38:00Z</dcterms:created>
  <dcterms:modified xsi:type="dcterms:W3CDTF">2018-09-18T00:38:00Z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20140613</vt:lpwstr>
  </property>
  <property fmtid="{D5CDD505-2E9C-101B-9397-08002B2CF9AE}" pid="4" name="AsAtDate">
    <vt:lpwstr>13 Jun 2014</vt:lpwstr>
  </property>
  <property fmtid="{D5CDD505-2E9C-101B-9397-08002B2CF9AE}" pid="5" name="Suffix">
    <vt:lpwstr>01-b0-00</vt:lpwstr>
  </property>
  <property fmtid="{D5CDD505-2E9C-101B-9397-08002B2CF9AE}" pid="6" name="OwlsUID">
    <vt:i4>40847</vt:i4>
  </property>
  <property fmtid="{D5CDD505-2E9C-101B-9397-08002B2CF9AE}" pid="7" name="ReprintNo">
    <vt:lpwstr>1</vt:lpwstr>
  </property>
  <property fmtid="{D5CDD505-2E9C-101B-9397-08002B2CF9AE}" pid="8" name="ReprintedAsAt">
    <vt:filetime>2013-07-04T16:00:00Z</vt:filetime>
  </property>
  <property fmtid="{D5CDD505-2E9C-101B-9397-08002B2CF9AE}" pid="9" name="DocumentType">
    <vt:lpwstr>Reg</vt:lpwstr>
  </property>
</Properties>
</file>