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10.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9264"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9" name="Picture 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Children’s Court of Western Australia Act 1988</w:t>
      </w:r>
      <w:r>
        <w:rPr>
          <w:sz w:val="48"/>
        </w:rPr>
        <w:fldChar w:fldCharType="end"/>
      </w:r>
    </w:p>
    <w:p>
      <w:pPr>
        <w:pStyle w:val="ReprintNo"/>
        <w:outlineLvl w:val="9"/>
      </w:pPr>
      <w:r>
        <w:t>Reprint 6:  The Act as at 13 June 2014</w:t>
      </w:r>
    </w:p>
    <w:p>
      <w:pPr>
        <w:tabs>
          <w:tab w:val="left" w:pos="567"/>
          <w:tab w:val="left" w:pos="851"/>
        </w:tabs>
        <w:ind w:left="851" w:hanging="851"/>
        <w:rPr>
          <w:b/>
          <w:sz w:val="20"/>
        </w:rPr>
      </w:pPr>
      <w:r>
        <w:rPr>
          <w:b/>
        </w:rPr>
        <w:br w:type="page"/>
      </w:r>
      <w:r>
        <w:rPr>
          <w:b/>
        </w:rPr>
        <w:lastRenderedPageBreak/>
        <w:tab/>
      </w:r>
      <w:r>
        <w:rPr>
          <w:b/>
        </w:rPr>
        <w:tab/>
      </w:r>
      <w:r>
        <w:rPr>
          <w:b/>
          <w:sz w:val="20"/>
        </w:rPr>
        <w:t>Guide for using this reprint</w:t>
      </w:r>
    </w:p>
    <w:p>
      <w:pPr>
        <w:tabs>
          <w:tab w:val="left" w:pos="567"/>
          <w:tab w:val="left" w:pos="851"/>
        </w:tabs>
        <w:spacing w:before="120" w:after="60"/>
        <w:ind w:left="851" w:hanging="851"/>
        <w:rPr>
          <w:sz w:val="20"/>
        </w:rPr>
      </w:pPr>
      <w:r>
        <w:rPr>
          <w:b/>
          <w:sz w:val="20"/>
        </w:rPr>
        <w:tab/>
      </w:r>
      <w:r>
        <w:rPr>
          <w:b/>
          <w:sz w:val="20"/>
        </w:rPr>
        <w:tab/>
      </w:r>
      <w:r>
        <w:rPr>
          <w:b/>
          <w:i/>
          <w:sz w:val="20"/>
        </w:rPr>
        <w:t>What the reprint includes</w:t>
      </w:r>
    </w:p>
    <w:p>
      <w:pPr>
        <w:tabs>
          <w:tab w:val="left" w:pos="851"/>
        </w:tabs>
        <w:ind w:left="1418" w:hanging="851"/>
        <w:rPr>
          <w:sz w:val="20"/>
        </w:rPr>
      </w:pPr>
      <w:r>
        <w:rPr>
          <w:sz w:val="20"/>
        </w:rPr>
        <w:object w:dxaOrig="6135" w:dyaOrig="5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6.75pt;height:27pt" o:ole="" fillcolor="window">
            <v:imagedata r:id="rId10" o:title=""/>
          </v:shape>
          <o:OLEObject Type="Embed" ProgID="Word.Picture.8" ShapeID="_x0000_i1025" DrawAspect="Content" ObjectID="_1644842167" r:id="rId11"/>
        </w:object>
      </w:r>
    </w:p>
    <w:p>
      <w:pPr>
        <w:tabs>
          <w:tab w:val="left" w:pos="567"/>
          <w:tab w:val="left" w:pos="851"/>
        </w:tabs>
        <w:spacing w:before="120"/>
        <w:ind w:left="851" w:hanging="851"/>
        <w:rPr>
          <w:b/>
          <w:i/>
          <w:sz w:val="20"/>
        </w:rPr>
      </w:pPr>
      <w:r>
        <w:rPr>
          <w:b/>
          <w:i/>
          <w:sz w:val="20"/>
        </w:rPr>
        <w:tab/>
      </w:r>
      <w:r>
        <w:rPr>
          <w:b/>
          <w:i/>
          <w:sz w:val="20"/>
        </w:rPr>
        <w:tab/>
        <w:t>Endnotes, Compilation table, and Table of provisions that have not come into operation</w:t>
      </w:r>
    </w:p>
    <w:p>
      <w:pPr>
        <w:tabs>
          <w:tab w:val="left" w:pos="567"/>
          <w:tab w:val="left" w:pos="851"/>
        </w:tabs>
        <w:ind w:left="851" w:hanging="851"/>
        <w:rPr>
          <w:sz w:val="20"/>
        </w:rPr>
      </w:pPr>
      <w:r>
        <w:rPr>
          <w:sz w:val="20"/>
        </w:rPr>
        <w:tab/>
        <w:t>1.</w:t>
      </w:r>
      <w:r>
        <w:rPr>
          <w:sz w:val="20"/>
        </w:rPr>
        <w:tab/>
        <w:t>Details about the original Act and legislation that has amended its text are shown in the Compilation table in endnote 1, at the back of the reprint.  The table also shows any previous reprint.</w:t>
      </w:r>
    </w:p>
    <w:p>
      <w:pPr>
        <w:tabs>
          <w:tab w:val="left" w:pos="567"/>
          <w:tab w:val="left" w:pos="851"/>
        </w:tabs>
        <w:spacing w:before="60"/>
        <w:ind w:left="851" w:hanging="851"/>
        <w:rPr>
          <w:sz w:val="20"/>
        </w:rPr>
      </w:pPr>
      <w:r>
        <w:rPr>
          <w:sz w:val="20"/>
        </w:rPr>
        <w:tab/>
        <w:t>2.</w:t>
      </w:r>
      <w:r>
        <w:rPr>
          <w:sz w:val="20"/>
        </w:rPr>
        <w:tab/>
        <w:t>Validation, transitional, savings, modifying or other provisions identified in the Compilation table may be important.  The table may refer to another endnote setting out the text of these provisions in full.</w:t>
      </w:r>
    </w:p>
    <w:p>
      <w:pPr>
        <w:tabs>
          <w:tab w:val="left" w:pos="567"/>
          <w:tab w:val="left" w:pos="851"/>
        </w:tabs>
        <w:spacing w:before="60"/>
        <w:ind w:left="851" w:hanging="851"/>
        <w:rPr>
          <w:sz w:val="20"/>
        </w:rPr>
      </w:pPr>
      <w:r>
        <w:rPr>
          <w:sz w:val="20"/>
        </w:rPr>
        <w:tab/>
        <w:t>3.</w:t>
      </w:r>
      <w:r>
        <w:rPr>
          <w:sz w:val="20"/>
        </w:rPr>
        <w:tab/>
        <w:t>A table of provisions that have not come into operation, to be found in endnote 1a if it is needed, lists any provisions of the Act being reprinted that have not come into operation and any amendments that have not come into operation.  The full text is set out in another endnote that is referred to in the table.</w:t>
      </w:r>
    </w:p>
    <w:p>
      <w:pPr>
        <w:tabs>
          <w:tab w:val="left" w:pos="567"/>
          <w:tab w:val="left" w:pos="851"/>
        </w:tabs>
        <w:spacing w:before="120"/>
        <w:ind w:left="851" w:hanging="851"/>
        <w:rPr>
          <w:b/>
          <w:i/>
          <w:sz w:val="20"/>
        </w:rPr>
      </w:pPr>
      <w:r>
        <w:rPr>
          <w:b/>
          <w:i/>
          <w:sz w:val="20"/>
        </w:rPr>
        <w:tab/>
      </w:r>
      <w:r>
        <w:rPr>
          <w:b/>
          <w:i/>
          <w:sz w:val="20"/>
        </w:rPr>
        <w:tab/>
        <w:t>Notes amongst text (italicised and within square brackets)</w:t>
      </w:r>
    </w:p>
    <w:p>
      <w:pPr>
        <w:tabs>
          <w:tab w:val="left" w:pos="567"/>
          <w:tab w:val="left" w:pos="851"/>
        </w:tabs>
        <w:ind w:left="851" w:hanging="851"/>
        <w:rPr>
          <w:sz w:val="20"/>
        </w:rPr>
      </w:pPr>
      <w:r>
        <w:rPr>
          <w:sz w:val="20"/>
        </w:rPr>
        <w:tab/>
        <w:t>1.</w:t>
      </w:r>
      <w:r>
        <w:rPr>
          <w:sz w:val="20"/>
        </w:rPr>
        <w:tab/>
        <w:t>If the reprint includes a section that was inserted, or has been amended, since the Act being reprinted was passed, editorial notes at the foot of the section give some history of how the section came to be as it is.  If the section replaced an earlier section, no history of the earlier section is given (the full history of the Act is in the Compilation table).</w:t>
      </w:r>
    </w:p>
    <w:p>
      <w:pPr>
        <w:tabs>
          <w:tab w:val="left" w:pos="567"/>
          <w:tab w:val="left" w:pos="851"/>
        </w:tabs>
        <w:spacing w:before="60"/>
        <w:ind w:left="851" w:hanging="851"/>
        <w:rPr>
          <w:sz w:val="20"/>
        </w:rPr>
      </w:pPr>
      <w:r>
        <w:rPr>
          <w:sz w:val="20"/>
        </w:rPr>
        <w:tab/>
      </w:r>
      <w:r>
        <w:rPr>
          <w:sz w:val="20"/>
        </w:rPr>
        <w:tab/>
        <w:t>Notes of this kind may also be at the foot of Schedules or headings.</w:t>
      </w:r>
    </w:p>
    <w:p>
      <w:pPr>
        <w:tabs>
          <w:tab w:val="left" w:pos="567"/>
          <w:tab w:val="left" w:pos="851"/>
        </w:tabs>
        <w:spacing w:before="60"/>
        <w:ind w:left="851" w:hanging="851"/>
        <w:rPr>
          <w:sz w:val="20"/>
        </w:rPr>
      </w:pPr>
      <w:r>
        <w:rPr>
          <w:sz w:val="20"/>
        </w:rPr>
        <w:tab/>
        <w:t>2.</w:t>
      </w:r>
      <w:r>
        <w:rPr>
          <w:sz w:val="20"/>
        </w:rPr>
        <w:tab/>
        <w:t xml:space="preserve">The other kind of editorial note shows something has been — </w:t>
      </w:r>
    </w:p>
    <w:p>
      <w:pPr>
        <w:numPr>
          <w:ilvl w:val="0"/>
          <w:numId w:val="15"/>
        </w:numPr>
        <w:tabs>
          <w:tab w:val="clear" w:pos="360"/>
          <w:tab w:val="num" w:pos="1209"/>
        </w:tabs>
        <w:ind w:left="1200"/>
        <w:rPr>
          <w:sz w:val="20"/>
        </w:rPr>
      </w:pPr>
      <w:r>
        <w:rPr>
          <w:sz w:val="20"/>
        </w:rPr>
        <w:t>removed (because it was repealed or deleted from the law); or</w:t>
      </w:r>
    </w:p>
    <w:p>
      <w:pPr>
        <w:numPr>
          <w:ilvl w:val="0"/>
          <w:numId w:val="15"/>
        </w:numPr>
        <w:tabs>
          <w:tab w:val="clear" w:pos="360"/>
          <w:tab w:val="num" w:pos="1209"/>
        </w:tabs>
        <w:ind w:left="1200"/>
        <w:rPr>
          <w:sz w:val="20"/>
        </w:rPr>
      </w:pPr>
      <w:r>
        <w:rPr>
          <w:sz w:val="20"/>
        </w:rPr>
        <w:t xml:space="preserve">omitted under the </w:t>
      </w:r>
      <w:r>
        <w:rPr>
          <w:i/>
          <w:sz w:val="20"/>
        </w:rPr>
        <w:t>Reprints Act 1984</w:t>
      </w:r>
      <w:r>
        <w:rPr>
          <w:sz w:val="20"/>
        </w:rPr>
        <w:t xml:space="preserve"> s. 7(4) (because, although still technically part of the text, it no longer has any effect).</w:t>
      </w:r>
    </w:p>
    <w:p>
      <w:pPr>
        <w:spacing w:before="60"/>
        <w:ind w:left="851"/>
        <w:rPr>
          <w:sz w:val="20"/>
        </w:rPr>
      </w:pPr>
      <w:r>
        <w:rPr>
          <w:sz w:val="20"/>
        </w:rPr>
        <w:t>The text of anything removed or omitted can be found in an earlier reprint (if there is one) or one of the written laws identified in the Compilation table.</w:t>
      </w:r>
    </w:p>
    <w:p>
      <w:pPr>
        <w:tabs>
          <w:tab w:val="left" w:pos="567"/>
          <w:tab w:val="left" w:pos="851"/>
        </w:tabs>
        <w:spacing w:before="120"/>
        <w:ind w:left="851" w:hanging="851"/>
        <w:outlineLvl w:val="0"/>
        <w:rPr>
          <w:b/>
          <w:i/>
          <w:sz w:val="20"/>
        </w:rPr>
      </w:pPr>
      <w:r>
        <w:rPr>
          <w:b/>
          <w:i/>
          <w:sz w:val="20"/>
        </w:rPr>
        <w:tab/>
      </w:r>
      <w:r>
        <w:rPr>
          <w:b/>
          <w:i/>
          <w:sz w:val="20"/>
        </w:rPr>
        <w:tab/>
        <w:t>Reprint numbering and date</w:t>
      </w:r>
    </w:p>
    <w:p>
      <w:pPr>
        <w:tabs>
          <w:tab w:val="left" w:pos="567"/>
        </w:tabs>
        <w:ind w:left="851" w:hanging="851"/>
        <w:rPr>
          <w:spacing w:val="-3"/>
          <w:sz w:val="20"/>
        </w:rPr>
      </w:pPr>
      <w:r>
        <w:rPr>
          <w:spacing w:val="-3"/>
          <w:sz w:val="20"/>
        </w:rPr>
        <w:tab/>
        <w:t>1.</w:t>
      </w:r>
      <w:r>
        <w:rPr>
          <w:spacing w:val="-3"/>
          <w:sz w:val="20"/>
        </w:rPr>
        <w:tab/>
        <w:t>The reprint number (in the footer of each page of the document) shows how many times the Act has been reprinted.  For example, numbering a reprint as “Reprint 3” would mean that the reprint was the 3</w:t>
      </w:r>
      <w:r>
        <w:rPr>
          <w:spacing w:val="-3"/>
          <w:sz w:val="20"/>
          <w:vertAlign w:val="superscript"/>
        </w:rPr>
        <w:t>rd</w:t>
      </w:r>
      <w:r>
        <w:rPr>
          <w:spacing w:val="-3"/>
          <w:sz w:val="20"/>
        </w:rPr>
        <w:t xml:space="preserve"> reprint since the Act was passed.  Reprint numbering was implemented as from 1 January 2003.</w:t>
      </w:r>
    </w:p>
    <w:p>
      <w:pPr>
        <w:tabs>
          <w:tab w:val="left" w:pos="567"/>
        </w:tabs>
        <w:spacing w:before="60"/>
        <w:ind w:left="851" w:hanging="851"/>
        <w:rPr>
          <w:spacing w:val="-3"/>
          <w:sz w:val="20"/>
        </w:rPr>
      </w:pPr>
      <w:r>
        <w:rPr>
          <w:spacing w:val="-3"/>
          <w:sz w:val="20"/>
        </w:rPr>
        <w:tab/>
        <w:t>2.</w:t>
      </w:r>
      <w:r>
        <w:rPr>
          <w:spacing w:val="-3"/>
          <w:sz w:val="20"/>
        </w:rPr>
        <w:tab/>
        <w:t>The information in the reprint is current on the date shown as the date as at which the Act is reprinted.  That date is not the date when the reprint was published by the State Law Publisher and it is probably not the date when the most recent amendment had effect.</w:t>
      </w:r>
    </w:p>
    <w:p/>
    <w:p>
      <w:pPr>
        <w:jc w:val="center"/>
        <w:rPr>
          <w:b/>
        </w:rPr>
        <w:sectPr>
          <w:headerReference w:type="even" r:id="rId12"/>
          <w:headerReference w:type="default" r:id="rId13"/>
          <w:footerReference w:type="even" r:id="rId14"/>
          <w:footerReference w:type="default" r:id="rId15"/>
          <w:headerReference w:type="first" r:id="rId16"/>
          <w:footerReference w:type="first" r:id="rId17"/>
          <w:pgSz w:w="11906" w:h="16838" w:code="9"/>
          <w:pgMar w:top="2381" w:right="2409" w:bottom="3515" w:left="2409"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13 June 2014</w:t>
            </w:r>
          </w:p>
        </w:tc>
      </w:tr>
    </w:tbl>
    <w:p>
      <w:pPr>
        <w:pStyle w:val="WA"/>
        <w:spacing w:before="120"/>
      </w:pPr>
      <w:r>
        <w:t>Western Australia</w:t>
      </w:r>
    </w:p>
    <w:p>
      <w:pPr>
        <w:pStyle w:val="NameofActRegPage1"/>
      </w:pPr>
      <w:r>
        <w:fldChar w:fldCharType="begin"/>
      </w:r>
      <w:r>
        <w:instrText xml:space="preserve"> STYLEREF "Name Of Act/Reg"</w:instrText>
      </w:r>
      <w:r>
        <w:fldChar w:fldCharType="separate"/>
      </w:r>
      <w:r>
        <w:rPr>
          <w:noProof/>
        </w:rPr>
        <w:t>Children’s Court of Western Australia Act 1988</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_Toc390852501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_Toc390852502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_Toc390852503 \h </w:instrText>
      </w:r>
      <w:r>
        <w:fldChar w:fldCharType="separate"/>
      </w:r>
      <w:r>
        <w:t>2</w:t>
      </w:r>
      <w:r>
        <w:fldChar w:fldCharType="end"/>
      </w:r>
    </w:p>
    <w:p>
      <w:pPr>
        <w:pStyle w:val="TOC8"/>
        <w:rPr>
          <w:rFonts w:asciiTheme="minorHAnsi" w:eastAsiaTheme="minorEastAsia" w:hAnsiTheme="minorHAnsi" w:cstheme="minorBidi"/>
          <w:szCs w:val="22"/>
        </w:rPr>
      </w:pPr>
      <w:r>
        <w:t>4.</w:t>
      </w:r>
      <w:r>
        <w:tab/>
        <w:t>Application of certain Acts</w:t>
      </w:r>
      <w:r>
        <w:tab/>
      </w:r>
      <w:r>
        <w:fldChar w:fldCharType="begin"/>
      </w:r>
      <w:r>
        <w:instrText xml:space="preserve"> PAGEREF _Toc390852504 \h </w:instrText>
      </w:r>
      <w:r>
        <w:fldChar w:fldCharType="separate"/>
      </w:r>
      <w:r>
        <w:t>3</w:t>
      </w:r>
      <w:r>
        <w:fldChar w:fldCharType="end"/>
      </w:r>
    </w:p>
    <w:p>
      <w:pPr>
        <w:pStyle w:val="TOC8"/>
        <w:rPr>
          <w:rFonts w:asciiTheme="minorHAnsi" w:eastAsiaTheme="minorEastAsia" w:hAnsiTheme="minorHAnsi" w:cstheme="minorBidi"/>
          <w:szCs w:val="22"/>
        </w:rPr>
      </w:pPr>
      <w:r>
        <w:t>5A.</w:t>
      </w:r>
      <w:r>
        <w:tab/>
      </w:r>
      <w:r>
        <w:rPr>
          <w:i/>
        </w:rPr>
        <w:t>Courts and Tribunals (Electronic Processes Facilitation) Act 2013</w:t>
      </w:r>
      <w:r>
        <w:t xml:space="preserve"> Part 2 applies</w:t>
      </w:r>
      <w:r>
        <w:tab/>
      </w:r>
      <w:r>
        <w:fldChar w:fldCharType="begin"/>
      </w:r>
      <w:r>
        <w:instrText xml:space="preserve"> PAGEREF _Toc390852505 \h </w:instrText>
      </w:r>
      <w:r>
        <w:fldChar w:fldCharType="separate"/>
      </w:r>
      <w:r>
        <w:t>4</w:t>
      </w:r>
      <w:r>
        <w:fldChar w:fldCharType="end"/>
      </w:r>
    </w:p>
    <w:p>
      <w:pPr>
        <w:pStyle w:val="TOC2"/>
        <w:tabs>
          <w:tab w:val="right" w:leader="dot" w:pos="7086"/>
        </w:tabs>
        <w:rPr>
          <w:rFonts w:asciiTheme="minorHAnsi" w:eastAsiaTheme="minorEastAsia" w:hAnsiTheme="minorHAnsi" w:cstheme="minorBidi"/>
          <w:b w:val="0"/>
          <w:sz w:val="22"/>
          <w:szCs w:val="22"/>
        </w:rPr>
      </w:pPr>
      <w:r>
        <w:t>Part 2 — Children’s Court of Western Australia</w:t>
      </w:r>
    </w:p>
    <w:p>
      <w:pPr>
        <w:pStyle w:val="TOC4"/>
        <w:tabs>
          <w:tab w:val="right" w:leader="dot" w:pos="7086"/>
        </w:tabs>
        <w:rPr>
          <w:rFonts w:asciiTheme="minorHAnsi" w:eastAsiaTheme="minorEastAsia" w:hAnsiTheme="minorHAnsi" w:cstheme="minorBidi"/>
          <w:b w:val="0"/>
          <w:szCs w:val="22"/>
        </w:rPr>
      </w:pPr>
      <w:r>
        <w:t>Division 1</w:t>
      </w:r>
      <w:r>
        <w:rPr>
          <w:snapToGrid w:val="0"/>
        </w:rPr>
        <w:t> — </w:t>
      </w:r>
      <w:r>
        <w:t>Establishment and constitution</w:t>
      </w:r>
    </w:p>
    <w:p>
      <w:pPr>
        <w:pStyle w:val="TOC8"/>
        <w:rPr>
          <w:rFonts w:asciiTheme="minorHAnsi" w:eastAsiaTheme="minorEastAsia" w:hAnsiTheme="minorHAnsi" w:cstheme="minorBidi"/>
          <w:szCs w:val="22"/>
        </w:rPr>
      </w:pPr>
      <w:r>
        <w:t>5</w:t>
      </w:r>
      <w:r>
        <w:rPr>
          <w:snapToGrid w:val="0"/>
        </w:rPr>
        <w:t>.</w:t>
      </w:r>
      <w:r>
        <w:rPr>
          <w:snapToGrid w:val="0"/>
        </w:rPr>
        <w:tab/>
        <w:t>Establishment of Court</w:t>
      </w:r>
      <w:r>
        <w:tab/>
      </w:r>
      <w:r>
        <w:fldChar w:fldCharType="begin"/>
      </w:r>
      <w:r>
        <w:instrText xml:space="preserve"> PAGEREF _Toc390852508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Constitution of Court</w:t>
      </w:r>
      <w:r>
        <w:tab/>
      </w:r>
      <w:r>
        <w:fldChar w:fldCharType="begin"/>
      </w:r>
      <w:r>
        <w:instrText xml:space="preserve"> PAGEREF _Toc390852509 \h </w:instrText>
      </w:r>
      <w:r>
        <w:fldChar w:fldCharType="separate"/>
      </w:r>
      <w:r>
        <w:t>5</w:t>
      </w:r>
      <w:r>
        <w:fldChar w:fldCharType="end"/>
      </w:r>
    </w:p>
    <w:p>
      <w:pPr>
        <w:pStyle w:val="TOC8"/>
        <w:rPr>
          <w:rFonts w:asciiTheme="minorHAnsi" w:eastAsiaTheme="minorEastAsia" w:hAnsiTheme="minorHAnsi" w:cstheme="minorBidi"/>
          <w:szCs w:val="22"/>
        </w:rPr>
      </w:pPr>
      <w:r>
        <w:t>6A.</w:t>
      </w:r>
      <w:r>
        <w:tab/>
        <w:t>Protection of judicial officers</w:t>
      </w:r>
      <w:r>
        <w:tab/>
      </w:r>
      <w:r>
        <w:fldChar w:fldCharType="begin"/>
      </w:r>
      <w:r>
        <w:instrText xml:space="preserve"> PAGEREF _Toc390852510 \h </w:instrText>
      </w:r>
      <w:r>
        <w:fldChar w:fldCharType="separate"/>
      </w:r>
      <w:r>
        <w:t>6</w:t>
      </w:r>
      <w:r>
        <w:fldChar w:fldCharType="end"/>
      </w:r>
    </w:p>
    <w:p>
      <w:pPr>
        <w:pStyle w:val="TOC4"/>
        <w:tabs>
          <w:tab w:val="right" w:leader="dot" w:pos="7086"/>
        </w:tabs>
        <w:rPr>
          <w:rFonts w:asciiTheme="minorHAnsi" w:eastAsiaTheme="minorEastAsia" w:hAnsiTheme="minorHAnsi" w:cstheme="minorBidi"/>
          <w:b w:val="0"/>
          <w:szCs w:val="22"/>
        </w:rPr>
      </w:pPr>
      <w:r>
        <w:t>Division 2</w:t>
      </w:r>
      <w:r>
        <w:rPr>
          <w:snapToGrid w:val="0"/>
        </w:rPr>
        <w:t> — </w:t>
      </w:r>
      <w:r>
        <w:t>Appointment of judges and magistrates</w:t>
      </w:r>
    </w:p>
    <w:p>
      <w:pPr>
        <w:pStyle w:val="TOC8"/>
        <w:rPr>
          <w:rFonts w:asciiTheme="minorHAnsi" w:eastAsiaTheme="minorEastAsia" w:hAnsiTheme="minorHAnsi" w:cstheme="minorBidi"/>
          <w:szCs w:val="22"/>
        </w:rPr>
      </w:pPr>
      <w:r>
        <w:t>7</w:t>
      </w:r>
      <w:r>
        <w:rPr>
          <w:snapToGrid w:val="0"/>
        </w:rPr>
        <w:t>.</w:t>
      </w:r>
      <w:r>
        <w:rPr>
          <w:snapToGrid w:val="0"/>
        </w:rPr>
        <w:tab/>
        <w:t>Appointment, terms, conditions etc. of judges</w:t>
      </w:r>
      <w:r>
        <w:tab/>
      </w:r>
      <w:r>
        <w:fldChar w:fldCharType="begin"/>
      </w:r>
      <w:r>
        <w:instrText xml:space="preserve"> PAGEREF _Toc390852512 \h </w:instrText>
      </w:r>
      <w:r>
        <w:fldChar w:fldCharType="separate"/>
      </w:r>
      <w:r>
        <w:t>7</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Tenure of office</w:t>
      </w:r>
      <w:r>
        <w:tab/>
      </w:r>
      <w:r>
        <w:fldChar w:fldCharType="begin"/>
      </w:r>
      <w:r>
        <w:instrText xml:space="preserve"> PAGEREF _Toc390852513 \h </w:instrText>
      </w:r>
      <w:r>
        <w:fldChar w:fldCharType="separate"/>
      </w:r>
      <w:r>
        <w:t>8</w:t>
      </w:r>
      <w:r>
        <w:fldChar w:fldCharType="end"/>
      </w:r>
    </w:p>
    <w:p>
      <w:pPr>
        <w:pStyle w:val="TOC8"/>
        <w:rPr>
          <w:rFonts w:asciiTheme="minorHAnsi" w:eastAsiaTheme="minorEastAsia" w:hAnsiTheme="minorHAnsi" w:cstheme="minorBidi"/>
          <w:szCs w:val="22"/>
        </w:rPr>
      </w:pPr>
      <w:r>
        <w:t>8A</w:t>
      </w:r>
      <w:r>
        <w:rPr>
          <w:snapToGrid w:val="0"/>
        </w:rPr>
        <w:t>.</w:t>
      </w:r>
      <w:r>
        <w:rPr>
          <w:snapToGrid w:val="0"/>
        </w:rPr>
        <w:tab/>
        <w:t>Absence etc. of President</w:t>
      </w:r>
      <w:r>
        <w:tab/>
      </w:r>
      <w:r>
        <w:fldChar w:fldCharType="begin"/>
      </w:r>
      <w:r>
        <w:instrText xml:space="preserve"> PAGEREF _Toc390852514 \h </w:instrText>
      </w:r>
      <w:r>
        <w:fldChar w:fldCharType="separate"/>
      </w:r>
      <w:r>
        <w:t>8</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Acting judge</w:t>
      </w:r>
      <w:r>
        <w:tab/>
      </w:r>
      <w:r>
        <w:fldChar w:fldCharType="begin"/>
      </w:r>
      <w:r>
        <w:instrText xml:space="preserve"> PAGEREF _Toc390852515 \h </w:instrText>
      </w:r>
      <w:r>
        <w:fldChar w:fldCharType="separate"/>
      </w:r>
      <w:r>
        <w:t>8</w:t>
      </w:r>
      <w:r>
        <w:fldChar w:fldCharType="end"/>
      </w:r>
    </w:p>
    <w:p>
      <w:pPr>
        <w:pStyle w:val="TOC8"/>
        <w:rPr>
          <w:rFonts w:asciiTheme="minorHAnsi" w:eastAsiaTheme="minorEastAsia" w:hAnsiTheme="minorHAnsi" w:cstheme="minorBidi"/>
          <w:szCs w:val="22"/>
        </w:rPr>
      </w:pPr>
      <w:r>
        <w:t>10.</w:t>
      </w:r>
      <w:r>
        <w:tab/>
        <w:t>Magistrates, appointment of</w:t>
      </w:r>
      <w:r>
        <w:tab/>
      </w:r>
      <w:r>
        <w:fldChar w:fldCharType="begin"/>
      </w:r>
      <w:r>
        <w:instrText xml:space="preserve"> PAGEREF _Toc390852516 \h </w:instrText>
      </w:r>
      <w:r>
        <w:fldChar w:fldCharType="separate"/>
      </w:r>
      <w:r>
        <w:t>9</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Oath or affirmation of office</w:t>
      </w:r>
      <w:r>
        <w:tab/>
      </w:r>
      <w:r>
        <w:fldChar w:fldCharType="begin"/>
      </w:r>
      <w:r>
        <w:instrText xml:space="preserve"> PAGEREF _Toc390852517 \h </w:instrText>
      </w:r>
      <w:r>
        <w:fldChar w:fldCharType="separate"/>
      </w:r>
      <w:r>
        <w:t>10</w:t>
      </w:r>
      <w:r>
        <w:fldChar w:fldCharType="end"/>
      </w:r>
    </w:p>
    <w:p>
      <w:pPr>
        <w:pStyle w:val="TOC4"/>
        <w:tabs>
          <w:tab w:val="right" w:leader="dot" w:pos="7086"/>
        </w:tabs>
        <w:rPr>
          <w:rFonts w:asciiTheme="minorHAnsi" w:eastAsiaTheme="minorEastAsia" w:hAnsiTheme="minorHAnsi" w:cstheme="minorBidi"/>
          <w:b w:val="0"/>
          <w:szCs w:val="22"/>
        </w:rPr>
      </w:pPr>
      <w:r>
        <w:t>Division 3</w:t>
      </w:r>
      <w:r>
        <w:rPr>
          <w:snapToGrid w:val="0"/>
        </w:rPr>
        <w:t> — </w:t>
      </w:r>
      <w:r>
        <w:t>Sittings of the Court</w:t>
      </w:r>
    </w:p>
    <w:p>
      <w:pPr>
        <w:pStyle w:val="TOC8"/>
        <w:rPr>
          <w:rFonts w:asciiTheme="minorHAnsi" w:eastAsiaTheme="minorEastAsia" w:hAnsiTheme="minorHAnsi" w:cstheme="minorBidi"/>
          <w:szCs w:val="22"/>
        </w:rPr>
      </w:pPr>
      <w:r>
        <w:t>13.</w:t>
      </w:r>
      <w:r>
        <w:tab/>
        <w:t>Where and when Court operates</w:t>
      </w:r>
      <w:r>
        <w:tab/>
      </w:r>
      <w:r>
        <w:fldChar w:fldCharType="begin"/>
      </w:r>
      <w:r>
        <w:instrText xml:space="preserve"> PAGEREF _Toc390852519 \h </w:instrText>
      </w:r>
      <w:r>
        <w:fldChar w:fldCharType="separate"/>
      </w:r>
      <w:r>
        <w:t>11</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Power to sit in chambers</w:t>
      </w:r>
      <w:r>
        <w:tab/>
      </w:r>
      <w:r>
        <w:fldChar w:fldCharType="begin"/>
      </w:r>
      <w:r>
        <w:instrText xml:space="preserve"> PAGEREF _Toc390852520 \h </w:instrText>
      </w:r>
      <w:r>
        <w:fldChar w:fldCharType="separate"/>
      </w:r>
      <w:r>
        <w:t>12</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Police officers to attend Court</w:t>
      </w:r>
      <w:r>
        <w:tab/>
      </w:r>
      <w:r>
        <w:fldChar w:fldCharType="begin"/>
      </w:r>
      <w:r>
        <w:instrText xml:space="preserve"> PAGEREF _Toc390852521 \h </w:instrText>
      </w:r>
      <w:r>
        <w:fldChar w:fldCharType="separate"/>
      </w:r>
      <w:r>
        <w:t>12</w:t>
      </w:r>
      <w:r>
        <w:fldChar w:fldCharType="end"/>
      </w:r>
    </w:p>
    <w:p>
      <w:pPr>
        <w:pStyle w:val="TOC4"/>
        <w:tabs>
          <w:tab w:val="right" w:leader="dot" w:pos="7086"/>
        </w:tabs>
        <w:rPr>
          <w:rFonts w:asciiTheme="minorHAnsi" w:eastAsiaTheme="minorEastAsia" w:hAnsiTheme="minorHAnsi" w:cstheme="minorBidi"/>
          <w:b w:val="0"/>
          <w:szCs w:val="22"/>
        </w:rPr>
      </w:pPr>
      <w:r>
        <w:t>Division 4</w:t>
      </w:r>
      <w:r>
        <w:rPr>
          <w:snapToGrid w:val="0"/>
        </w:rPr>
        <w:t> — </w:t>
      </w:r>
      <w:r>
        <w:t>Officers of the Court</w:t>
      </w:r>
    </w:p>
    <w:p>
      <w:pPr>
        <w:pStyle w:val="TOC8"/>
        <w:rPr>
          <w:rFonts w:asciiTheme="minorHAnsi" w:eastAsiaTheme="minorEastAsia" w:hAnsiTheme="minorHAnsi" w:cstheme="minorBidi"/>
          <w:szCs w:val="22"/>
        </w:rPr>
      </w:pPr>
      <w:r>
        <w:t>16.</w:t>
      </w:r>
      <w:r>
        <w:tab/>
        <w:t>Appointment of registrars etc.</w:t>
      </w:r>
      <w:r>
        <w:tab/>
      </w:r>
      <w:r>
        <w:fldChar w:fldCharType="begin"/>
      </w:r>
      <w:r>
        <w:instrText xml:space="preserve"> PAGEREF _Toc390852523 \h </w:instrText>
      </w:r>
      <w:r>
        <w:fldChar w:fldCharType="separate"/>
      </w:r>
      <w:r>
        <w:t>12</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 xml:space="preserve">Duties of </w:t>
      </w:r>
      <w:r>
        <w:t>registrar</w:t>
      </w:r>
      <w:r>
        <w:tab/>
      </w:r>
      <w:r>
        <w:fldChar w:fldCharType="begin"/>
      </w:r>
      <w:r>
        <w:instrText xml:space="preserve"> PAGEREF _Toc390852524 \h </w:instrText>
      </w:r>
      <w:r>
        <w:fldChar w:fldCharType="separate"/>
      </w:r>
      <w:r>
        <w:t>13</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 xml:space="preserve">Power of </w:t>
      </w:r>
      <w:r>
        <w:t>registrars</w:t>
      </w:r>
      <w:r>
        <w:rPr>
          <w:snapToGrid w:val="0"/>
        </w:rPr>
        <w:t xml:space="preserve"> to administer oaths etc.</w:t>
      </w:r>
      <w:r>
        <w:tab/>
      </w:r>
      <w:r>
        <w:fldChar w:fldCharType="begin"/>
      </w:r>
      <w:r>
        <w:instrText xml:space="preserve"> PAGEREF _Toc390852525 \h </w:instrText>
      </w:r>
      <w:r>
        <w:fldChar w:fldCharType="separate"/>
      </w:r>
      <w:r>
        <w:t>14</w:t>
      </w:r>
      <w:r>
        <w:fldChar w:fldCharType="end"/>
      </w:r>
    </w:p>
    <w:p>
      <w:pPr>
        <w:pStyle w:val="TOC2"/>
        <w:tabs>
          <w:tab w:val="right" w:leader="dot" w:pos="7086"/>
        </w:tabs>
        <w:rPr>
          <w:rFonts w:asciiTheme="minorHAnsi" w:eastAsiaTheme="minorEastAsia" w:hAnsiTheme="minorHAnsi" w:cstheme="minorBidi"/>
          <w:b w:val="0"/>
          <w:sz w:val="22"/>
          <w:szCs w:val="22"/>
        </w:rPr>
      </w:pPr>
      <w:r>
        <w:t>Part 3 — Jurisdiction of the Court</w:t>
      </w:r>
    </w:p>
    <w:p>
      <w:pPr>
        <w:pStyle w:val="TOC8"/>
        <w:rPr>
          <w:rFonts w:asciiTheme="minorHAnsi" w:eastAsiaTheme="minorEastAsia" w:hAnsiTheme="minorHAnsi" w:cstheme="minorBidi"/>
          <w:szCs w:val="22"/>
        </w:rPr>
      </w:pPr>
      <w:r>
        <w:t>19</w:t>
      </w:r>
      <w:r>
        <w:rPr>
          <w:snapToGrid w:val="0"/>
        </w:rPr>
        <w:t>.</w:t>
      </w:r>
      <w:r>
        <w:rPr>
          <w:snapToGrid w:val="0"/>
        </w:rPr>
        <w:tab/>
        <w:t>Criminal jurisdiction as regards children</w:t>
      </w:r>
      <w:r>
        <w:tab/>
      </w:r>
      <w:r>
        <w:fldChar w:fldCharType="begin"/>
      </w:r>
      <w:r>
        <w:instrText xml:space="preserve"> PAGEREF _Toc390852527 \h </w:instrText>
      </w:r>
      <w:r>
        <w:fldChar w:fldCharType="separate"/>
      </w:r>
      <w:r>
        <w:t>15</w:t>
      </w:r>
      <w:r>
        <w:fldChar w:fldCharType="end"/>
      </w:r>
    </w:p>
    <w:p>
      <w:pPr>
        <w:pStyle w:val="TOC8"/>
        <w:rPr>
          <w:rFonts w:asciiTheme="minorHAnsi" w:eastAsiaTheme="minorEastAsia" w:hAnsiTheme="minorHAnsi" w:cstheme="minorBidi"/>
          <w:szCs w:val="22"/>
        </w:rPr>
      </w:pPr>
      <w:r>
        <w:t>19A</w:t>
      </w:r>
      <w:r>
        <w:rPr>
          <w:snapToGrid w:val="0"/>
        </w:rPr>
        <w:t>.</w:t>
      </w:r>
      <w:r>
        <w:rPr>
          <w:snapToGrid w:val="0"/>
        </w:rPr>
        <w:tab/>
        <w:t>Application of sections 19B to 19E</w:t>
      </w:r>
      <w:r>
        <w:tab/>
      </w:r>
      <w:r>
        <w:fldChar w:fldCharType="begin"/>
      </w:r>
      <w:r>
        <w:instrText xml:space="preserve"> PAGEREF _Toc390852528 \h </w:instrText>
      </w:r>
      <w:r>
        <w:fldChar w:fldCharType="separate"/>
      </w:r>
      <w:r>
        <w:t>16</w:t>
      </w:r>
      <w:r>
        <w:fldChar w:fldCharType="end"/>
      </w:r>
    </w:p>
    <w:p>
      <w:pPr>
        <w:pStyle w:val="TOC8"/>
        <w:rPr>
          <w:rFonts w:asciiTheme="minorHAnsi" w:eastAsiaTheme="minorEastAsia" w:hAnsiTheme="minorHAnsi" w:cstheme="minorBidi"/>
          <w:szCs w:val="22"/>
        </w:rPr>
      </w:pPr>
      <w:r>
        <w:t>19B</w:t>
      </w:r>
      <w:r>
        <w:rPr>
          <w:snapToGrid w:val="0"/>
        </w:rPr>
        <w:t>.</w:t>
      </w:r>
      <w:r>
        <w:rPr>
          <w:snapToGrid w:val="0"/>
        </w:rPr>
        <w:tab/>
        <w:t>Jurisdiction and procedure for charges of indictable offences</w:t>
      </w:r>
      <w:r>
        <w:tab/>
      </w:r>
      <w:r>
        <w:fldChar w:fldCharType="begin"/>
      </w:r>
      <w:r>
        <w:instrText xml:space="preserve"> PAGEREF _Toc390852529 \h </w:instrText>
      </w:r>
      <w:r>
        <w:fldChar w:fldCharType="separate"/>
      </w:r>
      <w:r>
        <w:t>16</w:t>
      </w:r>
      <w:r>
        <w:fldChar w:fldCharType="end"/>
      </w:r>
    </w:p>
    <w:p>
      <w:pPr>
        <w:pStyle w:val="TOC8"/>
        <w:rPr>
          <w:rFonts w:asciiTheme="minorHAnsi" w:eastAsiaTheme="minorEastAsia" w:hAnsiTheme="minorHAnsi" w:cstheme="minorBidi"/>
          <w:szCs w:val="22"/>
        </w:rPr>
      </w:pPr>
      <w:r>
        <w:t>19C</w:t>
      </w:r>
      <w:r>
        <w:rPr>
          <w:snapToGrid w:val="0"/>
        </w:rPr>
        <w:t>.</w:t>
      </w:r>
      <w:r>
        <w:rPr>
          <w:snapToGrid w:val="0"/>
        </w:rPr>
        <w:tab/>
        <w:t>Court may transfer charge to Magistrates Court where child and adult charged with same offence</w:t>
      </w:r>
      <w:r>
        <w:tab/>
      </w:r>
      <w:r>
        <w:fldChar w:fldCharType="begin"/>
      </w:r>
      <w:r>
        <w:instrText xml:space="preserve"> PAGEREF _Toc390852530 \h </w:instrText>
      </w:r>
      <w:r>
        <w:fldChar w:fldCharType="separate"/>
      </w:r>
      <w:r>
        <w:t>18</w:t>
      </w:r>
      <w:r>
        <w:fldChar w:fldCharType="end"/>
      </w:r>
    </w:p>
    <w:p>
      <w:pPr>
        <w:pStyle w:val="TOC8"/>
        <w:rPr>
          <w:rFonts w:asciiTheme="minorHAnsi" w:eastAsiaTheme="minorEastAsia" w:hAnsiTheme="minorHAnsi" w:cstheme="minorBidi"/>
          <w:szCs w:val="22"/>
        </w:rPr>
      </w:pPr>
      <w:r>
        <w:t>19D</w:t>
      </w:r>
      <w:r>
        <w:rPr>
          <w:snapToGrid w:val="0"/>
        </w:rPr>
        <w:t>.</w:t>
      </w:r>
      <w:r>
        <w:rPr>
          <w:snapToGrid w:val="0"/>
        </w:rPr>
        <w:tab/>
        <w:t>Court may transfer charge to Magistrates Court where accused has turned 18</w:t>
      </w:r>
      <w:r>
        <w:tab/>
      </w:r>
      <w:r>
        <w:fldChar w:fldCharType="begin"/>
      </w:r>
      <w:r>
        <w:instrText xml:space="preserve"> PAGEREF _Toc390852531 \h </w:instrText>
      </w:r>
      <w:r>
        <w:fldChar w:fldCharType="separate"/>
      </w:r>
      <w:r>
        <w:t>19</w:t>
      </w:r>
      <w:r>
        <w:fldChar w:fldCharType="end"/>
      </w:r>
    </w:p>
    <w:p>
      <w:pPr>
        <w:pStyle w:val="TOC8"/>
        <w:rPr>
          <w:rFonts w:asciiTheme="minorHAnsi" w:eastAsiaTheme="minorEastAsia" w:hAnsiTheme="minorHAnsi" w:cstheme="minorBidi"/>
          <w:szCs w:val="22"/>
        </w:rPr>
      </w:pPr>
      <w:r>
        <w:t>19E</w:t>
      </w:r>
      <w:r>
        <w:rPr>
          <w:snapToGrid w:val="0"/>
        </w:rPr>
        <w:t>.</w:t>
      </w:r>
      <w:r>
        <w:rPr>
          <w:snapToGrid w:val="0"/>
        </w:rPr>
        <w:tab/>
        <w:t>Procedure for charges of Commonwealth indictable offences</w:t>
      </w:r>
      <w:r>
        <w:tab/>
      </w:r>
      <w:r>
        <w:fldChar w:fldCharType="begin"/>
      </w:r>
      <w:r>
        <w:instrText xml:space="preserve"> PAGEREF _Toc390852532 \h </w:instrText>
      </w:r>
      <w:r>
        <w:fldChar w:fldCharType="separate"/>
      </w:r>
      <w:r>
        <w:t>20</w:t>
      </w:r>
      <w:r>
        <w:fldChar w:fldCharType="end"/>
      </w:r>
    </w:p>
    <w:p>
      <w:pPr>
        <w:pStyle w:val="TOC8"/>
        <w:rPr>
          <w:rFonts w:asciiTheme="minorHAnsi" w:eastAsiaTheme="minorEastAsia" w:hAnsiTheme="minorHAnsi" w:cstheme="minorBidi"/>
          <w:szCs w:val="22"/>
        </w:rPr>
      </w:pPr>
      <w:r>
        <w:t>19F</w:t>
      </w:r>
      <w:r>
        <w:rPr>
          <w:snapToGrid w:val="0"/>
        </w:rPr>
        <w:t>.</w:t>
      </w:r>
      <w:r>
        <w:rPr>
          <w:snapToGrid w:val="0"/>
        </w:rPr>
        <w:tab/>
        <w:t>Rules</w:t>
      </w:r>
      <w:r>
        <w:tab/>
      </w:r>
      <w:r>
        <w:fldChar w:fldCharType="begin"/>
      </w:r>
      <w:r>
        <w:instrText xml:space="preserve"> PAGEREF _Toc390852533 \h </w:instrText>
      </w:r>
      <w:r>
        <w:fldChar w:fldCharType="separate"/>
      </w:r>
      <w:r>
        <w:t>20</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Non</w:t>
      </w:r>
      <w:r>
        <w:rPr>
          <w:snapToGrid w:val="0"/>
        </w:rPr>
        <w:noBreakHyphen/>
        <w:t>criminal jurisdiction as regards children</w:t>
      </w:r>
      <w:r>
        <w:tab/>
      </w:r>
      <w:r>
        <w:fldChar w:fldCharType="begin"/>
      </w:r>
      <w:r>
        <w:instrText xml:space="preserve"> PAGEREF _Toc390852534 \h </w:instrText>
      </w:r>
      <w:r>
        <w:fldChar w:fldCharType="separate"/>
      </w:r>
      <w:r>
        <w:t>20</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Limitations on exercise of certain jurisdiction</w:t>
      </w:r>
      <w:r>
        <w:tab/>
      </w:r>
      <w:r>
        <w:fldChar w:fldCharType="begin"/>
      </w:r>
      <w:r>
        <w:instrText xml:space="preserve"> PAGEREF _Toc390852535 \h </w:instrText>
      </w:r>
      <w:r>
        <w:fldChar w:fldCharType="separate"/>
      </w:r>
      <w:r>
        <w:t>21</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President may extend powers of magistrate</w:t>
      </w:r>
      <w:r>
        <w:tab/>
      </w:r>
      <w:r>
        <w:fldChar w:fldCharType="begin"/>
      </w:r>
      <w:r>
        <w:instrText xml:space="preserve"> PAGEREF _Toc390852536 \h </w:instrText>
      </w:r>
      <w:r>
        <w:fldChar w:fldCharType="separate"/>
      </w:r>
      <w:r>
        <w:t>22</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Court may require attendance of parent or guardian</w:t>
      </w:r>
      <w:r>
        <w:tab/>
      </w:r>
      <w:r>
        <w:fldChar w:fldCharType="begin"/>
      </w:r>
      <w:r>
        <w:instrText xml:space="preserve"> PAGEREF _Toc390852537 \h </w:instrText>
      </w:r>
      <w:r>
        <w:fldChar w:fldCharType="separate"/>
      </w:r>
      <w:r>
        <w:t>23</w:t>
      </w:r>
      <w:r>
        <w:fldChar w:fldCharType="end"/>
      </w:r>
    </w:p>
    <w:p>
      <w:pPr>
        <w:pStyle w:val="TOC8"/>
        <w:rPr>
          <w:rFonts w:asciiTheme="minorHAnsi" w:eastAsiaTheme="minorEastAsia" w:hAnsiTheme="minorHAnsi" w:cstheme="minorBidi"/>
          <w:szCs w:val="22"/>
        </w:rPr>
      </w:pPr>
      <w:r>
        <w:t>24.</w:t>
      </w:r>
      <w:r>
        <w:tab/>
        <w:t>Criminal jurisdiction as regards adults</w:t>
      </w:r>
      <w:r>
        <w:tab/>
      </w:r>
      <w:r>
        <w:fldChar w:fldCharType="begin"/>
      </w:r>
      <w:r>
        <w:instrText xml:space="preserve"> PAGEREF _Toc390852538 \h </w:instrText>
      </w:r>
      <w:r>
        <w:fldChar w:fldCharType="separate"/>
      </w:r>
      <w:r>
        <w:t>24</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Certain orders may be set aside</w:t>
      </w:r>
      <w:r>
        <w:tab/>
      </w:r>
      <w:r>
        <w:fldChar w:fldCharType="begin"/>
      </w:r>
      <w:r>
        <w:instrText xml:space="preserve"> PAGEREF _Toc390852539 \h </w:instrText>
      </w:r>
      <w:r>
        <w:fldChar w:fldCharType="separate"/>
      </w:r>
      <w:r>
        <w:t>24</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Court may re</w:t>
      </w:r>
      <w:r>
        <w:rPr>
          <w:snapToGrid w:val="0"/>
        </w:rPr>
        <w:noBreakHyphen/>
        <w:t>hear proceedings</w:t>
      </w:r>
      <w:r>
        <w:tab/>
      </w:r>
      <w:r>
        <w:fldChar w:fldCharType="begin"/>
      </w:r>
      <w:r>
        <w:instrText xml:space="preserve"> PAGEREF _Toc390852540 \h </w:instrText>
      </w:r>
      <w:r>
        <w:fldChar w:fldCharType="separate"/>
      </w:r>
      <w:r>
        <w:t>25</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Witnesses and contempt</w:t>
      </w:r>
      <w:r>
        <w:tab/>
      </w:r>
      <w:r>
        <w:fldChar w:fldCharType="begin"/>
      </w:r>
      <w:r>
        <w:instrText xml:space="preserve"> PAGEREF _Toc390852541 \h </w:instrText>
      </w:r>
      <w:r>
        <w:fldChar w:fldCharType="separate"/>
      </w:r>
      <w:r>
        <w:t>26</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 xml:space="preserve">Transfer of complaint to court of </w:t>
      </w:r>
      <w:r>
        <w:t>competent jurisdiction</w:t>
      </w:r>
      <w:r>
        <w:tab/>
      </w:r>
      <w:r>
        <w:fldChar w:fldCharType="begin"/>
      </w:r>
      <w:r>
        <w:instrText xml:space="preserve"> PAGEREF _Toc390852542 \h </w:instrText>
      </w:r>
      <w:r>
        <w:fldChar w:fldCharType="separate"/>
      </w:r>
      <w:r>
        <w:t>27</w:t>
      </w:r>
      <w:r>
        <w:fldChar w:fldCharType="end"/>
      </w:r>
    </w:p>
    <w:p>
      <w:pPr>
        <w:pStyle w:val="TOC2"/>
        <w:tabs>
          <w:tab w:val="right" w:leader="dot" w:pos="7086"/>
        </w:tabs>
        <w:rPr>
          <w:rFonts w:asciiTheme="minorHAnsi" w:eastAsiaTheme="minorEastAsia" w:hAnsiTheme="minorHAnsi" w:cstheme="minorBidi"/>
          <w:b w:val="0"/>
          <w:sz w:val="22"/>
          <w:szCs w:val="22"/>
        </w:rPr>
      </w:pPr>
      <w:r>
        <w:t>Part 4 — Procedure of the Court</w:t>
      </w:r>
    </w:p>
    <w:p>
      <w:pPr>
        <w:pStyle w:val="TOC8"/>
        <w:rPr>
          <w:rFonts w:asciiTheme="minorHAnsi" w:eastAsiaTheme="minorEastAsia" w:hAnsiTheme="minorHAnsi" w:cstheme="minorBidi"/>
          <w:szCs w:val="22"/>
        </w:rPr>
      </w:pPr>
      <w:r>
        <w:t>31</w:t>
      </w:r>
      <w:r>
        <w:rPr>
          <w:snapToGrid w:val="0"/>
        </w:rPr>
        <w:t>.</w:t>
      </w:r>
      <w:r>
        <w:rPr>
          <w:snapToGrid w:val="0"/>
        </w:rPr>
        <w:tab/>
        <w:t>Exclusion of persons from hearing</w:t>
      </w:r>
      <w:r>
        <w:tab/>
      </w:r>
      <w:r>
        <w:fldChar w:fldCharType="begin"/>
      </w:r>
      <w:r>
        <w:instrText xml:space="preserve"> PAGEREF _Toc390852544 \h </w:instrText>
      </w:r>
      <w:r>
        <w:fldChar w:fldCharType="separate"/>
      </w:r>
      <w:r>
        <w:t>29</w:t>
      </w:r>
      <w:r>
        <w:fldChar w:fldCharType="end"/>
      </w:r>
    </w:p>
    <w:p>
      <w:pPr>
        <w:pStyle w:val="TOC8"/>
        <w:rPr>
          <w:rFonts w:asciiTheme="minorHAnsi" w:eastAsiaTheme="minorEastAsia" w:hAnsiTheme="minorHAnsi" w:cstheme="minorBidi"/>
          <w:szCs w:val="22"/>
        </w:rPr>
      </w:pPr>
      <w:r>
        <w:t>33.</w:t>
      </w:r>
      <w:r>
        <w:tab/>
        <w:t>CEOs or officers may take part in proceedings</w:t>
      </w:r>
      <w:r>
        <w:tab/>
      </w:r>
      <w:r>
        <w:fldChar w:fldCharType="begin"/>
      </w:r>
      <w:r>
        <w:instrText xml:space="preserve"> PAGEREF _Toc390852545 \h </w:instrText>
      </w:r>
      <w:r>
        <w:fldChar w:fldCharType="separate"/>
      </w:r>
      <w:r>
        <w:t>29</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Court must explain proceedings</w:t>
      </w:r>
      <w:r>
        <w:tab/>
      </w:r>
      <w:r>
        <w:fldChar w:fldCharType="begin"/>
      </w:r>
      <w:r>
        <w:instrText xml:space="preserve"> PAGEREF _Toc390852546 \h </w:instrText>
      </w:r>
      <w:r>
        <w:fldChar w:fldCharType="separate"/>
      </w:r>
      <w:r>
        <w:t>30</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Restrictions on reports of proceedings</w:t>
      </w:r>
      <w:r>
        <w:tab/>
      </w:r>
      <w:r>
        <w:fldChar w:fldCharType="begin"/>
      </w:r>
      <w:r>
        <w:instrText xml:space="preserve"> PAGEREF _Toc390852547 \h </w:instrText>
      </w:r>
      <w:r>
        <w:fldChar w:fldCharType="separate"/>
      </w:r>
      <w:r>
        <w:t>30</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Disclosure of convictions, orders etc. restricted</w:t>
      </w:r>
      <w:r>
        <w:tab/>
      </w:r>
      <w:r>
        <w:fldChar w:fldCharType="begin"/>
      </w:r>
      <w:r>
        <w:instrText xml:space="preserve"> PAGEREF _Toc390852548 \h </w:instrText>
      </w:r>
      <w:r>
        <w:fldChar w:fldCharType="separate"/>
      </w:r>
      <w:r>
        <w:t>32</w:t>
      </w:r>
      <w:r>
        <w:fldChar w:fldCharType="end"/>
      </w:r>
    </w:p>
    <w:p>
      <w:pPr>
        <w:pStyle w:val="TOC8"/>
        <w:rPr>
          <w:rFonts w:asciiTheme="minorHAnsi" w:eastAsiaTheme="minorEastAsia" w:hAnsiTheme="minorHAnsi" w:cstheme="minorBidi"/>
          <w:szCs w:val="22"/>
        </w:rPr>
      </w:pPr>
      <w:r>
        <w:t>36AA.</w:t>
      </w:r>
      <w:r>
        <w:tab/>
        <w:t>Disclosure for certain research purposes</w:t>
      </w:r>
      <w:r>
        <w:tab/>
      </w:r>
      <w:r>
        <w:fldChar w:fldCharType="begin"/>
      </w:r>
      <w:r>
        <w:instrText xml:space="preserve"> PAGEREF _Toc390852549 \h </w:instrText>
      </w:r>
      <w:r>
        <w:fldChar w:fldCharType="separate"/>
      </w:r>
      <w:r>
        <w:t>32</w:t>
      </w:r>
      <w:r>
        <w:fldChar w:fldCharType="end"/>
      </w:r>
    </w:p>
    <w:p>
      <w:pPr>
        <w:pStyle w:val="TOC8"/>
        <w:rPr>
          <w:rFonts w:asciiTheme="minorHAnsi" w:eastAsiaTheme="minorEastAsia" w:hAnsiTheme="minorHAnsi" w:cstheme="minorBidi"/>
          <w:szCs w:val="22"/>
        </w:rPr>
      </w:pPr>
      <w:r>
        <w:t>36A</w:t>
      </w:r>
      <w:r>
        <w:rPr>
          <w:snapToGrid w:val="0"/>
        </w:rPr>
        <w:t>.</w:t>
      </w:r>
      <w:r>
        <w:rPr>
          <w:snapToGrid w:val="0"/>
        </w:rPr>
        <w:tab/>
        <w:t>Supreme Court may allow publication etc.</w:t>
      </w:r>
      <w:r>
        <w:tab/>
      </w:r>
      <w:r>
        <w:fldChar w:fldCharType="begin"/>
      </w:r>
      <w:r>
        <w:instrText xml:space="preserve"> PAGEREF _Toc390852550 \h </w:instrText>
      </w:r>
      <w:r>
        <w:fldChar w:fldCharType="separate"/>
      </w:r>
      <w:r>
        <w:t>34</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Practice and procedure</w:t>
      </w:r>
      <w:r>
        <w:tab/>
      </w:r>
      <w:r>
        <w:fldChar w:fldCharType="begin"/>
      </w:r>
      <w:r>
        <w:instrText xml:space="preserve"> PAGEREF _Toc390852551 \h </w:instrText>
      </w:r>
      <w:r>
        <w:fldChar w:fldCharType="separate"/>
      </w:r>
      <w:r>
        <w:t>35</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Rules of court</w:t>
      </w:r>
      <w:r>
        <w:tab/>
      </w:r>
      <w:r>
        <w:fldChar w:fldCharType="begin"/>
      </w:r>
      <w:r>
        <w:instrText xml:space="preserve"> PAGEREF _Toc390852552 \h </w:instrText>
      </w:r>
      <w:r>
        <w:fldChar w:fldCharType="separate"/>
      </w:r>
      <w:r>
        <w:t>35</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Mode of enforcing orders by Court</w:t>
      </w:r>
      <w:r>
        <w:tab/>
      </w:r>
      <w:r>
        <w:fldChar w:fldCharType="begin"/>
      </w:r>
      <w:r>
        <w:instrText xml:space="preserve"> PAGEREF _Toc390852553 \h </w:instrText>
      </w:r>
      <w:r>
        <w:fldChar w:fldCharType="separate"/>
      </w:r>
      <w:r>
        <w:t>36</w:t>
      </w:r>
      <w:r>
        <w:fldChar w:fldCharType="end"/>
      </w:r>
    </w:p>
    <w:p>
      <w:pPr>
        <w:pStyle w:val="TOC8"/>
        <w:rPr>
          <w:rFonts w:asciiTheme="minorHAnsi" w:eastAsiaTheme="minorEastAsia" w:hAnsiTheme="minorHAnsi" w:cstheme="minorBidi"/>
          <w:szCs w:val="22"/>
        </w:rPr>
      </w:pPr>
      <w:r>
        <w:t>39A.</w:t>
      </w:r>
      <w:r>
        <w:tab/>
        <w:t>Judgments, enforcement of</w:t>
      </w:r>
      <w:r>
        <w:tab/>
      </w:r>
      <w:r>
        <w:fldChar w:fldCharType="begin"/>
      </w:r>
      <w:r>
        <w:instrText xml:space="preserve"> PAGEREF _Toc390852554 \h </w:instrText>
      </w:r>
      <w:r>
        <w:fldChar w:fldCharType="separate"/>
      </w:r>
      <w:r>
        <w:t>36</w:t>
      </w:r>
      <w:r>
        <w:fldChar w:fldCharType="end"/>
      </w:r>
    </w:p>
    <w:p>
      <w:pPr>
        <w:pStyle w:val="TOC2"/>
        <w:tabs>
          <w:tab w:val="right" w:leader="dot" w:pos="7086"/>
        </w:tabs>
        <w:rPr>
          <w:rFonts w:asciiTheme="minorHAnsi" w:eastAsiaTheme="minorEastAsia" w:hAnsiTheme="minorHAnsi" w:cstheme="minorBidi"/>
          <w:b w:val="0"/>
          <w:sz w:val="22"/>
          <w:szCs w:val="22"/>
        </w:rPr>
      </w:pPr>
      <w:r>
        <w:t>Part 5 — Review and appeal</w:t>
      </w:r>
    </w:p>
    <w:p>
      <w:pPr>
        <w:pStyle w:val="TOC8"/>
        <w:rPr>
          <w:rFonts w:asciiTheme="minorHAnsi" w:eastAsiaTheme="minorEastAsia" w:hAnsiTheme="minorHAnsi" w:cstheme="minorBidi"/>
          <w:szCs w:val="22"/>
        </w:rPr>
      </w:pPr>
      <w:r>
        <w:t>40</w:t>
      </w:r>
      <w:r>
        <w:rPr>
          <w:snapToGrid w:val="0"/>
        </w:rPr>
        <w:t>.</w:t>
      </w:r>
      <w:r>
        <w:rPr>
          <w:snapToGrid w:val="0"/>
        </w:rPr>
        <w:tab/>
        <w:t>Review by President of certain sentences</w:t>
      </w:r>
      <w:r>
        <w:tab/>
      </w:r>
      <w:r>
        <w:fldChar w:fldCharType="begin"/>
      </w:r>
      <w:r>
        <w:instrText xml:space="preserve"> PAGEREF _Toc390852556 \h </w:instrText>
      </w:r>
      <w:r>
        <w:fldChar w:fldCharType="separate"/>
      </w:r>
      <w:r>
        <w:t>37</w:t>
      </w:r>
      <w:r>
        <w:fldChar w:fldCharType="end"/>
      </w:r>
    </w:p>
    <w:p>
      <w:pPr>
        <w:pStyle w:val="TOC8"/>
        <w:rPr>
          <w:rFonts w:asciiTheme="minorHAnsi" w:eastAsiaTheme="minorEastAsia" w:hAnsiTheme="minorHAnsi" w:cstheme="minorBidi"/>
          <w:szCs w:val="22"/>
        </w:rPr>
      </w:pPr>
      <w:r>
        <w:t>41.</w:t>
      </w:r>
      <w:r>
        <w:tab/>
        <w:t>Appeals against decisions of magistrates etc.</w:t>
      </w:r>
      <w:r>
        <w:tab/>
      </w:r>
      <w:r>
        <w:fldChar w:fldCharType="begin"/>
      </w:r>
      <w:r>
        <w:instrText xml:space="preserve"> PAGEREF _Toc390852557 \h </w:instrText>
      </w:r>
      <w:r>
        <w:fldChar w:fldCharType="separate"/>
      </w:r>
      <w:r>
        <w:t>38</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Appeal against certain other orders</w:t>
      </w:r>
      <w:r>
        <w:tab/>
      </w:r>
      <w:r>
        <w:fldChar w:fldCharType="begin"/>
      </w:r>
      <w:r>
        <w:instrText xml:space="preserve"> PAGEREF _Toc390852558 \h </w:instrText>
      </w:r>
      <w:r>
        <w:fldChar w:fldCharType="separate"/>
      </w:r>
      <w:r>
        <w:t>38</w:t>
      </w:r>
      <w:r>
        <w:fldChar w:fldCharType="end"/>
      </w:r>
    </w:p>
    <w:p>
      <w:pPr>
        <w:pStyle w:val="TOC8"/>
        <w:rPr>
          <w:rFonts w:asciiTheme="minorHAnsi" w:eastAsiaTheme="minorEastAsia" w:hAnsiTheme="minorHAnsi" w:cstheme="minorBidi"/>
          <w:szCs w:val="22"/>
        </w:rPr>
      </w:pPr>
      <w:r>
        <w:t>42A.</w:t>
      </w:r>
      <w:r>
        <w:tab/>
        <w:t>Appeals from judges’ decisions in criminal matters</w:t>
      </w:r>
      <w:r>
        <w:tab/>
      </w:r>
      <w:r>
        <w:fldChar w:fldCharType="begin"/>
      </w:r>
      <w:r>
        <w:instrText xml:space="preserve"> PAGEREF _Toc390852559 \h </w:instrText>
      </w:r>
      <w:r>
        <w:fldChar w:fldCharType="separate"/>
      </w:r>
      <w:r>
        <w:t>39</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 xml:space="preserve">Appeals to </w:t>
      </w:r>
      <w:r>
        <w:t>Court of Appeal</w:t>
      </w:r>
      <w:r>
        <w:tab/>
      </w:r>
      <w:r>
        <w:fldChar w:fldCharType="begin"/>
      </w:r>
      <w:r>
        <w:instrText xml:space="preserve"> PAGEREF _Toc390852560 \h </w:instrText>
      </w:r>
      <w:r>
        <w:fldChar w:fldCharType="separate"/>
      </w:r>
      <w:r>
        <w:t>40</w:t>
      </w:r>
      <w:r>
        <w:fldChar w:fldCharType="end"/>
      </w:r>
    </w:p>
    <w:p>
      <w:pPr>
        <w:pStyle w:val="TOC2"/>
        <w:tabs>
          <w:tab w:val="right" w:leader="dot" w:pos="7086"/>
        </w:tabs>
        <w:rPr>
          <w:rFonts w:asciiTheme="minorHAnsi" w:eastAsiaTheme="minorEastAsia" w:hAnsiTheme="minorHAnsi" w:cstheme="minorBidi"/>
          <w:b w:val="0"/>
          <w:sz w:val="22"/>
          <w:szCs w:val="22"/>
        </w:rPr>
      </w:pPr>
      <w:r>
        <w:t>Part 7 — Miscellaneous</w:t>
      </w:r>
    </w:p>
    <w:p>
      <w:pPr>
        <w:pStyle w:val="TOC8"/>
        <w:rPr>
          <w:rFonts w:asciiTheme="minorHAnsi" w:eastAsiaTheme="minorEastAsia" w:hAnsiTheme="minorHAnsi" w:cstheme="minorBidi"/>
          <w:szCs w:val="22"/>
        </w:rPr>
      </w:pPr>
      <w:r>
        <w:t>51</w:t>
      </w:r>
      <w:r>
        <w:rPr>
          <w:snapToGrid w:val="0"/>
        </w:rPr>
        <w:t>.</w:t>
      </w:r>
      <w:r>
        <w:rPr>
          <w:snapToGrid w:val="0"/>
        </w:rPr>
        <w:tab/>
        <w:t>Forms of proceedings</w:t>
      </w:r>
      <w:r>
        <w:tab/>
      </w:r>
      <w:r>
        <w:fldChar w:fldCharType="begin"/>
      </w:r>
      <w:r>
        <w:instrText xml:space="preserve"> PAGEREF _Toc390852562 \h </w:instrText>
      </w:r>
      <w:r>
        <w:fldChar w:fldCharType="separate"/>
      </w:r>
      <w:r>
        <w:t>42</w:t>
      </w:r>
      <w:r>
        <w:fldChar w:fldCharType="end"/>
      </w:r>
    </w:p>
    <w:p>
      <w:pPr>
        <w:pStyle w:val="TOC8"/>
        <w:rPr>
          <w:rFonts w:asciiTheme="minorHAnsi" w:eastAsiaTheme="minorEastAsia" w:hAnsiTheme="minorHAnsi" w:cstheme="minorBidi"/>
          <w:szCs w:val="22"/>
        </w:rPr>
      </w:pPr>
      <w:r>
        <w:t>51A.</w:t>
      </w:r>
      <w:r>
        <w:tab/>
        <w:t>Court’s records, access to</w:t>
      </w:r>
      <w:r>
        <w:tab/>
      </w:r>
      <w:r>
        <w:fldChar w:fldCharType="begin"/>
      </w:r>
      <w:r>
        <w:instrText xml:space="preserve"> PAGEREF _Toc390852563 \h </w:instrText>
      </w:r>
      <w:r>
        <w:fldChar w:fldCharType="separate"/>
      </w:r>
      <w:r>
        <w:t>42</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Regulations</w:t>
      </w:r>
      <w:r>
        <w:tab/>
      </w:r>
      <w:r>
        <w:fldChar w:fldCharType="begin"/>
      </w:r>
      <w:r>
        <w:instrText xml:space="preserve"> PAGEREF _Toc390852564 \h </w:instrText>
      </w:r>
      <w:r>
        <w:fldChar w:fldCharType="separate"/>
      </w:r>
      <w:r>
        <w:t>44</w:t>
      </w:r>
      <w:r>
        <w:fldChar w:fldCharType="end"/>
      </w:r>
    </w:p>
    <w:p>
      <w:pPr>
        <w:pStyle w:val="TOC8"/>
        <w:rPr>
          <w:rFonts w:asciiTheme="minorHAnsi" w:eastAsiaTheme="minorEastAsia" w:hAnsiTheme="minorHAnsi" w:cstheme="minorBidi"/>
          <w:szCs w:val="22"/>
        </w:rPr>
      </w:pPr>
      <w:r>
        <w:t>53.</w:t>
      </w:r>
      <w:r>
        <w:tab/>
        <w:t>Fees, regulations may prescribe</w:t>
      </w:r>
      <w:r>
        <w:tab/>
      </w:r>
      <w:r>
        <w:fldChar w:fldCharType="begin"/>
      </w:r>
      <w:r>
        <w:instrText xml:space="preserve"> PAGEREF _Toc390852565 \h </w:instrText>
      </w:r>
      <w:r>
        <w:fldChar w:fldCharType="separate"/>
      </w:r>
      <w:r>
        <w:t>44</w:t>
      </w:r>
      <w:r>
        <w:fldChar w:fldCharType="end"/>
      </w:r>
    </w:p>
    <w:p>
      <w:pPr>
        <w:pStyle w:val="TOC2"/>
        <w:tabs>
          <w:tab w:val="right" w:leader="dot" w:pos="7086"/>
        </w:tabs>
        <w:rPr>
          <w:rFonts w:asciiTheme="minorHAnsi" w:eastAsiaTheme="minorEastAsia" w:hAnsiTheme="minorHAnsi" w:cstheme="minorBidi"/>
          <w:b w:val="0"/>
          <w:sz w:val="22"/>
          <w:szCs w:val="22"/>
        </w:rPr>
      </w:pPr>
      <w:r>
        <w:t>Schedule 1 — Oath and affirmation of office</w:t>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_Toc390852568 \h </w:instrText>
      </w:r>
      <w:r>
        <w:fldChar w:fldCharType="separate"/>
      </w:r>
      <w:r>
        <w:t>47</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_Toc390852569 \h </w:instrText>
      </w:r>
      <w:r>
        <w:fldChar w:fldCharType="separate"/>
      </w:r>
      <w:r>
        <w:t>50</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4"/>
      </w:pPr>
      <w:r>
        <w:fldChar w:fldCharType="end"/>
      </w:r>
    </w:p>
    <w:p>
      <w:pPr>
        <w:pStyle w:val="TOC4"/>
      </w:pP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8"/>
          <w:headerReference w:type="default" r:id="rId19"/>
          <w:footerReference w:type="even" r:id="rId20"/>
          <w:footerReference w:type="default" r:id="rId21"/>
          <w:headerReference w:type="first" r:id="rId22"/>
          <w:footerReference w:type="first" r:id="rId23"/>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 name="Picture 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at </w:t>
            </w:r>
            <w:r>
              <w:rPr>
                <w:b/>
                <w:sz w:val="22"/>
              </w:rPr>
              <w:fldChar w:fldCharType="begin"/>
            </w:r>
            <w:r>
              <w:rPr>
                <w:b/>
                <w:sz w:val="22"/>
              </w:rPr>
              <w:instrText xml:space="preserve"> DOCPROPERTY "ReprintedAsAt"  \@ </w:instrText>
            </w:r>
            <w:r>
              <w:rPr>
                <w:b/>
                <w:snapToGrid w:val="0"/>
                <w:sz w:val="22"/>
              </w:rPr>
              <w:instrText xml:space="preserve">"d MMMM yyyy" </w:instrText>
            </w:r>
            <w:r>
              <w:rPr>
                <w:b/>
                <w:sz w:val="22"/>
              </w:rPr>
              <w:instrText>\* MERGEFORMAT</w:instrText>
            </w:r>
            <w:r>
              <w:rPr>
                <w:b/>
                <w:sz w:val="22"/>
              </w:rPr>
              <w:fldChar w:fldCharType="separate"/>
            </w:r>
            <w:r>
              <w:rPr>
                <w:b/>
                <w:sz w:val="22"/>
              </w:rPr>
              <w:t>13</w:t>
            </w:r>
            <w:r>
              <w:rPr>
                <w:b/>
                <w:snapToGrid w:val="0"/>
                <w:sz w:val="22"/>
              </w:rPr>
              <w:t xml:space="preserve"> June 2014</w:t>
            </w:r>
            <w:r>
              <w:rPr>
                <w:b/>
                <w:sz w:val="22"/>
              </w:rPr>
              <w:fldChar w:fldCharType="end"/>
            </w:r>
          </w:p>
        </w:tc>
      </w:tr>
    </w:tbl>
    <w:p>
      <w:pPr>
        <w:pStyle w:val="WA"/>
        <w:spacing w:before="120"/>
      </w:pPr>
      <w:r>
        <w:t>Western Australia</w:t>
      </w:r>
    </w:p>
    <w:p>
      <w:pPr>
        <w:pStyle w:val="NameofActReg"/>
        <w:spacing w:before="960" w:after="1080"/>
      </w:pPr>
      <w:r>
        <w:t>Children’s Court of Western Australia Act 1988</w:t>
      </w:r>
    </w:p>
    <w:p>
      <w:pPr>
        <w:pStyle w:val="LongTitle"/>
        <w:spacing w:before="240"/>
        <w:rPr>
          <w:snapToGrid w:val="0"/>
        </w:rPr>
      </w:pPr>
      <w:r>
        <w:rPr>
          <w:snapToGrid w:val="0"/>
        </w:rPr>
        <w:t xml:space="preserve">An Act to establish the Children’s Court of </w:t>
      </w:r>
      <w:smartTag w:uri="urn:schemas-microsoft-com:office:smarttags" w:element="place">
        <w:smartTag w:uri="urn:schemas-microsoft-com:office:smarttags" w:element="State">
          <w:r>
            <w:rPr>
              <w:snapToGrid w:val="0"/>
            </w:rPr>
            <w:t>Western Australia</w:t>
          </w:r>
        </w:smartTag>
      </w:smartTag>
      <w:r>
        <w:rPr>
          <w:snapToGrid w:val="0"/>
        </w:rPr>
        <w:t xml:space="preserve"> and for related purposes.</w:t>
      </w:r>
    </w:p>
    <w:p>
      <w:pPr>
        <w:pStyle w:val="Heading2"/>
      </w:pPr>
      <w:bookmarkStart w:id="1" w:name="_Toc390852500"/>
      <w:r>
        <w:rPr>
          <w:rStyle w:val="CharPartNo"/>
        </w:rPr>
        <w:t>Part 1</w:t>
      </w:r>
      <w:r>
        <w:rPr>
          <w:rStyle w:val="CharDivNo"/>
        </w:rPr>
        <w:t> </w:t>
      </w:r>
      <w:r>
        <w:t>—</w:t>
      </w:r>
      <w:r>
        <w:rPr>
          <w:rStyle w:val="CharDivText"/>
        </w:rPr>
        <w:t> </w:t>
      </w:r>
      <w:r>
        <w:rPr>
          <w:rStyle w:val="CharPartText"/>
        </w:rPr>
        <w:t>Preliminary</w:t>
      </w:r>
      <w:bookmarkEnd w:id="1"/>
    </w:p>
    <w:p>
      <w:pPr>
        <w:pStyle w:val="Heading5"/>
        <w:spacing w:before="180"/>
        <w:rPr>
          <w:snapToGrid w:val="0"/>
        </w:rPr>
      </w:pPr>
      <w:bookmarkStart w:id="2" w:name="_Toc390852501"/>
      <w:r>
        <w:rPr>
          <w:rStyle w:val="CharSectno"/>
        </w:rPr>
        <w:t>1</w:t>
      </w:r>
      <w:r>
        <w:rPr>
          <w:snapToGrid w:val="0"/>
        </w:rPr>
        <w:t>.</w:t>
      </w:r>
      <w:r>
        <w:rPr>
          <w:snapToGrid w:val="0"/>
        </w:rPr>
        <w:tab/>
        <w:t>Short title</w:t>
      </w:r>
      <w:bookmarkEnd w:id="2"/>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 xml:space="preserve"> </w:t>
      </w:r>
      <w:r>
        <w:rPr>
          <w:snapToGrid w:val="0"/>
          <w:vertAlign w:val="superscript"/>
        </w:rPr>
        <w:t>1</w:t>
      </w:r>
      <w:r>
        <w:rPr>
          <w:snapToGrid w:val="0"/>
        </w:rPr>
        <w:t>.</w:t>
      </w:r>
    </w:p>
    <w:p>
      <w:pPr>
        <w:pStyle w:val="Footnotesection"/>
      </w:pPr>
      <w:r>
        <w:tab/>
        <w:t>[Section 1 amended by No. 15 of 1991 s. 4.]</w:t>
      </w:r>
    </w:p>
    <w:p>
      <w:pPr>
        <w:pStyle w:val="Heading5"/>
        <w:spacing w:before="180"/>
        <w:rPr>
          <w:snapToGrid w:val="0"/>
        </w:rPr>
      </w:pPr>
      <w:bookmarkStart w:id="3" w:name="_Toc390852502"/>
      <w:r>
        <w:rPr>
          <w:rStyle w:val="CharSectno"/>
        </w:rPr>
        <w:t>2</w:t>
      </w:r>
      <w:r>
        <w:rPr>
          <w:snapToGrid w:val="0"/>
        </w:rPr>
        <w:t>.</w:t>
      </w:r>
      <w:r>
        <w:rPr>
          <w:snapToGrid w:val="0"/>
        </w:rPr>
        <w:tab/>
        <w:t>Commencement</w:t>
      </w:r>
      <w:bookmarkEnd w:id="3"/>
    </w:p>
    <w:p>
      <w:pPr>
        <w:pStyle w:val="Subsection"/>
        <w:rPr>
          <w:snapToGrid w:val="0"/>
        </w:rPr>
      </w:pPr>
      <w:r>
        <w:rPr>
          <w:snapToGrid w:val="0"/>
        </w:rPr>
        <w:tab/>
      </w:r>
      <w:r>
        <w:rPr>
          <w:snapToGrid w:val="0"/>
        </w:rPr>
        <w:tab/>
        <w:t>This Act shall come into operation on such day as is or such days as are respectively fixed by proclamation</w:t>
      </w:r>
      <w:r>
        <w:rPr>
          <w:snapToGrid w:val="0"/>
          <w:vertAlign w:val="superscript"/>
        </w:rPr>
        <w:t xml:space="preserve"> 1</w:t>
      </w:r>
      <w:r>
        <w:rPr>
          <w:snapToGrid w:val="0"/>
        </w:rPr>
        <w:t>.</w:t>
      </w:r>
    </w:p>
    <w:p>
      <w:pPr>
        <w:pStyle w:val="Heading5"/>
        <w:spacing w:before="180"/>
        <w:rPr>
          <w:snapToGrid w:val="0"/>
        </w:rPr>
      </w:pPr>
      <w:bookmarkStart w:id="4" w:name="_Toc390852503"/>
      <w:r>
        <w:rPr>
          <w:rStyle w:val="CharSectno"/>
        </w:rPr>
        <w:t>3</w:t>
      </w:r>
      <w:r>
        <w:rPr>
          <w:snapToGrid w:val="0"/>
        </w:rPr>
        <w:t>.</w:t>
      </w:r>
      <w:r>
        <w:rPr>
          <w:snapToGrid w:val="0"/>
        </w:rPr>
        <w:tab/>
        <w:t>Terms used</w:t>
      </w:r>
      <w:bookmarkEnd w:id="4"/>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CEO (young offenders)</w:t>
      </w:r>
      <w:r>
        <w:t xml:space="preserve"> means the chief executive officer of the young offenders agency;</w:t>
      </w:r>
    </w:p>
    <w:p>
      <w:pPr>
        <w:pStyle w:val="Defstart"/>
      </w:pPr>
      <w:r>
        <w:rPr>
          <w:b/>
        </w:rPr>
        <w:tab/>
      </w:r>
      <w:r>
        <w:rPr>
          <w:rStyle w:val="CharDefText"/>
        </w:rPr>
        <w:t>child</w:t>
      </w:r>
      <w:r>
        <w:t xml:space="preserve"> means —</w:t>
      </w:r>
    </w:p>
    <w:p>
      <w:pPr>
        <w:pStyle w:val="Defpara"/>
      </w:pPr>
      <w:r>
        <w:tab/>
        <w:t>(a)</w:t>
      </w:r>
      <w:r>
        <w:tab/>
        <w:t>any boy or girl under the age of 18 years; and</w:t>
      </w:r>
    </w:p>
    <w:p>
      <w:pPr>
        <w:pStyle w:val="Defpara"/>
      </w:pPr>
      <w:r>
        <w:tab/>
        <w:t>(b)</w:t>
      </w:r>
      <w:r>
        <w:tab/>
        <w:t>in the absence of positive evidence as to age, any boy or girl apparently under the age of 18 years; and</w:t>
      </w:r>
    </w:p>
    <w:p>
      <w:pPr>
        <w:pStyle w:val="Defpara"/>
      </w:pPr>
      <w:r>
        <w:tab/>
        <w:t>(c)</w:t>
      </w:r>
      <w:r>
        <w:tab/>
        <w:t>any boy or girl dealt with under section 19(2); and</w:t>
      </w:r>
    </w:p>
    <w:p>
      <w:pPr>
        <w:pStyle w:val="Indenta"/>
      </w:pPr>
      <w:r>
        <w:tab/>
        <w:t>(d)</w:t>
      </w:r>
      <w:r>
        <w:tab/>
        <w:t>a boy or girl dealt with under section 20(3)(b);</w:t>
      </w:r>
    </w:p>
    <w:p>
      <w:pPr>
        <w:pStyle w:val="Defstart"/>
      </w:pPr>
      <w:r>
        <w:rPr>
          <w:b/>
        </w:rPr>
        <w:tab/>
      </w:r>
      <w:r>
        <w:rPr>
          <w:rStyle w:val="CharDefText"/>
        </w:rPr>
        <w:t>Court</w:t>
      </w:r>
      <w:r>
        <w:t xml:space="preserve"> means the Children’s Court of Western Australia established under this Act;</w:t>
      </w:r>
    </w:p>
    <w:p>
      <w:pPr>
        <w:pStyle w:val="Defstart"/>
      </w:pPr>
      <w:r>
        <w:rPr>
          <w:b/>
        </w:rPr>
        <w:tab/>
      </w:r>
      <w:r>
        <w:rPr>
          <w:rStyle w:val="CharDefText"/>
        </w:rPr>
        <w:t>judge</w:t>
      </w:r>
      <w:r>
        <w:t xml:space="preserve"> means a judge of the Court or an acting judge of the Court and includes a judge of the Supreme Court or a District Court judge when performing a function of the Court under section 6(3);</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magistrate</w:t>
      </w:r>
      <w:r>
        <w:t xml:space="preserve"> means a magistrate of the Court;</w:t>
      </w:r>
    </w:p>
    <w:p>
      <w:pPr>
        <w:pStyle w:val="Defstart"/>
      </w:pPr>
      <w:r>
        <w:rPr>
          <w:b/>
        </w:rPr>
        <w:tab/>
      </w:r>
      <w:r>
        <w:rPr>
          <w:rStyle w:val="CharDefText"/>
        </w:rPr>
        <w:t>President</w:t>
      </w:r>
      <w:r>
        <w:t xml:space="preserve"> means the judge who is appointed under section 7 to be the President of the Court;</w:t>
      </w:r>
    </w:p>
    <w:p>
      <w:pPr>
        <w:pStyle w:val="Defstart"/>
      </w:pPr>
      <w:r>
        <w:rPr>
          <w:b/>
        </w:rPr>
        <w:tab/>
      </w:r>
      <w:r>
        <w:rPr>
          <w:rStyle w:val="CharDefText"/>
        </w:rPr>
        <w:t>registrar</w:t>
      </w:r>
      <w:r>
        <w:t>, in relation to the Court sitting at a place, means the person appointed under this Act to be the registrar of the Court at that place;</w:t>
      </w:r>
    </w:p>
    <w:p>
      <w:pPr>
        <w:pStyle w:val="Defstart"/>
      </w:pPr>
      <w:r>
        <w:rPr>
          <w:b/>
        </w:rPr>
        <w:tab/>
      </w:r>
      <w:r>
        <w:rPr>
          <w:rStyle w:val="CharDefText"/>
        </w:rPr>
        <w:t>young offenders agency</w:t>
      </w:r>
      <w:r>
        <w:t xml:space="preserve"> means the Public Sector agency principally assisting the Minister administering the </w:t>
      </w:r>
      <w:r>
        <w:rPr>
          <w:i/>
        </w:rPr>
        <w:t>Young Offenders Act 1994</w:t>
      </w:r>
      <w:r>
        <w:t xml:space="preserve"> in its administration.</w:t>
      </w:r>
    </w:p>
    <w:p>
      <w:pPr>
        <w:pStyle w:val="Subsection"/>
      </w:pPr>
      <w:r>
        <w:tab/>
        <w:t>(2)</w:t>
      </w:r>
      <w:r>
        <w:tab/>
        <w:t xml:space="preserve">For the purposes of this Act, </w:t>
      </w:r>
      <w:r>
        <w:rPr>
          <w:rStyle w:val="CharDefText"/>
        </w:rPr>
        <w:t>legal experience</w:t>
      </w:r>
      <w:r>
        <w:t xml:space="preserve"> is —</w:t>
      </w:r>
    </w:p>
    <w:p>
      <w:pPr>
        <w:pStyle w:val="Indenta"/>
      </w:pPr>
      <w:r>
        <w:tab/>
        <w:t>(a)</w:t>
      </w:r>
      <w:r>
        <w:tab/>
        <w:t>standing and practice as a legal practitioner; or</w:t>
      </w:r>
    </w:p>
    <w:p>
      <w:pPr>
        <w:pStyle w:val="Ednotepara"/>
      </w:pPr>
      <w:r>
        <w:tab/>
        <w:t>[(b)</w:t>
      </w:r>
      <w:r>
        <w:tab/>
        <w:t>deleted]</w:t>
      </w:r>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a combination of both kinds of legal experience defined in this subsection.</w:t>
      </w:r>
    </w:p>
    <w:p>
      <w:pPr>
        <w:pStyle w:val="Footnotesection"/>
      </w:pPr>
      <w:r>
        <w:tab/>
        <w:t>[Section 3 amended by No. 15 of 1991 s. 5; No. 14 of 1992 s. 4(3); No. 31 of 1993 s. 27; No. 65 of 2003 s. 107(2), (3); No. 74 of 2003 s. 35; No. 34 of 2004 s. 251; No. 45 of 2004 s. 29; No. 59 of 2004 s. 60 and 73; No. 65 of 2006 s. 55; No. 21 of 2008 s. 643(2)</w:t>
      </w:r>
      <w:r>
        <w:noBreakHyphen/>
        <w:t>(4); No. 59 of 2010 s. 42.]</w:t>
      </w:r>
    </w:p>
    <w:p>
      <w:pPr>
        <w:pStyle w:val="Heading5"/>
      </w:pPr>
      <w:bookmarkStart w:id="5" w:name="_Toc390852504"/>
      <w:r>
        <w:rPr>
          <w:rStyle w:val="CharSectno"/>
        </w:rPr>
        <w:t>4</w:t>
      </w:r>
      <w:r>
        <w:t>.</w:t>
      </w:r>
      <w:r>
        <w:tab/>
        <w:t>Application of certain Acts</w:t>
      </w:r>
      <w:bookmarkEnd w:id="5"/>
    </w:p>
    <w:p>
      <w:pPr>
        <w:pStyle w:val="Subsection"/>
      </w:pPr>
      <w:r>
        <w:tab/>
        <w:t>(1)</w:t>
      </w:r>
      <w:r>
        <w:tab/>
        <w:t xml:space="preserve">The following provisions of the </w:t>
      </w:r>
      <w:smartTag w:uri="urn:schemas-microsoft-com:office:smarttags" w:element="PlaceName">
        <w:smartTag w:uri="urn:schemas-microsoft-com:office:smarttags" w:element="Street">
          <w:r>
            <w:rPr>
              <w:i/>
            </w:rPr>
            <w:t>Magistrates Court</w:t>
          </w:r>
        </w:smartTag>
      </w:smartTag>
      <w:r>
        <w:rPr>
          <w:i/>
        </w:rPr>
        <w:t xml:space="preserve"> Act 2004 </w:t>
      </w:r>
      <w:r>
        <w:t xml:space="preserve">apply to and in relation to the Court and its officers in the same way as they apply to and in relation to the </w:t>
      </w:r>
      <w:smartTag w:uri="urn:schemas-microsoft-com:office:smarttags" w:element="PlaceName">
        <w:smartTag w:uri="urn:schemas-microsoft-com:office:smarttags" w:element="Street">
          <w:r>
            <w:t>Magistrates Court</w:t>
          </w:r>
        </w:smartTag>
      </w:smartTag>
      <w:r>
        <w:t xml:space="preserve"> and its officers —</w:t>
      </w:r>
    </w:p>
    <w:p>
      <w:pPr>
        <w:pStyle w:val="Indenta"/>
      </w:pPr>
      <w:r>
        <w:tab/>
        <w:t>(a)</w:t>
      </w:r>
      <w:r>
        <w:tab/>
        <w:t>Part 3 Division 2;</w:t>
      </w:r>
    </w:p>
    <w:p>
      <w:pPr>
        <w:pStyle w:val="Indenta"/>
      </w:pPr>
      <w:r>
        <w:tab/>
        <w:t>(b)</w:t>
      </w:r>
      <w:r>
        <w:tab/>
        <w:t>sections 35 and 36.</w:t>
      </w:r>
    </w:p>
    <w:p>
      <w:pPr>
        <w:pStyle w:val="Subsection"/>
      </w:pPr>
      <w:r>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pPr>
      <w:r>
        <w:tab/>
        <w:t>[Section 4 inserted by No. 59 of 2004 s. 61; amended by No. 84 of 2004 s. 18.]</w:t>
      </w:r>
    </w:p>
    <w:p>
      <w:pPr>
        <w:pStyle w:val="Heading5"/>
      </w:pPr>
      <w:bookmarkStart w:id="6" w:name="_Toc390852505"/>
      <w:r>
        <w:rPr>
          <w:rStyle w:val="CharSectno"/>
        </w:rPr>
        <w:t>5A</w:t>
      </w:r>
      <w:r>
        <w:t>.</w:t>
      </w:r>
      <w:r>
        <w:tab/>
      </w:r>
      <w:r>
        <w:rPr>
          <w:i/>
        </w:rPr>
        <w:t>Courts and Tribunals (Electronic Processes Facilitation) Act 2013</w:t>
      </w:r>
      <w:r>
        <w:t xml:space="preserve"> Part 2 applies</w:t>
      </w:r>
      <w:bookmarkEnd w:id="6"/>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5A inserted by No. 20 of 2013 s. 33.]</w:t>
      </w:r>
    </w:p>
    <w:p>
      <w:pPr>
        <w:pStyle w:val="Heading2"/>
      </w:pPr>
      <w:bookmarkStart w:id="7" w:name="_Toc390852506"/>
      <w:r>
        <w:rPr>
          <w:rStyle w:val="CharPartNo"/>
        </w:rPr>
        <w:t>Part 2</w:t>
      </w:r>
      <w:r>
        <w:t> — </w:t>
      </w:r>
      <w:r>
        <w:rPr>
          <w:rStyle w:val="CharPartText"/>
        </w:rPr>
        <w:t>Children’s Court of Western Australia</w:t>
      </w:r>
      <w:bookmarkEnd w:id="7"/>
    </w:p>
    <w:p>
      <w:pPr>
        <w:pStyle w:val="Heading3"/>
        <w:rPr>
          <w:snapToGrid w:val="0"/>
        </w:rPr>
      </w:pPr>
      <w:bookmarkStart w:id="8" w:name="_Toc390852507"/>
      <w:r>
        <w:rPr>
          <w:rStyle w:val="CharDivNo"/>
        </w:rPr>
        <w:t>Division 1</w:t>
      </w:r>
      <w:r>
        <w:rPr>
          <w:snapToGrid w:val="0"/>
        </w:rPr>
        <w:t> — </w:t>
      </w:r>
      <w:r>
        <w:rPr>
          <w:rStyle w:val="CharDivText"/>
        </w:rPr>
        <w:t>Establishment and constitution</w:t>
      </w:r>
      <w:bookmarkEnd w:id="8"/>
    </w:p>
    <w:p>
      <w:pPr>
        <w:pStyle w:val="Heading5"/>
        <w:rPr>
          <w:snapToGrid w:val="0"/>
        </w:rPr>
      </w:pPr>
      <w:bookmarkStart w:id="9" w:name="_Toc390852508"/>
      <w:r>
        <w:rPr>
          <w:rStyle w:val="CharSectno"/>
        </w:rPr>
        <w:t>5</w:t>
      </w:r>
      <w:r>
        <w:rPr>
          <w:snapToGrid w:val="0"/>
        </w:rPr>
        <w:t>.</w:t>
      </w:r>
      <w:r>
        <w:rPr>
          <w:snapToGrid w:val="0"/>
        </w:rPr>
        <w:tab/>
        <w:t>Establishment of Court</w:t>
      </w:r>
      <w:bookmarkEnd w:id="9"/>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 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10" w:name="_Toc390852509"/>
      <w:r>
        <w:rPr>
          <w:rStyle w:val="CharSectno"/>
        </w:rPr>
        <w:t>6</w:t>
      </w:r>
      <w:r>
        <w:rPr>
          <w:snapToGrid w:val="0"/>
        </w:rPr>
        <w:t>.</w:t>
      </w:r>
      <w:r>
        <w:rPr>
          <w:snapToGrid w:val="0"/>
        </w:rPr>
        <w:tab/>
        <w:t>Constitution of Court</w:t>
      </w:r>
      <w:bookmarkEnd w:id="10"/>
    </w:p>
    <w:p>
      <w:pPr>
        <w:pStyle w:val="Subsection"/>
        <w:rPr>
          <w:snapToGrid w:val="0"/>
        </w:rPr>
      </w:pPr>
      <w:r>
        <w:rPr>
          <w:snapToGrid w:val="0"/>
        </w:rPr>
        <w:tab/>
        <w:t>(1)</w:t>
      </w:r>
      <w:r>
        <w:rPr>
          <w:snapToGrid w:val="0"/>
        </w:rPr>
        <w:tab/>
        <w:t>The Court shall be constituted by —</w:t>
      </w:r>
    </w:p>
    <w:p>
      <w:pPr>
        <w:pStyle w:val="Indenta"/>
        <w:rPr>
          <w:snapToGrid w:val="0"/>
        </w:rPr>
      </w:pPr>
      <w:r>
        <w:rPr>
          <w:snapToGrid w:val="0"/>
        </w:rPr>
        <w:tab/>
        <w:t>(a)</w:t>
      </w:r>
      <w:r>
        <w:rPr>
          <w:snapToGrid w:val="0"/>
        </w:rPr>
        <w:tab/>
        <w:t>a judge; or</w:t>
      </w:r>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w:t>
      </w:r>
    </w:p>
    <w:p>
      <w:pPr>
        <w:pStyle w:val="Indenta"/>
        <w:rPr>
          <w:snapToGrid w:val="0"/>
        </w:rPr>
      </w:pPr>
      <w:r>
        <w:rPr>
          <w:snapToGrid w:val="0"/>
        </w:rPr>
        <w:tab/>
        <w:t>(a)</w:t>
      </w:r>
      <w:r>
        <w:rPr>
          <w:snapToGrid w:val="0"/>
        </w:rPr>
        <w:tab/>
        <w:t>the Court may be constituted by a judge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pPr>
        <w:pStyle w:val="Subsection"/>
        <w:rPr>
          <w:snapToGrid w:val="0"/>
        </w:rPr>
      </w:pPr>
      <w:r>
        <w:rPr>
          <w:snapToGrid w:val="0"/>
        </w:rPr>
        <w:tab/>
        <w:t>(4)</w:t>
      </w:r>
      <w:r>
        <w:rPr>
          <w:snapToGrid w:val="0"/>
        </w:rPr>
        <w:tab/>
        <w:t>Where the Court is constituted so as to include a judge or magistrate, the judge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w:t>
      </w:r>
    </w:p>
    <w:p>
      <w:pPr>
        <w:pStyle w:val="Indenta"/>
        <w:rPr>
          <w:snapToGrid w:val="0"/>
        </w:rPr>
      </w:pPr>
      <w:r>
        <w:rPr>
          <w:snapToGrid w:val="0"/>
        </w:rPr>
        <w:tab/>
        <w:t>(a)</w:t>
      </w:r>
      <w:r>
        <w:rPr>
          <w:snapToGrid w:val="0"/>
        </w:rPr>
        <w:tab/>
        <w:t>the opinion of a judge or magistrate, if sitting, shall prevail; or</w:t>
      </w:r>
    </w:p>
    <w:p>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pPr>
        <w:pStyle w:val="Footnotesection"/>
        <w:ind w:left="890" w:hanging="890"/>
      </w:pPr>
      <w:r>
        <w:tab/>
        <w:t>[Section 6 amended by No. 59 of 2004 s. 73.]</w:t>
      </w:r>
    </w:p>
    <w:p>
      <w:pPr>
        <w:pStyle w:val="Heading5"/>
      </w:pPr>
      <w:bookmarkStart w:id="11" w:name="_Toc390852510"/>
      <w:r>
        <w:rPr>
          <w:rStyle w:val="CharSectno"/>
        </w:rPr>
        <w:t>6A</w:t>
      </w:r>
      <w:r>
        <w:t>.</w:t>
      </w:r>
      <w:r>
        <w:tab/>
        <w:t>Protection of judicial officers</w:t>
      </w:r>
      <w:bookmarkEnd w:id="11"/>
    </w:p>
    <w:p>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pPr>
        <w:pStyle w:val="Subsection"/>
      </w:pPr>
      <w:r>
        <w:tab/>
        <w:t>(2)</w:t>
      </w:r>
      <w:r>
        <w:tab/>
        <w:t>A JP has, in the performance of his or her functions when constituting the Court, the same protection and immunity as a judge of the Supreme Court has in the performance of his or her duties as a judge.</w:t>
      </w:r>
    </w:p>
    <w:p>
      <w:pPr>
        <w:pStyle w:val="Footnotesection"/>
        <w:ind w:left="890" w:hanging="890"/>
      </w:pPr>
      <w:r>
        <w:tab/>
        <w:t>[Section 6A inserted by No. 59 of 2004 s. 62.]</w:t>
      </w:r>
    </w:p>
    <w:p>
      <w:pPr>
        <w:pStyle w:val="Heading3"/>
        <w:keepNext w:val="0"/>
        <w:pageBreakBefore/>
        <w:widowControl w:val="0"/>
        <w:spacing w:before="120"/>
      </w:pPr>
      <w:bookmarkStart w:id="12" w:name="_Toc390852511"/>
      <w:r>
        <w:rPr>
          <w:rStyle w:val="CharDivNo"/>
        </w:rPr>
        <w:t>Division 2</w:t>
      </w:r>
      <w:r>
        <w:rPr>
          <w:snapToGrid w:val="0"/>
        </w:rPr>
        <w:t> — </w:t>
      </w:r>
      <w:r>
        <w:rPr>
          <w:rStyle w:val="CharDivText"/>
        </w:rPr>
        <w:t>Appointment of judges and magistrates</w:t>
      </w:r>
      <w:bookmarkEnd w:id="12"/>
    </w:p>
    <w:p>
      <w:pPr>
        <w:pStyle w:val="Footnotesection"/>
        <w:ind w:left="890" w:hanging="890"/>
      </w:pPr>
      <w:r>
        <w:tab/>
        <w:t>[Heading amended by No. 59 of 2004 s. 73.]</w:t>
      </w:r>
    </w:p>
    <w:p>
      <w:pPr>
        <w:pStyle w:val="Heading5"/>
        <w:spacing w:before="240"/>
        <w:rPr>
          <w:snapToGrid w:val="0"/>
        </w:rPr>
      </w:pPr>
      <w:bookmarkStart w:id="13" w:name="_Toc390852512"/>
      <w:r>
        <w:rPr>
          <w:rStyle w:val="CharSectno"/>
        </w:rPr>
        <w:t>7</w:t>
      </w:r>
      <w:r>
        <w:rPr>
          <w:snapToGrid w:val="0"/>
        </w:rPr>
        <w:t>.</w:t>
      </w:r>
      <w:r>
        <w:rPr>
          <w:snapToGrid w:val="0"/>
        </w:rPr>
        <w:tab/>
        <w:t>Appointment, terms, conditions etc. of judges</w:t>
      </w:r>
      <w:bookmarkEnd w:id="13"/>
    </w:p>
    <w:p>
      <w:pPr>
        <w:pStyle w:val="Subsection"/>
        <w:rPr>
          <w:snapToGrid w:val="0"/>
        </w:rPr>
      </w:pPr>
      <w:r>
        <w:rPr>
          <w:snapToGrid w:val="0"/>
        </w:rPr>
        <w:tab/>
        <w:t>(1)</w:t>
      </w:r>
      <w:r>
        <w:rPr>
          <w:snapToGrid w:val="0"/>
        </w:rPr>
        <w:tab/>
        <w:t>A judge, or more than one judge, shall be appointed by the Governor by commission under his hand on the recommendation of the Attorney General made after consultation with the Minister responsible for the administration of the</w:t>
      </w:r>
      <w:r>
        <w:rPr>
          <w:i/>
        </w:rPr>
        <w:t xml:space="preserve"> Children and Community Services Act 2004</w:t>
      </w:r>
      <w:r>
        <w:rPr>
          <w:snapToGrid w:val="0"/>
        </w:rPr>
        <w:t>.</w:t>
      </w:r>
    </w:p>
    <w:p>
      <w:pPr>
        <w:pStyle w:val="Subsection"/>
      </w:pPr>
      <w:r>
        <w:tab/>
        <w:t>(2)</w:t>
      </w:r>
      <w:r>
        <w:tab/>
        <w:t xml:space="preserve">A person is not eligible for appointment as a judge unless that person is an Australian lawyer, within the meaning of that term in the </w:t>
      </w:r>
      <w:r>
        <w:rPr>
          <w:i/>
          <w:iCs/>
        </w:rPr>
        <w:t>Legal Profession Act 2008</w:t>
      </w:r>
      <w:r>
        <w:t xml:space="preserve"> section 3, and has had not less than 8 years’ legal experience.</w:t>
      </w:r>
    </w:p>
    <w:p>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2</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pPr>
        <w:pStyle w:val="Subsection"/>
        <w:rPr>
          <w:snapToGrid w:val="0"/>
        </w:rPr>
      </w:pPr>
      <w:r>
        <w:rPr>
          <w:snapToGrid w:val="0"/>
        </w:rPr>
        <w:tab/>
        <w:t>(5)</w:t>
      </w:r>
      <w:r>
        <w:rPr>
          <w:snapToGrid w:val="0"/>
        </w:rPr>
        <w:tab/>
        <w:t>A judge, in relation to that office, is entitled to the style and title of “His Honour” or “Her Honour”.</w:t>
      </w:r>
    </w:p>
    <w:p>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pPr>
        <w:pStyle w:val="Subsection"/>
        <w:rPr>
          <w:snapToGrid w:val="0"/>
        </w:rPr>
      </w:pPr>
      <w:r>
        <w:rPr>
          <w:snapToGrid w:val="0"/>
        </w:rPr>
        <w:tab/>
        <w:t>(7)</w:t>
      </w:r>
      <w:r>
        <w:rPr>
          <w:snapToGrid w:val="0"/>
        </w:rPr>
        <w:tab/>
        <w:t>A judge may at any time, by written notice addressed to the Governor, resign his or her office.</w:t>
      </w:r>
    </w:p>
    <w:p>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pPr>
        <w:pStyle w:val="Subsection"/>
        <w:rPr>
          <w:snapToGrid w:val="0"/>
        </w:rPr>
      </w:pPr>
      <w:r>
        <w:rPr>
          <w:snapToGrid w:val="0"/>
        </w:rPr>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pPr>
        <w:pStyle w:val="Footnotesection"/>
        <w:ind w:left="890" w:hanging="890"/>
      </w:pPr>
      <w:r>
        <w:tab/>
        <w:t xml:space="preserve">[Section 7 amended by No. 31 of 1993 s. 28; No. 65 of 2003 s. 107(4); </w:t>
      </w:r>
      <w:r>
        <w:rPr>
          <w:spacing w:val="-6"/>
        </w:rPr>
        <w:t>No. 34 of 2004 s. </w:t>
      </w:r>
      <w:r>
        <w:t>251; No. 59 of 2004 s. 73; No. 21 of 2008 s. 643(5).]</w:t>
      </w:r>
    </w:p>
    <w:p>
      <w:pPr>
        <w:pStyle w:val="Heading5"/>
        <w:rPr>
          <w:snapToGrid w:val="0"/>
        </w:rPr>
      </w:pPr>
      <w:bookmarkStart w:id="14" w:name="_Toc390852513"/>
      <w:r>
        <w:rPr>
          <w:rStyle w:val="CharSectno"/>
        </w:rPr>
        <w:t>8</w:t>
      </w:r>
      <w:r>
        <w:rPr>
          <w:snapToGrid w:val="0"/>
        </w:rPr>
        <w:t>.</w:t>
      </w:r>
      <w:r>
        <w:rPr>
          <w:snapToGrid w:val="0"/>
        </w:rPr>
        <w:tab/>
        <w:t>Tenure of office</w:t>
      </w:r>
      <w:bookmarkEnd w:id="14"/>
    </w:p>
    <w:p>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pPr>
        <w:pStyle w:val="Heading5"/>
        <w:rPr>
          <w:snapToGrid w:val="0"/>
        </w:rPr>
      </w:pPr>
      <w:bookmarkStart w:id="15" w:name="_Toc390852514"/>
      <w:r>
        <w:rPr>
          <w:rStyle w:val="CharSectno"/>
        </w:rPr>
        <w:t>8A</w:t>
      </w:r>
      <w:r>
        <w:rPr>
          <w:snapToGrid w:val="0"/>
        </w:rPr>
        <w:t>.</w:t>
      </w:r>
      <w:r>
        <w:rPr>
          <w:snapToGrid w:val="0"/>
        </w:rPr>
        <w:tab/>
        <w:t>Absence etc. of President</w:t>
      </w:r>
      <w:bookmarkEnd w:id="15"/>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the President is absent from duty for any reason; or</w:t>
      </w:r>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no judge has been designated to be the President,</w:t>
      </w:r>
    </w:p>
    <w:p>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pPr>
        <w:pStyle w:val="Subsection"/>
        <w:rPr>
          <w:snapToGrid w:val="0"/>
        </w:rPr>
      </w:pPr>
      <w:r>
        <w:rPr>
          <w:snapToGrid w:val="0"/>
        </w:rPr>
        <w:tab/>
        <w:t>(2)</w:t>
      </w:r>
      <w:r>
        <w:rPr>
          <w:snapToGrid w:val="0"/>
        </w:rPr>
        <w:tab/>
        <w:t>Upon the request of the President a judge may perform any of the functions of the President.</w:t>
      </w:r>
    </w:p>
    <w:p>
      <w:pPr>
        <w:pStyle w:val="Footnotesection"/>
        <w:ind w:left="890" w:hanging="890"/>
      </w:pPr>
      <w:r>
        <w:tab/>
        <w:t>[Section 8A inserted by No. 15 of 1991 s. 7.]</w:t>
      </w:r>
    </w:p>
    <w:p>
      <w:pPr>
        <w:pStyle w:val="Heading5"/>
        <w:rPr>
          <w:snapToGrid w:val="0"/>
        </w:rPr>
      </w:pPr>
      <w:bookmarkStart w:id="16" w:name="_Toc390852515"/>
      <w:r>
        <w:rPr>
          <w:rStyle w:val="CharSectno"/>
        </w:rPr>
        <w:t>9</w:t>
      </w:r>
      <w:r>
        <w:rPr>
          <w:snapToGrid w:val="0"/>
        </w:rPr>
        <w:t>.</w:t>
      </w:r>
      <w:r>
        <w:rPr>
          <w:snapToGrid w:val="0"/>
        </w:rPr>
        <w:tab/>
        <w:t>Acting judge</w:t>
      </w:r>
      <w:bookmarkEnd w:id="16"/>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a judge is or is expected to be absent from duty for any reason; or</w:t>
      </w:r>
    </w:p>
    <w:p>
      <w:pPr>
        <w:pStyle w:val="Indenta"/>
        <w:rPr>
          <w:snapToGrid w:val="0"/>
        </w:rPr>
      </w:pPr>
      <w:r>
        <w:rPr>
          <w:snapToGrid w:val="0"/>
        </w:rPr>
        <w:tab/>
        <w:t>(b)</w:t>
      </w:r>
      <w:r>
        <w:rPr>
          <w:snapToGrid w:val="0"/>
        </w:rPr>
        <w:tab/>
        <w:t>a judge declines to deal with any matter; or</w:t>
      </w:r>
    </w:p>
    <w:p>
      <w:pPr>
        <w:pStyle w:val="Indenta"/>
        <w:rPr>
          <w:snapToGrid w:val="0"/>
        </w:rPr>
      </w:pPr>
      <w:r>
        <w:rPr>
          <w:snapToGrid w:val="0"/>
        </w:rPr>
        <w:tab/>
        <w:t>(c)</w:t>
      </w:r>
      <w:r>
        <w:rPr>
          <w:snapToGrid w:val="0"/>
        </w:rPr>
        <w:tab/>
        <w:t>an office of judge is vacant; or</w:t>
      </w:r>
    </w:p>
    <w:p>
      <w:pPr>
        <w:pStyle w:val="Indenta"/>
        <w:keepNext/>
        <w:rPr>
          <w:snapToGrid w:val="0"/>
        </w:rPr>
      </w:pPr>
      <w:r>
        <w:rPr>
          <w:snapToGrid w:val="0"/>
        </w:rPr>
        <w:tab/>
        <w:t>(d)</w:t>
      </w:r>
      <w:r>
        <w:rPr>
          <w:snapToGrid w:val="0"/>
        </w:rPr>
        <w:tab/>
        <w:t>for any reason the conduct of the business of the Court, in the opinion of the Governor, requires such an appointment to be made,</w:t>
      </w:r>
    </w:p>
    <w:p>
      <w:pPr>
        <w:pStyle w:val="Subsection"/>
        <w:spacing w:before="180"/>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pPr>
        <w:pStyle w:val="Subsection"/>
        <w:spacing w:before="180"/>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pPr>
        <w:pStyle w:val="Subsection"/>
        <w:spacing w:before="180"/>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pPr>
        <w:pStyle w:val="Subsection"/>
        <w:spacing w:before="180"/>
        <w:rPr>
          <w:snapToGrid w:val="0"/>
        </w:rPr>
      </w:pPr>
      <w:r>
        <w:rPr>
          <w:snapToGrid w:val="0"/>
        </w:rPr>
        <w:tab/>
        <w:t>(4)</w:t>
      </w:r>
      <w:r>
        <w:rPr>
          <w:snapToGrid w:val="0"/>
        </w:rPr>
        <w:tab/>
        <w:t>An acting judge is entitled to such remuneration, allowances, and leave of absence as is determined by the Governor.</w:t>
      </w:r>
    </w:p>
    <w:p>
      <w:pPr>
        <w:pStyle w:val="Subsection"/>
        <w:spacing w:before="180"/>
        <w:rPr>
          <w:snapToGrid w:val="0"/>
        </w:rPr>
      </w:pPr>
      <w:r>
        <w:rPr>
          <w:snapToGrid w:val="0"/>
        </w:rPr>
        <w:tab/>
        <w:t>(5)</w:t>
      </w:r>
      <w:r>
        <w:rPr>
          <w:snapToGrid w:val="0"/>
        </w:rPr>
        <w:tab/>
        <w:t>An acting judge may be designated by the Governor as President of the Court.</w:t>
      </w:r>
    </w:p>
    <w:p>
      <w:pPr>
        <w:pStyle w:val="Heading5"/>
        <w:spacing w:before="240"/>
      </w:pPr>
      <w:bookmarkStart w:id="17" w:name="_Toc390852516"/>
      <w:r>
        <w:rPr>
          <w:rStyle w:val="CharSectno"/>
        </w:rPr>
        <w:t>10</w:t>
      </w:r>
      <w:r>
        <w:t>.</w:t>
      </w:r>
      <w:r>
        <w:tab/>
        <w:t>Magistrates, appointment of</w:t>
      </w:r>
      <w:bookmarkEnd w:id="17"/>
    </w:p>
    <w:p>
      <w:pPr>
        <w:pStyle w:val="Subsection"/>
        <w:spacing w:before="180"/>
      </w:pPr>
      <w:r>
        <w:tab/>
        <w:t>(1)</w:t>
      </w:r>
      <w:r>
        <w:tab/>
        <w:t xml:space="preserve">The Governor may appoint a person who is qualified to be appointed as a magistrate of the </w:t>
      </w:r>
      <w:smartTag w:uri="urn:schemas-microsoft-com:office:smarttags" w:element="PlaceName">
        <w:smartTag w:uri="urn:schemas-microsoft-com:office:smarttags" w:element="Street">
          <w:r>
            <w:t>Magistrates Court</w:t>
          </w:r>
        </w:smartTag>
      </w:smartTag>
      <w:r>
        <w:t xml:space="preserve"> as a magistrate of the Children’s Court.</w:t>
      </w:r>
    </w:p>
    <w:p>
      <w:pPr>
        <w:pStyle w:val="Subsection"/>
        <w:spacing w:before="180"/>
      </w:pPr>
      <w:r>
        <w:tab/>
        <w:t>(2)</w:t>
      </w:r>
      <w:r>
        <w:tab/>
        <w:t>The appointment of a magistrate of the Children’s Court is to be by a commission under the Public Seal of the State.</w:t>
      </w:r>
    </w:p>
    <w:p>
      <w:pPr>
        <w:pStyle w:val="Subsection"/>
        <w:spacing w:before="180"/>
      </w:pPr>
      <w:r>
        <w:tab/>
        <w:t>(3)</w:t>
      </w:r>
      <w:r>
        <w:tab/>
        <w:t>The Governor may appoint as many magistrates as are needed to deal with the workload of the Court.</w:t>
      </w:r>
    </w:p>
    <w:p>
      <w:pPr>
        <w:pStyle w:val="Subsection"/>
        <w:keepNext/>
        <w:spacing w:before="180"/>
      </w:pPr>
      <w:r>
        <w:tab/>
        <w:t>(4)</w:t>
      </w:r>
      <w:r>
        <w:tab/>
        <w:t xml:space="preserve">A magistrate of the </w:t>
      </w:r>
      <w:smartTag w:uri="urn:schemas-microsoft-com:office:smarttags" w:element="PlaceName">
        <w:smartTag w:uri="urn:schemas-microsoft-com:office:smarttags" w:element="Street">
          <w:r>
            <w:t>Magistrates Court</w:t>
          </w:r>
        </w:smartTag>
      </w:smartTag>
      <w:r>
        <w:t xml:space="preserve"> may be appointed to be contemporaneously a magistrate of the Children’s Court.</w:t>
      </w:r>
    </w:p>
    <w:p>
      <w:pPr>
        <w:pStyle w:val="Subsection"/>
        <w:spacing w:before="180"/>
      </w:pPr>
      <w:r>
        <w:tab/>
        <w:t>(5)</w:t>
      </w:r>
      <w:r>
        <w:tab/>
        <w:t xml:space="preserve">Section 6(3), (4) and (5) of, and clauses 5, 9 (except clause 9(9)) and 11 to 16 of Schedule 1 to, the </w:t>
      </w:r>
      <w:r>
        <w:rPr>
          <w:i/>
        </w:rPr>
        <w:t>Magistrates Court Act 2004</w:t>
      </w:r>
      <w:r>
        <w:t>, with any necessary changes, apply as if —</w:t>
      </w:r>
    </w:p>
    <w:p>
      <w:pPr>
        <w:pStyle w:val="Indenta"/>
      </w:pPr>
      <w:r>
        <w:tab/>
        <w:t>(a)</w:t>
      </w:r>
      <w:r>
        <w:tab/>
        <w:t>each reference in those provisions to “the Court” were a reference to “the Children’s Court”; and</w:t>
      </w:r>
    </w:p>
    <w:p>
      <w:pPr>
        <w:pStyle w:val="Indenta"/>
      </w:pPr>
      <w:r>
        <w:tab/>
        <w:t>(b)</w:t>
      </w:r>
      <w:r>
        <w:tab/>
        <w:t>each reference in those provisions to “magistrate” were a reference to “magistrate of the Children’s Court”; and</w:t>
      </w:r>
    </w:p>
    <w:p>
      <w:pPr>
        <w:pStyle w:val="Indenta"/>
      </w:pPr>
      <w:r>
        <w:tab/>
        <w:t>(c)</w:t>
      </w:r>
      <w:r>
        <w:tab/>
        <w:t>the reference in section 6(5) of that Act to section 37 of that Act were a reference to section 6A of this Act.</w:t>
      </w:r>
    </w:p>
    <w:p>
      <w:pPr>
        <w:pStyle w:val="Footnotesection"/>
        <w:ind w:left="890" w:hanging="890"/>
      </w:pPr>
      <w:r>
        <w:tab/>
        <w:t>[Section 10 inserted by No. 59 of 2004 s. 63; amended by No. 7 of 2008 s. 149.]</w:t>
      </w:r>
    </w:p>
    <w:p>
      <w:pPr>
        <w:pStyle w:val="Footnotesection"/>
        <w:ind w:left="890" w:hanging="890"/>
      </w:pPr>
      <w:r>
        <w:tab/>
        <w:t>[Section 10. Modifications to be applied in order to give effect to Cross-border Justice Act 2008: section altered 1 Dec 2009. See endnote 1M.]</w:t>
      </w:r>
    </w:p>
    <w:p>
      <w:pPr>
        <w:pStyle w:val="Ednotesection"/>
        <w:spacing w:before="240"/>
      </w:pPr>
      <w:r>
        <w:t>[</w:t>
      </w:r>
      <w:r>
        <w:rPr>
          <w:b/>
        </w:rPr>
        <w:t>11.</w:t>
      </w:r>
      <w:r>
        <w:tab/>
        <w:t>Deleted by No. 59 of 2004 s. 64.]</w:t>
      </w:r>
    </w:p>
    <w:p>
      <w:pPr>
        <w:pStyle w:val="Heading5"/>
        <w:spacing w:before="240"/>
        <w:rPr>
          <w:snapToGrid w:val="0"/>
        </w:rPr>
      </w:pPr>
      <w:bookmarkStart w:id="18" w:name="_Toc390852517"/>
      <w:r>
        <w:rPr>
          <w:rStyle w:val="CharSectno"/>
        </w:rPr>
        <w:t>12</w:t>
      </w:r>
      <w:r>
        <w:rPr>
          <w:snapToGrid w:val="0"/>
        </w:rPr>
        <w:t>.</w:t>
      </w:r>
      <w:r>
        <w:rPr>
          <w:snapToGrid w:val="0"/>
        </w:rPr>
        <w:tab/>
        <w:t>Oath or affirmation of office</w:t>
      </w:r>
      <w:bookmarkEnd w:id="18"/>
    </w:p>
    <w:p>
      <w:pPr>
        <w:pStyle w:val="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pPr>
        <w:pStyle w:val="Subsection"/>
        <w:rPr>
          <w:snapToGrid w:val="0"/>
        </w:rPr>
      </w:pPr>
      <w:r>
        <w:rPr>
          <w:snapToGrid w:val="0"/>
        </w:rPr>
        <w:tab/>
        <w:t>(1a)</w:t>
      </w:r>
      <w:r>
        <w:rPr>
          <w:snapToGrid w:val="0"/>
        </w:rPr>
        <w:tab/>
        <w:t>Subsection (1) does not apply to —</w:t>
      </w:r>
    </w:p>
    <w:p>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or</w:t>
      </w:r>
    </w:p>
    <w:p>
      <w:pPr>
        <w:pStyle w:val="Indenta"/>
      </w:pPr>
      <w:r>
        <w:tab/>
        <w:t>(b)</w:t>
      </w:r>
      <w:r>
        <w:tab/>
        <w:t xml:space="preserve">a magistrate who has taken the oath or affirmation under clause 4 of Schedule 1 to the </w:t>
      </w:r>
      <w:smartTag w:uri="urn:schemas-microsoft-com:office:smarttags" w:element="PlaceName">
        <w:smartTag w:uri="urn:schemas-microsoft-com:office:smarttags" w:element="Street">
          <w:r>
            <w:rPr>
              <w:i/>
            </w:rPr>
            <w:t>Magistrates Court</w:t>
          </w:r>
        </w:smartTag>
      </w:smartTag>
      <w:r>
        <w:rPr>
          <w:i/>
        </w:rPr>
        <w:t xml:space="preserve"> Act 2004</w:t>
      </w:r>
      <w:r>
        <w:t>.</w:t>
      </w:r>
    </w:p>
    <w:p>
      <w:pPr>
        <w:pStyle w:val="Subsection"/>
        <w:pageBreakBefore/>
        <w:widowControl w:val="0"/>
        <w:spacing w:before="0"/>
      </w:pPr>
      <w:r>
        <w:tab/>
        <w:t>(2)</w:t>
      </w:r>
      <w:r>
        <w:tab/>
        <w:t>An oath or affirmation referred to in subsection (1) may be taken at a place outside the State.</w:t>
      </w:r>
    </w:p>
    <w:p>
      <w:pPr>
        <w:pStyle w:val="Footnotesection"/>
        <w:keepLines w:val="0"/>
        <w:spacing w:before="80"/>
        <w:ind w:left="890" w:hanging="890"/>
      </w:pPr>
      <w:r>
        <w:tab/>
        <w:t>[Section 12 amended by No. 15 of 1991 s. 9; No. 59 of 2004 s. 65 and 73; No. 24 of 2005 s. 14; No. 7 of 2008 s. 150.]</w:t>
      </w:r>
    </w:p>
    <w:p>
      <w:pPr>
        <w:pStyle w:val="Footnotesection"/>
        <w:spacing w:before="80"/>
      </w:pPr>
      <w:r>
        <w:tab/>
        <w:t>[Section 12. Modifications to be applied in order to give effect to Cross-border Justice Act 2008: section altered 1 Dec 2009. See endnote 1M.]</w:t>
      </w:r>
    </w:p>
    <w:p>
      <w:pPr>
        <w:pStyle w:val="Heading3"/>
        <w:spacing w:before="200"/>
      </w:pPr>
      <w:bookmarkStart w:id="19" w:name="_Toc390852518"/>
      <w:r>
        <w:rPr>
          <w:rStyle w:val="CharDivNo"/>
        </w:rPr>
        <w:t>Division 3</w:t>
      </w:r>
      <w:r>
        <w:rPr>
          <w:snapToGrid w:val="0"/>
        </w:rPr>
        <w:t> — </w:t>
      </w:r>
      <w:r>
        <w:rPr>
          <w:rStyle w:val="CharDivText"/>
        </w:rPr>
        <w:t>Sittings of the Court</w:t>
      </w:r>
      <w:bookmarkEnd w:id="19"/>
    </w:p>
    <w:p>
      <w:pPr>
        <w:pStyle w:val="Heading5"/>
        <w:spacing w:before="180"/>
      </w:pPr>
      <w:bookmarkStart w:id="20" w:name="_Toc390852519"/>
      <w:r>
        <w:rPr>
          <w:rStyle w:val="CharSectno"/>
        </w:rPr>
        <w:t>13</w:t>
      </w:r>
      <w:r>
        <w:t>.</w:t>
      </w:r>
      <w:r>
        <w:tab/>
        <w:t>Where and when Court operates</w:t>
      </w:r>
      <w:bookmarkEnd w:id="20"/>
    </w:p>
    <w:p>
      <w:pPr>
        <w:pStyle w:val="Subsection"/>
        <w:spacing w:before="120"/>
      </w:pPr>
      <w:r>
        <w:tab/>
        <w:t>(1)</w:t>
      </w:r>
      <w:r>
        <w:tab/>
        <w:t xml:space="preserve">The Court — </w:t>
      </w:r>
    </w:p>
    <w:p>
      <w:pPr>
        <w:pStyle w:val="Indenta"/>
      </w:pPr>
      <w:r>
        <w:tab/>
        <w:t>(a)</w:t>
      </w:r>
      <w:r>
        <w:tab/>
        <w:t>is to have registries at such places, including places outside the State, as the Minister, by written notice to the President, decides from time to time; and</w:t>
      </w:r>
    </w:p>
    <w:p>
      <w:pPr>
        <w:pStyle w:val="Indenta"/>
      </w:pPr>
      <w:r>
        <w:tab/>
        <w:t>(b)</w:t>
      </w:r>
      <w:r>
        <w:tab/>
        <w:t>is to sit at places where it has a registry at such times as the President decides from time to time; and</w:t>
      </w:r>
    </w:p>
    <w:p>
      <w:pPr>
        <w:pStyle w:val="Indenta"/>
      </w:pPr>
      <w:r>
        <w:tab/>
        <w:t>(c)</w:t>
      </w:r>
      <w:r>
        <w:tab/>
        <w:t>may, despite paragraphs (a) and (b), sit or otherwise exercise its jurisdiction at any time and place, but must not do so at a place outside the State without the approval of the President.</w:t>
      </w:r>
    </w:p>
    <w:p>
      <w:pPr>
        <w:pStyle w:val="Subsection"/>
        <w:spacing w:before="120"/>
      </w:pPr>
      <w:r>
        <w:tab/>
        <w:t>(2)</w:t>
      </w:r>
      <w:r>
        <w:tab/>
        <w:t>However, subsection (1) does not authorise the Court to have a registry, to sit, or to otherwise exercise its jurisdiction, at a place outside the State except to the extent allowed by the law of the jurisdiction in which the place is located.</w:t>
      </w:r>
    </w:p>
    <w:p>
      <w:pPr>
        <w:pStyle w:val="Subsection"/>
        <w:spacing w:before="120"/>
        <w:rPr>
          <w:snapToGrid w:val="0"/>
        </w:rPr>
      </w:pPr>
      <w:r>
        <w:rPr>
          <w:snapToGrid w:val="0"/>
        </w:rPr>
        <w:tab/>
        <w:t>(3)</w:t>
      </w:r>
      <w:r>
        <w:rPr>
          <w:snapToGrid w:val="0"/>
        </w:rPr>
        <w:tab/>
        <w:t xml:space="preserve">Public notice of decisions made under </w:t>
      </w:r>
      <w:r>
        <w:t xml:space="preserve">subsection (1)(a) and (b) </w:t>
      </w:r>
      <w:r>
        <w:rPr>
          <w:snapToGrid w:val="0"/>
        </w:rPr>
        <w:t>is to be given in such manner as the President decides.</w:t>
      </w:r>
    </w:p>
    <w:p>
      <w:pPr>
        <w:pStyle w:val="Ednotesubsection"/>
        <w:spacing w:before="120"/>
      </w:pPr>
      <w:r>
        <w:tab/>
        <w:t>[(4)</w:t>
      </w:r>
      <w:r>
        <w:tab/>
        <w:t>deleted]</w:t>
      </w:r>
    </w:p>
    <w:p>
      <w:pPr>
        <w:pStyle w:val="Subsection"/>
        <w:spacing w:before="120"/>
        <w:rPr>
          <w:snapToGrid w:val="0"/>
        </w:rPr>
      </w:pPr>
      <w:r>
        <w:rPr>
          <w:snapToGrid w:val="0"/>
        </w:rPr>
        <w:tab/>
        <w:t>(5)</w:t>
      </w:r>
      <w:r>
        <w:rPr>
          <w:snapToGrid w:val="0"/>
        </w:rPr>
        <w:tab/>
        <w:t>The President may direct a judge, magistrate or JP to sit at any place where the Court has a registry and may direct concurrent sittings of the Court at the same place for the prompt disposal of the Court’s functions.</w:t>
      </w:r>
    </w:p>
    <w:p>
      <w:pPr>
        <w:pStyle w:val="Footnotesection"/>
        <w:keepLines w:val="0"/>
        <w:spacing w:before="100"/>
        <w:ind w:left="890" w:hanging="890"/>
      </w:pPr>
      <w:r>
        <w:tab/>
        <w:t>[Section 13 inserted by No. 59 of 2004 s. 66; amended by No. 7 of 2008 s. 151.]</w:t>
      </w:r>
    </w:p>
    <w:p>
      <w:pPr>
        <w:pStyle w:val="Heading5"/>
        <w:spacing w:before="180"/>
        <w:rPr>
          <w:snapToGrid w:val="0"/>
        </w:rPr>
      </w:pPr>
      <w:bookmarkStart w:id="21" w:name="_Toc390852520"/>
      <w:r>
        <w:rPr>
          <w:rStyle w:val="CharSectno"/>
        </w:rPr>
        <w:t>14</w:t>
      </w:r>
      <w:r>
        <w:rPr>
          <w:snapToGrid w:val="0"/>
        </w:rPr>
        <w:t>.</w:t>
      </w:r>
      <w:r>
        <w:rPr>
          <w:snapToGrid w:val="0"/>
        </w:rPr>
        <w:tab/>
        <w:t>Power to sit in chambers</w:t>
      </w:r>
      <w:bookmarkEnd w:id="21"/>
    </w:p>
    <w:p>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pPr>
        <w:pStyle w:val="Footnotesection"/>
        <w:ind w:left="890" w:hanging="890"/>
      </w:pPr>
      <w:r>
        <w:tab/>
        <w:t>[Section 14 amended by No. 59 of 2004 s. 73.]</w:t>
      </w:r>
    </w:p>
    <w:p>
      <w:pPr>
        <w:pStyle w:val="Heading5"/>
        <w:rPr>
          <w:snapToGrid w:val="0"/>
        </w:rPr>
      </w:pPr>
      <w:bookmarkStart w:id="22" w:name="_Toc390852521"/>
      <w:r>
        <w:rPr>
          <w:rStyle w:val="CharSectno"/>
        </w:rPr>
        <w:t>15</w:t>
      </w:r>
      <w:r>
        <w:rPr>
          <w:snapToGrid w:val="0"/>
        </w:rPr>
        <w:t>.</w:t>
      </w:r>
      <w:r>
        <w:rPr>
          <w:snapToGrid w:val="0"/>
        </w:rPr>
        <w:tab/>
        <w:t>Police officers to attend Court</w:t>
      </w:r>
      <w:bookmarkEnd w:id="22"/>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pPr>
        <w:pStyle w:val="Footnotesection"/>
        <w:ind w:left="890" w:hanging="890"/>
      </w:pPr>
      <w:r>
        <w:tab/>
        <w:t>[Section 15 amended by No. 59 of 2004 s. 73.]</w:t>
      </w:r>
    </w:p>
    <w:p>
      <w:pPr>
        <w:pStyle w:val="Heading3"/>
      </w:pPr>
      <w:bookmarkStart w:id="23" w:name="_Toc390852522"/>
      <w:r>
        <w:rPr>
          <w:rStyle w:val="CharDivNo"/>
        </w:rPr>
        <w:t>Division 4</w:t>
      </w:r>
      <w:r>
        <w:rPr>
          <w:snapToGrid w:val="0"/>
        </w:rPr>
        <w:t> — </w:t>
      </w:r>
      <w:r>
        <w:rPr>
          <w:rStyle w:val="CharDivText"/>
        </w:rPr>
        <w:t>Officers of the Court</w:t>
      </w:r>
      <w:bookmarkEnd w:id="23"/>
    </w:p>
    <w:p>
      <w:pPr>
        <w:pStyle w:val="Heading5"/>
      </w:pPr>
      <w:bookmarkStart w:id="24" w:name="_Toc390852523"/>
      <w:r>
        <w:rPr>
          <w:rStyle w:val="CharSectno"/>
        </w:rPr>
        <w:t>16</w:t>
      </w:r>
      <w:r>
        <w:t>.</w:t>
      </w:r>
      <w:r>
        <w:tab/>
        <w:t>Appointment of registrars etc.</w:t>
      </w:r>
      <w:bookmarkEnd w:id="24"/>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tab/>
        <w:t>(3)</w:t>
      </w:r>
      <w:r>
        <w:tab/>
        <w:t>A person appointed to be a deputy registrar of the Magistrates Court is to be taken to also have been appointed as a deputy registrar of the Children’s Court and vice versa.</w:t>
      </w:r>
    </w:p>
    <w:p>
      <w:pPr>
        <w:pStyle w:val="Subsection"/>
        <w:keepNext/>
      </w:pPr>
      <w:r>
        <w:tab/>
        <w:t>(4)</w:t>
      </w:r>
      <w:r>
        <w:tab/>
        <w:t xml:space="preserve">Section 26(7) to (8b) of the </w:t>
      </w:r>
      <w:r>
        <w:rPr>
          <w:i/>
          <w:iCs/>
        </w:rPr>
        <w:t>Magistrates Court Act 2004</w:t>
      </w:r>
      <w:r>
        <w:t xml:space="preserve"> applies as if — </w:t>
      </w:r>
    </w:p>
    <w:p>
      <w:pPr>
        <w:pStyle w:val="Indenta"/>
      </w:pPr>
      <w:r>
        <w:tab/>
        <w:t>(a)</w:t>
      </w:r>
      <w:r>
        <w:tab/>
        <w:t xml:space="preserve">each reference to the </w:t>
      </w:r>
      <w:smartTag w:uri="urn:schemas-microsoft-com:office:smarttags" w:element="PlaceName">
        <w:smartTag w:uri="urn:schemas-microsoft-com:office:smarttags" w:element="Street">
          <w:r>
            <w:t>Magistrates Court</w:t>
          </w:r>
        </w:smartTag>
      </w:smartTag>
      <w:r>
        <w:t xml:space="preserve"> were a reference to the Court; and</w:t>
      </w:r>
    </w:p>
    <w:p>
      <w:pPr>
        <w:pStyle w:val="Indenta"/>
      </w:pPr>
      <w:r>
        <w:tab/>
        <w:t>(b)</w:t>
      </w:r>
      <w:r>
        <w:tab/>
        <w:t>each reference to a Registrar or Deputy Registrar of the Magistrates Court were a reference to a registrar or deputy registrar (as the case requires) of the Court; and</w:t>
      </w:r>
    </w:p>
    <w:p>
      <w:pPr>
        <w:pStyle w:val="Indenta"/>
      </w:pPr>
      <w:r>
        <w:tab/>
        <w:t>(c)</w:t>
      </w:r>
      <w:r>
        <w:tab/>
        <w:t>each reference in subsection (8) to a person appointed to an office in the administrative staff of the Magistrates Court were a reference to a person appointed as a registrar, deputy registrar or other officer appointed under section 16(1) to deal with the workload of the Court; and</w:t>
      </w:r>
    </w:p>
    <w:p>
      <w:pPr>
        <w:pStyle w:val="Indenta"/>
      </w:pPr>
      <w:r>
        <w:tab/>
        <w:t>(d)</w:t>
      </w:r>
      <w:r>
        <w:tab/>
        <w:t>the reference in subsection (8b) to section 26(7)(a) or (b) of that Act were a reference to that provision as applied by this subsection.</w:t>
      </w:r>
    </w:p>
    <w:p>
      <w:pPr>
        <w:pStyle w:val="Footnotesection"/>
      </w:pPr>
      <w:r>
        <w:tab/>
        <w:t>[Section 16 inserted by No. 59 of 2004 s. 67; amended by No. 7 of 2008 s. 152.]</w:t>
      </w:r>
    </w:p>
    <w:p>
      <w:pPr>
        <w:pStyle w:val="Heading5"/>
        <w:rPr>
          <w:snapToGrid w:val="0"/>
        </w:rPr>
      </w:pPr>
      <w:bookmarkStart w:id="25" w:name="_Toc390852524"/>
      <w:r>
        <w:rPr>
          <w:rStyle w:val="CharSectno"/>
        </w:rPr>
        <w:t>17</w:t>
      </w:r>
      <w:r>
        <w:rPr>
          <w:snapToGrid w:val="0"/>
        </w:rPr>
        <w:t>.</w:t>
      </w:r>
      <w:r>
        <w:rPr>
          <w:snapToGrid w:val="0"/>
        </w:rPr>
        <w:tab/>
        <w:t xml:space="preserve">Duties of </w:t>
      </w:r>
      <w:r>
        <w:t>registrar</w:t>
      </w:r>
      <w:bookmarkEnd w:id="25"/>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w:t>
      </w:r>
    </w:p>
    <w:p>
      <w:pPr>
        <w:pStyle w:val="Indenta"/>
        <w:rPr>
          <w:snapToGrid w:val="0"/>
        </w:rPr>
      </w:pPr>
      <w:r>
        <w:rPr>
          <w:snapToGrid w:val="0"/>
        </w:rPr>
        <w:tab/>
        <w:t>(a)</w:t>
      </w:r>
      <w:r>
        <w:rPr>
          <w:snapToGrid w:val="0"/>
        </w:rPr>
        <w:tab/>
        <w:t>issue summonses issued out of the Court at that place; and</w:t>
      </w:r>
    </w:p>
    <w:p>
      <w:pPr>
        <w:pStyle w:val="Indenta"/>
        <w:rPr>
          <w:snapToGrid w:val="0"/>
        </w:rPr>
      </w:pPr>
      <w:r>
        <w:rPr>
          <w:snapToGrid w:val="0"/>
        </w:rPr>
        <w:tab/>
        <w:t>(b)</w:t>
      </w:r>
      <w:r>
        <w:rPr>
          <w:snapToGrid w:val="0"/>
        </w:rPr>
        <w:tab/>
        <w:t>maintain a record of all proceedings, verdicts and judgments of the Court at that place; and</w:t>
      </w:r>
    </w:p>
    <w:p>
      <w:pPr>
        <w:pStyle w:val="Indenta"/>
        <w:rPr>
          <w:snapToGrid w:val="0"/>
        </w:rPr>
      </w:pPr>
      <w:r>
        <w:rPr>
          <w:snapToGrid w:val="0"/>
        </w:rPr>
        <w:tab/>
        <w:t>(c)</w:t>
      </w:r>
      <w:r>
        <w:rPr>
          <w:snapToGrid w:val="0"/>
        </w:rPr>
        <w:tab/>
        <w:t>make lists of all matters for hearing, trial, further hearing or rehearing by the Court at that place; and</w:t>
      </w:r>
    </w:p>
    <w:p>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 and</w:t>
      </w:r>
    </w:p>
    <w:p>
      <w:pPr>
        <w:pStyle w:val="Indenta"/>
        <w:rPr>
          <w:snapToGrid w:val="0"/>
        </w:rPr>
      </w:pPr>
      <w:r>
        <w:rPr>
          <w:snapToGrid w:val="0"/>
        </w:rPr>
        <w:tab/>
        <w:t>(e)</w:t>
      </w:r>
      <w:r>
        <w:rPr>
          <w:snapToGrid w:val="0"/>
        </w:rPr>
        <w:tab/>
        <w:t>take charge of and keep an account of all court fees and fines payable or paid into the Court at that place and of all moneys paid into and out of the Court at that place; and</w:t>
      </w:r>
    </w:p>
    <w:p>
      <w:pPr>
        <w:pStyle w:val="Indenta"/>
        <w:rPr>
          <w:snapToGrid w:val="0"/>
        </w:rPr>
      </w:pPr>
      <w:r>
        <w:rPr>
          <w:snapToGrid w:val="0"/>
        </w:rPr>
        <w:tab/>
        <w:t>(f)</w:t>
      </w:r>
      <w:r>
        <w:rPr>
          <w:snapToGrid w:val="0"/>
        </w:rPr>
        <w:tab/>
        <w:t>account for all such fees and fines and shall, when required, submit his accounts to be audited by the Auditor General appointed under the</w:t>
      </w:r>
      <w:r>
        <w:rPr>
          <w:i/>
          <w:iCs/>
        </w:rPr>
        <w:t xml:space="preserve"> Auditor General Act 2006</w:t>
      </w:r>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[Section 17 amended by No. 59 of 2004 s. 73; No. 77 of 2006 Sch. 1 cl. 24.]</w:t>
      </w:r>
    </w:p>
    <w:p>
      <w:pPr>
        <w:pStyle w:val="Heading5"/>
        <w:rPr>
          <w:snapToGrid w:val="0"/>
        </w:rPr>
      </w:pPr>
      <w:bookmarkStart w:id="26" w:name="_Toc390852525"/>
      <w:r>
        <w:rPr>
          <w:rStyle w:val="CharSectno"/>
        </w:rPr>
        <w:t>18</w:t>
      </w:r>
      <w:r>
        <w:rPr>
          <w:snapToGrid w:val="0"/>
        </w:rPr>
        <w:t>.</w:t>
      </w:r>
      <w:r>
        <w:rPr>
          <w:snapToGrid w:val="0"/>
        </w:rPr>
        <w:tab/>
        <w:t xml:space="preserve">Power of </w:t>
      </w:r>
      <w:r>
        <w:t>registrars</w:t>
      </w:r>
      <w:r>
        <w:rPr>
          <w:snapToGrid w:val="0"/>
        </w:rPr>
        <w:t xml:space="preserve"> to administer oaths etc.</w:t>
      </w:r>
      <w:bookmarkEnd w:id="26"/>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Ednotesubsection"/>
      </w:pPr>
      <w:r>
        <w:tab/>
        <w:t>[(2)</w:t>
      </w:r>
      <w:r>
        <w:tab/>
        <w:t>deleted]</w:t>
      </w:r>
    </w:p>
    <w:p>
      <w:pPr>
        <w:pStyle w:val="Footnotesection"/>
      </w:pPr>
      <w:r>
        <w:tab/>
        <w:t>[Section 18 amended by No. 59 of 2004 s. 73; No. 24 of 2005 s. 15.]</w:t>
      </w:r>
    </w:p>
    <w:p>
      <w:pPr>
        <w:pStyle w:val="Heading2"/>
      </w:pPr>
      <w:bookmarkStart w:id="27" w:name="_Toc390852526"/>
      <w:r>
        <w:rPr>
          <w:rStyle w:val="CharPartNo"/>
        </w:rPr>
        <w:t>Part 3</w:t>
      </w:r>
      <w:r>
        <w:rPr>
          <w:rStyle w:val="CharDivNo"/>
        </w:rPr>
        <w:t> </w:t>
      </w:r>
      <w:r>
        <w:t>—</w:t>
      </w:r>
      <w:r>
        <w:rPr>
          <w:rStyle w:val="CharDivText"/>
        </w:rPr>
        <w:t> </w:t>
      </w:r>
      <w:r>
        <w:rPr>
          <w:rStyle w:val="CharPartText"/>
        </w:rPr>
        <w:t>Jurisdiction of the Court</w:t>
      </w:r>
      <w:bookmarkEnd w:id="27"/>
    </w:p>
    <w:p>
      <w:pPr>
        <w:pStyle w:val="Heading5"/>
        <w:spacing w:before="180"/>
        <w:rPr>
          <w:snapToGrid w:val="0"/>
        </w:rPr>
      </w:pPr>
      <w:bookmarkStart w:id="28" w:name="_Toc390852527"/>
      <w:r>
        <w:rPr>
          <w:rStyle w:val="CharSectno"/>
        </w:rPr>
        <w:t>19</w:t>
      </w:r>
      <w:r>
        <w:rPr>
          <w:snapToGrid w:val="0"/>
        </w:rPr>
        <w:t>.</w:t>
      </w:r>
      <w:r>
        <w:rPr>
          <w:snapToGrid w:val="0"/>
        </w:rPr>
        <w:tab/>
        <w:t>Criminal jurisdiction as regards children</w:t>
      </w:r>
      <w:bookmarkEnd w:id="28"/>
    </w:p>
    <w:p>
      <w:pPr>
        <w:pStyle w:val="Subsection"/>
        <w:spacing w:before="120"/>
      </w:pPr>
      <w:r>
        <w:tab/>
        <w:t>(1)</w:t>
      </w:r>
      <w:r>
        <w:tab/>
        <w:t>The Court has exclusive jurisdiction to hear and determine a charge of an offence alleged to have been committed by a child.</w:t>
      </w:r>
    </w:p>
    <w:p>
      <w:pPr>
        <w:pStyle w:val="Subsection"/>
        <w:spacing w:before="120"/>
      </w:pPr>
      <w:r>
        <w:tab/>
        <w:t>(1a)</w:t>
      </w:r>
      <w:r>
        <w:tab/>
        <w:t>Subsection (1) is subject to this Part and these enactments —</w:t>
      </w:r>
    </w:p>
    <w:p>
      <w:pPr>
        <w:pStyle w:val="Indenta"/>
        <w:spacing w:before="100"/>
      </w:pPr>
      <w:r>
        <w:tab/>
        <w:t>(a)</w:t>
      </w:r>
      <w:r>
        <w:tab/>
        <w:t xml:space="preserve">the </w:t>
      </w:r>
      <w:r>
        <w:rPr>
          <w:i/>
        </w:rPr>
        <w:t>Young Offenders Act 1994</w:t>
      </w:r>
      <w:r>
        <w:t xml:space="preserve"> Part 5 Division 2;</w:t>
      </w:r>
    </w:p>
    <w:p>
      <w:pPr>
        <w:pStyle w:val="Indenta"/>
        <w:spacing w:before="100"/>
      </w:pPr>
      <w:r>
        <w:tab/>
        <w:t>(b)</w:t>
      </w:r>
      <w:r>
        <w:tab/>
        <w:t xml:space="preserve">the </w:t>
      </w:r>
      <w:r>
        <w:rPr>
          <w:i/>
        </w:rPr>
        <w:t>Sentencing Act 1995</w:t>
      </w:r>
      <w:r>
        <w:t xml:space="preserve"> sections 78, 84D, 128 and 132.</w:t>
      </w:r>
    </w:p>
    <w:p>
      <w:pPr>
        <w:pStyle w:val="Subsection"/>
        <w:spacing w:before="120"/>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spacing w:before="120"/>
        <w:rPr>
          <w:snapToGrid w:val="0"/>
        </w:rPr>
      </w:pPr>
      <w:r>
        <w:rPr>
          <w:snapToGrid w:val="0"/>
        </w:rPr>
        <w:tab/>
        <w:t>(2a)</w:t>
      </w:r>
      <w:r>
        <w:rPr>
          <w:snapToGrid w:val="0"/>
        </w:rPr>
        <w:tab/>
        <w:t>In subsection (2), the reference to proceedings in respect of an offence includes proceedings relating to an order that the Court made when it dealt with the offender upon finding the offender guilty of the offence.</w:t>
      </w:r>
    </w:p>
    <w:p>
      <w:pPr>
        <w:pStyle w:val="Subsection"/>
        <w:spacing w:before="120"/>
      </w:pPr>
      <w:r>
        <w:tab/>
        <w:t>(3)</w:t>
      </w:r>
      <w:r>
        <w:tab/>
        <w:t>In exercising the jurisdiction conferred by this section, the Court when constituted so as not to consist of or include a judge is a court of summary jurisdiction, subject to section 19B(4)(d).</w:t>
      </w:r>
    </w:p>
    <w:p>
      <w:pPr>
        <w:pStyle w:val="Subsection"/>
        <w:spacing w:before="120"/>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offence, then, notwithstanding anything in this Act, a child may so elect.</w:t>
      </w:r>
    </w:p>
    <w:p>
      <w:pPr>
        <w:pStyle w:val="Ednotesubsection"/>
        <w:spacing w:before="120"/>
      </w:pPr>
      <w:r>
        <w:tab/>
        <w:t>[(5)</w:t>
      </w:r>
      <w:r>
        <w:noBreakHyphen/>
        <w:t>(8)</w:t>
      </w:r>
      <w:r>
        <w:tab/>
        <w:t>deleted]</w:t>
      </w:r>
    </w:p>
    <w:p>
      <w:pPr>
        <w:pStyle w:val="Subsection"/>
        <w:keepNext/>
        <w:spacing w:before="120"/>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widowControl w:val="0"/>
        <w:spacing w:before="60"/>
        <w:ind w:left="890" w:hanging="890"/>
      </w:pPr>
      <w:r>
        <w:tab/>
        <w:t>[Section 19 amended by No. 15 of 1991 s. 10; No. 104 of 1994 s. 224; No. 78 of 1995 s. 12; No. 27 of 2004 s. 14(3); No. 59 of 2004 s. 68 and 73; No. 84 of 2004 s. 80.]</w:t>
      </w:r>
    </w:p>
    <w:p>
      <w:pPr>
        <w:pStyle w:val="Heading5"/>
        <w:rPr>
          <w:snapToGrid w:val="0"/>
        </w:rPr>
      </w:pPr>
      <w:bookmarkStart w:id="29" w:name="_Toc390852528"/>
      <w:r>
        <w:rPr>
          <w:rStyle w:val="CharSectno"/>
        </w:rPr>
        <w:t>19A</w:t>
      </w:r>
      <w:r>
        <w:rPr>
          <w:snapToGrid w:val="0"/>
        </w:rPr>
        <w:t>.</w:t>
      </w:r>
      <w:r>
        <w:rPr>
          <w:snapToGrid w:val="0"/>
        </w:rPr>
        <w:tab/>
        <w:t>Application of sections 19B to 19E</w:t>
      </w:r>
      <w:bookmarkEnd w:id="29"/>
    </w:p>
    <w:p>
      <w:pPr>
        <w:pStyle w:val="Subsection"/>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ind w:left="890" w:hanging="890"/>
      </w:pPr>
      <w:r>
        <w:tab/>
        <w:t>[Section 19A inserted by No. 15 of 1991 s. 11.]</w:t>
      </w:r>
    </w:p>
    <w:p>
      <w:pPr>
        <w:pStyle w:val="Heading5"/>
        <w:rPr>
          <w:snapToGrid w:val="0"/>
        </w:rPr>
      </w:pPr>
      <w:bookmarkStart w:id="30" w:name="_Toc390852529"/>
      <w:r>
        <w:rPr>
          <w:rStyle w:val="CharSectno"/>
        </w:rPr>
        <w:t>19B</w:t>
      </w:r>
      <w:r>
        <w:rPr>
          <w:snapToGrid w:val="0"/>
        </w:rPr>
        <w:t>.</w:t>
      </w:r>
      <w:r>
        <w:rPr>
          <w:snapToGrid w:val="0"/>
        </w:rPr>
        <w:tab/>
        <w:t>Jurisdiction and procedure for charges of indictable offences</w:t>
      </w:r>
      <w:bookmarkEnd w:id="30"/>
    </w:p>
    <w:p>
      <w:pPr>
        <w:pStyle w:val="Subsection"/>
      </w:pPr>
      <w:r>
        <w:tab/>
        <w:t>(1)</w:t>
      </w:r>
      <w:r>
        <w:tab/>
        <w:t>If a child is charged with an indictable offence and —</w:t>
      </w:r>
    </w:p>
    <w:p>
      <w:pPr>
        <w:pStyle w:val="Indenta"/>
      </w:pPr>
      <w:r>
        <w:tab/>
        <w:t>(a)</w:t>
      </w:r>
      <w:r>
        <w:tab/>
        <w:t>the offence is such that, if an adult were charged with it, it must be tried on indictment; or</w:t>
      </w:r>
    </w:p>
    <w:p>
      <w:pPr>
        <w:pStyle w:val="Indenta"/>
      </w:pPr>
      <w:r>
        <w:tab/>
        <w:t>(b)</w:t>
      </w:r>
      <w:r>
        <w:tab/>
        <w:t>the circumstances of the alleged offence are such that —</w:t>
      </w:r>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pPr>
      <w:r>
        <w:tab/>
        <w:t>(ii)</w:t>
      </w:r>
      <w:r>
        <w:tab/>
        <w:t xml:space="preserve">the Court, having complied with section 40(2) of the </w:t>
      </w:r>
      <w:r>
        <w:rPr>
          <w:i/>
        </w:rPr>
        <w:t>Criminal Procedure Act 2004</w:t>
      </w:r>
      <w:r>
        <w:t>, decides that it is to be tried on indictment,</w:t>
      </w:r>
    </w:p>
    <w:p>
      <w:pPr>
        <w:pStyle w:val="Subsection"/>
      </w:pPr>
      <w:r>
        <w:tab/>
      </w:r>
      <w:r>
        <w:tab/>
        <w:t>the child may elect to be tried on indictment by the Supreme Court or the District Court (as the case requires), and the Court shall so inform the child.</w:t>
      </w:r>
    </w:p>
    <w:p>
      <w:pPr>
        <w:pStyle w:val="Subsection"/>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w:t>
      </w:r>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 and</w:t>
      </w:r>
    </w:p>
    <w:p>
      <w:pPr>
        <w:pStyle w:val="Indenta"/>
        <w:rPr>
          <w:snapToGrid w:val="0"/>
        </w:rPr>
      </w:pPr>
      <w:r>
        <w:rPr>
          <w:snapToGrid w:val="0"/>
        </w:rPr>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pPr>
        <w:pStyle w:val="Subsection"/>
        <w:spacing w:before="180"/>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spacing w:before="180"/>
      </w:pPr>
      <w:r>
        <w:tab/>
        <w:t>(6)</w:t>
      </w:r>
      <w:r>
        <w:tab/>
        <w:t>If there is a prospect of the recovery of a person proved to be too ill to travel, the Court shall not be obliged to receive the statement, but may postpone the trial.</w:t>
      </w:r>
    </w:p>
    <w:p>
      <w:pPr>
        <w:pStyle w:val="Footnotesection"/>
        <w:ind w:left="890" w:hanging="890"/>
      </w:pPr>
      <w:r>
        <w:tab/>
        <w:t>[Section 19B inserted by No. 15 of 1991 s. 11; amended by No. 71 of 2000 s. 40; No. 65 of 2003 s. 122(2); No. 4 of 2004 s. 58; No. 59 of 2004 s. 69 and 73; No. 84 of 2004 s. 13, 18 and 80.]</w:t>
      </w:r>
    </w:p>
    <w:p>
      <w:pPr>
        <w:pStyle w:val="Heading5"/>
        <w:rPr>
          <w:snapToGrid w:val="0"/>
        </w:rPr>
      </w:pPr>
      <w:bookmarkStart w:id="31" w:name="_Toc390852530"/>
      <w:smartTag w:uri="urn:schemas-microsoft-com:office:smarttags" w:element="Street">
        <w:smartTag w:uri="urn:schemas-microsoft-com:office:smarttags" w:element="PlaceName">
          <w:r>
            <w:rPr>
              <w:rStyle w:val="CharSectno"/>
            </w:rPr>
            <w:t>19C</w:t>
          </w:r>
          <w:r>
            <w:rPr>
              <w:snapToGrid w:val="0"/>
            </w:rPr>
            <w:t>.</w:t>
          </w:r>
          <w:r>
            <w:rPr>
              <w:snapToGrid w:val="0"/>
            </w:rPr>
            <w:tab/>
            <w:t>Court</w:t>
          </w:r>
        </w:smartTag>
      </w:smartTag>
      <w:r>
        <w:rPr>
          <w:snapToGrid w:val="0"/>
        </w:rPr>
        <w:t xml:space="preserve"> may transfer charge to </w:t>
      </w:r>
      <w:smartTag w:uri="urn:schemas-microsoft-com:office:smarttags" w:element="PlaceName">
        <w:smartTag w:uri="urn:schemas-microsoft-com:office:smarttags" w:element="Street">
          <w:r>
            <w:rPr>
              <w:snapToGrid w:val="0"/>
            </w:rPr>
            <w:t>Magistrates Court</w:t>
          </w:r>
        </w:smartTag>
      </w:smartTag>
      <w:r>
        <w:rPr>
          <w:snapToGrid w:val="0"/>
        </w:rPr>
        <w:t xml:space="preserve"> where child and adult charged with same offence</w:t>
      </w:r>
      <w:bookmarkEnd w:id="31"/>
    </w:p>
    <w:p>
      <w:pPr>
        <w:pStyle w:val="Subsection"/>
        <w:spacing w:before="180"/>
      </w:pPr>
      <w:r>
        <w:tab/>
        <w:t>(1)</w:t>
      </w:r>
      <w:r>
        <w:tab/>
        <w:t>Notwithstanding section 19B, if —</w:t>
      </w:r>
    </w:p>
    <w:p>
      <w:pPr>
        <w:pStyle w:val="Indenta"/>
      </w:pPr>
      <w:r>
        <w:tab/>
        <w:t>(a)</w:t>
      </w:r>
      <w:r>
        <w:tab/>
        <w:t>the Court is satisfied —</w:t>
      </w:r>
    </w:p>
    <w:p>
      <w:pPr>
        <w:pStyle w:val="Indenti"/>
      </w:pPr>
      <w:r>
        <w:tab/>
        <w:t>(i)</w:t>
      </w:r>
      <w:r>
        <w:tab/>
        <w:t xml:space="preserve">that a person who has reached 18 years of age (the </w:t>
      </w:r>
      <w:r>
        <w:rPr>
          <w:rStyle w:val="CharDefText"/>
        </w:rPr>
        <w:t>adult</w:t>
      </w:r>
      <w:r>
        <w:t>) is charged with the same indictable offence as a child or with an indictable offence 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pPr>
        <w:pStyle w:val="Ednotesubsection"/>
      </w:pPr>
      <w:r>
        <w:tab/>
        <w:t>[(2)</w:t>
      </w:r>
      <w:r>
        <w:tab/>
        <w:t>deleted]</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w:t>
      </w:r>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For the purposes of subsection (1), the Court may adjourn the hearing of the charge of the indictable offence until proceedings against the adult are at a stage where the Court can be satisfied about any of the matters in that subsection.</w:t>
      </w:r>
    </w:p>
    <w:p>
      <w:pPr>
        <w:pStyle w:val="Footnotesection"/>
        <w:ind w:left="890" w:hanging="890"/>
      </w:pPr>
      <w:r>
        <w:tab/>
        <w:t>[Section 19C inserted by No. 15 of 1991 s. 11; amended by No. 27 of 2002 s. 23; No. 4 of 2004 s. 58; No. 59 of 2004 s. 73; No. 84 of 2004 s. 18 and 80.]</w:t>
      </w:r>
    </w:p>
    <w:p>
      <w:pPr>
        <w:pStyle w:val="Heading5"/>
        <w:keepNext w:val="0"/>
        <w:keepLines w:val="0"/>
        <w:widowControl w:val="0"/>
        <w:rPr>
          <w:snapToGrid w:val="0"/>
        </w:rPr>
      </w:pPr>
      <w:bookmarkStart w:id="32" w:name="_Toc390852531"/>
      <w:r>
        <w:rPr>
          <w:rStyle w:val="CharSectno"/>
        </w:rPr>
        <w:t>19D</w:t>
      </w:r>
      <w:r>
        <w:rPr>
          <w:snapToGrid w:val="0"/>
        </w:rPr>
        <w:t>.</w:t>
      </w:r>
      <w:r>
        <w:rPr>
          <w:snapToGrid w:val="0"/>
        </w:rPr>
        <w:tab/>
        <w:t xml:space="preserve">Court may transfer charge to </w:t>
      </w:r>
      <w:smartTag w:uri="urn:schemas-microsoft-com:office:smarttags" w:element="PlaceName">
        <w:smartTag w:uri="urn:schemas-microsoft-com:office:smarttags" w:element="Street">
          <w:r>
            <w:rPr>
              <w:snapToGrid w:val="0"/>
            </w:rPr>
            <w:t>Magistrates Court</w:t>
          </w:r>
        </w:smartTag>
      </w:smartTag>
      <w:r>
        <w:rPr>
          <w:snapToGrid w:val="0"/>
        </w:rPr>
        <w:t xml:space="preserve"> where accused has turned 18</w:t>
      </w:r>
      <w:bookmarkEnd w:id="32"/>
    </w:p>
    <w:p>
      <w:pPr>
        <w:pStyle w:val="Subsection"/>
        <w:spacing w:before="120"/>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w:t>
      </w:r>
    </w:p>
    <w:p>
      <w:pPr>
        <w:pStyle w:val="Indenta"/>
        <w:rPr>
          <w:snapToGrid w:val="0"/>
        </w:rPr>
      </w:pPr>
      <w:r>
        <w:rPr>
          <w:snapToGrid w:val="0"/>
        </w:rPr>
        <w:tab/>
        <w:t>(a)</w:t>
      </w:r>
      <w:r>
        <w:rPr>
          <w:snapToGrid w:val="0"/>
        </w:rPr>
        <w:tab/>
        <w:t>the seriousness of the offence; or</w:t>
      </w:r>
    </w:p>
    <w:p>
      <w:pPr>
        <w:pStyle w:val="Indenta"/>
        <w:rPr>
          <w:snapToGrid w:val="0"/>
        </w:rPr>
      </w:pPr>
      <w:r>
        <w:rPr>
          <w:snapToGrid w:val="0"/>
        </w:rPr>
        <w:tab/>
        <w:t>(b)</w:t>
      </w:r>
      <w:r>
        <w:rPr>
          <w:snapToGrid w:val="0"/>
        </w:rPr>
        <w:tab/>
        <w:t>the existence of an adult co</w:t>
      </w:r>
      <w:r>
        <w:rPr>
          <w:snapToGrid w:val="0"/>
        </w:rPr>
        <w:noBreakHyphen/>
        <w:t>offender; or</w:t>
      </w:r>
    </w:p>
    <w:p>
      <w:pPr>
        <w:pStyle w:val="Indenta"/>
        <w:rPr>
          <w:snapToGrid w:val="0"/>
        </w:rPr>
      </w:pPr>
      <w:r>
        <w:rPr>
          <w:snapToGrid w:val="0"/>
        </w:rPr>
        <w:tab/>
        <w:t>(c)</w:t>
      </w:r>
      <w:r>
        <w:rPr>
          <w:snapToGrid w:val="0"/>
        </w:rPr>
        <w:tab/>
        <w:t>the effluxion of time since the offence; or</w:t>
      </w:r>
    </w:p>
    <w:p>
      <w:pPr>
        <w:pStyle w:val="Indenta"/>
        <w:rPr>
          <w:snapToGrid w:val="0"/>
        </w:rPr>
      </w:pPr>
      <w:r>
        <w:rPr>
          <w:snapToGrid w:val="0"/>
        </w:rPr>
        <w:tab/>
        <w:t>(d)</w:t>
      </w:r>
      <w:r>
        <w:rPr>
          <w:snapToGrid w:val="0"/>
        </w:rPr>
        <w:tab/>
        <w:t xml:space="preserve">the fact that the person is charged before </w:t>
      </w:r>
      <w:r>
        <w:t xml:space="preserve">the </w:t>
      </w:r>
      <w:smartTag w:uri="urn:schemas-microsoft-com:office:smarttags" w:element="PlaceName">
        <w:smartTag w:uri="urn:schemas-microsoft-com:office:smarttags" w:element="Street">
          <w:r>
            <w:t>Magistrates Court</w:t>
          </w:r>
        </w:smartTag>
      </w:smartTag>
      <w:r>
        <w:rPr>
          <w:snapToGrid w:val="0"/>
        </w:rPr>
        <w:t xml:space="preserve"> with other offences; or</w:t>
      </w:r>
    </w:p>
    <w:p>
      <w:pPr>
        <w:pStyle w:val="Indenta"/>
        <w:rPr>
          <w:snapToGrid w:val="0"/>
        </w:rPr>
      </w:pPr>
      <w:r>
        <w:rPr>
          <w:snapToGrid w:val="0"/>
        </w:rPr>
        <w:tab/>
        <w:t>(e)</w:t>
      </w:r>
      <w:r>
        <w:rPr>
          <w:snapToGrid w:val="0"/>
        </w:rPr>
        <w:tab/>
        <w:t>any other good cause,</w:t>
      </w:r>
    </w:p>
    <w:p>
      <w:pPr>
        <w:pStyle w:val="Subsection"/>
        <w:spacing w:before="120"/>
        <w:rPr>
          <w:snapToGrid w:val="0"/>
        </w:rPr>
      </w:pPr>
      <w:r>
        <w:rPr>
          <w:snapToGrid w:val="0"/>
        </w:rPr>
        <w:tab/>
      </w:r>
      <w:r>
        <w:rPr>
          <w:snapToGrid w:val="0"/>
        </w:rPr>
        <w:tab/>
        <w:t xml:space="preserve">order the transfer of the </w:t>
      </w:r>
      <w:r>
        <w:t>prosecution notice</w:t>
      </w:r>
      <w:r>
        <w:rPr>
          <w:snapToGrid w:val="0"/>
        </w:rPr>
        <w:t xml:space="preserve"> to </w:t>
      </w:r>
      <w:r>
        <w:t xml:space="preserve">the </w:t>
      </w:r>
      <w:smartTag w:uri="urn:schemas-microsoft-com:office:smarttags" w:element="PlaceName">
        <w:smartTag w:uri="urn:schemas-microsoft-com:office:smarttags" w:element="Street">
          <w:r>
            <w:t>Magistrates Court</w:t>
          </w:r>
        </w:smartTag>
      </w:smartTag>
      <w:r>
        <w:rPr>
          <w:snapToGrid w:val="0"/>
        </w:rPr>
        <w:t xml:space="preserve"> to be dealt with according to law and </w:t>
      </w:r>
      <w:r>
        <w:t xml:space="preserve">the </w:t>
      </w:r>
      <w:smartTag w:uri="urn:schemas-microsoft-com:office:smarttags" w:element="PlaceName">
        <w:smartTag w:uri="urn:schemas-microsoft-com:office:smarttags" w:element="Street">
          <w:r>
            <w:t>Magistrates Court</w:t>
          </w:r>
        </w:smartTag>
      </w:smartTag>
      <w:r>
        <w:rPr>
          <w:snapToGrid w:val="0"/>
        </w:rPr>
        <w:t xml:space="preserve"> shall have jurisdiction accordingly.</w:t>
      </w:r>
    </w:p>
    <w:p>
      <w:pPr>
        <w:pStyle w:val="Footnotesection"/>
      </w:pPr>
      <w:r>
        <w:tab/>
        <w:t>[Section 19D inserted by No. 15 of 1991 s. 11; amended by No. 59 of 2004 s. 73; No. 84 of 2004 s. 80.]</w:t>
      </w:r>
    </w:p>
    <w:p>
      <w:pPr>
        <w:pStyle w:val="Heading5"/>
        <w:spacing w:before="180"/>
        <w:rPr>
          <w:snapToGrid w:val="0"/>
        </w:rPr>
      </w:pPr>
      <w:bookmarkStart w:id="33" w:name="_Toc390852532"/>
      <w:r>
        <w:rPr>
          <w:rStyle w:val="CharSectno"/>
        </w:rPr>
        <w:t>19E</w:t>
      </w:r>
      <w:r>
        <w:rPr>
          <w:snapToGrid w:val="0"/>
        </w:rPr>
        <w:t>.</w:t>
      </w:r>
      <w:r>
        <w:rPr>
          <w:snapToGrid w:val="0"/>
        </w:rPr>
        <w:tab/>
        <w:t>Procedure for charges of Commonwealth indictable offences</w:t>
      </w:r>
      <w:bookmarkEnd w:id="33"/>
    </w:p>
    <w:p>
      <w:pPr>
        <w:pStyle w:val="Subsection"/>
        <w:spacing w:before="120"/>
        <w:rPr>
          <w:snapToGrid w:val="0"/>
        </w:rPr>
      </w:pPr>
      <w:r>
        <w:rPr>
          <w:snapToGrid w:val="0"/>
        </w:rPr>
        <w:tab/>
      </w:r>
      <w:r>
        <w:rPr>
          <w:snapToGrid w:val="0"/>
        </w:rPr>
        <w:tab/>
        <w:t>Where a child is charged with an indictable offence against a law of the Commonwealth and the Court makes a direction under section 19B(4)(a), the Commonwealth acting by the Attorney General, the Director of Public Prosecutions, or some other appropriate official, may assume the conduct of the prosecution and shall then be taken to be the</w:t>
      </w:r>
      <w:r>
        <w:t xml:space="preserve"> prosecutor</w:t>
      </w:r>
      <w:r>
        <w:rPr>
          <w:snapToGrid w:val="0"/>
        </w:rPr>
        <w:t>.</w:t>
      </w:r>
    </w:p>
    <w:p>
      <w:pPr>
        <w:pStyle w:val="Footnotesection"/>
        <w:spacing w:before="80"/>
        <w:ind w:left="890" w:hanging="890"/>
      </w:pPr>
      <w:r>
        <w:tab/>
        <w:t>[Section 19E inserted by No. 15 of 1991 s. 11; amended by No. 65 of 2003 s. 122(3); No. 84 of 2004 s. 80.]</w:t>
      </w:r>
    </w:p>
    <w:p>
      <w:pPr>
        <w:pStyle w:val="Heading5"/>
        <w:keepNext w:val="0"/>
        <w:keepLines w:val="0"/>
        <w:widowControl w:val="0"/>
        <w:spacing w:before="180"/>
        <w:rPr>
          <w:snapToGrid w:val="0"/>
        </w:rPr>
      </w:pPr>
      <w:bookmarkStart w:id="34" w:name="_Toc390852533"/>
      <w:r>
        <w:rPr>
          <w:rStyle w:val="CharSectno"/>
        </w:rPr>
        <w:t>19F</w:t>
      </w:r>
      <w:r>
        <w:rPr>
          <w:snapToGrid w:val="0"/>
        </w:rPr>
        <w:t>.</w:t>
      </w:r>
      <w:r>
        <w:rPr>
          <w:snapToGrid w:val="0"/>
        </w:rPr>
        <w:tab/>
        <w:t>Rules</w:t>
      </w:r>
      <w:bookmarkEnd w:id="34"/>
    </w:p>
    <w:p>
      <w:pPr>
        <w:pStyle w:val="Subsection"/>
        <w:spacing w:before="120"/>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spacing w:before="80"/>
        <w:ind w:left="890" w:hanging="890"/>
      </w:pPr>
      <w:r>
        <w:tab/>
        <w:t>[Section 19F inserted by No. 15 of 1991 s. 11.]</w:t>
      </w:r>
    </w:p>
    <w:p>
      <w:pPr>
        <w:pStyle w:val="Heading5"/>
        <w:rPr>
          <w:snapToGrid w:val="0"/>
        </w:rPr>
      </w:pPr>
      <w:bookmarkStart w:id="35" w:name="_Toc390852534"/>
      <w:r>
        <w:rPr>
          <w:rStyle w:val="CharSectno"/>
        </w:rPr>
        <w:t>20</w:t>
      </w:r>
      <w:r>
        <w:rPr>
          <w:snapToGrid w:val="0"/>
        </w:rPr>
        <w:t>.</w:t>
      </w:r>
      <w:r>
        <w:rPr>
          <w:snapToGrid w:val="0"/>
        </w:rPr>
        <w:tab/>
        <w:t>Non</w:t>
      </w:r>
      <w:r>
        <w:rPr>
          <w:snapToGrid w:val="0"/>
        </w:rPr>
        <w:noBreakHyphen/>
        <w:t>criminal jurisdiction as regards children</w:t>
      </w:r>
      <w:bookmarkEnd w:id="35"/>
    </w:p>
    <w:p>
      <w:pPr>
        <w:pStyle w:val="Subsection"/>
        <w:rPr>
          <w:snapToGrid w:val="0"/>
        </w:rPr>
      </w:pPr>
      <w:r>
        <w:rPr>
          <w:snapToGrid w:val="0"/>
        </w:rPr>
        <w:tab/>
        <w:t>(1)</w:t>
      </w:r>
      <w:r>
        <w:rPr>
          <w:snapToGrid w:val="0"/>
        </w:rPr>
        <w:tab/>
        <w:t>Subject to this Act, the Court has exclusive jurisdiction to hear and determine all applications made with respect to a child —</w:t>
      </w:r>
    </w:p>
    <w:p>
      <w:pPr>
        <w:pStyle w:val="Indenta"/>
        <w:rPr>
          <w:snapToGrid w:val="0"/>
        </w:rPr>
      </w:pPr>
      <w:r>
        <w:rPr>
          <w:snapToGrid w:val="0"/>
        </w:rPr>
        <w:tab/>
        <w:t>(a)</w:t>
      </w:r>
      <w:r>
        <w:rPr>
          <w:snapToGrid w:val="0"/>
        </w:rPr>
        <w:tab/>
        <w:t>under the</w:t>
      </w:r>
      <w:r>
        <w:rPr>
          <w:i/>
        </w:rPr>
        <w:t xml:space="preserve"> Children and Community Services Act 2004</w:t>
      </w:r>
      <w:r>
        <w:rPr>
          <w:snapToGrid w:val="0"/>
        </w:rPr>
        <w:t>; and</w:t>
      </w:r>
    </w:p>
    <w:p>
      <w:pPr>
        <w:pStyle w:val="Indenta"/>
        <w:rPr>
          <w:snapToGrid w:val="0"/>
        </w:rPr>
      </w:pPr>
      <w:r>
        <w:rPr>
          <w:snapToGrid w:val="0"/>
        </w:rPr>
        <w:tab/>
        <w:t>(b)</w:t>
      </w:r>
      <w:r>
        <w:rPr>
          <w:snapToGrid w:val="0"/>
        </w:rPr>
        <w:tab/>
        <w:t xml:space="preserve">under section 29 or 38(1) of the </w:t>
      </w:r>
      <w:r>
        <w:rPr>
          <w:i/>
          <w:snapToGrid w:val="0"/>
        </w:rPr>
        <w:t>School Education Act 1999</w:t>
      </w:r>
      <w:r>
        <w:rPr>
          <w:snapToGrid w:val="0"/>
        </w:rPr>
        <w:t>; and</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 xml:space="preserve">under section 334 of the </w:t>
      </w:r>
      <w:r>
        <w:rPr>
          <w:i/>
          <w:snapToGrid w:val="0"/>
        </w:rPr>
        <w:t>Health Act 1911</w:t>
      </w:r>
      <w:r>
        <w:rPr>
          <w:snapToGrid w:val="0"/>
        </w:rPr>
        <w:t>; and</w:t>
      </w:r>
    </w:p>
    <w:p>
      <w:pPr>
        <w:pStyle w:val="Indenta"/>
        <w:rPr>
          <w:snapToGrid w:val="0"/>
        </w:rPr>
      </w:pPr>
      <w:r>
        <w:rPr>
          <w:snapToGrid w:val="0"/>
        </w:rPr>
        <w:tab/>
        <w:t>(e)</w:t>
      </w:r>
      <w:r>
        <w:rPr>
          <w:snapToGrid w:val="0"/>
        </w:rPr>
        <w:tab/>
        <w:t xml:space="preserve">under section 14 or 15 of the </w:t>
      </w:r>
      <w:r>
        <w:rPr>
          <w:i/>
          <w:iCs/>
          <w:snapToGrid w:val="0"/>
        </w:rPr>
        <w:t>Parental Support and Responsibility Act 2008</w:t>
      </w:r>
      <w:r>
        <w:rPr>
          <w:snapToGrid w:val="0"/>
        </w:rPr>
        <w:t>.</w:t>
      </w:r>
    </w:p>
    <w:p>
      <w:pPr>
        <w:pStyle w:val="Subsection"/>
      </w:pPr>
      <w:r>
        <w:tab/>
        <w:t>(2A)</w:t>
      </w:r>
      <w:r>
        <w:tab/>
        <w:t xml:space="preserve">Subject to this Act and the </w:t>
      </w:r>
      <w:r>
        <w:rPr>
          <w:i/>
        </w:rPr>
        <w:t>Restraining Orders Act 1997</w:t>
      </w:r>
      <w:r>
        <w:t xml:space="preserve"> section 52, the Court has jurisdiction to hear and determine all applications made to the Court with respect to a child under the </w:t>
      </w:r>
      <w:r>
        <w:rPr>
          <w:i/>
        </w:rPr>
        <w:t>Restraining Orders Act 1997</w:t>
      </w:r>
      <w:r>
        <w:t>.</w:t>
      </w:r>
    </w:p>
    <w:p>
      <w:pPr>
        <w:pStyle w:val="Subsection"/>
      </w:pPr>
      <w:r>
        <w:tab/>
        <w:t>(2)</w:t>
      </w:r>
      <w:r>
        <w:tab/>
        <w:t xml:space="preserve">Section 172 of the </w:t>
      </w:r>
      <w:r>
        <w:rPr>
          <w:i/>
        </w:rPr>
        <w:t>Criminal Procedure Act 2004</w:t>
      </w:r>
      <w:r>
        <w:t>, with any necessary changes, applies in respect of the Court when it is exercising jurisdiction under subsections (1) and (2A).</w:t>
      </w:r>
    </w:p>
    <w:p>
      <w:pPr>
        <w:pStyle w:val="Subsection"/>
      </w:pPr>
      <w:r>
        <w:tab/>
        <w:t>(3)</w:t>
      </w:r>
      <w:r>
        <w:tab/>
        <w:t xml:space="preserve">Subject to this Act, the Court has exclusive jurisdiction to hear PBO proceedings under the </w:t>
      </w:r>
      <w:r>
        <w:rPr>
          <w:i/>
          <w:iCs/>
        </w:rPr>
        <w:t>Prohibited Behaviour Orders Act 2010</w:t>
      </w:r>
      <w:r>
        <w:t xml:space="preserve"> relating to — </w:t>
      </w:r>
    </w:p>
    <w:p>
      <w:pPr>
        <w:pStyle w:val="Indenta"/>
      </w:pPr>
      <w:r>
        <w:tab/>
        <w:t>(a)</w:t>
      </w:r>
      <w:r>
        <w:tab/>
        <w:t>a person who is under 18 years of age; or</w:t>
      </w:r>
    </w:p>
    <w:p>
      <w:pPr>
        <w:pStyle w:val="Indenta"/>
      </w:pPr>
      <w:r>
        <w:tab/>
        <w:t>(b)</w:t>
      </w:r>
      <w:r>
        <w:tab/>
        <w:t xml:space="preserve">a person who has reached 18 years of age but who committed the relevant offence referred to in the </w:t>
      </w:r>
      <w:r>
        <w:rPr>
          <w:i/>
        </w:rPr>
        <w:t>Prohibited Behaviour Orders Act 2010</w:t>
      </w:r>
      <w:r>
        <w:t xml:space="preserve"> section 8(2)(a)(ii) while he or she was under 18 years of age.</w:t>
      </w:r>
    </w:p>
    <w:p>
      <w:pPr>
        <w:pStyle w:val="Footnotesection"/>
        <w:ind w:left="890" w:hanging="890"/>
      </w:pPr>
      <w:r>
        <w:tab/>
        <w:t xml:space="preserve">[Section 20 amended by No. 19 of 1997 s. 81; No. 15 of 1998 s. 9; No. 36 of 1999 s. 247; </w:t>
      </w:r>
      <w:r>
        <w:rPr>
          <w:spacing w:val="-6"/>
        </w:rPr>
        <w:t>No. 34 of 2004 s. </w:t>
      </w:r>
      <w:r>
        <w:t>251; No. 84 of 2004 s. 14 and 80; No. 14 of 2008 s. 43(2); No. 59 of 2010 s. 43; No. 14 of 2013 s. 7.]</w:t>
      </w:r>
    </w:p>
    <w:p>
      <w:pPr>
        <w:pStyle w:val="Heading5"/>
        <w:spacing w:before="180"/>
        <w:rPr>
          <w:snapToGrid w:val="0"/>
        </w:rPr>
      </w:pPr>
      <w:bookmarkStart w:id="36" w:name="_Toc390852535"/>
      <w:r>
        <w:rPr>
          <w:rStyle w:val="CharSectno"/>
        </w:rPr>
        <w:t>21</w:t>
      </w:r>
      <w:r>
        <w:rPr>
          <w:snapToGrid w:val="0"/>
        </w:rPr>
        <w:t>.</w:t>
      </w:r>
      <w:r>
        <w:rPr>
          <w:snapToGrid w:val="0"/>
        </w:rPr>
        <w:tab/>
        <w:t>Limitations on exercise of certain jurisdiction</w:t>
      </w:r>
      <w:bookmarkEnd w:id="36"/>
    </w:p>
    <w:p>
      <w:pPr>
        <w:pStyle w:val="Subsection"/>
      </w:pPr>
      <w:r>
        <w:tab/>
        <w:t>(1)</w:t>
      </w:r>
      <w:r>
        <w:tab/>
        <w:t xml:space="preserve">In this section — </w:t>
      </w:r>
    </w:p>
    <w:p>
      <w:pPr>
        <w:pStyle w:val="Defstart"/>
      </w:pPr>
      <w:r>
        <w:rPr>
          <w:b/>
        </w:rPr>
        <w:tab/>
      </w:r>
      <w:r>
        <w:rPr>
          <w:rStyle w:val="CharDefText"/>
        </w:rPr>
        <w:t>detention</w:t>
      </w:r>
      <w:r>
        <w:t xml:space="preserve"> has the meaning given to that term by section 3 of the </w:t>
      </w:r>
      <w:r>
        <w:rPr>
          <w:i/>
        </w:rPr>
        <w:t>Young Offenders Act 1994</w:t>
      </w:r>
      <w:r>
        <w:t>.</w:t>
      </w:r>
    </w:p>
    <w:p>
      <w:pPr>
        <w:pStyle w:val="Subsection"/>
        <w:spacing w:before="120"/>
      </w:pPr>
      <w:r>
        <w:tab/>
        <w:t>(2)</w:t>
      </w:r>
      <w:r>
        <w:tab/>
        <w:t>The Court when constituted by or so as to include a magistrate cannot —</w:t>
      </w:r>
    </w:p>
    <w:p>
      <w:pPr>
        <w:pStyle w:val="Indenta"/>
      </w:pPr>
      <w:r>
        <w:tab/>
        <w:t>(a)</w:t>
      </w:r>
      <w:r>
        <w:tab/>
        <w:t>sentence an offender to a term of detention longer than 12 months; or</w:t>
      </w:r>
    </w:p>
    <w:p>
      <w:pPr>
        <w:pStyle w:val="Indenta"/>
      </w:pPr>
      <w:r>
        <w:tab/>
        <w:t>(b)</w:t>
      </w:r>
      <w:r>
        <w:tab/>
        <w:t>sentence an offender who at the time of being sentenced is under 18 years of age to a term of imprisonment longer than 3 months; or</w:t>
      </w:r>
    </w:p>
    <w:p>
      <w:pPr>
        <w:pStyle w:val="Indenta"/>
      </w:pPr>
      <w:r>
        <w:tab/>
        <w:t>(c)</w:t>
      </w:r>
      <w:r>
        <w:tab/>
        <w:t>sentence an offender who at the time of being sentenced has reached 18 years of age to a term of imprisonment longer than 6 months,</w:t>
      </w:r>
    </w:p>
    <w:p>
      <w:pPr>
        <w:pStyle w:val="Subsection"/>
      </w:pPr>
      <w:r>
        <w:tab/>
      </w:r>
      <w:r>
        <w:tab/>
        <w:t>for one offence, or as the aggregate of the sentences imposed on the one occasion for more than one offence.</w:t>
      </w:r>
    </w:p>
    <w:p>
      <w:pPr>
        <w:pStyle w:val="Ednotesubsection"/>
      </w:pPr>
      <w:r>
        <w:tab/>
        <w:t>[(3)</w:t>
      </w:r>
      <w:r>
        <w:tab/>
        <w:t>deleted]</w:t>
      </w:r>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w:t>
      </w:r>
    </w:p>
    <w:p>
      <w:pPr>
        <w:pStyle w:val="Indenta"/>
        <w:rPr>
          <w:snapToGrid w:val="0"/>
        </w:rPr>
      </w:pPr>
      <w:r>
        <w:rPr>
          <w:snapToGrid w:val="0"/>
        </w:rPr>
        <w:tab/>
        <w:t>(a)</w:t>
      </w:r>
      <w:r>
        <w:rPr>
          <w:snapToGrid w:val="0"/>
        </w:rPr>
        <w:tab/>
        <w:t xml:space="preserve">sentence a child to </w:t>
      </w:r>
      <w:r>
        <w:t xml:space="preserve">detention </w:t>
      </w:r>
      <w:r>
        <w:rPr>
          <w:snapToGrid w:val="0"/>
        </w:rPr>
        <w:t>or to be imprisoned; or</w:t>
      </w:r>
    </w:p>
    <w:p>
      <w:pPr>
        <w:pStyle w:val="Indenta"/>
        <w:rPr>
          <w:snapToGrid w:val="0"/>
        </w:rPr>
      </w:pPr>
      <w:r>
        <w:rPr>
          <w:snapToGrid w:val="0"/>
        </w:rPr>
        <w:tab/>
        <w:t>(b)</w:t>
      </w:r>
      <w:r>
        <w:rPr>
          <w:snapToGrid w:val="0"/>
        </w:rPr>
        <w:tab/>
        <w:t>make an order declaring a child to be in need of care and protection.</w:t>
      </w:r>
    </w:p>
    <w:p>
      <w:pPr>
        <w:pStyle w:val="Subsection"/>
        <w:rPr>
          <w:snapToGrid w:val="0"/>
        </w:rPr>
      </w:pPr>
      <w:r>
        <w:rPr>
          <w:snapToGrid w:val="0"/>
        </w:rPr>
        <w:tab/>
        <w:t>(5)</w:t>
      </w:r>
      <w:r>
        <w:rPr>
          <w:snapToGrid w:val="0"/>
        </w:rPr>
        <w:tab/>
        <w:t>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judge.</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pPr>
        <w:pStyle w:val="Footnotesection"/>
      </w:pPr>
      <w:r>
        <w:tab/>
        <w:t>[Section 21 amended by No. 78 of 1995 s. 12; No. 59 of 2004 s. 73; No. 5 of 2008 s. 4.]</w:t>
      </w:r>
    </w:p>
    <w:p>
      <w:pPr>
        <w:pStyle w:val="Heading5"/>
        <w:rPr>
          <w:snapToGrid w:val="0"/>
        </w:rPr>
      </w:pPr>
      <w:bookmarkStart w:id="37" w:name="_Toc390852536"/>
      <w:r>
        <w:rPr>
          <w:rStyle w:val="CharSectno"/>
        </w:rPr>
        <w:t>22</w:t>
      </w:r>
      <w:r>
        <w:rPr>
          <w:snapToGrid w:val="0"/>
        </w:rPr>
        <w:t>.</w:t>
      </w:r>
      <w:r>
        <w:rPr>
          <w:snapToGrid w:val="0"/>
        </w:rPr>
        <w:tab/>
        <w:t>President may extend powers of magistrate</w:t>
      </w:r>
      <w:bookmarkEnd w:id="37"/>
    </w:p>
    <w:p>
      <w:pPr>
        <w:pStyle w:val="Subsection"/>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rPr>
          <w:snapToGrid w:val="0"/>
        </w:rPr>
      </w:pPr>
      <w:r>
        <w:rPr>
          <w:snapToGrid w:val="0"/>
        </w:rPr>
        <w:tab/>
        <w:t>(2)</w:t>
      </w:r>
      <w:r>
        <w:rPr>
          <w:snapToGrid w:val="0"/>
        </w:rPr>
        <w:tab/>
        <w:t>A magistrate who is directed to hear and determine a particular charge of an offence under this section shall, notwithstanding section 21(2), in respect of that charge have extended powers of sentencing as if that magistrate were a judge.</w:t>
      </w:r>
    </w:p>
    <w:p>
      <w:pPr>
        <w:pStyle w:val="Subsection"/>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 22 amended by No. 84 of 2004 s. 80.]</w:t>
      </w:r>
    </w:p>
    <w:p>
      <w:pPr>
        <w:pStyle w:val="Heading5"/>
        <w:rPr>
          <w:snapToGrid w:val="0"/>
        </w:rPr>
      </w:pPr>
      <w:bookmarkStart w:id="38" w:name="_Toc390852537"/>
      <w:r>
        <w:rPr>
          <w:rStyle w:val="CharSectno"/>
        </w:rPr>
        <w:t>23</w:t>
      </w:r>
      <w:r>
        <w:rPr>
          <w:snapToGrid w:val="0"/>
        </w:rPr>
        <w:t>.</w:t>
      </w:r>
      <w:r>
        <w:rPr>
          <w:snapToGrid w:val="0"/>
        </w:rPr>
        <w:tab/>
        <w:t>Court may require attendance of parent or guardian</w:t>
      </w:r>
      <w:bookmarkEnd w:id="38"/>
    </w:p>
    <w:p>
      <w:pPr>
        <w:pStyle w:val="Subsection"/>
        <w:spacing w:before="180"/>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spacing w:before="180"/>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w:t>
      </w:r>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rPr>
          <w:snapToGrid w:val="0"/>
        </w:rPr>
      </w:pPr>
      <w:r>
        <w:rPr>
          <w:snapToGrid w:val="0"/>
        </w:rPr>
        <w:tab/>
        <w:t>(3)</w:t>
      </w:r>
      <w:r>
        <w:rPr>
          <w:snapToGrid w:val="0"/>
        </w:rPr>
        <w:tab/>
        <w:t>The Court may, if it considers it expedient and just to do so, proceed with the hearing and determination of any proceedings notwithstanding the absence of any parent or guardian.</w:t>
      </w:r>
    </w:p>
    <w:p>
      <w:pPr>
        <w:pStyle w:val="Subsection"/>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w:t>
      </w:r>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tab/>
        <w:t>(b)</w:t>
      </w:r>
      <w:r>
        <w:rPr>
          <w:snapToGrid w:val="0"/>
        </w:rPr>
        <w:tab/>
        <w:t>of any finding, order or decision made by the Court in the determination of the proceedings;</w:t>
      </w:r>
    </w:p>
    <w:p>
      <w:pPr>
        <w:pStyle w:val="Indenta"/>
        <w:rPr>
          <w:snapToGrid w:val="0"/>
        </w:rPr>
      </w:pPr>
      <w:r>
        <w:rPr>
          <w:snapToGrid w:val="0"/>
        </w:rPr>
        <w:tab/>
        <w:t>(c)</w:t>
      </w:r>
      <w:r>
        <w:rPr>
          <w:snapToGrid w:val="0"/>
        </w:rPr>
        <w:tab/>
        <w:t>of any other information that the Court considers appropriate.</w:t>
      </w:r>
    </w:p>
    <w:p>
      <w:pPr>
        <w:pStyle w:val="Footnotesection"/>
        <w:ind w:left="890" w:hanging="890"/>
      </w:pPr>
      <w:r>
        <w:tab/>
        <w:t>[Section 23 amended by No. 104 of 1994 s. 225.]</w:t>
      </w:r>
    </w:p>
    <w:p>
      <w:pPr>
        <w:pStyle w:val="Heading5"/>
      </w:pPr>
      <w:bookmarkStart w:id="39" w:name="_Toc390852538"/>
      <w:r>
        <w:rPr>
          <w:rStyle w:val="CharSectno"/>
        </w:rPr>
        <w:t>24</w:t>
      </w:r>
      <w:r>
        <w:t>.</w:t>
      </w:r>
      <w:r>
        <w:tab/>
        <w:t>Criminal jurisdiction as regards adults</w:t>
      </w:r>
      <w:bookmarkEnd w:id="39"/>
    </w:p>
    <w:p>
      <w:pPr>
        <w:pStyle w:val="Subsection"/>
      </w:pPr>
      <w:r>
        <w:tab/>
        <w:t>(1)</w:t>
      </w:r>
      <w:r>
        <w:tab/>
        <w:t xml:space="preserve">The Court has exclusive jurisdiction to hear and determine — </w:t>
      </w:r>
    </w:p>
    <w:p>
      <w:pPr>
        <w:pStyle w:val="Indenta"/>
      </w:pPr>
      <w:r>
        <w:tab/>
        <w:t>(a)</w:t>
      </w:r>
      <w:r>
        <w:tab/>
        <w:t xml:space="preserve">a charge alleging an offence under section 21(1) of the </w:t>
      </w:r>
      <w:r>
        <w:rPr>
          <w:i/>
          <w:iCs/>
        </w:rPr>
        <w:t>Parental Support and Responsibility Act 2008</w:t>
      </w:r>
      <w:r>
        <w:t>; and</w:t>
      </w:r>
    </w:p>
    <w:p>
      <w:pPr>
        <w:pStyle w:val="Indenta"/>
        <w:keepLines/>
      </w:pPr>
      <w:r>
        <w:tab/>
        <w:t>(b)</w:t>
      </w:r>
      <w:r>
        <w:tab/>
        <w:t xml:space="preserve">a charge alleging an offence under section 131(1) of the </w:t>
      </w:r>
      <w:r>
        <w:rPr>
          <w:i/>
          <w:iCs/>
        </w:rPr>
        <w:t>Sentencing Act 1995</w:t>
      </w:r>
      <w:r>
        <w:t xml:space="preserve"> constituted by the breach of a conditional release order or a community based order imposed by the Court when sentencing a person who has been convicted of an offence under section 21(1) of the </w:t>
      </w:r>
      <w:r>
        <w:rPr>
          <w:i/>
          <w:iCs/>
        </w:rPr>
        <w:t>Parental Support and Responsibility Act 2008</w:t>
      </w:r>
      <w:r>
        <w:t>.</w:t>
      </w:r>
    </w:p>
    <w:p>
      <w:pPr>
        <w:pStyle w:val="Subsection"/>
      </w:pPr>
      <w:r>
        <w:tab/>
        <w:t>(2)</w:t>
      </w:r>
      <w:r>
        <w:tab/>
        <w:t>This section applies if section 19 does not apply.</w:t>
      </w:r>
    </w:p>
    <w:p>
      <w:pPr>
        <w:pStyle w:val="Footnotesection"/>
        <w:ind w:left="890" w:hanging="890"/>
      </w:pPr>
      <w:r>
        <w:tab/>
        <w:t>[Section 24 inserted by No. 14 of 2008 s. 43(3).]</w:t>
      </w:r>
    </w:p>
    <w:p>
      <w:pPr>
        <w:pStyle w:val="Ednotesection"/>
      </w:pPr>
      <w:r>
        <w:t>[</w:t>
      </w:r>
      <w:r>
        <w:rPr>
          <w:b/>
        </w:rPr>
        <w:t>25</w:t>
      </w:r>
      <w:r>
        <w:rPr>
          <w:b/>
        </w:rPr>
        <w:noBreakHyphen/>
        <w:t>26.</w:t>
      </w:r>
      <w:r>
        <w:tab/>
        <w:t>Deleted by No. 104 of 1994 s. 226.]</w:t>
      </w:r>
    </w:p>
    <w:p>
      <w:pPr>
        <w:pStyle w:val="Heading5"/>
        <w:rPr>
          <w:snapToGrid w:val="0"/>
        </w:rPr>
      </w:pPr>
      <w:bookmarkStart w:id="40" w:name="_Toc390852539"/>
      <w:r>
        <w:rPr>
          <w:rStyle w:val="CharSectno"/>
        </w:rPr>
        <w:t>27</w:t>
      </w:r>
      <w:r>
        <w:rPr>
          <w:snapToGrid w:val="0"/>
        </w:rPr>
        <w:t>.</w:t>
      </w:r>
      <w:r>
        <w:rPr>
          <w:snapToGrid w:val="0"/>
        </w:rPr>
        <w:tab/>
        <w:t>Certain orders may be set aside</w:t>
      </w:r>
      <w:bookmarkEnd w:id="40"/>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r>
        <w:tab/>
        <w:t>[Section 27 amended by No. 84 of 2004 s. 80.]</w:t>
      </w:r>
    </w:p>
    <w:p>
      <w:pPr>
        <w:pStyle w:val="Heading5"/>
        <w:rPr>
          <w:snapToGrid w:val="0"/>
        </w:rPr>
      </w:pPr>
      <w:bookmarkStart w:id="41" w:name="_Toc390852540"/>
      <w:r>
        <w:rPr>
          <w:rStyle w:val="CharSectno"/>
        </w:rPr>
        <w:t>28</w:t>
      </w:r>
      <w:r>
        <w:rPr>
          <w:snapToGrid w:val="0"/>
        </w:rPr>
        <w:t>.</w:t>
      </w:r>
      <w:r>
        <w:rPr>
          <w:snapToGrid w:val="0"/>
        </w:rPr>
        <w:tab/>
        <w:t>Court may re</w:t>
      </w:r>
      <w:r>
        <w:rPr>
          <w:snapToGrid w:val="0"/>
        </w:rPr>
        <w:noBreakHyphen/>
        <w:t>hear proceedings</w:t>
      </w:r>
      <w:bookmarkEnd w:id="41"/>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rPr>
        <w:t>Children and Community Services Act 2004</w:t>
      </w:r>
      <w:r>
        <w:t xml:space="preserve"> </w:t>
      </w:r>
      <w:r>
        <w:rPr>
          <w:snapToGrid w:val="0"/>
        </w:rPr>
        <w:t>are to be reheard.</w:t>
      </w:r>
    </w:p>
    <w:p>
      <w:pPr>
        <w:pStyle w:val="Subsection"/>
        <w:rPr>
          <w:snapToGrid w:val="0"/>
        </w:rPr>
      </w:pPr>
      <w:r>
        <w:rPr>
          <w:snapToGrid w:val="0"/>
        </w:rPr>
        <w:tab/>
        <w:t>(2)</w:t>
      </w:r>
      <w:r>
        <w:rPr>
          <w:snapToGrid w:val="0"/>
        </w:rPr>
        <w:tab/>
        <w:t>An order may be made under subsection (1) by the Court when constituted by the President of the Court’s own motion or upon cause being shown on the application of —</w:t>
      </w:r>
    </w:p>
    <w:p>
      <w:pPr>
        <w:pStyle w:val="Indenta"/>
      </w:pPr>
      <w:r>
        <w:tab/>
        <w:t>(a)</w:t>
      </w:r>
      <w:r>
        <w:tab/>
        <w:t xml:space="preserve">the CEO (young offenders) or the CEO as defined in section 3 of the </w:t>
      </w:r>
      <w:r>
        <w:rPr>
          <w:i/>
        </w:rPr>
        <w:t>Children and Community Services Act 2004</w:t>
      </w:r>
      <w:r>
        <w:t>; or</w:t>
      </w:r>
    </w:p>
    <w:p>
      <w:pPr>
        <w:pStyle w:val="Indenta"/>
        <w:rPr>
          <w:snapToGrid w:val="0"/>
        </w:rPr>
      </w:pPr>
      <w:r>
        <w:rPr>
          <w:snapToGrid w:val="0"/>
        </w:rPr>
        <w:tab/>
        <w:t>(b)</w:t>
      </w:r>
      <w:r>
        <w:rPr>
          <w:snapToGrid w:val="0"/>
        </w:rPr>
        <w:tab/>
        <w:t>a parent or guardian of the child against whom an order may be made in those proceedings; or</w:t>
      </w:r>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rPr>
          <w:snapToGrid w:val="0"/>
        </w:rPr>
      </w:pPr>
      <w:r>
        <w:rPr>
          <w:snapToGrid w:val="0"/>
        </w:rPr>
        <w:tab/>
        <w:t>(3)</w:t>
      </w:r>
      <w:r>
        <w:rPr>
          <w:snapToGrid w:val="0"/>
        </w:rPr>
        <w:tab/>
        <w:t>The Court rehearing any proceedings under this section —</w:t>
      </w:r>
    </w:p>
    <w:p>
      <w:pPr>
        <w:pStyle w:val="Indenta"/>
        <w:rPr>
          <w:snapToGrid w:val="0"/>
        </w:rPr>
      </w:pPr>
      <w:r>
        <w:rPr>
          <w:snapToGrid w:val="0"/>
        </w:rPr>
        <w:tab/>
        <w:t>(a)</w:t>
      </w:r>
      <w:r>
        <w:rPr>
          <w:snapToGrid w:val="0"/>
        </w:rPr>
        <w:tab/>
        <w:t>is not required to be constituted in the same manner as the Court before which the original proceedings were heard; and</w:t>
      </w:r>
    </w:p>
    <w:p>
      <w:pPr>
        <w:pStyle w:val="Indenta"/>
        <w:rPr>
          <w:snapToGrid w:val="0"/>
        </w:rPr>
      </w:pPr>
      <w:r>
        <w:rPr>
          <w:snapToGrid w:val="0"/>
        </w:rPr>
        <w:tab/>
        <w:t>(b)</w:t>
      </w:r>
      <w:r>
        <w:rPr>
          <w:snapToGrid w:val="0"/>
        </w:rPr>
        <w:tab/>
        <w:t xml:space="preserve">shall not be constituted by </w:t>
      </w:r>
      <w:r>
        <w:t>JPs</w:t>
      </w:r>
      <w:r>
        <w:rPr>
          <w:snapToGrid w:val="0"/>
        </w:rPr>
        <w:t xml:space="preserve"> sitting alone; and</w:t>
      </w:r>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heard shall not be taken to have been original proceedings for the purposes of any further application under this section, but nothing in this section derogates from any right that may be available to any person by way of appeal.</w:t>
      </w:r>
    </w:p>
    <w:p>
      <w:pPr>
        <w:pStyle w:val="Footnotesection"/>
      </w:pPr>
      <w:r>
        <w:tab/>
        <w:t xml:space="preserve">[Section 28 amended by No. 31 of 1993 s. 29; No. 104 of 1994 s. 227; No. 57 of 1997 s. 31; </w:t>
      </w:r>
      <w:r>
        <w:rPr>
          <w:spacing w:val="-6"/>
        </w:rPr>
        <w:t>No. 34 of 2004 s. </w:t>
      </w:r>
      <w:r>
        <w:t>251; No. 59 of 2004 s. 73; No. 84 of 2004 s. 80; No. 65 of 2006 s. 56.]</w:t>
      </w:r>
    </w:p>
    <w:p>
      <w:pPr>
        <w:pStyle w:val="Heading5"/>
        <w:rPr>
          <w:snapToGrid w:val="0"/>
        </w:rPr>
      </w:pPr>
      <w:bookmarkStart w:id="42" w:name="_Toc390852541"/>
      <w:r>
        <w:rPr>
          <w:rStyle w:val="CharSectno"/>
        </w:rPr>
        <w:t>29</w:t>
      </w:r>
      <w:r>
        <w:rPr>
          <w:snapToGrid w:val="0"/>
        </w:rPr>
        <w:t>.</w:t>
      </w:r>
      <w:r>
        <w:rPr>
          <w:snapToGrid w:val="0"/>
        </w:rPr>
        <w:tab/>
        <w:t>Witnesses and contempt</w:t>
      </w:r>
      <w:bookmarkEnd w:id="42"/>
    </w:p>
    <w:p>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 xml:space="preserve">the </w:t>
      </w:r>
      <w:smartTag w:uri="urn:schemas-microsoft-com:office:smarttags" w:element="PlaceName">
        <w:smartTag w:uri="urn:schemas-microsoft-com:office:smarttags" w:element="Street">
          <w:r>
            <w:t>Magistrates Court</w:t>
          </w:r>
        </w:smartTag>
      </w:smartTag>
      <w:r>
        <w:rPr>
          <w:snapToGrid w:val="0"/>
        </w:rPr>
        <w:t xml:space="preserve"> for simple offences.</w:t>
      </w:r>
    </w:p>
    <w:p>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w:t>
      </w:r>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Subsection"/>
      </w:pPr>
      <w:r>
        <w:tab/>
        <w:t>(5)</w:t>
      </w:r>
      <w:r>
        <w:tab/>
        <w:t>This section applies in relation to an act or omission by a person outside the State as if it were an act or omission by the person in the State.</w:t>
      </w:r>
    </w:p>
    <w:p>
      <w:pPr>
        <w:pStyle w:val="Footnotesection"/>
      </w:pPr>
      <w:r>
        <w:tab/>
        <w:t>[Section 29 amended by No. 59 of 2004 s. 73; No. 7 of 2008 s. 153.]</w:t>
      </w:r>
    </w:p>
    <w:p>
      <w:pPr>
        <w:pStyle w:val="Heading5"/>
        <w:rPr>
          <w:snapToGrid w:val="0"/>
        </w:rPr>
      </w:pPr>
      <w:bookmarkStart w:id="43" w:name="_Toc390852542"/>
      <w:r>
        <w:rPr>
          <w:rStyle w:val="CharSectno"/>
        </w:rPr>
        <w:t>30</w:t>
      </w:r>
      <w:r>
        <w:rPr>
          <w:snapToGrid w:val="0"/>
        </w:rPr>
        <w:t>.</w:t>
      </w:r>
      <w:r>
        <w:rPr>
          <w:snapToGrid w:val="0"/>
        </w:rPr>
        <w:tab/>
        <w:t xml:space="preserve">Transfer of complaint to court of </w:t>
      </w:r>
      <w:r>
        <w:t>competent jurisdiction</w:t>
      </w:r>
      <w:bookmarkEnd w:id="43"/>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w:t>
      </w:r>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w:t>
      </w:r>
    </w:p>
    <w:p>
      <w:pPr>
        <w:pStyle w:val="Indenti"/>
        <w:rPr>
          <w:snapToGrid w:val="0"/>
        </w:rPr>
      </w:pPr>
      <w:r>
        <w:rPr>
          <w:snapToGrid w:val="0"/>
        </w:rPr>
        <w:tab/>
        <w:t>(i)</w:t>
      </w:r>
      <w:r>
        <w:rPr>
          <w:snapToGrid w:val="0"/>
        </w:rPr>
        <w:tab/>
        <w:t>set aside the decision; and</w:t>
      </w:r>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r>
        <w:rPr>
          <w:rStyle w:val="CharDefText"/>
        </w:rPr>
        <w:t>decision</w:t>
      </w:r>
      <w:r>
        <w:rPr>
          <w:snapToGrid w:val="0"/>
        </w:rPr>
        <w:t xml:space="preserve"> has the same definition as in section 41(2).</w:t>
      </w:r>
    </w:p>
    <w:p>
      <w:pPr>
        <w:pStyle w:val="Subsection"/>
        <w:rPr>
          <w:snapToGrid w:val="0"/>
        </w:rPr>
      </w:pPr>
      <w:r>
        <w:rPr>
          <w:snapToGrid w:val="0"/>
        </w:rPr>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[Section 30 amended by No. 15 of 1991 s. 13; No. 27 of 2002 s. 24; No. 59 of 2004 s. 73; No. 84 of 2004 s. 80.]</w:t>
      </w:r>
    </w:p>
    <w:p>
      <w:pPr>
        <w:pStyle w:val="Heading2"/>
      </w:pPr>
      <w:bookmarkStart w:id="44" w:name="_Toc390852543"/>
      <w:r>
        <w:rPr>
          <w:rStyle w:val="CharPartNo"/>
        </w:rPr>
        <w:t>Part 4</w:t>
      </w:r>
      <w:r>
        <w:rPr>
          <w:rStyle w:val="CharDivNo"/>
        </w:rPr>
        <w:t> </w:t>
      </w:r>
      <w:r>
        <w:t>—</w:t>
      </w:r>
      <w:r>
        <w:rPr>
          <w:rStyle w:val="CharDivText"/>
        </w:rPr>
        <w:t> </w:t>
      </w:r>
      <w:r>
        <w:rPr>
          <w:rStyle w:val="CharPartText"/>
        </w:rPr>
        <w:t>Procedure of the Court</w:t>
      </w:r>
      <w:bookmarkEnd w:id="44"/>
    </w:p>
    <w:p>
      <w:pPr>
        <w:pStyle w:val="Heading5"/>
        <w:rPr>
          <w:snapToGrid w:val="0"/>
        </w:rPr>
      </w:pPr>
      <w:bookmarkStart w:id="45" w:name="_Toc390852544"/>
      <w:r>
        <w:rPr>
          <w:rStyle w:val="CharSectno"/>
        </w:rPr>
        <w:t>31</w:t>
      </w:r>
      <w:r>
        <w:rPr>
          <w:snapToGrid w:val="0"/>
        </w:rPr>
        <w:t>.</w:t>
      </w:r>
      <w:r>
        <w:rPr>
          <w:snapToGrid w:val="0"/>
        </w:rPr>
        <w:tab/>
        <w:t>Exclusion of persons from hearing</w:t>
      </w:r>
      <w:bookmarkEnd w:id="45"/>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r>
        <w:t>[</w:t>
      </w:r>
      <w:r>
        <w:rPr>
          <w:b/>
        </w:rPr>
        <w:t>32.</w:t>
      </w:r>
      <w:r>
        <w:rPr>
          <w:b/>
        </w:rPr>
        <w:tab/>
      </w:r>
      <w:r>
        <w:t>Deleted by No. 84 of 2004 s. 18.]</w:t>
      </w:r>
    </w:p>
    <w:p>
      <w:pPr>
        <w:pStyle w:val="Heading5"/>
      </w:pPr>
      <w:bookmarkStart w:id="46" w:name="_Toc390852545"/>
      <w:r>
        <w:rPr>
          <w:rStyle w:val="CharSectno"/>
        </w:rPr>
        <w:t>33</w:t>
      </w:r>
      <w:r>
        <w:t>.</w:t>
      </w:r>
      <w:r>
        <w:tab/>
        <w:t>CEOs or officers may take part in proceedings</w:t>
      </w:r>
      <w:bookmarkEnd w:id="46"/>
    </w:p>
    <w:p>
      <w:pPr>
        <w:pStyle w:val="Subsection"/>
      </w:pPr>
      <w:r>
        <w:tab/>
        <w:t>(1)</w:t>
      </w:r>
      <w:r>
        <w:tab/>
        <w:t>In this section —</w:t>
      </w:r>
    </w:p>
    <w:p>
      <w:pPr>
        <w:pStyle w:val="Defstart"/>
      </w:pPr>
      <w:r>
        <w:rPr>
          <w:b/>
        </w:rPr>
        <w:tab/>
      </w:r>
      <w:r>
        <w:rPr>
          <w:rStyle w:val="CharDefText"/>
        </w:rPr>
        <w:t>prescribed officer</w:t>
      </w:r>
      <w:r>
        <w:t xml:space="preserve"> means —</w:t>
      </w:r>
    </w:p>
    <w:p>
      <w:pPr>
        <w:pStyle w:val="Defpara"/>
      </w:pPr>
      <w:r>
        <w:tab/>
        <w:t>(a)</w:t>
      </w:r>
      <w:r>
        <w:tab/>
        <w:t>the CEO (young offenders) or an officer of the young offenders agency who is authorised by that CEO; or</w:t>
      </w:r>
    </w:p>
    <w:p>
      <w:pPr>
        <w:pStyle w:val="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Subsection"/>
        <w:rPr>
          <w:snapToGrid w:val="0"/>
        </w:rPr>
      </w:pPr>
      <w:r>
        <w:tab/>
        <w:t>(2)</w:t>
      </w:r>
      <w:r>
        <w:tab/>
        <w:t xml:space="preserve">A prescribed officer </w:t>
      </w:r>
      <w:r>
        <w:rPr>
          <w:snapToGrid w:val="0"/>
        </w:rPr>
        <w:t xml:space="preserve">may be present at the hearing in the Court of any </w:t>
      </w:r>
      <w:r>
        <w:t xml:space="preserve">charge of an offence </w:t>
      </w:r>
      <w:r>
        <w:rPr>
          <w:snapToGrid w:val="0"/>
        </w:rPr>
        <w:t>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Footnotesection"/>
      </w:pPr>
      <w:r>
        <w:tab/>
        <w:t xml:space="preserve">[Section 33 inserted by </w:t>
      </w:r>
      <w:r>
        <w:rPr>
          <w:spacing w:val="-6"/>
        </w:rPr>
        <w:t>No. 34 of 2004 s. </w:t>
      </w:r>
      <w:r>
        <w:t>251; amended by No. 65 of 2006 s. 57; No. 2 of 2008 s. 57.]</w:t>
      </w:r>
    </w:p>
    <w:p>
      <w:pPr>
        <w:pStyle w:val="Heading5"/>
        <w:rPr>
          <w:snapToGrid w:val="0"/>
        </w:rPr>
      </w:pPr>
      <w:bookmarkStart w:id="47" w:name="_Toc390852546"/>
      <w:r>
        <w:rPr>
          <w:rStyle w:val="CharSectno"/>
        </w:rPr>
        <w:t>34</w:t>
      </w:r>
      <w:r>
        <w:rPr>
          <w:snapToGrid w:val="0"/>
        </w:rPr>
        <w:t>.</w:t>
      </w:r>
      <w:r>
        <w:rPr>
          <w:snapToGrid w:val="0"/>
        </w:rPr>
        <w:tab/>
        <w:t>Court must explain proceedings</w:t>
      </w:r>
      <w:bookmarkEnd w:id="47"/>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t>deleted]</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[Section 34 amended by No. 104 of 1994 s. 228.]</w:t>
      </w:r>
    </w:p>
    <w:p>
      <w:pPr>
        <w:pStyle w:val="Heading5"/>
        <w:rPr>
          <w:snapToGrid w:val="0"/>
        </w:rPr>
      </w:pPr>
      <w:bookmarkStart w:id="48" w:name="_Toc390852547"/>
      <w:r>
        <w:rPr>
          <w:rStyle w:val="CharSectno"/>
        </w:rPr>
        <w:t>35</w:t>
      </w:r>
      <w:r>
        <w:rPr>
          <w:snapToGrid w:val="0"/>
        </w:rPr>
        <w:t>.</w:t>
      </w:r>
      <w:r>
        <w:rPr>
          <w:snapToGrid w:val="0"/>
        </w:rPr>
        <w:tab/>
        <w:t>Restrictions on reports of proceedings</w:t>
      </w:r>
      <w:bookmarkEnd w:id="48"/>
    </w:p>
    <w:p>
      <w:pPr>
        <w:pStyle w:val="Subsection"/>
        <w:rPr>
          <w:snapToGrid w:val="0"/>
        </w:rPr>
      </w:pPr>
      <w:r>
        <w:rPr>
          <w:snapToGrid w:val="0"/>
        </w:rPr>
        <w:tab/>
        <w:t>(1)</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the proceedings are taken; or</w:t>
      </w:r>
    </w:p>
    <w:p>
      <w:pPr>
        <w:pStyle w:val="Indenta"/>
        <w:rPr>
          <w:snapToGrid w:val="0"/>
        </w:rPr>
      </w:pPr>
      <w:r>
        <w:rPr>
          <w:snapToGrid w:val="0"/>
        </w:rPr>
        <w:tab/>
        <w:t>(b)</w:t>
      </w:r>
      <w:r>
        <w:rPr>
          <w:snapToGrid w:val="0"/>
        </w:rPr>
        <w:tab/>
        <w:t>as a person in respect of whom the proceedings are taken; or</w:t>
      </w:r>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cause to be broadcast by radio or television a report of those proceedings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those proceedings are taken; or</w:t>
      </w:r>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in the case of proceedings in any court in which a person is alleged to have committed an offence under Chapter </w:t>
      </w:r>
      <w:r>
        <w:t>XXII or XXXI</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[Section 35 amended by No. 15 of 1991 s. 15 and 17(2); No. 14 of 1992 s. 6(8); No. 59 of 2010 s. 44; No. 26 of 2011 s. 4.]</w:t>
      </w:r>
    </w:p>
    <w:p>
      <w:pPr>
        <w:pStyle w:val="Heading5"/>
        <w:keepNext w:val="0"/>
        <w:keepLines w:val="0"/>
        <w:pageBreakBefore/>
        <w:widowControl w:val="0"/>
        <w:spacing w:before="0"/>
        <w:rPr>
          <w:snapToGrid w:val="0"/>
        </w:rPr>
      </w:pPr>
      <w:bookmarkStart w:id="49" w:name="_Toc390852548"/>
      <w:r>
        <w:rPr>
          <w:rStyle w:val="CharSectno"/>
        </w:rPr>
        <w:t>36</w:t>
      </w:r>
      <w:r>
        <w:rPr>
          <w:snapToGrid w:val="0"/>
        </w:rPr>
        <w:t>.</w:t>
      </w:r>
      <w:r>
        <w:rPr>
          <w:snapToGrid w:val="0"/>
        </w:rPr>
        <w:tab/>
        <w:t>Disclosure of convictions, orders etc. restricted</w:t>
      </w:r>
      <w:bookmarkEnd w:id="49"/>
    </w:p>
    <w:p>
      <w:pPr>
        <w:pStyle w:val="Subsection"/>
        <w:keepNext/>
        <w:keepLines/>
        <w:rPr>
          <w:snapToGrid w:val="0"/>
        </w:rPr>
      </w:pPr>
      <w:r>
        <w:rPr>
          <w:snapToGrid w:val="0"/>
        </w:rPr>
        <w:tab/>
        <w:t>(1)</w:t>
      </w:r>
      <w:r>
        <w:rPr>
          <w:snapToGrid w:val="0"/>
        </w:rPr>
        <w:tab/>
        <w:t>Where —</w:t>
      </w:r>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 or</w:t>
      </w:r>
    </w:p>
    <w:p>
      <w:pPr>
        <w:pStyle w:val="Indenta"/>
      </w:pPr>
      <w:r>
        <w:tab/>
        <w:t>(ab)</w:t>
      </w:r>
      <w:r>
        <w:tab/>
        <w:t xml:space="preserve">a responsible parenting order or an interim responsible parenting order is made in respect of a child under the </w:t>
      </w:r>
      <w:r>
        <w:rPr>
          <w:i/>
          <w:iCs/>
        </w:rPr>
        <w:t>Parental Support and Responsibility Act 2008</w:t>
      </w:r>
      <w:r>
        <w:t>; or</w:t>
      </w:r>
    </w:p>
    <w:p>
      <w:pPr>
        <w:pStyle w:val="Indenta"/>
        <w:keepNext/>
        <w:keepLines/>
        <w:rPr>
          <w:snapToGrid w:val="0"/>
        </w:rPr>
      </w:pPr>
      <w:r>
        <w:rPr>
          <w:snapToGrid w:val="0"/>
        </w:rPr>
        <w:tab/>
        <w:t>(b)</w:t>
      </w:r>
      <w:r>
        <w:rPr>
          <w:snapToGrid w:val="0"/>
        </w:rPr>
        <w:tab/>
        <w:t>a child is convicted or found guilty of an offence by the Court,</w:t>
      </w:r>
    </w:p>
    <w:p>
      <w:pPr>
        <w:pStyle w:val="Subsection"/>
        <w:rPr>
          <w:snapToGrid w:val="0"/>
        </w:rPr>
      </w:pPr>
      <w:r>
        <w:rPr>
          <w:snapToGrid w:val="0"/>
        </w:rPr>
        <w:tab/>
      </w:r>
      <w:r>
        <w:rPr>
          <w:snapToGrid w:val="0"/>
        </w:rPr>
        <w:tab/>
        <w:t xml:space="preserve">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w:t>
      </w:r>
      <w:r>
        <w:t>section 36AA(1) or</w:t>
      </w:r>
      <w:r>
        <w:rPr>
          <w:snapToGrid w:val="0"/>
        </w:rPr>
        <w:t xml:space="preserve"> an order made under</w:t>
      </w:r>
      <w:r>
        <w:t xml:space="preserve"> section 36A or in accordance with the </w:t>
      </w:r>
      <w:r>
        <w:rPr>
          <w:i/>
          <w:iCs/>
        </w:rPr>
        <w:t>Prohibited Behaviour Orders Act 2010</w:t>
      </w:r>
      <w:r>
        <w:t xml:space="preserve"> section 34.</w:t>
      </w:r>
    </w:p>
    <w:p>
      <w:pPr>
        <w:pStyle w:val="Subsection"/>
        <w:rPr>
          <w:snapToGrid w:val="0"/>
        </w:rPr>
      </w:pPr>
      <w:r>
        <w:rPr>
          <w:snapToGrid w:val="0"/>
        </w:rPr>
        <w:tab/>
        <w:t>(2)</w:t>
      </w:r>
      <w:r>
        <w:rPr>
          <w:snapToGrid w:val="0"/>
        </w:rPr>
        <w:tab/>
        <w:t>A person who contravenes this section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pPr>
      <w:r>
        <w:tab/>
        <w:t xml:space="preserve">[Section 36 amended by No. 15 of 1991 s. 16 and 17(3); No. 57 of 1997 s. 31; </w:t>
      </w:r>
      <w:r>
        <w:rPr>
          <w:spacing w:val="-6"/>
        </w:rPr>
        <w:t>No. 34 of 2004 s. </w:t>
      </w:r>
      <w:r>
        <w:t>251; No. 84 of 2004 s. 80; No. 14 of 2008 s. 43(4); No. 59 of 2010 s. 45; No. 26 of 2011 s. 5.]</w:t>
      </w:r>
    </w:p>
    <w:p>
      <w:pPr>
        <w:pStyle w:val="Heading5"/>
      </w:pPr>
      <w:bookmarkStart w:id="50" w:name="_Toc390852549"/>
      <w:r>
        <w:rPr>
          <w:rStyle w:val="CharSectno"/>
        </w:rPr>
        <w:t>36AA</w:t>
      </w:r>
      <w:r>
        <w:t>.</w:t>
      </w:r>
      <w:r>
        <w:tab/>
        <w:t>Disclosure for certain research purposes</w:t>
      </w:r>
      <w:bookmarkEnd w:id="50"/>
    </w:p>
    <w:p>
      <w:pPr>
        <w:pStyle w:val="Subsection"/>
      </w:pPr>
      <w:r>
        <w:tab/>
        <w:t>(1)</w:t>
      </w:r>
      <w:r>
        <w:tab/>
        <w:t xml:space="preserve">Where — </w:t>
      </w:r>
    </w:p>
    <w:p>
      <w:pPr>
        <w:pStyle w:val="Indenta"/>
      </w:pPr>
      <w:r>
        <w:tab/>
        <w:t>(a)</w:t>
      </w:r>
      <w:r>
        <w:tab/>
        <w:t>a charge against a child is dismissed by the Court; or</w:t>
      </w:r>
    </w:p>
    <w:p>
      <w:pPr>
        <w:pStyle w:val="Indenta"/>
      </w:pPr>
      <w:r>
        <w:tab/>
        <w:t>(b)</w:t>
      </w:r>
      <w:r>
        <w:tab/>
        <w:t>a child is convicted or found guilty of an offence by the Court,</w:t>
      </w:r>
    </w:p>
    <w:p>
      <w:pPr>
        <w:pStyle w:val="Subsection"/>
        <w:spacing w:before="120"/>
      </w:pPr>
      <w:r>
        <w:tab/>
      </w:r>
      <w:r>
        <w:tab/>
        <w:t>the fact of the dismissal, the conviction or finding of guilt or any relevant order may be disclosed to a health department officer for use in the research project.</w:t>
      </w:r>
    </w:p>
    <w:p>
      <w:pPr>
        <w:pStyle w:val="Subsection"/>
        <w:spacing w:before="120"/>
      </w:pPr>
      <w:r>
        <w:tab/>
        <w:t>(2)</w:t>
      </w:r>
      <w:r>
        <w:tab/>
        <w:t xml:space="preserve">In subsection (1) — </w:t>
      </w:r>
    </w:p>
    <w:p>
      <w:pPr>
        <w:pStyle w:val="Defstart"/>
      </w:pPr>
      <w:r>
        <w:tab/>
      </w:r>
      <w:r>
        <w:rPr>
          <w:rStyle w:val="CharDefText"/>
        </w:rPr>
        <w:t>health department officer</w:t>
      </w:r>
      <w:r>
        <w:t xml:space="preserve"> means a member of the Public Service employed in the Department as defined in the </w:t>
      </w:r>
      <w:r>
        <w:rPr>
          <w:i/>
        </w:rPr>
        <w:t xml:space="preserve">Health Act 1911 </w:t>
      </w:r>
      <w:r>
        <w:rPr>
          <w:iCs/>
        </w:rPr>
        <w:t>section 3(1)</w:t>
      </w:r>
      <w:r>
        <w:t>;</w:t>
      </w:r>
    </w:p>
    <w:p>
      <w:pPr>
        <w:pStyle w:val="Defstart"/>
      </w:pPr>
      <w:r>
        <w:tab/>
      </w:r>
      <w:r>
        <w:rPr>
          <w:rStyle w:val="CharDefText"/>
        </w:rPr>
        <w:t>research project</w:t>
      </w:r>
      <w:r>
        <w:t xml:space="preserve"> means the project known as “Developmental Pathways Project” conducted by the Telethon Institute for Child Health Research.</w:t>
      </w:r>
    </w:p>
    <w:p>
      <w:pPr>
        <w:pStyle w:val="Subsection"/>
        <w:spacing w:before="120"/>
      </w:pPr>
      <w:r>
        <w:tab/>
        <w:t>(3)</w:t>
      </w:r>
      <w:r>
        <w:tab/>
        <w:t xml:space="preserve">Information may be disclosed under subsection (1) — </w:t>
      </w:r>
    </w:p>
    <w:p>
      <w:pPr>
        <w:pStyle w:val="Indenta"/>
        <w:spacing w:before="60"/>
      </w:pPr>
      <w:r>
        <w:tab/>
        <w:t>(a)</w:t>
      </w:r>
      <w:r>
        <w:tab/>
        <w:t>even if the disclosure is in a manner which identifies or is likely to lead to the identification of the child; and</w:t>
      </w:r>
    </w:p>
    <w:p>
      <w:pPr>
        <w:pStyle w:val="Indenta"/>
        <w:spacing w:before="60"/>
      </w:pPr>
      <w:r>
        <w:tab/>
        <w:t>(b)</w:t>
      </w:r>
      <w:r>
        <w:tab/>
        <w:t>despite any written law relating to confidentiality or secrecy.</w:t>
      </w:r>
    </w:p>
    <w:p>
      <w:pPr>
        <w:pStyle w:val="Subsection"/>
        <w:spacing w:before="120"/>
      </w:pPr>
      <w:r>
        <w:tab/>
        <w:t>(4)</w:t>
      </w:r>
      <w:r>
        <w:tab/>
        <w:t>The chief executive officer of the department of the Public Service principally assisting in the administration of this Act must establish procedures for the disclosure of information under subsection (1).</w:t>
      </w:r>
    </w:p>
    <w:p>
      <w:pPr>
        <w:pStyle w:val="Subsection"/>
        <w:spacing w:before="120"/>
      </w:pPr>
      <w:r>
        <w:tab/>
        <w:t>(5)</w:t>
      </w:r>
      <w:r>
        <w:tab/>
        <w:t xml:space="preserve">The regulations may include provisions about — </w:t>
      </w:r>
    </w:p>
    <w:p>
      <w:pPr>
        <w:pStyle w:val="Indenta"/>
        <w:spacing w:before="60"/>
      </w:pPr>
      <w:r>
        <w:tab/>
        <w:t>(a)</w:t>
      </w:r>
      <w:r>
        <w:tab/>
        <w:t>the receipt and storage of information disclosed under this section; and</w:t>
      </w:r>
    </w:p>
    <w:p>
      <w:pPr>
        <w:pStyle w:val="Indenta"/>
        <w:spacing w:before="60"/>
      </w:pPr>
      <w:r>
        <w:tab/>
        <w:t>(b)</w:t>
      </w:r>
      <w:r>
        <w:tab/>
        <w:t>the restriction of access to such information.</w:t>
      </w:r>
    </w:p>
    <w:p>
      <w:pPr>
        <w:pStyle w:val="Subsection"/>
        <w:spacing w:before="120"/>
        <w:ind w:right="255"/>
      </w:pPr>
      <w:r>
        <w:tab/>
        <w:t>(6)</w:t>
      </w:r>
      <w:r>
        <w:tab/>
        <w:t>If information is disclosed, in good faith, under subsection (1) —</w:t>
      </w:r>
    </w:p>
    <w:p>
      <w:pPr>
        <w:pStyle w:val="Indenta"/>
        <w:spacing w:before="60"/>
      </w:pPr>
      <w:r>
        <w:tab/>
        <w:t>(a)</w:t>
      </w:r>
      <w:r>
        <w:tab/>
        <w:t>no civil or criminal liability, or liability to be punished for a contempt of court, is incurred in respect of the disclosure; and</w:t>
      </w:r>
    </w:p>
    <w:p>
      <w:pPr>
        <w:pStyle w:val="Indenta"/>
        <w:spacing w:before="60"/>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Footnotesection"/>
      </w:pPr>
      <w:r>
        <w:tab/>
        <w:t>[Section 36AA inserted by No. 26 of  2011 s. 6.]</w:t>
      </w:r>
    </w:p>
    <w:p>
      <w:pPr>
        <w:pStyle w:val="Heading5"/>
        <w:rPr>
          <w:snapToGrid w:val="0"/>
        </w:rPr>
      </w:pPr>
      <w:bookmarkStart w:id="51" w:name="_Toc390852550"/>
      <w:r>
        <w:rPr>
          <w:rStyle w:val="CharSectno"/>
        </w:rPr>
        <w:t>36A</w:t>
      </w:r>
      <w:r>
        <w:rPr>
          <w:snapToGrid w:val="0"/>
        </w:rPr>
        <w:t>.</w:t>
      </w:r>
      <w:r>
        <w:rPr>
          <w:snapToGrid w:val="0"/>
        </w:rPr>
        <w:tab/>
        <w:t>Supreme Court may allow publication etc.</w:t>
      </w:r>
      <w:bookmarkEnd w:id="51"/>
    </w:p>
    <w:p>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rStyle w:val="CharDefText"/>
        </w:rPr>
        <w:t>prohibited matter</w:t>
      </w:r>
      <w:r>
        <w:rPr>
          <w:snapToGrid w:val="0"/>
        </w:rPr>
        <w:t>).</w:t>
      </w:r>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w:t>
      </w:r>
    </w:p>
    <w:p>
      <w:pPr>
        <w:pStyle w:val="Indenta"/>
        <w:rPr>
          <w:snapToGrid w:val="0"/>
        </w:rPr>
      </w:pPr>
      <w:r>
        <w:rPr>
          <w:snapToGrid w:val="0"/>
        </w:rPr>
        <w:tab/>
        <w:t>(a)</w:t>
      </w:r>
      <w:r>
        <w:rPr>
          <w:snapToGrid w:val="0"/>
        </w:rPr>
        <w:tab/>
        <w:t>the age, safety or well</w:t>
      </w:r>
      <w:r>
        <w:rPr>
          <w:snapToGrid w:val="0"/>
        </w:rPr>
        <w:noBreakHyphen/>
        <w:t>being of the child;</w:t>
      </w:r>
    </w:p>
    <w:p>
      <w:pPr>
        <w:pStyle w:val="Indenta"/>
        <w:rPr>
          <w:snapToGrid w:val="0"/>
        </w:rPr>
      </w:pPr>
      <w:r>
        <w:rPr>
          <w:snapToGrid w:val="0"/>
        </w:rPr>
        <w:tab/>
        <w:t>(b)</w:t>
      </w:r>
      <w:r>
        <w:rPr>
          <w:snapToGrid w:val="0"/>
        </w:rPr>
        <w:tab/>
        <w:t>the safety or well</w:t>
      </w:r>
      <w:r>
        <w:rPr>
          <w:snapToGrid w:val="0"/>
        </w:rPr>
        <w:noBreakHyphen/>
        <w:t>being of a person other than the child;</w:t>
      </w:r>
    </w:p>
    <w:p>
      <w:pPr>
        <w:pStyle w:val="Indenta"/>
        <w:rPr>
          <w:snapToGrid w:val="0"/>
        </w:rPr>
      </w:pPr>
      <w:r>
        <w:rPr>
          <w:snapToGrid w:val="0"/>
        </w:rPr>
        <w:tab/>
        <w:t>(c)</w:t>
      </w:r>
      <w:r>
        <w:rPr>
          <w:snapToGrid w:val="0"/>
        </w:rPr>
        <w:tab/>
        <w:t>the safety of the public or the protection of property;</w:t>
      </w:r>
    </w:p>
    <w:p>
      <w:pPr>
        <w:pStyle w:val="Indenta"/>
        <w:rPr>
          <w:snapToGrid w:val="0"/>
        </w:rPr>
      </w:pPr>
      <w:r>
        <w:rPr>
          <w:snapToGrid w:val="0"/>
        </w:rPr>
        <w:tab/>
        <w:t>(d)</w:t>
      </w:r>
      <w:r>
        <w:rPr>
          <w:snapToGrid w:val="0"/>
        </w:rPr>
        <w:tab/>
        <w:t>the public interest in the apprehension of escapees for the purpose of returning them to lawful custody;</w:t>
      </w:r>
    </w:p>
    <w:p>
      <w:pPr>
        <w:pStyle w:val="Indenta"/>
        <w:rPr>
          <w:snapToGrid w:val="0"/>
        </w:rPr>
      </w:pPr>
      <w:r>
        <w:rPr>
          <w:snapToGrid w:val="0"/>
        </w:rPr>
        <w:tab/>
        <w:t>(e)</w:t>
      </w:r>
      <w:r>
        <w:rPr>
          <w:snapToGrid w:val="0"/>
        </w:rPr>
        <w:tab/>
        <w:t>the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w:t>
      </w:r>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[Section 36A inserted by No. 15 of 1991 s. 17(1).]</w:t>
      </w:r>
    </w:p>
    <w:p>
      <w:pPr>
        <w:pStyle w:val="Heading5"/>
        <w:rPr>
          <w:snapToGrid w:val="0"/>
        </w:rPr>
      </w:pPr>
      <w:bookmarkStart w:id="52" w:name="_Toc390852551"/>
      <w:r>
        <w:rPr>
          <w:rStyle w:val="CharSectno"/>
        </w:rPr>
        <w:t>37</w:t>
      </w:r>
      <w:r>
        <w:rPr>
          <w:snapToGrid w:val="0"/>
        </w:rPr>
        <w:t>.</w:t>
      </w:r>
      <w:r>
        <w:rPr>
          <w:snapToGrid w:val="0"/>
        </w:rPr>
        <w:tab/>
        <w:t>Practice and procedure</w:t>
      </w:r>
      <w:bookmarkEnd w:id="52"/>
    </w:p>
    <w:p>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pPr>
        <w:pStyle w:val="Subsection"/>
      </w:pPr>
      <w:r>
        <w:tab/>
        <w:t>(2)</w:t>
      </w:r>
      <w:r>
        <w:tab/>
        <w:t xml:space="preserve">Subject to this Act and the </w:t>
      </w:r>
      <w:r>
        <w:rPr>
          <w:i/>
        </w:rPr>
        <w:t>Children and Community Services Act 2004</w:t>
      </w:r>
      <w:r>
        <w:t xml:space="preserve"> and any other Act that confers jurisdiction on the Court, the practice and procedure of the Court shall be governed by rules of court, and until provision is made by rules of court or where no special provision is contained in the rules of court —</w:t>
      </w:r>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 xml:space="preserve">[Section 37 amended by </w:t>
      </w:r>
      <w:r>
        <w:rPr>
          <w:spacing w:val="-6"/>
        </w:rPr>
        <w:t>No. 34 of 2004 s. </w:t>
      </w:r>
      <w:r>
        <w:t>251; No. 59 of 2004 s. 73; No. 84 of 2004 s. 18.]</w:t>
      </w:r>
    </w:p>
    <w:p>
      <w:pPr>
        <w:pStyle w:val="Heading5"/>
        <w:rPr>
          <w:snapToGrid w:val="0"/>
        </w:rPr>
      </w:pPr>
      <w:bookmarkStart w:id="53" w:name="_Toc390852552"/>
      <w:r>
        <w:rPr>
          <w:rStyle w:val="CharSectno"/>
        </w:rPr>
        <w:t>38</w:t>
      </w:r>
      <w:r>
        <w:rPr>
          <w:snapToGrid w:val="0"/>
        </w:rPr>
        <w:t>.</w:t>
      </w:r>
      <w:r>
        <w:rPr>
          <w:snapToGrid w:val="0"/>
        </w:rPr>
        <w:tab/>
        <w:t>Rules of court</w:t>
      </w:r>
      <w:bookmarkEnd w:id="53"/>
    </w:p>
    <w:p>
      <w:pPr>
        <w:pStyle w:val="Subsection"/>
        <w:rPr>
          <w:snapToGrid w:val="0"/>
        </w:rPr>
      </w:pPr>
      <w:r>
        <w:rPr>
          <w:snapToGrid w:val="0"/>
        </w:rPr>
        <w:tab/>
      </w:r>
      <w:r>
        <w:rPr>
          <w:snapToGrid w:val="0"/>
        </w:rPr>
        <w:tab/>
        <w:t>The judge, or if there is more than one judge a majority of the judges, may make rules for regulating and prescribing the 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54" w:name="_Toc390852553"/>
      <w:r>
        <w:rPr>
          <w:rStyle w:val="CharSectno"/>
        </w:rPr>
        <w:t>39</w:t>
      </w:r>
      <w:r>
        <w:rPr>
          <w:snapToGrid w:val="0"/>
        </w:rPr>
        <w:t>.</w:t>
      </w:r>
      <w:r>
        <w:rPr>
          <w:snapToGrid w:val="0"/>
        </w:rPr>
        <w:tab/>
        <w:t>Mode of enforcing orders by Court</w:t>
      </w:r>
      <w:bookmarkEnd w:id="54"/>
    </w:p>
    <w:p>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pPr>
        <w:pStyle w:val="Heading5"/>
      </w:pPr>
      <w:bookmarkStart w:id="55" w:name="_Toc390852554"/>
      <w:r>
        <w:rPr>
          <w:rStyle w:val="CharSectno"/>
        </w:rPr>
        <w:t>39A</w:t>
      </w:r>
      <w:r>
        <w:t>.</w:t>
      </w:r>
      <w:r>
        <w:tab/>
        <w:t>Judgments, enforcement of</w:t>
      </w:r>
      <w:bookmarkEnd w:id="55"/>
    </w:p>
    <w:p>
      <w:pPr>
        <w:pStyle w:val="Subsection"/>
      </w:pPr>
      <w:r>
        <w:tab/>
        <w:t>(1)</w:t>
      </w:r>
      <w:r>
        <w:tab/>
        <w:t xml:space="preserve">In this section — </w:t>
      </w:r>
    </w:p>
    <w:p>
      <w:pPr>
        <w:pStyle w:val="Defstart"/>
      </w:pPr>
      <w:r>
        <w:rPr>
          <w:b/>
        </w:rPr>
        <w:tab/>
      </w:r>
      <w:r>
        <w:rPr>
          <w:rStyle w:val="CharDefText"/>
        </w:rPr>
        <w:t>judgment</w:t>
      </w:r>
      <w:r>
        <w:t xml:space="preserve"> means a judgment, order, direction or decision of the Court given or made in the exercise of its non</w:t>
      </w:r>
      <w:r>
        <w:noBreakHyphen/>
        <w:t>criminal jurisdiction.</w:t>
      </w:r>
    </w:p>
    <w:p>
      <w:pPr>
        <w:pStyle w:val="Subsection"/>
      </w:pPr>
      <w:r>
        <w:tab/>
        <w:t>(2)</w:t>
      </w:r>
      <w:r>
        <w:tab/>
        <w:t>A person to whom money is to be paid under a judgment may enforce it by lodging a copy of it, certified by a registrar, and an affidavit stating to what extent it has not been complied with, with a court of competent jurisdiction.</w:t>
      </w:r>
    </w:p>
    <w:p>
      <w:pPr>
        <w:pStyle w:val="Subsection"/>
      </w:pPr>
      <w:r>
        <w:tab/>
        <w:t>(3)</w:t>
      </w:r>
      <w:r>
        <w:tab/>
        <w:t>If, or to the extent that, a judgment does not require the payment of money, a person entitled to the benefit of the judgment may enforce it by lodging a copy of it, certified by a registrar, and an affidavit stating to what extent it has not been complied with, with the Magistrates Court.</w:t>
      </w:r>
    </w:p>
    <w:p>
      <w:pPr>
        <w:pStyle w:val="Subsection"/>
      </w:pPr>
      <w:r>
        <w:tab/>
        <w:t>(4)</w:t>
      </w:r>
      <w:r>
        <w:tab/>
        <w:t>A judgment that is lodged with another court under subsection (2) or (3) is to be taken to be a judgment of the other court and may be enforced accordingly.</w:t>
      </w:r>
    </w:p>
    <w:p>
      <w:pPr>
        <w:pStyle w:val="Footnotesection"/>
      </w:pPr>
      <w:r>
        <w:tab/>
        <w:t>[Section 39A inserted by No. 5 of 2008 s. 5.]</w:t>
      </w:r>
    </w:p>
    <w:p>
      <w:pPr>
        <w:pStyle w:val="Heading2"/>
      </w:pPr>
      <w:bookmarkStart w:id="56" w:name="_Toc390852555"/>
      <w:r>
        <w:rPr>
          <w:rStyle w:val="CharPartNo"/>
        </w:rPr>
        <w:t>Part 5</w:t>
      </w:r>
      <w:r>
        <w:rPr>
          <w:rStyle w:val="CharDivNo"/>
        </w:rPr>
        <w:t> </w:t>
      </w:r>
      <w:r>
        <w:t>—</w:t>
      </w:r>
      <w:r>
        <w:rPr>
          <w:rStyle w:val="CharDivText"/>
        </w:rPr>
        <w:t> </w:t>
      </w:r>
      <w:r>
        <w:rPr>
          <w:rStyle w:val="CharPartText"/>
        </w:rPr>
        <w:t>Review and appeal</w:t>
      </w:r>
      <w:bookmarkEnd w:id="56"/>
    </w:p>
    <w:p>
      <w:pPr>
        <w:pStyle w:val="Heading5"/>
        <w:rPr>
          <w:snapToGrid w:val="0"/>
        </w:rPr>
      </w:pPr>
      <w:bookmarkStart w:id="57" w:name="_Toc390852556"/>
      <w:r>
        <w:rPr>
          <w:rStyle w:val="CharSectno"/>
        </w:rPr>
        <w:t>40</w:t>
      </w:r>
      <w:r>
        <w:rPr>
          <w:snapToGrid w:val="0"/>
        </w:rPr>
        <w:t>.</w:t>
      </w:r>
      <w:r>
        <w:rPr>
          <w:snapToGrid w:val="0"/>
        </w:rPr>
        <w:tab/>
        <w:t>Review by President of certain sentences</w:t>
      </w:r>
      <w:bookmarkEnd w:id="57"/>
    </w:p>
    <w:p>
      <w:pPr>
        <w:pStyle w:val="Subsection"/>
        <w:rPr>
          <w:snapToGrid w:val="0"/>
        </w:rPr>
      </w:pPr>
      <w:r>
        <w:rPr>
          <w:snapToGrid w:val="0"/>
        </w:rPr>
        <w:tab/>
        <w:t>(1)</w:t>
      </w:r>
      <w:r>
        <w:rPr>
          <w:snapToGrid w:val="0"/>
        </w:rPr>
        <w:tab/>
        <w:t xml:space="preserve">Subject to this Act, where the Court, when constituted so as not to consist of or include a judge, makes a finding that a charge against a </w:t>
      </w:r>
      <w:r>
        <w:t>person</w:t>
      </w:r>
      <w:r>
        <w:rPr>
          <w:snapToGrid w:val="0"/>
        </w:rPr>
        <w:t xml:space="preserve"> is proved and makes an order against or in relation to the </w:t>
      </w:r>
      <w:r>
        <w:t>person</w:t>
      </w:r>
      <w:r>
        <w:rPr>
          <w:snapToGrid w:val="0"/>
        </w:rPr>
        <w:t xml:space="preserve"> in consequence of that finding, the Court when constituted by the President may, of its own motion or upon an application made under subsection (2), reconsider the order and —</w:t>
      </w:r>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Subject to this section, an application for reconsideration of an order may be made, in accordance with the rules of court —</w:t>
      </w:r>
    </w:p>
    <w:p>
      <w:pPr>
        <w:pStyle w:val="Indenta"/>
        <w:rPr>
          <w:snapToGrid w:val="0"/>
        </w:rPr>
      </w:pPr>
      <w:r>
        <w:rPr>
          <w:snapToGrid w:val="0"/>
        </w:rPr>
        <w:tab/>
        <w:t>(a)</w:t>
      </w:r>
      <w:r>
        <w:rPr>
          <w:snapToGrid w:val="0"/>
        </w:rPr>
        <w:tab/>
        <w:t>by the</w:t>
      </w:r>
      <w:r>
        <w:t xml:space="preserve"> person</w:t>
      </w:r>
      <w:r>
        <w:rPr>
          <w:snapToGrid w:val="0"/>
        </w:rPr>
        <w:t>, within one month after the date of the order;</w:t>
      </w:r>
    </w:p>
    <w:p>
      <w:pPr>
        <w:pStyle w:val="Indenta"/>
        <w:rPr>
          <w:snapToGrid w:val="0"/>
        </w:rPr>
      </w:pPr>
      <w:r>
        <w:rPr>
          <w:snapToGrid w:val="0"/>
        </w:rPr>
        <w:tab/>
        <w:t>(b)</w:t>
      </w:r>
      <w:r>
        <w:rPr>
          <w:snapToGrid w:val="0"/>
        </w:rPr>
        <w:tab/>
      </w:r>
      <w:r>
        <w:t xml:space="preserve">if the person is a child, </w:t>
      </w:r>
      <w:r>
        <w:rPr>
          <w:snapToGrid w:val="0"/>
        </w:rPr>
        <w:t xml:space="preserve">by the CEO </w:t>
      </w:r>
      <w:r>
        <w:t>(young offenders)</w:t>
      </w:r>
      <w:r>
        <w:rPr>
          <w:snapToGrid w:val="0"/>
        </w:rPr>
        <w:t>,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w:t>
      </w:r>
      <w:r>
        <w:t xml:space="preserve">custodial sentence, </w:t>
      </w:r>
      <w:r>
        <w:rPr>
          <w:snapToGrid w:val="0"/>
        </w:rPr>
        <w:t xml:space="preserve">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tab/>
        <w:t>(5)</w:t>
      </w:r>
      <w:r>
        <w:rPr>
          <w:snapToGrid w:val="0"/>
        </w:rPr>
        <w:tab/>
        <w:t>Subject to subsection (6), where leave to appeal is granted under section 41 in respect of the original order —</w:t>
      </w:r>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 xml:space="preserve">[Section 40 amended by No. 33 of 1989 s. 18; No. 31 of 1993 s. 31; </w:t>
      </w:r>
      <w:r>
        <w:rPr>
          <w:spacing w:val="-6"/>
        </w:rPr>
        <w:t>No. 34 of 2004 s. </w:t>
      </w:r>
      <w:r>
        <w:t>251; No. 45 of 2004 s. 29; No. 65 of 2006 s. 58; No. 5 of 2008 s. 6; No. 14 of 2008 s. 43(5).]</w:t>
      </w:r>
    </w:p>
    <w:p>
      <w:pPr>
        <w:pStyle w:val="Heading5"/>
      </w:pPr>
      <w:bookmarkStart w:id="58" w:name="_Toc390852557"/>
      <w:r>
        <w:rPr>
          <w:rStyle w:val="CharSectno"/>
        </w:rPr>
        <w:t>41</w:t>
      </w:r>
      <w:r>
        <w:t>.</w:t>
      </w:r>
      <w:r>
        <w:tab/>
        <w:t>Appeals against decisions of magistrates etc.</w:t>
      </w:r>
      <w:bookmarkEnd w:id="58"/>
    </w:p>
    <w:p>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pPr>
        <w:pStyle w:val="Footnotesection"/>
      </w:pPr>
      <w:r>
        <w:tab/>
        <w:t>[Section 41 inserted by No. 84 of 2004 s. 15.]</w:t>
      </w:r>
    </w:p>
    <w:p>
      <w:pPr>
        <w:pStyle w:val="Heading5"/>
        <w:rPr>
          <w:snapToGrid w:val="0"/>
        </w:rPr>
      </w:pPr>
      <w:bookmarkStart w:id="59" w:name="_Toc390852558"/>
      <w:r>
        <w:rPr>
          <w:rStyle w:val="CharSectno"/>
        </w:rPr>
        <w:t>42</w:t>
      </w:r>
      <w:r>
        <w:rPr>
          <w:snapToGrid w:val="0"/>
        </w:rPr>
        <w:t>.</w:t>
      </w:r>
      <w:r>
        <w:rPr>
          <w:snapToGrid w:val="0"/>
        </w:rPr>
        <w:tab/>
        <w:t>Appeal against certain other orders</w:t>
      </w:r>
      <w:bookmarkEnd w:id="59"/>
    </w:p>
    <w:p>
      <w:pPr>
        <w:pStyle w:val="Subsection"/>
        <w:rPr>
          <w:snapToGrid w:val="0"/>
        </w:rPr>
      </w:pPr>
      <w:r>
        <w:rPr>
          <w:snapToGrid w:val="0"/>
        </w:rPr>
        <w:tab/>
        <w:t>(1)</w:t>
      </w:r>
      <w:r>
        <w:rPr>
          <w:snapToGrid w:val="0"/>
        </w:rPr>
        <w:tab/>
        <w:t xml:space="preserve">Subject to this Act, where the Court, when constituted so as not to consist of or include a judge, makes any finding, order, or other </w:t>
      </w:r>
      <w:r>
        <w:t xml:space="preserve">decision on the hearing of an application under Part 4 or 5 of the </w:t>
      </w:r>
      <w:r>
        <w:rPr>
          <w:i/>
        </w:rPr>
        <w:t xml:space="preserve">Children and Community Services Act 2004 </w:t>
      </w:r>
      <w:r>
        <w:t xml:space="preserve">the finding, order or decision may be the subject of an appeal made in accordance with Part 2 of the </w:t>
      </w:r>
      <w:r>
        <w:rPr>
          <w:i/>
        </w:rPr>
        <w:t>Criminal Appeals Act 2004</w:t>
      </w:r>
      <w:r>
        <w:t>, as if it were a decision by a court of summary jurisdiction, by —</w:t>
      </w:r>
    </w:p>
    <w:p>
      <w:pPr>
        <w:pStyle w:val="Indenta"/>
      </w:pPr>
      <w:r>
        <w:tab/>
        <w:t>(a)</w:t>
      </w:r>
      <w:r>
        <w:tab/>
        <w:t xml:space="preserve">the CEO as defined in section 3 of the </w:t>
      </w:r>
      <w:r>
        <w:rPr>
          <w:i/>
        </w:rPr>
        <w:t>Children and Community Services Act 2004</w:t>
      </w:r>
      <w:r>
        <w:t>; or</w:t>
      </w:r>
    </w:p>
    <w:p>
      <w:pPr>
        <w:pStyle w:val="Indenta"/>
        <w:rPr>
          <w:snapToGrid w:val="0"/>
        </w:rPr>
      </w:pPr>
      <w:r>
        <w:rPr>
          <w:snapToGrid w:val="0"/>
        </w:rPr>
        <w:tab/>
        <w:t>(b)</w:t>
      </w:r>
      <w:r>
        <w:rPr>
          <w:snapToGrid w:val="0"/>
        </w:rPr>
        <w:tab/>
        <w:t>the parent or guardian of the child in relation to whom the application was made; or</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the person may, on not less than 48 hours’</w:t>
      </w:r>
      <w:r>
        <w:t xml:space="preserve"> notice to the CEO as defined in section 3 of the </w:t>
      </w:r>
      <w:r>
        <w:rPr>
          <w:i/>
        </w:rPr>
        <w:t xml:space="preserve">Children and Community Services Act 2004 </w:t>
      </w:r>
      <w:r>
        <w:t>(if that CEO is not the applicant)</w:t>
      </w:r>
      <w:r>
        <w:rPr>
          <w:snapToGrid w:val="0"/>
        </w:rPr>
        <w:t>, apply to a judge for an order relating to the placement of the child pending the final disposition of the proceedings and the judge may make such order as in the circumstances seems appropriate having regard primarily to the welfare of the child.</w:t>
      </w:r>
    </w:p>
    <w:p>
      <w:pPr>
        <w:pStyle w:val="Footnotesection"/>
      </w:pPr>
      <w:r>
        <w:tab/>
        <w:t>[Section 42 inserted by No. 33 of 1989 s. 18; amended by No. 31 of 1993 s. 32; No. 57 of 1997 s. 31; No. 34 of 2004 s. 251; No. 59 of 2004 s. 73; No. 84 of 2004 s. 18.]</w:t>
      </w:r>
    </w:p>
    <w:p>
      <w:pPr>
        <w:pStyle w:val="Heading5"/>
        <w:spacing w:before="180"/>
      </w:pPr>
      <w:bookmarkStart w:id="60" w:name="_Toc390852559"/>
      <w:r>
        <w:rPr>
          <w:rStyle w:val="CharSectno"/>
        </w:rPr>
        <w:t>42A</w:t>
      </w:r>
      <w:r>
        <w:t>.</w:t>
      </w:r>
      <w:r>
        <w:tab/>
        <w:t>Appeals from judges’ decisions in criminal matters</w:t>
      </w:r>
      <w:bookmarkEnd w:id="60"/>
    </w:p>
    <w:p>
      <w:pPr>
        <w:pStyle w:val="Subsection"/>
        <w:spacing w:before="120"/>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Act) in a trial by a judge alone under the </w:t>
      </w:r>
      <w:r>
        <w:rPr>
          <w:i/>
        </w:rPr>
        <w:t>Criminal Procedure Act 2004</w:t>
      </w:r>
      <w:r>
        <w:t>.</w:t>
      </w:r>
    </w:p>
    <w:p>
      <w:pPr>
        <w:pStyle w:val="Footnotesection"/>
        <w:ind w:left="890" w:hanging="890"/>
      </w:pPr>
      <w:r>
        <w:tab/>
        <w:t>[Section 42A inserted by No. 84 of 2004 s. 16.]</w:t>
      </w:r>
    </w:p>
    <w:p>
      <w:pPr>
        <w:pStyle w:val="Heading5"/>
        <w:rPr>
          <w:snapToGrid w:val="0"/>
        </w:rPr>
      </w:pPr>
      <w:bookmarkStart w:id="61" w:name="_Toc390852560"/>
      <w:r>
        <w:rPr>
          <w:rStyle w:val="CharSectno"/>
        </w:rPr>
        <w:t>43</w:t>
      </w:r>
      <w:r>
        <w:rPr>
          <w:snapToGrid w:val="0"/>
        </w:rPr>
        <w:t>.</w:t>
      </w:r>
      <w:r>
        <w:rPr>
          <w:snapToGrid w:val="0"/>
        </w:rPr>
        <w:tab/>
        <w:t xml:space="preserve">Appeals to </w:t>
      </w:r>
      <w:r>
        <w:t>Court of Appeal</w:t>
      </w:r>
      <w:bookmarkEnd w:id="61"/>
    </w:p>
    <w:p>
      <w:pPr>
        <w:pStyle w:val="Ednotesubsection"/>
      </w:pPr>
      <w:r>
        <w:tab/>
        <w:t>[(1)</w:t>
      </w:r>
      <w:r>
        <w:noBreakHyphen/>
        <w:t>(3)</w:t>
      </w:r>
      <w:r>
        <w:tab/>
        <w:t>deleted]</w:t>
      </w:r>
    </w:p>
    <w:p>
      <w:pPr>
        <w:pStyle w:val="Subsection"/>
        <w:rPr>
          <w:snapToGrid w:val="0"/>
        </w:rPr>
      </w:pPr>
      <w:r>
        <w:rPr>
          <w:snapToGrid w:val="0"/>
        </w:rPr>
        <w:tab/>
        <w:t>(4)</w:t>
      </w:r>
      <w:r>
        <w:rPr>
          <w:snapToGrid w:val="0"/>
        </w:rPr>
        <w:tab/>
        <w:t xml:space="preserve">Subject to this Act, where the Court, when constituted by or so as to include a judge, makes any finding, order or other </w:t>
      </w:r>
      <w:r>
        <w:t xml:space="preserve">decision on the hearing of an application under Part 4 or 5 of the </w:t>
      </w:r>
      <w:r>
        <w:rPr>
          <w:i/>
        </w:rPr>
        <w:t>Children and Community Services Act 2004</w:t>
      </w:r>
      <w:r>
        <w:rPr>
          <w:snapToGrid w:val="0"/>
        </w:rPr>
        <w:t xml:space="preserve"> an appeal may be made to the </w:t>
      </w:r>
      <w:r>
        <w:t>Court of Appeal</w:t>
      </w:r>
      <w:r>
        <w:rPr>
          <w:snapToGrid w:val="0"/>
        </w:rPr>
        <w:t xml:space="preserve"> against the finding, order or other decision by —</w:t>
      </w:r>
    </w:p>
    <w:p>
      <w:pPr>
        <w:pStyle w:val="Indenta"/>
      </w:pPr>
      <w:r>
        <w:tab/>
        <w:t>(a)</w:t>
      </w:r>
      <w:r>
        <w:tab/>
        <w:t xml:space="preserve">the CEO as defined in section 3 of the </w:t>
      </w:r>
      <w:r>
        <w:rPr>
          <w:i/>
        </w:rPr>
        <w:t>Children and Community Services Act 2004</w:t>
      </w:r>
      <w:r>
        <w:t>; or</w:t>
      </w:r>
    </w:p>
    <w:p>
      <w:pPr>
        <w:pStyle w:val="Indenta"/>
        <w:rPr>
          <w:snapToGrid w:val="0"/>
        </w:rPr>
      </w:pPr>
      <w:r>
        <w:rPr>
          <w:snapToGrid w:val="0"/>
        </w:rPr>
        <w:tab/>
        <w:t>(b)</w:t>
      </w:r>
      <w:r>
        <w:rPr>
          <w:snapToGrid w:val="0"/>
        </w:rPr>
        <w:tab/>
        <w:t>the parent or guardian of the child in relation to whom the application was made; or</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pPr>
      <w:r>
        <w:tab/>
        <w:t>(5)</w:t>
      </w:r>
      <w:r>
        <w:tab/>
        <w:t>An appeal under subsection (4) must be commenced and conducted in accordance with rules of court made by the Supreme Court.</w:t>
      </w:r>
    </w:p>
    <w:p>
      <w:pPr>
        <w:pStyle w:val="Subsection"/>
      </w:pPr>
      <w:r>
        <w:tab/>
        <w:t>(6)</w:t>
      </w:r>
      <w:r>
        <w:tab/>
        <w:t>An appeal under subsection (4) cannot be commenced later than 21 days after the date of the judge’s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In an appeal under subsection (4), the Court of Appeal —</w:t>
      </w:r>
    </w:p>
    <w:p>
      <w:pPr>
        <w:pStyle w:val="Indenta"/>
      </w:pPr>
      <w:r>
        <w:tab/>
        <w:t>(a)</w:t>
      </w:r>
      <w:r>
        <w:tab/>
        <w:t>may affirm, vary or set aside the judge’s finding, order or other decision;</w:t>
      </w:r>
    </w:p>
    <w:p>
      <w:pPr>
        <w:pStyle w:val="Indenta"/>
      </w:pPr>
      <w:r>
        <w:tab/>
        <w:t>(b)</w:t>
      </w:r>
      <w:r>
        <w:tab/>
        <w:t>may make any finding, order or other decision that the judge could have made;</w:t>
      </w:r>
    </w:p>
    <w:p>
      <w:pPr>
        <w:pStyle w:val="Indenta"/>
        <w:keepNext/>
        <w:keepLines/>
      </w:pPr>
      <w:r>
        <w:tab/>
        <w:t>(c)</w:t>
      </w:r>
      <w:r>
        <w:tab/>
        <w:t>if it sets aside the judge’s finding, order or other decision, may order the application concerned be dealt with again.</w:t>
      </w:r>
    </w:p>
    <w:p>
      <w:pPr>
        <w:pStyle w:val="Footnotesection"/>
      </w:pPr>
      <w:r>
        <w:tab/>
        <w:t xml:space="preserve">[Section 43 amended by No. 15 of 1991 s. 19; No. 31 of 1993 s. 32; No. 104 of 1994 s. 230; No. 57 of 1997 s. 31; </w:t>
      </w:r>
      <w:r>
        <w:rPr>
          <w:spacing w:val="-6"/>
        </w:rPr>
        <w:t>No. 34 of 2004 s. </w:t>
      </w:r>
      <w:r>
        <w:t>251; No. 45 of 2004 s. 29; No. 59 of 2004 s. 73; No. 84 of 2004 s. 17.]</w:t>
      </w:r>
    </w:p>
    <w:p>
      <w:pPr>
        <w:pStyle w:val="Ednotepart"/>
      </w:pPr>
      <w:r>
        <w:t>[Part 6 (s. 44</w:t>
      </w:r>
      <w:r>
        <w:noBreakHyphen/>
        <w:t>50) deleted by No. 53 of 2000 s. 3.]</w:t>
      </w:r>
    </w:p>
    <w:p>
      <w:pPr>
        <w:pStyle w:val="Heading2"/>
      </w:pPr>
      <w:bookmarkStart w:id="62" w:name="_Toc390852561"/>
      <w:r>
        <w:rPr>
          <w:rStyle w:val="CharPartNo"/>
        </w:rPr>
        <w:t>Part 7</w:t>
      </w:r>
      <w:r>
        <w:rPr>
          <w:rStyle w:val="CharDivNo"/>
        </w:rPr>
        <w:t> </w:t>
      </w:r>
      <w:r>
        <w:t>—</w:t>
      </w:r>
      <w:r>
        <w:rPr>
          <w:rStyle w:val="CharDivText"/>
        </w:rPr>
        <w:t> </w:t>
      </w:r>
      <w:r>
        <w:rPr>
          <w:rStyle w:val="CharPartText"/>
        </w:rPr>
        <w:t>Miscellaneous</w:t>
      </w:r>
      <w:bookmarkEnd w:id="62"/>
    </w:p>
    <w:p>
      <w:pPr>
        <w:pStyle w:val="Heading5"/>
        <w:rPr>
          <w:snapToGrid w:val="0"/>
        </w:rPr>
      </w:pPr>
      <w:bookmarkStart w:id="63" w:name="_Toc390852562"/>
      <w:r>
        <w:rPr>
          <w:rStyle w:val="CharSectno"/>
        </w:rPr>
        <w:t>51</w:t>
      </w:r>
      <w:r>
        <w:rPr>
          <w:snapToGrid w:val="0"/>
        </w:rPr>
        <w:t>.</w:t>
      </w:r>
      <w:r>
        <w:rPr>
          <w:snapToGrid w:val="0"/>
        </w:rPr>
        <w:tab/>
        <w:t>Forms of proceedings</w:t>
      </w:r>
      <w:bookmarkEnd w:id="63"/>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w:t>
      </w:r>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r>
        <w:tab/>
        <w:t>[Section 51 amended by No. 84 of 2004 s. 80.]</w:t>
      </w:r>
    </w:p>
    <w:p>
      <w:pPr>
        <w:pStyle w:val="Heading5"/>
      </w:pPr>
      <w:bookmarkStart w:id="64" w:name="_Toc390852563"/>
      <w:r>
        <w:rPr>
          <w:rStyle w:val="CharSectno"/>
        </w:rPr>
        <w:t>51A</w:t>
      </w:r>
      <w:r>
        <w:t>.</w:t>
      </w:r>
      <w:r>
        <w:tab/>
        <w:t>Court’s records, access to</w:t>
      </w:r>
      <w:bookmarkEnd w:id="64"/>
    </w:p>
    <w:p>
      <w:pPr>
        <w:pStyle w:val="Subsection"/>
      </w:pPr>
      <w:r>
        <w:tab/>
        <w:t>(1)</w:t>
      </w:r>
      <w:r>
        <w:tab/>
        <w:t>In this section —</w:t>
      </w:r>
    </w:p>
    <w:p>
      <w:pPr>
        <w:pStyle w:val="Defstart"/>
      </w:pPr>
      <w:r>
        <w:tab/>
      </w:r>
      <w:r>
        <w:rPr>
          <w:rStyle w:val="CharDefText"/>
        </w:rPr>
        <w:t>court record</w:t>
      </w:r>
      <w:r>
        <w:t>, in relation to proceedings before the Court, means —</w:t>
      </w:r>
    </w:p>
    <w:p>
      <w:pPr>
        <w:pStyle w:val="Defpara"/>
      </w:pPr>
      <w:r>
        <w:tab/>
        <w:t>(a)</w:t>
      </w:r>
      <w:r>
        <w:tab/>
        <w:t>any formal document that has been filed with or issued by the Court in accordance with law and that forms part of the Court’s records;</w:t>
      </w:r>
    </w:p>
    <w:p>
      <w:pPr>
        <w:pStyle w:val="Defpara"/>
      </w:pPr>
      <w:r>
        <w:tab/>
        <w:t>(b)</w:t>
      </w:r>
      <w:r>
        <w:tab/>
        <w:t>the transcript of —</w:t>
      </w:r>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r>
        <w:rPr>
          <w:rStyle w:val="CharDefText"/>
        </w:rPr>
        <w:t>reasons</w:t>
      </w:r>
      <w:r>
        <w:t>, in relation to a judgment, includes sentencing remarks.</w:t>
      </w:r>
    </w:p>
    <w:p>
      <w:pPr>
        <w:pStyle w:val="Subsection"/>
      </w:pPr>
      <w:r>
        <w:tab/>
        <w:t>(2)</w:t>
      </w:r>
      <w:r>
        <w:tab/>
        <w:t>This section is subject to any other written law that relates to the possession or publication of documents and other records or to the possession of any thing.</w:t>
      </w:r>
    </w:p>
    <w:p>
      <w:pPr>
        <w:pStyle w:val="Subsection"/>
      </w:pPr>
      <w:r>
        <w:tab/>
        <w:t>(3)</w:t>
      </w:r>
      <w:r>
        <w:tab/>
        <w:t>In respect of criminal proceedings before the Court, each of the following people is entitled, on request, to inspect or obtain a copy of any document that is part of the court record and any document received by the Court in sentencing proceedings —</w:t>
      </w:r>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 and Crime Commission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chief executive officer of the department of the Public Service principally assisting in the administration of the licensing provisions of the </w:t>
      </w:r>
      <w:r>
        <w:rPr>
          <w:i/>
        </w:rPr>
        <w:t>Road Traffic Act 1974</w:t>
      </w:r>
      <w:r>
        <w:t>;</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 51A inserted by No. 59 of 2004 s. 71.]</w:t>
      </w:r>
    </w:p>
    <w:p>
      <w:pPr>
        <w:pStyle w:val="Heading5"/>
        <w:rPr>
          <w:snapToGrid w:val="0"/>
        </w:rPr>
      </w:pPr>
      <w:bookmarkStart w:id="65" w:name="_Toc390852564"/>
      <w:r>
        <w:rPr>
          <w:rStyle w:val="CharSectno"/>
        </w:rPr>
        <w:t>52</w:t>
      </w:r>
      <w:r>
        <w:rPr>
          <w:snapToGrid w:val="0"/>
        </w:rPr>
        <w:t>.</w:t>
      </w:r>
      <w:r>
        <w:rPr>
          <w:snapToGrid w:val="0"/>
        </w:rPr>
        <w:tab/>
        <w:t>Regulations</w:t>
      </w:r>
      <w:bookmarkEnd w:id="65"/>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66" w:name="_Toc390852565"/>
      <w:r>
        <w:rPr>
          <w:rStyle w:val="CharSectno"/>
        </w:rPr>
        <w:t>53</w:t>
      </w:r>
      <w:r>
        <w:t>.</w:t>
      </w:r>
      <w:r>
        <w:tab/>
        <w:t>Fees, regulations may prescribe</w:t>
      </w:r>
      <w:bookmarkEnd w:id="66"/>
    </w:p>
    <w:p>
      <w:pPr>
        <w:pStyle w:val="Subsection"/>
      </w:pPr>
      <w:r>
        <w:tab/>
        <w:t>(1)</w:t>
      </w:r>
      <w:r>
        <w:tab/>
        <w:t>Without limiting section 52, regulations may provide for or prescribe the fees to be paid in respect of or in connection with any case in the Court’s jurisdiction.</w:t>
      </w:r>
    </w:p>
    <w:p>
      <w:pPr>
        <w:pStyle w:val="Subsection"/>
        <w:keepNext/>
        <w:keepLines/>
      </w:pPr>
      <w:r>
        <w:tab/>
        <w:t>(2)</w:t>
      </w:r>
      <w:r>
        <w:tab/>
        <w:t>Without limiting subsection (1), regulations may provide for or prescribe the fees to be paid —</w:t>
      </w:r>
    </w:p>
    <w:p>
      <w:pPr>
        <w:pStyle w:val="Indenta"/>
      </w:pPr>
      <w:r>
        <w:tab/>
        <w:t>(a)</w:t>
      </w:r>
      <w:r>
        <w:tab/>
        <w:t>when commencing a case in the Court; and</w:t>
      </w:r>
    </w:p>
    <w:p>
      <w:pPr>
        <w:pStyle w:val="Indenta"/>
      </w:pPr>
      <w:r>
        <w:tab/>
        <w:t>(b)</w:t>
      </w:r>
      <w:r>
        <w:tab/>
        <w:t>when entering a case for trial or at any other stage of proceedings in a case; and</w:t>
      </w:r>
    </w:p>
    <w:p>
      <w:pPr>
        <w:pStyle w:val="Indenta"/>
      </w:pPr>
      <w:r>
        <w:tab/>
        <w:t>(c)</w:t>
      </w:r>
      <w:r>
        <w:tab/>
        <w:t>when lodging a document with the Court; and</w:t>
      </w:r>
    </w:p>
    <w:p>
      <w:pPr>
        <w:pStyle w:val="Indenta"/>
      </w:pPr>
      <w:r>
        <w:tab/>
        <w:t>(d)</w:t>
      </w:r>
      <w:r>
        <w:tab/>
        <w:t>for the issue of any document by the Court; and</w:t>
      </w:r>
    </w:p>
    <w:p>
      <w:pPr>
        <w:pStyle w:val="Indenta"/>
      </w:pPr>
      <w:r>
        <w:tab/>
        <w:t>(e)</w:t>
      </w:r>
      <w:r>
        <w:tab/>
        <w:t>for the service of any document; and</w:t>
      </w:r>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All fees received by the Court are to be credited to the Consolidated Account.</w:t>
      </w:r>
    </w:p>
    <w:p>
      <w:pPr>
        <w:pStyle w:val="Footnotesection"/>
      </w:pPr>
      <w:r>
        <w:tab/>
        <w:t>[Section 53 inserted by No. 59 of 2004 s. 72; amended by No. 77 of 2006 s. 4.]</w:t>
      </w:r>
    </w:p>
    <w:p>
      <w:pPr>
        <w:rPr>
          <w:rStyle w:val="CharDivText"/>
        </w:rPr>
        <w:sectPr>
          <w:headerReference w:type="even" r:id="rId25"/>
          <w:headerReference w:type="default" r:id="rId26"/>
          <w:footerReference w:type="even" r:id="rId27"/>
          <w:footerReference w:type="default" r:id="rId28"/>
          <w:headerReference w:type="first" r:id="rId29"/>
          <w:footerReference w:type="first" r:id="rId30"/>
          <w:pgSz w:w="11906" w:h="16838" w:code="9"/>
          <w:pgMar w:top="2376" w:right="2405" w:bottom="3542" w:left="2405" w:header="706" w:footer="3380" w:gutter="0"/>
          <w:pgNumType w:start="1"/>
          <w:cols w:space="720"/>
          <w:noEndnote/>
          <w:titlePg/>
          <w:docGrid w:linePitch="326"/>
        </w:sectPr>
      </w:pPr>
    </w:p>
    <w:p>
      <w:pPr>
        <w:pStyle w:val="yScheduleHeading"/>
      </w:pPr>
      <w:bookmarkStart w:id="67" w:name="_Toc390852566"/>
      <w:r>
        <w:rPr>
          <w:rStyle w:val="CharSchNo"/>
        </w:rPr>
        <w:t>Schedule 1</w:t>
      </w:r>
      <w:r>
        <w:t> — </w:t>
      </w:r>
      <w:r>
        <w:rPr>
          <w:rStyle w:val="CharSchText"/>
        </w:rPr>
        <w:t>Oath and affirmation of office</w:t>
      </w:r>
      <w:bookmarkEnd w:id="67"/>
    </w:p>
    <w:p>
      <w:pPr>
        <w:pStyle w:val="yShoulderClause"/>
      </w:pPr>
      <w:r>
        <w:t>[s. 12(1)]</w:t>
      </w:r>
    </w:p>
    <w:p>
      <w:pPr>
        <w:pStyle w:val="yFootnoteheading"/>
        <w:tabs>
          <w:tab w:val="clear" w:pos="879"/>
        </w:tabs>
        <w:ind w:left="600" w:hanging="600"/>
      </w:pPr>
      <w:r>
        <w:tab/>
        <w:t>[Heading inserted by No. 24 of 2005 s. 16.]</w:t>
      </w:r>
    </w:p>
    <w:p>
      <w:pPr>
        <w:pStyle w:val="ySubsection"/>
        <w:tabs>
          <w:tab w:val="clear" w:pos="879"/>
        </w:tabs>
        <w:spacing w:before="240"/>
        <w:ind w:left="0" w:firstLine="0"/>
      </w:pPr>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pPr>
        <w:pStyle w:val="yFootnotesection"/>
        <w:tabs>
          <w:tab w:val="clear" w:pos="893"/>
        </w:tabs>
        <w:ind w:left="600" w:hanging="600"/>
      </w:pPr>
      <w:r>
        <w:t>[Schedule 1 inserted by No. 24 of 2005 s. 16.]</w:t>
      </w:r>
    </w:p>
    <w:p>
      <w:pPr>
        <w:pStyle w:val="CentredBaseLine"/>
        <w:ind w:left="600" w:hanging="600"/>
        <w:jc w:val="center"/>
      </w:pPr>
      <w:r>
        <w:rPr>
          <w:noProof/>
        </w:rPr>
        <w:drawing>
          <wp:inline distT="0" distB="0" distL="0" distR="0">
            <wp:extent cx="935355" cy="168910"/>
            <wp:effectExtent l="0" t="0" r="0" b="254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pPr>
        <w:sectPr>
          <w:headerReference w:type="even" r:id="rId32"/>
          <w:headerReference w:type="default" r:id="rId33"/>
          <w:headerReference w:type="first" r:id="rId34"/>
          <w:pgSz w:w="11906" w:h="16838" w:code="9"/>
          <w:pgMar w:top="2376" w:right="2405" w:bottom="3542" w:left="2405" w:header="706" w:footer="3380" w:gutter="0"/>
          <w:cols w:space="720"/>
          <w:noEndnote/>
          <w:docGrid w:linePitch="326"/>
        </w:sectPr>
      </w:pPr>
    </w:p>
    <w:p>
      <w:pPr>
        <w:pStyle w:val="nHeading2"/>
      </w:pPr>
      <w:bookmarkStart w:id="68" w:name="_Toc390852567"/>
      <w:r>
        <w:t>Notes</w:t>
      </w:r>
      <w:bookmarkEnd w:id="68"/>
    </w:p>
    <w:p>
      <w:pPr>
        <w:pStyle w:val="nSubsection"/>
        <w:rPr>
          <w:snapToGrid w:val="0"/>
        </w:rPr>
      </w:pPr>
      <w:r>
        <w:rPr>
          <w:snapToGrid w:val="0"/>
          <w:vertAlign w:val="superscript"/>
        </w:rPr>
        <w:t>1</w:t>
      </w:r>
      <w:r>
        <w:rPr>
          <w:snapToGrid w:val="0"/>
        </w:rPr>
        <w:tab/>
        <w:t xml:space="preserve">This reprint is a compilation as at 13 June 2014 of the </w:t>
      </w:r>
      <w:r>
        <w:rPr>
          <w:i/>
          <w:noProof/>
          <w:snapToGrid w:val="0"/>
        </w:rPr>
        <w:t>Children’s Court of Western Australia Act 1988</w:t>
      </w:r>
      <w:r>
        <w:rPr>
          <w:snapToGrid w:val="0"/>
        </w:rPr>
        <w:t xml:space="preserve"> and includes the amendments made by the other written laws referred to in the following table</w:t>
      </w:r>
      <w:r>
        <w:rPr>
          <w:snapToGrid w:val="0"/>
          <w:vertAlign w:val="superscript"/>
        </w:rPr>
        <w:t xml:space="preserve"> 1a, 1M</w:t>
      </w:r>
      <w:r>
        <w:rPr>
          <w:snapToGrid w:val="0"/>
        </w:rPr>
        <w:t>. The table also contains information about any reprint.</w:t>
      </w:r>
    </w:p>
    <w:p>
      <w:pPr>
        <w:pStyle w:val="nHeading3"/>
      </w:pPr>
      <w:bookmarkStart w:id="69" w:name="_Toc390852568"/>
      <w:r>
        <w:t>Compilation table</w:t>
      </w:r>
      <w:bookmarkEnd w:id="69"/>
    </w:p>
    <w:tbl>
      <w:tblPr>
        <w:tblW w:w="7088"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vertAlign w:val="superscript"/>
              </w:rPr>
            </w:pPr>
            <w:r>
              <w:rPr>
                <w:i/>
                <w:sz w:val="19"/>
              </w:rPr>
              <w:t>Children’s Court of Western Australia Act (No. 2) 1988</w:t>
            </w:r>
            <w:r>
              <w:rPr>
                <w:sz w:val="19"/>
                <w:vertAlign w:val="superscript"/>
              </w:rPr>
              <w:t> 3</w:t>
            </w:r>
          </w:p>
        </w:tc>
        <w:tc>
          <w:tcPr>
            <w:tcW w:w="1134" w:type="dxa"/>
          </w:tcPr>
          <w:p>
            <w:pPr>
              <w:pStyle w:val="nTable"/>
              <w:spacing w:after="40"/>
              <w:rPr>
                <w:sz w:val="19"/>
              </w:rPr>
            </w:pPr>
            <w:r>
              <w:rPr>
                <w:sz w:val="19"/>
              </w:rPr>
              <w:t>69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s. 1 and 2: 15 Dec 1988; </w:t>
            </w:r>
            <w:r>
              <w:rPr>
                <w:sz w:val="19"/>
              </w:rPr>
              <w:br/>
              <w:t xml:space="preserve">Act other than s. 1 and 2: 1 Dec 1989 (see s. 2 and </w:t>
            </w:r>
            <w:r>
              <w:rPr>
                <w:i/>
                <w:sz w:val="19"/>
              </w:rPr>
              <w:t>Gazette</w:t>
            </w:r>
            <w:r>
              <w:rPr>
                <w:sz w:val="19"/>
              </w:rPr>
              <w:t xml:space="preserve"> 24 Nov 1989 p. 4327)</w:t>
            </w:r>
          </w:p>
        </w:tc>
      </w:tr>
      <w:tr>
        <w:trPr>
          <w:cantSplit/>
        </w:trPr>
        <w:tc>
          <w:tcPr>
            <w:tcW w:w="2268" w:type="dxa"/>
          </w:tcPr>
          <w:p>
            <w:pPr>
              <w:pStyle w:val="nTable"/>
              <w:spacing w:after="40"/>
              <w:ind w:right="113"/>
              <w:rPr>
                <w:sz w:val="19"/>
              </w:rPr>
            </w:pPr>
            <w:r>
              <w:rPr>
                <w:i/>
                <w:sz w:val="19"/>
              </w:rPr>
              <w:t>Justices Amendment Act 1989</w:t>
            </w:r>
            <w:r>
              <w:rPr>
                <w:sz w:val="19"/>
              </w:rPr>
              <w:t xml:space="preserve"> 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8" w:type="dxa"/>
          </w:tcPr>
          <w:p>
            <w:pPr>
              <w:pStyle w:val="nTable"/>
              <w:spacing w:after="40"/>
              <w:ind w:right="113"/>
              <w:rPr>
                <w:i/>
                <w:sz w:val="19"/>
              </w:rPr>
            </w:pPr>
            <w:r>
              <w:rPr>
                <w:i/>
                <w:color w:val="000000"/>
              </w:rPr>
              <w:t xml:space="preserve">Children's Court of Western Australia Amendment Act (No. 2) 1991 </w:t>
            </w:r>
            <w:r>
              <w:rPr>
                <w:color w:val="000000"/>
              </w:rPr>
              <w:t>Pt. 2 (s. 3-20)</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 xml:space="preserve">s. 8 and 20: 1 Dec 1989 (see s. 2(1)); </w:t>
            </w:r>
            <w:r>
              <w:rPr>
                <w:sz w:val="19"/>
              </w:rPr>
              <w:br/>
              <w:t xml:space="preserve">Pt. 2 (other than s. 8 and 20): 9 Aug 1991 (see s. 2(2) and </w:t>
            </w:r>
            <w:r>
              <w:rPr>
                <w:i/>
                <w:sz w:val="19"/>
              </w:rPr>
              <w:t>Gazette</w:t>
            </w:r>
            <w:r>
              <w:rPr>
                <w:sz w:val="19"/>
              </w:rPr>
              <w:t xml:space="preserve"> 9 Aug 1991 p. 4101)</w:t>
            </w:r>
          </w:p>
        </w:tc>
      </w:tr>
      <w:tr>
        <w:trPr>
          <w:cantSplit/>
        </w:trPr>
        <w:tc>
          <w:tcPr>
            <w:tcW w:w="2268" w:type="dxa"/>
          </w:tcPr>
          <w:p>
            <w:pPr>
              <w:pStyle w:val="nTable"/>
              <w:spacing w:after="40"/>
              <w:ind w:right="113"/>
              <w:rPr>
                <w:sz w:val="19"/>
              </w:rPr>
            </w:pPr>
            <w:r>
              <w:rPr>
                <w:i/>
                <w:sz w:val="19"/>
              </w:rPr>
              <w:t>Acts Amendment (Sexual Offences) Act 1992</w:t>
            </w:r>
            <w:r>
              <w:rPr>
                <w:sz w:val="19"/>
              </w:rPr>
              <w:t xml:space="preserve"> s. 4(3) and 6(8)</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8" w:type="dxa"/>
          </w:tcPr>
          <w:p>
            <w:pPr>
              <w:pStyle w:val="nTable"/>
              <w:spacing w:after="40"/>
              <w:ind w:right="113"/>
              <w:rPr>
                <w:sz w:val="19"/>
              </w:rPr>
            </w:pPr>
            <w:r>
              <w:rPr>
                <w:i/>
                <w:sz w:val="19"/>
              </w:rPr>
              <w:t>Acts Amendment (Ministry of Justice) Act 1993</w:t>
            </w:r>
            <w:r>
              <w:rPr>
                <w:sz w:val="19"/>
              </w:rPr>
              <w:t xml:space="preserve"> Pt. 5</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8" w:type="dxa"/>
          </w:tcPr>
          <w:p>
            <w:pPr>
              <w:pStyle w:val="nTable"/>
              <w:spacing w:after="40"/>
              <w:ind w:right="113"/>
              <w:rPr>
                <w:sz w:val="19"/>
              </w:rPr>
            </w:pPr>
            <w:r>
              <w:rPr>
                <w:i/>
                <w:sz w:val="19"/>
              </w:rPr>
              <w:t>Young Offenders Act 1994</w:t>
            </w:r>
            <w:r>
              <w:rPr>
                <w:sz w:val="19"/>
              </w:rPr>
              <w:t xml:space="preserve"> Pt. 11 Div. 2</w:t>
            </w:r>
          </w:p>
        </w:tc>
        <w:tc>
          <w:tcPr>
            <w:tcW w:w="1134" w:type="dxa"/>
          </w:tcPr>
          <w:p>
            <w:pPr>
              <w:pStyle w:val="nTable"/>
              <w:spacing w:after="40"/>
              <w:rPr>
                <w:sz w:val="19"/>
              </w:rPr>
            </w:pPr>
            <w:r>
              <w:rPr>
                <w:sz w:val="19"/>
              </w:rPr>
              <w:t>104 of 1994</w:t>
            </w:r>
          </w:p>
        </w:tc>
        <w:tc>
          <w:tcPr>
            <w:tcW w:w="1134" w:type="dxa"/>
          </w:tcPr>
          <w:p>
            <w:pPr>
              <w:pStyle w:val="nTable"/>
              <w:spacing w:after="40"/>
              <w:rPr>
                <w:sz w:val="19"/>
              </w:rPr>
            </w:pPr>
            <w:r>
              <w:rPr>
                <w:sz w:val="19"/>
              </w:rPr>
              <w:t>11 Jan 1995</w:t>
            </w:r>
          </w:p>
        </w:tc>
        <w:tc>
          <w:tcPr>
            <w:tcW w:w="2552" w:type="dxa"/>
          </w:tcPr>
          <w:p>
            <w:pPr>
              <w:pStyle w:val="nTable"/>
              <w:spacing w:after="40"/>
              <w:rPr>
                <w:sz w:val="19"/>
              </w:rPr>
            </w:pPr>
            <w:r>
              <w:rPr>
                <w:sz w:val="19"/>
              </w:rPr>
              <w:t xml:space="preserve">13 Mar 1995 (see s. 2 and </w:t>
            </w:r>
            <w:r>
              <w:rPr>
                <w:i/>
                <w:sz w:val="19"/>
              </w:rPr>
              <w:t>Gazette</w:t>
            </w:r>
            <w:r>
              <w:rPr>
                <w:sz w:val="19"/>
              </w:rPr>
              <w:t xml:space="preserve"> 10 Mar 1995 p. 895)</w:t>
            </w:r>
          </w:p>
        </w:tc>
      </w:tr>
      <w:tr>
        <w:trPr>
          <w:cantSplit/>
        </w:trPr>
        <w:tc>
          <w:tcPr>
            <w:tcW w:w="2268" w:type="dxa"/>
          </w:tcPr>
          <w:p>
            <w:pPr>
              <w:pStyle w:val="nTable"/>
              <w:spacing w:after="40"/>
              <w:ind w:right="113"/>
              <w:rPr>
                <w:i/>
                <w:sz w:val="19"/>
              </w:rPr>
            </w:pPr>
            <w:r>
              <w:rPr>
                <w:i/>
                <w:sz w:val="19"/>
              </w:rPr>
              <w:t>Sentencing (Consequential Provisions) Act 1995</w:t>
            </w:r>
            <w:r>
              <w:rPr>
                <w:sz w:val="19"/>
              </w:rPr>
              <w:t xml:space="preserve"> Pt. 9</w:t>
            </w:r>
          </w:p>
        </w:tc>
        <w:tc>
          <w:tcPr>
            <w:tcW w:w="1134" w:type="dxa"/>
          </w:tcPr>
          <w:p>
            <w:pPr>
              <w:pStyle w:val="nTable"/>
              <w:keepNext/>
              <w:keepLines/>
              <w:spacing w:after="40"/>
              <w:rPr>
                <w:sz w:val="19"/>
              </w:rPr>
            </w:pPr>
            <w:r>
              <w:rPr>
                <w:sz w:val="19"/>
              </w:rPr>
              <w:t>78 of 1995</w:t>
            </w:r>
          </w:p>
        </w:tc>
        <w:tc>
          <w:tcPr>
            <w:tcW w:w="1134" w:type="dxa"/>
          </w:tcPr>
          <w:p>
            <w:pPr>
              <w:pStyle w:val="nTable"/>
              <w:keepNext/>
              <w:keepLines/>
              <w:spacing w:after="40"/>
              <w:rPr>
                <w:sz w:val="19"/>
              </w:rPr>
            </w:pPr>
            <w:r>
              <w:rPr>
                <w:sz w:val="19"/>
              </w:rPr>
              <w:t>16 Jan 1996</w:t>
            </w:r>
          </w:p>
        </w:tc>
        <w:tc>
          <w:tcPr>
            <w:tcW w:w="2552" w:type="dxa"/>
          </w:tcPr>
          <w:p>
            <w:pPr>
              <w:pStyle w:val="nTable"/>
              <w:keepNext/>
              <w:keepLines/>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7088" w:type="dxa"/>
            <w:gridSpan w:val="4"/>
          </w:tcPr>
          <w:p>
            <w:pPr>
              <w:pStyle w:val="nTable"/>
              <w:spacing w:after="40"/>
              <w:rPr>
                <w:sz w:val="19"/>
              </w:rPr>
            </w:pPr>
            <w:r>
              <w:rPr>
                <w:b/>
                <w:sz w:val="19"/>
              </w:rPr>
              <w:t xml:space="preserve">Reprint of the </w:t>
            </w:r>
            <w:r>
              <w:rPr>
                <w:b/>
                <w:i/>
                <w:sz w:val="19"/>
              </w:rPr>
              <w:t>Children’s Court of Western Australia Act 1988</w:t>
            </w:r>
            <w:r>
              <w:rPr>
                <w:b/>
                <w:sz w:val="19"/>
              </w:rPr>
              <w:t xml:space="preserve"> as at 23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8" w:type="dxa"/>
          </w:tcPr>
          <w:p>
            <w:pPr>
              <w:pStyle w:val="nTable"/>
              <w:spacing w:after="40"/>
              <w:ind w:right="113"/>
              <w:rPr>
                <w:sz w:val="19"/>
              </w:rPr>
            </w:pPr>
            <w:r>
              <w:rPr>
                <w:i/>
                <w:sz w:val="19"/>
              </w:rPr>
              <w:t>Local Government (Consequential Amendments) Act </w:t>
            </w:r>
            <w:r>
              <w:rPr>
                <w:i/>
                <w:spacing w:val="-4"/>
                <w:sz w:val="19"/>
              </w:rPr>
              <w:t>1996</w:t>
            </w:r>
            <w:r>
              <w:rPr>
                <w:spacing w:val="-4"/>
                <w:sz w:val="19"/>
              </w:rPr>
              <w:t xml:space="preserve"> s. 4</w:t>
            </w:r>
          </w:p>
        </w:tc>
        <w:tc>
          <w:tcPr>
            <w:tcW w:w="1134" w:type="dxa"/>
          </w:tcPr>
          <w:p>
            <w:pPr>
              <w:pStyle w:val="nTable"/>
              <w:keepNext/>
              <w:keepLines/>
              <w:spacing w:after="40"/>
              <w:rPr>
                <w:sz w:val="19"/>
              </w:rPr>
            </w:pPr>
            <w:r>
              <w:rPr>
                <w:sz w:val="19"/>
              </w:rPr>
              <w:t>14 of 1996</w:t>
            </w:r>
          </w:p>
        </w:tc>
        <w:tc>
          <w:tcPr>
            <w:tcW w:w="1134" w:type="dxa"/>
          </w:tcPr>
          <w:p>
            <w:pPr>
              <w:pStyle w:val="nTable"/>
              <w:keepNext/>
              <w:keepLines/>
              <w:spacing w:after="40"/>
              <w:rPr>
                <w:sz w:val="19"/>
              </w:rPr>
            </w:pPr>
            <w:r>
              <w:rPr>
                <w:sz w:val="19"/>
              </w:rPr>
              <w:t>28 Jun 1996</w:t>
            </w:r>
          </w:p>
        </w:tc>
        <w:tc>
          <w:tcPr>
            <w:tcW w:w="2552" w:type="dxa"/>
          </w:tcPr>
          <w:p>
            <w:pPr>
              <w:pStyle w:val="nTable"/>
              <w:keepNext/>
              <w:keepLines/>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Restraining Orders Act 1997</w:t>
            </w:r>
            <w:r>
              <w:rPr>
                <w:sz w:val="19"/>
              </w:rPr>
              <w:t xml:space="preserve"> s. 81</w:t>
            </w:r>
          </w:p>
        </w:tc>
        <w:tc>
          <w:tcPr>
            <w:tcW w:w="1134" w:type="dxa"/>
          </w:tcPr>
          <w:p>
            <w:pPr>
              <w:pStyle w:val="nTable"/>
              <w:spacing w:after="40"/>
              <w:rPr>
                <w:sz w:val="19"/>
              </w:rPr>
            </w:pPr>
            <w:r>
              <w:rPr>
                <w:sz w:val="19"/>
              </w:rPr>
              <w:t>19 of 1997</w:t>
            </w:r>
          </w:p>
        </w:tc>
        <w:tc>
          <w:tcPr>
            <w:tcW w:w="1134" w:type="dxa"/>
          </w:tcPr>
          <w:p>
            <w:pPr>
              <w:pStyle w:val="nTable"/>
              <w:spacing w:after="40"/>
              <w:rPr>
                <w:sz w:val="19"/>
              </w:rPr>
            </w:pPr>
            <w:r>
              <w:rPr>
                <w:sz w:val="19"/>
              </w:rPr>
              <w:t>28 Aug 1997</w:t>
            </w:r>
          </w:p>
        </w:tc>
        <w:tc>
          <w:tcPr>
            <w:tcW w:w="2552" w:type="dxa"/>
          </w:tcPr>
          <w:p>
            <w:pPr>
              <w:pStyle w:val="nTable"/>
              <w:spacing w:after="40"/>
              <w:rPr>
                <w:sz w:val="19"/>
              </w:rPr>
            </w:pPr>
            <w:r>
              <w:rPr>
                <w:sz w:val="19"/>
              </w:rPr>
              <w:t xml:space="preserve">15 Sep 1997 (see s. 2 and </w:t>
            </w:r>
            <w:r>
              <w:rPr>
                <w:i/>
                <w:sz w:val="19"/>
              </w:rPr>
              <w:t>Gazette</w:t>
            </w:r>
            <w:r>
              <w:rPr>
                <w:sz w:val="19"/>
              </w:rPr>
              <w:t xml:space="preserve"> 12 Sep 1997 p. 5149)</w:t>
            </w:r>
          </w:p>
        </w:tc>
      </w:tr>
      <w:tr>
        <w:trPr>
          <w:cantSplit/>
        </w:trPr>
        <w:tc>
          <w:tcPr>
            <w:tcW w:w="2268" w:type="dxa"/>
          </w:tcPr>
          <w:p>
            <w:pPr>
              <w:pStyle w:val="nTable"/>
              <w:spacing w:after="40"/>
              <w:ind w:right="113"/>
              <w:rPr>
                <w:sz w:val="19"/>
              </w:rPr>
            </w:pPr>
            <w:r>
              <w:rPr>
                <w:i/>
                <w:sz w:val="19"/>
              </w:rPr>
              <w:t>Statutes (Repeals and Minor Amendments) Act 1997</w:t>
            </w:r>
            <w:r>
              <w:rPr>
                <w:sz w:val="19"/>
              </w:rPr>
              <w:t xml:space="preserve"> s. 31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ind w:right="113"/>
              <w:rPr>
                <w:sz w:val="19"/>
              </w:rPr>
            </w:pPr>
            <w:r>
              <w:rPr>
                <w:i/>
                <w:sz w:val="19"/>
              </w:rPr>
              <w:t>Acts Amendment (Abortion) Act 1998</w:t>
            </w:r>
            <w:r>
              <w:rPr>
                <w:sz w:val="19"/>
              </w:rPr>
              <w:t xml:space="preserve"> s. 9</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2" w:type="dxa"/>
          </w:tcPr>
          <w:p>
            <w:pPr>
              <w:pStyle w:val="nTable"/>
              <w:spacing w:after="40"/>
              <w:rPr>
                <w:sz w:val="19"/>
              </w:rPr>
            </w:pPr>
            <w:r>
              <w:rPr>
                <w:sz w:val="19"/>
              </w:rPr>
              <w:t>26 May 1998 (see s. 2)</w:t>
            </w:r>
          </w:p>
        </w:tc>
      </w:tr>
      <w:tr>
        <w:trPr>
          <w:cantSplit/>
        </w:trPr>
        <w:tc>
          <w:tcPr>
            <w:tcW w:w="2268" w:type="dxa"/>
          </w:tcPr>
          <w:p>
            <w:pPr>
              <w:pStyle w:val="nTable"/>
              <w:spacing w:after="40"/>
              <w:ind w:right="113"/>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2"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088" w:type="dxa"/>
            <w:gridSpan w:val="4"/>
          </w:tcPr>
          <w:p>
            <w:pPr>
              <w:pStyle w:val="nTable"/>
              <w:spacing w:after="40"/>
              <w:rPr>
                <w:sz w:val="19"/>
              </w:rPr>
            </w:pPr>
            <w:r>
              <w:rPr>
                <w:b/>
                <w:sz w:val="19"/>
              </w:rPr>
              <w:t xml:space="preserve">Reprint of the </w:t>
            </w:r>
            <w:r>
              <w:rPr>
                <w:b/>
                <w:i/>
                <w:sz w:val="19"/>
              </w:rPr>
              <w:t>Children’s Court of Western Australia Act 1988</w:t>
            </w:r>
            <w:r>
              <w:rPr>
                <w:b/>
                <w:sz w:val="19"/>
              </w:rPr>
              <w:t xml:space="preserve"> as at 25 Aug 2000</w:t>
            </w:r>
            <w:r>
              <w:rPr>
                <w:sz w:val="19"/>
              </w:rPr>
              <w:t xml:space="preserve"> (includes amendments listed above except those in the </w:t>
            </w:r>
            <w:r>
              <w:rPr>
                <w:i/>
                <w:sz w:val="19"/>
              </w:rPr>
              <w:t>School Education Act 1999</w:t>
            </w:r>
            <w:r>
              <w:rPr>
                <w:sz w:val="19"/>
              </w:rPr>
              <w:t>)</w:t>
            </w:r>
          </w:p>
        </w:tc>
      </w:tr>
      <w:tr>
        <w:trPr>
          <w:cantSplit/>
        </w:trPr>
        <w:tc>
          <w:tcPr>
            <w:tcW w:w="2268" w:type="dxa"/>
          </w:tcPr>
          <w:p>
            <w:pPr>
              <w:pStyle w:val="nTable"/>
              <w:spacing w:after="40"/>
              <w:ind w:right="113"/>
              <w:rPr>
                <w:sz w:val="19"/>
              </w:rPr>
            </w:pPr>
            <w:r>
              <w:rPr>
                <w:i/>
                <w:sz w:val="19"/>
              </w:rPr>
              <w:t>State Records (Consequential Provisions) Act 2000</w:t>
            </w:r>
            <w:r>
              <w:rPr>
                <w:sz w:val="19"/>
              </w:rPr>
              <w:t xml:space="preserve"> Pt. 2</w:t>
            </w:r>
          </w:p>
        </w:tc>
        <w:tc>
          <w:tcPr>
            <w:tcW w:w="1134" w:type="dxa"/>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2"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ind w:right="113"/>
              <w:rPr>
                <w:sz w:val="19"/>
              </w:rPr>
            </w:pPr>
            <w:r>
              <w:rPr>
                <w:i/>
                <w:sz w:val="19"/>
              </w:rPr>
              <w:t>Acts Amendment (Evidence) Act 2000</w:t>
            </w:r>
            <w:r>
              <w:rPr>
                <w:sz w:val="19"/>
              </w:rPr>
              <w:t xml:space="preserve"> Pt. 4</w:t>
            </w:r>
          </w:p>
        </w:tc>
        <w:tc>
          <w:tcPr>
            <w:tcW w:w="1134" w:type="dxa"/>
          </w:tcPr>
          <w:p>
            <w:pPr>
              <w:pStyle w:val="nTable"/>
              <w:spacing w:after="40"/>
              <w:rPr>
                <w:sz w:val="19"/>
              </w:rPr>
            </w:pPr>
            <w:r>
              <w:rPr>
                <w:sz w:val="19"/>
              </w:rPr>
              <w:t>71 of 2000</w:t>
            </w:r>
          </w:p>
        </w:tc>
        <w:tc>
          <w:tcPr>
            <w:tcW w:w="1134" w:type="dxa"/>
          </w:tcPr>
          <w:p>
            <w:pPr>
              <w:pStyle w:val="nTable"/>
              <w:spacing w:after="40"/>
              <w:rPr>
                <w:sz w:val="19"/>
              </w:rPr>
            </w:pPr>
            <w:r>
              <w:rPr>
                <w:sz w:val="19"/>
              </w:rPr>
              <w:t>6 Dec 2000</w:t>
            </w:r>
          </w:p>
        </w:tc>
        <w:tc>
          <w:tcPr>
            <w:tcW w:w="2552" w:type="dxa"/>
          </w:tcPr>
          <w:p>
            <w:pPr>
              <w:pStyle w:val="nTable"/>
              <w:spacing w:after="40"/>
              <w:rPr>
                <w:sz w:val="19"/>
              </w:rPr>
            </w:pPr>
            <w:r>
              <w:rPr>
                <w:sz w:val="19"/>
              </w:rPr>
              <w:t>3 Jan 2001</w:t>
            </w:r>
          </w:p>
        </w:tc>
      </w:tr>
      <w:tr>
        <w:trPr>
          <w:cantSplit/>
        </w:trPr>
        <w:tc>
          <w:tcPr>
            <w:tcW w:w="2268" w:type="dxa"/>
          </w:tcPr>
          <w:p>
            <w:pPr>
              <w:pStyle w:val="nTable"/>
              <w:spacing w:after="40"/>
              <w:ind w:right="113"/>
              <w:rPr>
                <w:i/>
                <w:sz w:val="19"/>
              </w:rPr>
            </w:pPr>
            <w:r>
              <w:rPr>
                <w:i/>
                <w:sz w:val="19"/>
              </w:rPr>
              <w:t>Criminal Law (Procedure) Amendment Act 2002</w:t>
            </w:r>
            <w:r>
              <w:rPr>
                <w:sz w:val="19"/>
              </w:rPr>
              <w:t xml:space="preserve"> Pt. 4 Div. 2</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8" w:type="dxa"/>
          </w:tcPr>
          <w:p>
            <w:pPr>
              <w:pStyle w:val="nTable"/>
              <w:spacing w:after="40"/>
              <w:ind w:right="113"/>
              <w:rPr>
                <w:sz w:val="19"/>
              </w:rPr>
            </w:pPr>
            <w:r>
              <w:rPr>
                <w:i/>
                <w:sz w:val="19"/>
              </w:rPr>
              <w:t>Acts Amendment and Repeal (Courts and Legal Practice) Act 2003</w:t>
            </w:r>
            <w:r>
              <w:rPr>
                <w:sz w:val="19"/>
              </w:rPr>
              <w:t xml:space="preserve"> s. 17, 107 and 122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8" w:type="dxa"/>
          </w:tcPr>
          <w:p>
            <w:pPr>
              <w:pStyle w:val="nTable"/>
              <w:spacing w:after="40"/>
              <w:ind w:right="113"/>
              <w:rPr>
                <w:sz w:val="19"/>
              </w:rPr>
            </w:pPr>
            <w:r>
              <w:rPr>
                <w:i/>
                <w:sz w:val="19"/>
              </w:rPr>
              <w:t>Statutes (Repeals and Minor Amendments) Act 2003</w:t>
            </w:r>
            <w:r>
              <w:rPr>
                <w:sz w:val="19"/>
              </w:rPr>
              <w:t xml:space="preserve"> s. 35</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8" w:type="dxa"/>
          </w:tcPr>
          <w:p>
            <w:pPr>
              <w:pStyle w:val="nTable"/>
              <w:spacing w:after="40"/>
              <w:ind w:right="113"/>
              <w:rPr>
                <w:i/>
                <w:sz w:val="19"/>
              </w:rPr>
            </w:pPr>
            <w:r>
              <w:rPr>
                <w:i/>
                <w:sz w:val="19"/>
              </w:rPr>
              <w:t xml:space="preserve">Criminal Code Amendment Act 2004 </w:t>
            </w:r>
            <w:r>
              <w:rPr>
                <w:sz w:val="19"/>
              </w:rPr>
              <w:t>s.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7088" w:type="dxa"/>
            <w:gridSpan w:val="4"/>
          </w:tcPr>
          <w:p>
            <w:pPr>
              <w:pStyle w:val="nTable"/>
              <w:spacing w:after="40"/>
              <w:rPr>
                <w:sz w:val="19"/>
              </w:rPr>
            </w:pPr>
            <w:r>
              <w:rPr>
                <w:b/>
                <w:sz w:val="19"/>
              </w:rPr>
              <w:t xml:space="preserve">Reprint 3: The </w:t>
            </w:r>
            <w:r>
              <w:rPr>
                <w:b/>
                <w:i/>
                <w:sz w:val="19"/>
              </w:rPr>
              <w:t>Children’s Court of Western Australia Act 1988</w:t>
            </w:r>
            <w:r>
              <w:rPr>
                <w:b/>
                <w:sz w:val="19"/>
              </w:rPr>
              <w:t xml:space="preserve"> as at 10 Sep 2004</w:t>
            </w:r>
            <w:r>
              <w:rPr>
                <w:sz w:val="19"/>
              </w:rPr>
              <w:t xml:space="preserve"> (includes amendments listed above)</w:t>
            </w:r>
          </w:p>
        </w:tc>
      </w:tr>
      <w:tr>
        <w:tc>
          <w:tcPr>
            <w:tcW w:w="2268" w:type="dxa"/>
          </w:tcPr>
          <w:p>
            <w:pPr>
              <w:pStyle w:val="nTable"/>
              <w:spacing w:after="40"/>
              <w:rPr>
                <w:sz w:val="19"/>
              </w:rPr>
            </w:pPr>
            <w:r>
              <w:rPr>
                <w:i/>
                <w:sz w:val="19"/>
              </w:rPr>
              <w:t>Sentencing Legislation Amendment Act 2004</w:t>
            </w:r>
            <w:r>
              <w:rPr>
                <w:sz w:val="19"/>
              </w:rPr>
              <w:t xml:space="preserve"> s. 14(3)</w:t>
            </w:r>
          </w:p>
        </w:tc>
        <w:tc>
          <w:tcPr>
            <w:tcW w:w="1134" w:type="dxa"/>
          </w:tcPr>
          <w:p>
            <w:pPr>
              <w:pStyle w:val="nTable"/>
              <w:spacing w:after="40"/>
              <w:rPr>
                <w:sz w:val="19"/>
              </w:rPr>
            </w:pPr>
            <w:r>
              <w:rPr>
                <w:sz w:val="19"/>
              </w:rPr>
              <w:t>27 of 2004 (as amended by No. 41 of 2006 s. 95(2))</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8" w:type="dxa"/>
          </w:tcPr>
          <w:p>
            <w:pPr>
              <w:pStyle w:val="nTable"/>
              <w:spacing w:after="40"/>
              <w:rPr>
                <w:snapToGrid w:val="0"/>
                <w:sz w:val="19"/>
              </w:rPr>
            </w:pPr>
            <w:r>
              <w:rPr>
                <w:i/>
                <w:snapToGrid w:val="0"/>
                <w:sz w:val="19"/>
              </w:rPr>
              <w:t>Children and Community Services Act 2004</w:t>
            </w:r>
            <w:r>
              <w:rPr>
                <w:snapToGrid w:val="0"/>
                <w:sz w:val="19"/>
              </w:rPr>
              <w:t xml:space="preserve"> s. 251</w:t>
            </w:r>
          </w:p>
        </w:tc>
        <w:tc>
          <w:tcPr>
            <w:tcW w:w="1134" w:type="dxa"/>
          </w:tcPr>
          <w:p>
            <w:pPr>
              <w:pStyle w:val="nTable"/>
              <w:spacing w:after="40"/>
              <w:rPr>
                <w:snapToGrid w:val="0"/>
                <w:sz w:val="19"/>
              </w:rPr>
            </w:pPr>
            <w:r>
              <w:rPr>
                <w:snapToGrid w:val="0"/>
                <w:sz w:val="19"/>
              </w:rPr>
              <w:t>34 of 2004</w:t>
            </w:r>
          </w:p>
        </w:tc>
        <w:tc>
          <w:tcPr>
            <w:tcW w:w="1134" w:type="dxa"/>
          </w:tcPr>
          <w:p>
            <w:pPr>
              <w:pStyle w:val="nTable"/>
              <w:spacing w:after="40"/>
              <w:rPr>
                <w:snapToGrid w:val="0"/>
                <w:sz w:val="19"/>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c>
          <w:tcPr>
            <w:tcW w:w="2268" w:type="dxa"/>
          </w:tcPr>
          <w:p>
            <w:pPr>
              <w:pStyle w:val="nTable"/>
              <w:spacing w:after="40"/>
              <w:rPr>
                <w:snapToGrid w:val="0"/>
                <w:sz w:val="19"/>
                <w:vertAlign w:val="superscript"/>
              </w:rPr>
            </w:pPr>
            <w:r>
              <w:rPr>
                <w:i/>
                <w:snapToGrid w:val="0"/>
                <w:sz w:val="19"/>
              </w:rPr>
              <w:t>Acts Amendment (Court of Appeal) Act 2004</w:t>
            </w:r>
            <w:r>
              <w:rPr>
                <w:snapToGrid w:val="0"/>
                <w:sz w:val="19"/>
              </w:rPr>
              <w:t xml:space="preserve"> s. 29</w:t>
            </w:r>
          </w:p>
        </w:tc>
        <w:tc>
          <w:tcPr>
            <w:tcW w:w="1134" w:type="dxa"/>
          </w:tcPr>
          <w:p>
            <w:pPr>
              <w:pStyle w:val="nTable"/>
              <w:spacing w:after="40"/>
              <w:rPr>
                <w:snapToGrid w:val="0"/>
                <w:sz w:val="19"/>
              </w:rPr>
            </w:pPr>
            <w:r>
              <w:rPr>
                <w:snapToGrid w:val="0"/>
                <w:sz w:val="19"/>
              </w:rPr>
              <w:t>45 of 2004</w:t>
            </w:r>
          </w:p>
        </w:tc>
        <w:tc>
          <w:tcPr>
            <w:tcW w:w="1134" w:type="dxa"/>
          </w:tcPr>
          <w:p>
            <w:pPr>
              <w:pStyle w:val="nTable"/>
              <w:spacing w:after="40"/>
              <w:rPr>
                <w:sz w:val="19"/>
              </w:rPr>
            </w:pPr>
            <w:r>
              <w:rPr>
                <w:sz w:val="19"/>
              </w:rPr>
              <w:t>9 Nov 2004</w:t>
            </w:r>
          </w:p>
        </w:tc>
        <w:tc>
          <w:tcPr>
            <w:tcW w:w="2552" w:type="dxa"/>
          </w:tcPr>
          <w:p>
            <w:pPr>
              <w:pStyle w:val="nTable"/>
              <w:spacing w:after="40"/>
              <w:rPr>
                <w:snapToGrid w:val="0"/>
                <w:sz w:val="19"/>
              </w:rPr>
            </w:pPr>
            <w:r>
              <w:rPr>
                <w:snapToGrid w:val="0"/>
                <w:sz w:val="19"/>
              </w:rPr>
              <w:t xml:space="preserve">1 Feb 2005 (see s. 2 and </w:t>
            </w:r>
            <w:r>
              <w:rPr>
                <w:i/>
                <w:snapToGrid w:val="0"/>
                <w:sz w:val="19"/>
              </w:rPr>
              <w:t>Gazette</w:t>
            </w:r>
            <w:r>
              <w:rPr>
                <w:snapToGrid w:val="0"/>
                <w:sz w:val="19"/>
              </w:rPr>
              <w:t xml:space="preserve"> 14 Jan 2005 p. 163)</w:t>
            </w:r>
          </w:p>
        </w:tc>
      </w:tr>
      <w:tr>
        <w:tc>
          <w:tcPr>
            <w:tcW w:w="2268" w:type="dxa"/>
          </w:tcPr>
          <w:p>
            <w:pPr>
              <w:pStyle w:val="nTable"/>
              <w:spacing w:after="40"/>
              <w:rPr>
                <w:i/>
                <w:snapToGrid w:val="0"/>
                <w:sz w:val="19"/>
              </w:rPr>
            </w:pPr>
            <w:r>
              <w:rPr>
                <w:i/>
                <w:snapToGrid w:val="0"/>
                <w:sz w:val="19"/>
              </w:rPr>
              <w:t>Courts Legislation Amendment and Repeal Act 2004</w:t>
            </w:r>
            <w:r>
              <w:rPr>
                <w:snapToGrid w:val="0"/>
                <w:sz w:val="19"/>
              </w:rPr>
              <w:t xml:space="preserve"> Pt. 7</w:t>
            </w:r>
          </w:p>
        </w:tc>
        <w:tc>
          <w:tcPr>
            <w:tcW w:w="1134" w:type="dxa"/>
          </w:tcPr>
          <w:p>
            <w:pPr>
              <w:pStyle w:val="nTable"/>
              <w:spacing w:after="40"/>
              <w:rPr>
                <w:snapToGrid w:val="0"/>
                <w:sz w:val="19"/>
              </w:rPr>
            </w:pPr>
            <w:r>
              <w:rPr>
                <w:snapToGrid w:val="0"/>
                <w:sz w:val="19"/>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rPr>
            </w:pPr>
            <w:r>
              <w:rPr>
                <w:sz w:val="19"/>
              </w:rPr>
              <w:t xml:space="preserve">1 May 2005 (see s. 2 and </w:t>
            </w:r>
            <w:r>
              <w:rPr>
                <w:i/>
                <w:sz w:val="19"/>
              </w:rPr>
              <w:t>Gazette</w:t>
            </w:r>
            <w:r>
              <w:rPr>
                <w:sz w:val="19"/>
              </w:rPr>
              <w:t xml:space="preserve"> 31 Dec 2004 p. 7128)</w:t>
            </w:r>
          </w:p>
        </w:tc>
      </w:tr>
      <w:tr>
        <w:trPr>
          <w:cantSplit/>
        </w:trPr>
        <w:tc>
          <w:tcPr>
            <w:tcW w:w="2268" w:type="dxa"/>
          </w:tcPr>
          <w:p>
            <w:pPr>
              <w:pStyle w:val="nTable"/>
              <w:spacing w:after="40"/>
              <w:rPr>
                <w:i/>
                <w:snapToGrid w:val="0"/>
                <w:sz w:val="19"/>
              </w:rPr>
            </w:pPr>
            <w:r>
              <w:rPr>
                <w:i/>
                <w:snapToGrid w:val="0"/>
                <w:sz w:val="19"/>
              </w:rPr>
              <w:t>Criminal Procedure and Appeals (Consequential and Other Provisions) Act 2004</w:t>
            </w:r>
            <w:r>
              <w:rPr>
                <w:snapToGrid w:val="0"/>
                <w:sz w:val="19"/>
              </w:rPr>
              <w:t xml:space="preserve"> Pt. 4 and s. 80</w:t>
            </w:r>
          </w:p>
        </w:tc>
        <w:tc>
          <w:tcPr>
            <w:tcW w:w="1134" w:type="dxa"/>
          </w:tcPr>
          <w:p>
            <w:pPr>
              <w:pStyle w:val="nTable"/>
              <w:spacing w:after="40"/>
              <w:rPr>
                <w:snapToGrid w:val="0"/>
                <w:sz w:val="19"/>
              </w:rPr>
            </w:pPr>
            <w:r>
              <w:rPr>
                <w:snapToGrid w:val="0"/>
                <w:sz w:val="19"/>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rPr>
              <w:t xml:space="preserve">2 May 2005 (see s. 2 and </w:t>
            </w:r>
            <w:r>
              <w:rPr>
                <w:i/>
                <w:snapToGrid w:val="0"/>
                <w:sz w:val="19"/>
              </w:rPr>
              <w:t>Gazette</w:t>
            </w:r>
            <w:r>
              <w:rPr>
                <w:snapToGrid w:val="0"/>
                <w:sz w:val="19"/>
              </w:rPr>
              <w:t xml:space="preserve"> 31 Dec 2004 p. 7129 (correction in </w:t>
            </w:r>
            <w:r>
              <w:rPr>
                <w:i/>
                <w:snapToGrid w:val="0"/>
                <w:sz w:val="19"/>
              </w:rPr>
              <w:t>Gazette</w:t>
            </w:r>
            <w:r>
              <w:rPr>
                <w:snapToGrid w:val="0"/>
                <w:sz w:val="19"/>
              </w:rPr>
              <w:t xml:space="preserve"> 7 Jan 2005 p. 53))</w:t>
            </w:r>
          </w:p>
        </w:tc>
      </w:tr>
      <w:tr>
        <w:trPr>
          <w:cantSplit/>
        </w:trPr>
        <w:tc>
          <w:tcPr>
            <w:tcW w:w="2268" w:type="dxa"/>
          </w:tcPr>
          <w:p>
            <w:pPr>
              <w:pStyle w:val="nTable"/>
              <w:spacing w:after="40"/>
              <w:ind w:right="113"/>
              <w:rPr>
                <w:i/>
                <w:sz w:val="19"/>
              </w:rPr>
            </w:pPr>
            <w:r>
              <w:rPr>
                <w:i/>
                <w:sz w:val="19"/>
              </w:rPr>
              <w:t>Oaths, Affidavits and Statutory Declarations (Consequential Provisions) Act 2005</w:t>
            </w:r>
            <w:r>
              <w:rPr>
                <w:sz w:val="19"/>
              </w:rPr>
              <w:t xml:space="preserve"> Pt. 5</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2(1) and </w:t>
            </w:r>
            <w:r>
              <w:rPr>
                <w:i/>
                <w:sz w:val="19"/>
              </w:rPr>
              <w:t>Gazette</w:t>
            </w:r>
            <w:r>
              <w:rPr>
                <w:sz w:val="19"/>
              </w:rPr>
              <w:t xml:space="preserve"> 23 Dec 2005 p. 6244)</w:t>
            </w:r>
          </w:p>
        </w:tc>
      </w:tr>
      <w:tr>
        <w:trPr>
          <w:cantSplit/>
        </w:trPr>
        <w:tc>
          <w:tcPr>
            <w:tcW w:w="7088" w:type="dxa"/>
            <w:gridSpan w:val="4"/>
          </w:tcPr>
          <w:p>
            <w:pPr>
              <w:pStyle w:val="nTable"/>
              <w:spacing w:after="40"/>
              <w:rPr>
                <w:sz w:val="19"/>
              </w:rPr>
            </w:pPr>
            <w:r>
              <w:rPr>
                <w:b/>
                <w:sz w:val="19"/>
              </w:rPr>
              <w:t xml:space="preserve">Reprint 4: The </w:t>
            </w:r>
            <w:r>
              <w:rPr>
                <w:b/>
                <w:i/>
                <w:sz w:val="19"/>
              </w:rPr>
              <w:t>Children’s Court of Western Australia Act 1988</w:t>
            </w:r>
            <w:r>
              <w:rPr>
                <w:b/>
                <w:sz w:val="19"/>
              </w:rPr>
              <w:t xml:space="preserve"> as at 21 Apr 2006</w:t>
            </w:r>
            <w:r>
              <w:rPr>
                <w:sz w:val="19"/>
              </w:rPr>
              <w:t xml:space="preserve"> (includes amendments listed above except those in </w:t>
            </w:r>
            <w:r>
              <w:rPr>
                <w:snapToGrid w:val="0"/>
                <w:sz w:val="19"/>
              </w:rPr>
              <w:t xml:space="preserve">the </w:t>
            </w:r>
            <w:r>
              <w:rPr>
                <w:i/>
                <w:sz w:val="19"/>
              </w:rPr>
              <w:t>Sentencing Legislation Amendment Act 2004</w:t>
            </w:r>
            <w:r>
              <w:rPr>
                <w:sz w:val="19"/>
              </w:rPr>
              <w:t>)</w:t>
            </w:r>
          </w:p>
        </w:tc>
      </w:tr>
      <w:tr>
        <w:tc>
          <w:tcPr>
            <w:tcW w:w="2268" w:type="dxa"/>
          </w:tcPr>
          <w:p>
            <w:pPr>
              <w:pStyle w:val="nTable"/>
              <w:spacing w:after="40"/>
              <w:ind w:right="113"/>
              <w:rPr>
                <w:snapToGrid w:val="0"/>
                <w:sz w:val="19"/>
              </w:rPr>
            </w:pPr>
            <w:r>
              <w:rPr>
                <w:i/>
                <w:snapToGrid w:val="0"/>
                <w:sz w:val="19"/>
              </w:rPr>
              <w:t>Prisons and Sentencing Legislation Amendment Act 2006</w:t>
            </w:r>
            <w:r>
              <w:rPr>
                <w:snapToGrid w:val="0"/>
                <w:sz w:val="19"/>
              </w:rPr>
              <w:t> Pt. 6</w:t>
            </w:r>
          </w:p>
        </w:tc>
        <w:tc>
          <w:tcPr>
            <w:tcW w:w="1134" w:type="dxa"/>
          </w:tcPr>
          <w:p>
            <w:pPr>
              <w:pStyle w:val="nTable"/>
              <w:keepNext/>
              <w:spacing w:after="40"/>
              <w:rPr>
                <w:snapToGrid w:val="0"/>
                <w:sz w:val="19"/>
              </w:rPr>
            </w:pPr>
            <w:r>
              <w:rPr>
                <w:snapToGrid w:val="0"/>
                <w:sz w:val="19"/>
              </w:rPr>
              <w:t>65 of 2006</w:t>
            </w:r>
          </w:p>
        </w:tc>
        <w:tc>
          <w:tcPr>
            <w:tcW w:w="1134" w:type="dxa"/>
          </w:tcPr>
          <w:p>
            <w:pPr>
              <w:pStyle w:val="nTable"/>
              <w:keepNext/>
              <w:spacing w:after="40"/>
              <w:rPr>
                <w:snapToGrid w:val="0"/>
                <w:sz w:val="19"/>
              </w:rPr>
            </w:pPr>
            <w:r>
              <w:rPr>
                <w:snapToGrid w:val="0"/>
                <w:sz w:val="19"/>
              </w:rPr>
              <w:t>8 Dec 2006</w:t>
            </w:r>
          </w:p>
        </w:tc>
        <w:tc>
          <w:tcPr>
            <w:tcW w:w="2552" w:type="dxa"/>
          </w:tcPr>
          <w:p>
            <w:pPr>
              <w:pStyle w:val="nTable"/>
              <w:keepNext/>
              <w:spacing w:after="40"/>
              <w:rPr>
                <w:snapToGrid w:val="0"/>
                <w:sz w:val="19"/>
              </w:rPr>
            </w:pPr>
            <w:r>
              <w:rPr>
                <w:snapToGrid w:val="0"/>
                <w:spacing w:val="-2"/>
                <w:sz w:val="19"/>
              </w:rPr>
              <w:t xml:space="preserve">4 Apr 2007 (see s. 2 and </w:t>
            </w:r>
            <w:r>
              <w:rPr>
                <w:i/>
                <w:iCs/>
                <w:snapToGrid w:val="0"/>
                <w:spacing w:val="-2"/>
                <w:sz w:val="19"/>
              </w:rPr>
              <w:t>Gazette</w:t>
            </w:r>
            <w:r>
              <w:rPr>
                <w:snapToGrid w:val="0"/>
                <w:spacing w:val="-2"/>
                <w:sz w:val="19"/>
              </w:rPr>
              <w:t xml:space="preserve"> 3 Apr 2007 p. 1491)</w:t>
            </w:r>
          </w:p>
        </w:tc>
      </w:tr>
      <w:tr>
        <w:trPr>
          <w:cantSplit/>
        </w:trPr>
        <w:tc>
          <w:tcPr>
            <w:tcW w:w="2268" w:type="dxa"/>
          </w:tcPr>
          <w:p>
            <w:pPr>
              <w:pStyle w:val="nTable"/>
              <w:spacing w:after="40"/>
              <w:ind w:right="113"/>
              <w:rPr>
                <w:i/>
                <w:sz w:val="19"/>
              </w:rPr>
            </w:pPr>
            <w:r>
              <w:rPr>
                <w:i/>
                <w:snapToGrid w:val="0"/>
                <w:sz w:val="19"/>
              </w:rPr>
              <w:t xml:space="preserve">Financial Legislation Amendment and Repeal Act 2006 </w:t>
            </w:r>
            <w:r>
              <w:rPr>
                <w:iCs/>
                <w:snapToGrid w:val="0"/>
                <w:sz w:val="19"/>
              </w:rPr>
              <w:t>s. 4 and Sch. 1 cl. 24</w:t>
            </w:r>
          </w:p>
        </w:tc>
        <w:tc>
          <w:tcPr>
            <w:tcW w:w="1134" w:type="dxa"/>
          </w:tcPr>
          <w:p>
            <w:pPr>
              <w:pStyle w:val="nTable"/>
              <w:spacing w:after="40"/>
              <w:rPr>
                <w:sz w:val="19"/>
              </w:rPr>
            </w:pPr>
            <w:r>
              <w:rPr>
                <w:snapToGrid w:val="0"/>
                <w:sz w:val="19"/>
              </w:rPr>
              <w:t xml:space="preserve">77 of 2006 </w:t>
            </w:r>
          </w:p>
        </w:tc>
        <w:tc>
          <w:tcPr>
            <w:tcW w:w="1134" w:type="dxa"/>
          </w:tcPr>
          <w:p>
            <w:pPr>
              <w:pStyle w:val="nTable"/>
              <w:spacing w:after="40"/>
              <w:rPr>
                <w:sz w:val="19"/>
              </w:rPr>
            </w:pPr>
            <w:r>
              <w:rPr>
                <w:snapToGrid w:val="0"/>
                <w:sz w:val="19"/>
              </w:rPr>
              <w:t>21 Dec 2006</w:t>
            </w:r>
          </w:p>
        </w:tc>
        <w:tc>
          <w:tcPr>
            <w:tcW w:w="2552" w:type="dxa"/>
          </w:tcPr>
          <w:p>
            <w:pPr>
              <w:pStyle w:val="nTable"/>
              <w:spacing w:after="40"/>
              <w:rPr>
                <w:sz w:val="19"/>
              </w:rPr>
            </w:pPr>
            <w:r>
              <w:rPr>
                <w:snapToGrid w:val="0"/>
                <w:sz w:val="19"/>
              </w:rPr>
              <w:t xml:space="preserve">1 Feb 2007 (see s. 2(1) and </w:t>
            </w:r>
            <w:r>
              <w:rPr>
                <w:i/>
                <w:iCs/>
                <w:snapToGrid w:val="0"/>
                <w:sz w:val="19"/>
              </w:rPr>
              <w:t>Gazette</w:t>
            </w:r>
            <w:r>
              <w:rPr>
                <w:snapToGrid w:val="0"/>
                <w:sz w:val="19"/>
              </w:rPr>
              <w:t xml:space="preserve"> 19 Jan 2007 p. 137)</w:t>
            </w:r>
          </w:p>
        </w:tc>
      </w:tr>
      <w:tr>
        <w:trPr>
          <w:cantSplit/>
        </w:trPr>
        <w:tc>
          <w:tcPr>
            <w:tcW w:w="2268" w:type="dxa"/>
          </w:tcPr>
          <w:p>
            <w:pPr>
              <w:pStyle w:val="nTable"/>
              <w:spacing w:after="40"/>
              <w:ind w:right="113"/>
              <w:rPr>
                <w:i/>
                <w:snapToGrid w:val="0"/>
                <w:sz w:val="19"/>
              </w:rPr>
            </w:pPr>
            <w:r>
              <w:rPr>
                <w:i/>
                <w:snapToGrid w:val="0"/>
                <w:sz w:val="19"/>
              </w:rPr>
              <w:t>Criminal Law and Evidence Amendment Act 2008</w:t>
            </w:r>
            <w:r>
              <w:rPr>
                <w:iCs/>
                <w:snapToGrid w:val="0"/>
                <w:sz w:val="19"/>
              </w:rPr>
              <w:t xml:space="preserve"> s. 57</w:t>
            </w:r>
          </w:p>
        </w:tc>
        <w:tc>
          <w:tcPr>
            <w:tcW w:w="1134" w:type="dxa"/>
          </w:tcPr>
          <w:p>
            <w:pPr>
              <w:pStyle w:val="nTable"/>
              <w:spacing w:after="40"/>
              <w:rPr>
                <w:snapToGrid w:val="0"/>
                <w:sz w:val="19"/>
              </w:rPr>
            </w:pPr>
            <w:r>
              <w:rPr>
                <w:sz w:val="19"/>
              </w:rPr>
              <w:t>2 of 2008</w:t>
            </w:r>
          </w:p>
        </w:tc>
        <w:tc>
          <w:tcPr>
            <w:tcW w:w="1134" w:type="dxa"/>
          </w:tcPr>
          <w:p>
            <w:pPr>
              <w:pStyle w:val="nTable"/>
              <w:spacing w:after="40"/>
              <w:rPr>
                <w:snapToGrid w:val="0"/>
                <w:sz w:val="19"/>
              </w:rPr>
            </w:pPr>
            <w:r>
              <w:rPr>
                <w:sz w:val="19"/>
              </w:rPr>
              <w:t>12 Mar 2008</w:t>
            </w:r>
          </w:p>
        </w:tc>
        <w:tc>
          <w:tcPr>
            <w:tcW w:w="2552" w:type="dxa"/>
          </w:tcPr>
          <w:p>
            <w:pPr>
              <w:pStyle w:val="nTable"/>
              <w:spacing w:after="40"/>
              <w:rPr>
                <w:snapToGrid w:val="0"/>
                <w:sz w:val="19"/>
              </w:rPr>
            </w:pPr>
            <w:r>
              <w:rPr>
                <w:snapToGrid w:val="0"/>
                <w:sz w:val="19"/>
              </w:rPr>
              <w:t xml:space="preserve">27 Apr 2008 (see s. 2 and </w:t>
            </w:r>
            <w:r>
              <w:rPr>
                <w:i/>
                <w:iCs/>
                <w:snapToGrid w:val="0"/>
                <w:sz w:val="19"/>
              </w:rPr>
              <w:t>Gazette</w:t>
            </w:r>
            <w:r>
              <w:rPr>
                <w:snapToGrid w:val="0"/>
                <w:sz w:val="19"/>
              </w:rPr>
              <w:t xml:space="preserve"> 24 Apr 2008 p. 1559)</w:t>
            </w:r>
          </w:p>
        </w:tc>
      </w:tr>
      <w:tr>
        <w:trPr>
          <w:cantSplit/>
        </w:trPr>
        <w:tc>
          <w:tcPr>
            <w:tcW w:w="2268" w:type="dxa"/>
          </w:tcPr>
          <w:p>
            <w:pPr>
              <w:pStyle w:val="nTable"/>
              <w:spacing w:after="40"/>
              <w:ind w:right="113"/>
              <w:rPr>
                <w:i/>
                <w:snapToGrid w:val="0"/>
                <w:sz w:val="19"/>
              </w:rPr>
            </w:pPr>
            <w:r>
              <w:rPr>
                <w:i/>
                <w:snapToGrid w:val="0"/>
                <w:sz w:val="19"/>
              </w:rPr>
              <w:t>Acts Amendment (Justice) Act 2008</w:t>
            </w:r>
            <w:r>
              <w:rPr>
                <w:iCs/>
                <w:snapToGrid w:val="0"/>
                <w:sz w:val="19"/>
              </w:rPr>
              <w:t xml:space="preserve"> Pt. 2 </w:t>
            </w:r>
          </w:p>
        </w:tc>
        <w:tc>
          <w:tcPr>
            <w:tcW w:w="1134" w:type="dxa"/>
          </w:tcPr>
          <w:p>
            <w:pPr>
              <w:pStyle w:val="nTable"/>
              <w:spacing w:after="40"/>
              <w:rPr>
                <w:sz w:val="19"/>
              </w:rPr>
            </w:pPr>
            <w:r>
              <w:rPr>
                <w:sz w:val="19"/>
              </w:rPr>
              <w:t>5 of 2008</w:t>
            </w:r>
          </w:p>
        </w:tc>
        <w:tc>
          <w:tcPr>
            <w:tcW w:w="1134" w:type="dxa"/>
          </w:tcPr>
          <w:p>
            <w:pPr>
              <w:pStyle w:val="nTable"/>
              <w:spacing w:after="40"/>
              <w:rPr>
                <w:sz w:val="19"/>
              </w:rPr>
            </w:pPr>
            <w:r>
              <w:rPr>
                <w:sz w:val="19"/>
              </w:rPr>
              <w:t>31 Mar 2008</w:t>
            </w:r>
          </w:p>
        </w:tc>
        <w:tc>
          <w:tcPr>
            <w:tcW w:w="2552" w:type="dxa"/>
          </w:tcPr>
          <w:p>
            <w:pPr>
              <w:pStyle w:val="nTable"/>
              <w:spacing w:after="40"/>
              <w:rPr>
                <w:snapToGrid w:val="0"/>
                <w:sz w:val="19"/>
              </w:rPr>
            </w:pPr>
            <w:r>
              <w:rPr>
                <w:snapToGrid w:val="0"/>
                <w:sz w:val="19"/>
              </w:rPr>
              <w:t xml:space="preserve">31 Jul 2008 (see s. 2(d) and </w:t>
            </w:r>
            <w:r>
              <w:rPr>
                <w:i/>
                <w:iCs/>
                <w:snapToGrid w:val="0"/>
                <w:sz w:val="19"/>
              </w:rPr>
              <w:t xml:space="preserve">Gazette </w:t>
            </w:r>
            <w:r>
              <w:rPr>
                <w:snapToGrid w:val="0"/>
                <w:sz w:val="19"/>
              </w:rPr>
              <w:t>11 Jul 2008 p. 3253)</w:t>
            </w:r>
          </w:p>
        </w:tc>
      </w:tr>
      <w:tr>
        <w:trPr>
          <w:cantSplit/>
        </w:trPr>
        <w:tc>
          <w:tcPr>
            <w:tcW w:w="2268" w:type="dxa"/>
          </w:tcPr>
          <w:p>
            <w:pPr>
              <w:pStyle w:val="nTable"/>
              <w:spacing w:after="40"/>
              <w:ind w:right="113"/>
              <w:rPr>
                <w:i/>
                <w:snapToGrid w:val="0"/>
                <w:sz w:val="19"/>
              </w:rPr>
            </w:pPr>
            <w:r>
              <w:rPr>
                <w:i/>
                <w:snapToGrid w:val="0"/>
                <w:sz w:val="19"/>
              </w:rPr>
              <w:t>Cross</w:t>
            </w:r>
            <w:r>
              <w:rPr>
                <w:i/>
                <w:snapToGrid w:val="0"/>
                <w:sz w:val="19"/>
              </w:rPr>
              <w:noBreakHyphen/>
              <w:t xml:space="preserve">border Justice Act 2008 </w:t>
            </w:r>
            <w:r>
              <w:rPr>
                <w:iCs/>
                <w:snapToGrid w:val="0"/>
                <w:sz w:val="19"/>
              </w:rPr>
              <w:t>Pt. 15 Div. 1</w:t>
            </w:r>
          </w:p>
        </w:tc>
        <w:tc>
          <w:tcPr>
            <w:tcW w:w="1134" w:type="dxa"/>
          </w:tcPr>
          <w:p>
            <w:pPr>
              <w:pStyle w:val="nTable"/>
              <w:spacing w:after="40"/>
              <w:rPr>
                <w:sz w:val="19"/>
              </w:rPr>
            </w:pPr>
            <w:r>
              <w:rPr>
                <w:iCs/>
                <w:snapToGrid w:val="0"/>
                <w:sz w:val="19"/>
              </w:rPr>
              <w:t>7 of 2008</w:t>
            </w:r>
          </w:p>
        </w:tc>
        <w:tc>
          <w:tcPr>
            <w:tcW w:w="1134" w:type="dxa"/>
          </w:tcPr>
          <w:p>
            <w:pPr>
              <w:pStyle w:val="nTable"/>
              <w:spacing w:after="40"/>
              <w:rPr>
                <w:sz w:val="19"/>
              </w:rPr>
            </w:pPr>
            <w:r>
              <w:rPr>
                <w:sz w:val="19"/>
              </w:rPr>
              <w:t>31 Mar 2008</w:t>
            </w:r>
          </w:p>
        </w:tc>
        <w:tc>
          <w:tcPr>
            <w:tcW w:w="2552" w:type="dxa"/>
          </w:tcPr>
          <w:p>
            <w:pPr>
              <w:pStyle w:val="nTable"/>
              <w:spacing w:after="40"/>
              <w:rPr>
                <w:snapToGrid w:val="0"/>
                <w:sz w:val="19"/>
              </w:rPr>
            </w:pPr>
            <w:r>
              <w:rPr>
                <w:iCs/>
                <w:snapToGrid w:val="0"/>
                <w:sz w:val="19"/>
              </w:rPr>
              <w:t xml:space="preserve">1 Dec 2009 (see s. 2(b) and </w:t>
            </w:r>
            <w:r>
              <w:rPr>
                <w:i/>
                <w:iCs/>
                <w:snapToGrid w:val="0"/>
                <w:sz w:val="19"/>
              </w:rPr>
              <w:t>Gazette</w:t>
            </w:r>
            <w:r>
              <w:rPr>
                <w:iCs/>
                <w:snapToGrid w:val="0"/>
                <w:sz w:val="19"/>
              </w:rPr>
              <w:t xml:space="preserve"> 9 Oct 2009 p. 3991)</w:t>
            </w:r>
          </w:p>
        </w:tc>
      </w:tr>
      <w:tr>
        <w:trPr>
          <w:cantSplit/>
        </w:trPr>
        <w:tc>
          <w:tcPr>
            <w:tcW w:w="2268" w:type="dxa"/>
          </w:tcPr>
          <w:p>
            <w:pPr>
              <w:pStyle w:val="nTable"/>
              <w:spacing w:after="40"/>
              <w:ind w:right="113"/>
              <w:rPr>
                <w:i/>
                <w:snapToGrid w:val="0"/>
                <w:sz w:val="19"/>
              </w:rPr>
            </w:pPr>
            <w:r>
              <w:rPr>
                <w:i/>
                <w:snapToGrid w:val="0"/>
                <w:sz w:val="19"/>
              </w:rPr>
              <w:t>Parental Support and Responsibility Act 2008</w:t>
            </w:r>
            <w:r>
              <w:rPr>
                <w:iCs/>
                <w:snapToGrid w:val="0"/>
                <w:sz w:val="19"/>
              </w:rPr>
              <w:t xml:space="preserve"> s. 43</w:t>
            </w:r>
          </w:p>
        </w:tc>
        <w:tc>
          <w:tcPr>
            <w:tcW w:w="1134" w:type="dxa"/>
          </w:tcPr>
          <w:p>
            <w:pPr>
              <w:pStyle w:val="nTable"/>
              <w:spacing w:after="40"/>
              <w:rPr>
                <w:sz w:val="19"/>
              </w:rPr>
            </w:pPr>
            <w:r>
              <w:rPr>
                <w:sz w:val="19"/>
              </w:rPr>
              <w:t>14 of 2008</w:t>
            </w:r>
          </w:p>
        </w:tc>
        <w:tc>
          <w:tcPr>
            <w:tcW w:w="1134" w:type="dxa"/>
          </w:tcPr>
          <w:p>
            <w:pPr>
              <w:pStyle w:val="nTable"/>
              <w:spacing w:after="40"/>
              <w:rPr>
                <w:sz w:val="19"/>
              </w:rPr>
            </w:pPr>
            <w:r>
              <w:rPr>
                <w:sz w:val="19"/>
              </w:rPr>
              <w:t>15 Apr 2008</w:t>
            </w:r>
          </w:p>
        </w:tc>
        <w:tc>
          <w:tcPr>
            <w:tcW w:w="2552" w:type="dxa"/>
          </w:tcPr>
          <w:p>
            <w:pPr>
              <w:pStyle w:val="nTable"/>
              <w:spacing w:after="40"/>
              <w:rPr>
                <w:snapToGrid w:val="0"/>
                <w:sz w:val="19"/>
              </w:rPr>
            </w:pPr>
            <w:r>
              <w:rPr>
                <w:snapToGrid w:val="0"/>
                <w:sz w:val="19"/>
              </w:rPr>
              <w:t xml:space="preserve">28 Mar 2009 (see s. 2 and </w:t>
            </w:r>
            <w:r>
              <w:rPr>
                <w:i/>
                <w:iCs/>
                <w:snapToGrid w:val="0"/>
                <w:sz w:val="19"/>
              </w:rPr>
              <w:t>Gazette</w:t>
            </w:r>
            <w:r>
              <w:rPr>
                <w:snapToGrid w:val="0"/>
                <w:sz w:val="19"/>
              </w:rPr>
              <w:t xml:space="preserve"> 27 Mar 2009 p. 917)</w:t>
            </w:r>
          </w:p>
        </w:tc>
      </w:tr>
      <w:tr>
        <w:trPr>
          <w:cantSplit/>
        </w:trPr>
        <w:tc>
          <w:tcPr>
            <w:tcW w:w="2268" w:type="dxa"/>
          </w:tcPr>
          <w:p>
            <w:pPr>
              <w:pStyle w:val="nTable"/>
              <w:spacing w:after="40"/>
              <w:ind w:right="113"/>
              <w:rPr>
                <w:i/>
                <w:snapToGrid w:val="0"/>
                <w:sz w:val="19"/>
              </w:rPr>
            </w:pPr>
            <w:r>
              <w:rPr>
                <w:i/>
                <w:iCs/>
                <w:snapToGrid w:val="0"/>
                <w:sz w:val="19"/>
              </w:rPr>
              <w:t>Legal Profession Act 2008</w:t>
            </w:r>
            <w:r>
              <w:rPr>
                <w:i/>
                <w:snapToGrid w:val="0"/>
                <w:sz w:val="19"/>
              </w:rPr>
              <w:t xml:space="preserve"> </w:t>
            </w:r>
            <w:r>
              <w:rPr>
                <w:iCs/>
                <w:snapToGrid w:val="0"/>
                <w:sz w:val="19"/>
              </w:rPr>
              <w:t xml:space="preserve">s. 643 </w:t>
            </w:r>
          </w:p>
        </w:tc>
        <w:tc>
          <w:tcPr>
            <w:tcW w:w="1134" w:type="dxa"/>
          </w:tcPr>
          <w:p>
            <w:pPr>
              <w:pStyle w:val="nTable"/>
              <w:spacing w:after="40"/>
              <w:rPr>
                <w:sz w:val="19"/>
              </w:rPr>
            </w:pPr>
            <w:r>
              <w:rPr>
                <w:iCs/>
                <w:snapToGrid w:val="0"/>
                <w:sz w:val="19"/>
              </w:rPr>
              <w:t>21 of 2008</w:t>
            </w:r>
          </w:p>
        </w:tc>
        <w:tc>
          <w:tcPr>
            <w:tcW w:w="1134" w:type="dxa"/>
          </w:tcPr>
          <w:p>
            <w:pPr>
              <w:pStyle w:val="nTable"/>
              <w:spacing w:after="40"/>
              <w:rPr>
                <w:sz w:val="19"/>
              </w:rPr>
            </w:pPr>
            <w:r>
              <w:rPr>
                <w:iCs/>
                <w:snapToGrid w:val="0"/>
                <w:sz w:val="19"/>
              </w:rPr>
              <w:t>27 May 2008</w:t>
            </w:r>
          </w:p>
        </w:tc>
        <w:tc>
          <w:tcPr>
            <w:tcW w:w="2552" w:type="dxa"/>
          </w:tcPr>
          <w:p>
            <w:pPr>
              <w:pStyle w:val="nTable"/>
              <w:spacing w:after="40"/>
              <w:rPr>
                <w:snapToGrid w:val="0"/>
                <w:sz w:val="19"/>
              </w:rPr>
            </w:pPr>
            <w:r>
              <w:rPr>
                <w:iCs/>
                <w:snapToGrid w:val="0"/>
                <w:spacing w:val="-2"/>
                <w:sz w:val="19"/>
              </w:rPr>
              <w:t xml:space="preserve">1 Mar 2009 (see s. 2(b) and </w:t>
            </w:r>
            <w:r>
              <w:rPr>
                <w:i/>
                <w:iCs/>
                <w:snapToGrid w:val="0"/>
                <w:spacing w:val="-2"/>
                <w:sz w:val="19"/>
              </w:rPr>
              <w:t xml:space="preserve">Gazette </w:t>
            </w:r>
            <w:r>
              <w:rPr>
                <w:iCs/>
                <w:snapToGrid w:val="0"/>
                <w:spacing w:val="-2"/>
                <w:sz w:val="19"/>
              </w:rPr>
              <w:t>27 Feb 2009 p. 511)</w:t>
            </w:r>
          </w:p>
        </w:tc>
      </w:tr>
      <w:tr>
        <w:trPr>
          <w:cantSplit/>
        </w:trPr>
        <w:tc>
          <w:tcPr>
            <w:tcW w:w="7088" w:type="dxa"/>
            <w:gridSpan w:val="4"/>
          </w:tcPr>
          <w:p>
            <w:pPr>
              <w:pStyle w:val="nTable"/>
              <w:spacing w:after="40"/>
              <w:rPr>
                <w:snapToGrid w:val="0"/>
                <w:sz w:val="19"/>
              </w:rPr>
            </w:pPr>
            <w:r>
              <w:rPr>
                <w:b/>
                <w:sz w:val="19"/>
              </w:rPr>
              <w:t xml:space="preserve">Reprint 5: The </w:t>
            </w:r>
            <w:r>
              <w:rPr>
                <w:b/>
                <w:i/>
                <w:sz w:val="19"/>
              </w:rPr>
              <w:t>Children’s Court of Western Australia Act 1988</w:t>
            </w:r>
            <w:r>
              <w:rPr>
                <w:b/>
                <w:sz w:val="19"/>
              </w:rPr>
              <w:t xml:space="preserve"> as at 13 Feb 2009 </w:t>
            </w:r>
            <w:r>
              <w:rPr>
                <w:sz w:val="19"/>
              </w:rPr>
              <w:t xml:space="preserve">(includes amendments listed above except those in the </w:t>
            </w:r>
            <w:r>
              <w:rPr>
                <w:i/>
                <w:snapToGrid w:val="0"/>
                <w:sz w:val="19"/>
              </w:rPr>
              <w:t>Cross</w:t>
            </w:r>
            <w:r>
              <w:rPr>
                <w:i/>
                <w:snapToGrid w:val="0"/>
                <w:sz w:val="19"/>
              </w:rPr>
              <w:noBreakHyphen/>
              <w:t>border Justice Act </w:t>
            </w:r>
            <w:r>
              <w:rPr>
                <w:i/>
                <w:iCs/>
                <w:snapToGrid w:val="0"/>
                <w:sz w:val="19"/>
              </w:rPr>
              <w:t>2008</w:t>
            </w:r>
            <w:r>
              <w:rPr>
                <w:iCs/>
                <w:snapToGrid w:val="0"/>
                <w:sz w:val="19"/>
              </w:rPr>
              <w:t>,</w:t>
            </w:r>
            <w:r>
              <w:rPr>
                <w:snapToGrid w:val="0"/>
                <w:sz w:val="19"/>
              </w:rPr>
              <w:t xml:space="preserve"> the </w:t>
            </w:r>
            <w:r>
              <w:rPr>
                <w:i/>
                <w:snapToGrid w:val="0"/>
                <w:sz w:val="19"/>
              </w:rPr>
              <w:t>Parental Support and Responsibility Act 2008</w:t>
            </w:r>
            <w:r>
              <w:rPr>
                <w:iCs/>
                <w:snapToGrid w:val="0"/>
                <w:sz w:val="19"/>
              </w:rPr>
              <w:t xml:space="preserve"> and the </w:t>
            </w:r>
            <w:r>
              <w:rPr>
                <w:i/>
                <w:iCs/>
                <w:snapToGrid w:val="0"/>
                <w:sz w:val="19"/>
              </w:rPr>
              <w:t>Legal Profession Act 2008</w:t>
            </w:r>
            <w:r>
              <w:rPr>
                <w:sz w:val="19"/>
              </w:rPr>
              <w:t>)</w:t>
            </w:r>
          </w:p>
        </w:tc>
      </w:tr>
      <w:tr>
        <w:trPr>
          <w:cantSplit/>
        </w:trPr>
        <w:tc>
          <w:tcPr>
            <w:tcW w:w="2268" w:type="dxa"/>
          </w:tcPr>
          <w:p>
            <w:pPr>
              <w:pStyle w:val="nTable"/>
              <w:spacing w:after="40"/>
              <w:ind w:right="113"/>
              <w:rPr>
                <w:i/>
                <w:snapToGrid w:val="0"/>
                <w:sz w:val="19"/>
              </w:rPr>
            </w:pPr>
            <w:r>
              <w:rPr>
                <w:i/>
                <w:snapToGrid w:val="0"/>
                <w:sz w:val="19"/>
              </w:rPr>
              <w:t>Prohibited Behaviour Orders Act 2010</w:t>
            </w:r>
            <w:r>
              <w:rPr>
                <w:iCs/>
                <w:snapToGrid w:val="0"/>
                <w:sz w:val="19"/>
              </w:rPr>
              <w:t xml:space="preserve"> Pt. 5 Div. 1</w:t>
            </w:r>
          </w:p>
        </w:tc>
        <w:tc>
          <w:tcPr>
            <w:tcW w:w="1134" w:type="dxa"/>
          </w:tcPr>
          <w:p>
            <w:pPr>
              <w:pStyle w:val="nTable"/>
              <w:spacing w:after="40"/>
              <w:rPr>
                <w:sz w:val="19"/>
              </w:rPr>
            </w:pPr>
            <w:r>
              <w:rPr>
                <w:sz w:val="19"/>
              </w:rPr>
              <w:t>59 of 2010</w:t>
            </w:r>
          </w:p>
        </w:tc>
        <w:tc>
          <w:tcPr>
            <w:tcW w:w="1134" w:type="dxa"/>
          </w:tcPr>
          <w:p>
            <w:pPr>
              <w:pStyle w:val="nTable"/>
              <w:spacing w:after="40"/>
              <w:rPr>
                <w:sz w:val="19"/>
              </w:rPr>
            </w:pPr>
            <w:r>
              <w:rPr>
                <w:sz w:val="19"/>
              </w:rPr>
              <w:t>8 Dec 2010</w:t>
            </w:r>
          </w:p>
        </w:tc>
        <w:tc>
          <w:tcPr>
            <w:tcW w:w="2552" w:type="dxa"/>
          </w:tcPr>
          <w:p>
            <w:pPr>
              <w:pStyle w:val="nTable"/>
              <w:spacing w:after="40"/>
              <w:rPr>
                <w:snapToGrid w:val="0"/>
                <w:sz w:val="19"/>
              </w:rPr>
            </w:pPr>
            <w:r>
              <w:rPr>
                <w:snapToGrid w:val="0"/>
                <w:sz w:val="19"/>
              </w:rPr>
              <w:t xml:space="preserve">23 Feb 2011 (see s. 2(b) and </w:t>
            </w:r>
            <w:r>
              <w:rPr>
                <w:i/>
                <w:snapToGrid w:val="0"/>
                <w:sz w:val="19"/>
              </w:rPr>
              <w:t>Gazette</w:t>
            </w:r>
            <w:r>
              <w:rPr>
                <w:sz w:val="19"/>
              </w:rPr>
              <w:t xml:space="preserve"> 23 Feb 2011 p. 633</w:t>
            </w:r>
            <w:r>
              <w:rPr>
                <w:snapToGrid w:val="0"/>
                <w:sz w:val="19"/>
              </w:rPr>
              <w:t>)</w:t>
            </w:r>
          </w:p>
        </w:tc>
      </w:tr>
      <w:tr>
        <w:trPr>
          <w:cantSplit/>
        </w:trPr>
        <w:tc>
          <w:tcPr>
            <w:tcW w:w="2268" w:type="dxa"/>
          </w:tcPr>
          <w:p>
            <w:pPr>
              <w:pStyle w:val="nTable"/>
              <w:spacing w:after="40"/>
              <w:ind w:right="113"/>
              <w:rPr>
                <w:snapToGrid w:val="0"/>
                <w:sz w:val="19"/>
              </w:rPr>
            </w:pPr>
            <w:r>
              <w:rPr>
                <w:i/>
                <w:snapToGrid w:val="0"/>
                <w:sz w:val="19"/>
              </w:rPr>
              <w:t>Young Offenders Legislation Amendment (Research Information) Act 2011</w:t>
            </w:r>
            <w:r>
              <w:rPr>
                <w:snapToGrid w:val="0"/>
                <w:sz w:val="19"/>
              </w:rPr>
              <w:t xml:space="preserve"> Pt. 2</w:t>
            </w:r>
          </w:p>
        </w:tc>
        <w:tc>
          <w:tcPr>
            <w:tcW w:w="1134" w:type="dxa"/>
          </w:tcPr>
          <w:p>
            <w:pPr>
              <w:pStyle w:val="nTable"/>
              <w:spacing w:after="40"/>
              <w:rPr>
                <w:sz w:val="19"/>
              </w:rPr>
            </w:pPr>
            <w:r>
              <w:rPr>
                <w:sz w:val="19"/>
              </w:rPr>
              <w:t>26 of 2011</w:t>
            </w:r>
          </w:p>
        </w:tc>
        <w:tc>
          <w:tcPr>
            <w:tcW w:w="1134" w:type="dxa"/>
          </w:tcPr>
          <w:p>
            <w:pPr>
              <w:pStyle w:val="nTable"/>
              <w:spacing w:after="40"/>
              <w:rPr>
                <w:sz w:val="19"/>
              </w:rPr>
            </w:pPr>
            <w:r>
              <w:rPr>
                <w:sz w:val="19"/>
              </w:rPr>
              <w:t>11 Jul 2011</w:t>
            </w:r>
          </w:p>
        </w:tc>
        <w:tc>
          <w:tcPr>
            <w:tcW w:w="2552" w:type="dxa"/>
          </w:tcPr>
          <w:p>
            <w:pPr>
              <w:pStyle w:val="nTable"/>
              <w:spacing w:after="40"/>
              <w:rPr>
                <w:snapToGrid w:val="0"/>
                <w:sz w:val="19"/>
              </w:rPr>
            </w:pPr>
            <w:r>
              <w:rPr>
                <w:snapToGrid w:val="0"/>
                <w:sz w:val="19"/>
              </w:rPr>
              <w:t>12 Jul 2011 (see s. 2(b))</w:t>
            </w:r>
          </w:p>
        </w:tc>
      </w:tr>
      <w:tr>
        <w:trPr>
          <w:cantSplit/>
        </w:trPr>
        <w:tc>
          <w:tcPr>
            <w:tcW w:w="2268" w:type="dxa"/>
          </w:tcPr>
          <w:p>
            <w:pPr>
              <w:pStyle w:val="nTable"/>
              <w:spacing w:after="40"/>
              <w:ind w:right="113"/>
            </w:pPr>
            <w:r>
              <w:rPr>
                <w:i/>
                <w:snapToGrid w:val="0"/>
                <w:sz w:val="19"/>
              </w:rPr>
              <w:t>Restraining Orders Amendment Act 2013</w:t>
            </w:r>
            <w:r>
              <w:t xml:space="preserve"> Pt. 3</w:t>
            </w:r>
          </w:p>
        </w:tc>
        <w:tc>
          <w:tcPr>
            <w:tcW w:w="1134" w:type="dxa"/>
          </w:tcPr>
          <w:p>
            <w:pPr>
              <w:pStyle w:val="nTable"/>
              <w:spacing w:after="40"/>
              <w:rPr>
                <w:sz w:val="19"/>
              </w:rPr>
            </w:pPr>
            <w:r>
              <w:rPr>
                <w:sz w:val="19"/>
              </w:rPr>
              <w:t>14 of 2013</w:t>
            </w:r>
          </w:p>
        </w:tc>
        <w:tc>
          <w:tcPr>
            <w:tcW w:w="1134" w:type="dxa"/>
          </w:tcPr>
          <w:p>
            <w:pPr>
              <w:pStyle w:val="nTable"/>
              <w:spacing w:after="40"/>
              <w:rPr>
                <w:sz w:val="19"/>
              </w:rPr>
            </w:pPr>
            <w:r>
              <w:rPr>
                <w:sz w:val="19"/>
              </w:rPr>
              <w:t>4 Oct 2013</w:t>
            </w:r>
          </w:p>
        </w:tc>
        <w:tc>
          <w:tcPr>
            <w:tcW w:w="2552" w:type="dxa"/>
          </w:tcPr>
          <w:p>
            <w:pPr>
              <w:pStyle w:val="nTable"/>
              <w:spacing w:after="40"/>
              <w:rPr>
                <w:snapToGrid w:val="0"/>
                <w:sz w:val="19"/>
              </w:rPr>
            </w:pPr>
            <w:r>
              <w:rPr>
                <w:snapToGrid w:val="0"/>
                <w:sz w:val="19"/>
              </w:rPr>
              <w:t>4 Oct 2013 (see s. 2)</w:t>
            </w:r>
          </w:p>
        </w:tc>
      </w:tr>
      <w:tr>
        <w:trPr>
          <w:cantSplit/>
        </w:trPr>
        <w:tc>
          <w:tcPr>
            <w:tcW w:w="2268" w:type="dxa"/>
          </w:tcPr>
          <w:p>
            <w:pPr>
              <w:pStyle w:val="nTable"/>
              <w:spacing w:after="40"/>
              <w:ind w:right="113"/>
              <w:rPr>
                <w:i/>
                <w:snapToGrid w:val="0"/>
                <w:sz w:val="19"/>
              </w:rPr>
            </w:pPr>
            <w:r>
              <w:rPr>
                <w:i/>
                <w:snapToGrid w:val="0"/>
                <w:sz w:val="19"/>
              </w:rPr>
              <w:t xml:space="preserve">Courts and Tribunals (Electronic Processes Facilitation) Act 2013 </w:t>
            </w:r>
            <w:r>
              <w:rPr>
                <w:snapToGrid w:val="0"/>
                <w:sz w:val="19"/>
              </w:rPr>
              <w:t>Pt. 3 Div. 2</w:t>
            </w:r>
          </w:p>
        </w:tc>
        <w:tc>
          <w:tcPr>
            <w:tcW w:w="1134" w:type="dxa"/>
          </w:tcPr>
          <w:p>
            <w:pPr>
              <w:pStyle w:val="nTable"/>
              <w:spacing w:after="40"/>
              <w:rPr>
                <w:sz w:val="19"/>
              </w:rPr>
            </w:pPr>
            <w:r>
              <w:rPr>
                <w:snapToGrid w:val="0"/>
                <w:sz w:val="19"/>
              </w:rPr>
              <w:t>20 of 2013</w:t>
            </w:r>
          </w:p>
        </w:tc>
        <w:tc>
          <w:tcPr>
            <w:tcW w:w="1134" w:type="dxa"/>
          </w:tcPr>
          <w:p>
            <w:pPr>
              <w:pStyle w:val="nTable"/>
              <w:spacing w:after="40"/>
              <w:rPr>
                <w:sz w:val="19"/>
              </w:rPr>
            </w:pPr>
            <w:r>
              <w:rPr>
                <w:sz w:val="19"/>
              </w:rPr>
              <w:t>4 Nov 2013</w:t>
            </w:r>
          </w:p>
        </w:tc>
        <w:tc>
          <w:tcPr>
            <w:tcW w:w="2552" w:type="dxa"/>
          </w:tcPr>
          <w:p>
            <w:pPr>
              <w:pStyle w:val="nTable"/>
              <w:spacing w:after="40"/>
              <w:rPr>
                <w:i/>
                <w:snapToGrid w:val="0"/>
                <w:sz w:val="19"/>
              </w:rPr>
            </w:pPr>
            <w:r>
              <w:rPr>
                <w:snapToGrid w:val="0"/>
                <w:sz w:val="19"/>
                <w:szCs w:val="19"/>
              </w:rPr>
              <w:t xml:space="preserve">25 Nov 2013 (see s. 2(b) and </w:t>
            </w:r>
            <w:r>
              <w:rPr>
                <w:i/>
                <w:snapToGrid w:val="0"/>
                <w:sz w:val="19"/>
                <w:szCs w:val="19"/>
              </w:rPr>
              <w:t xml:space="preserve">Gazette </w:t>
            </w:r>
            <w:r>
              <w:rPr>
                <w:snapToGrid w:val="0"/>
                <w:sz w:val="19"/>
                <w:szCs w:val="19"/>
              </w:rPr>
              <w:t>22 Nov 2013 p. 5391)</w:t>
            </w:r>
          </w:p>
        </w:tc>
      </w:tr>
      <w:tr>
        <w:trPr>
          <w:cantSplit/>
        </w:trPr>
        <w:tc>
          <w:tcPr>
            <w:tcW w:w="7088" w:type="dxa"/>
            <w:gridSpan w:val="4"/>
            <w:tcBorders>
              <w:bottom w:val="single" w:sz="4" w:space="0" w:color="auto"/>
            </w:tcBorders>
          </w:tcPr>
          <w:p>
            <w:pPr>
              <w:pStyle w:val="nTable"/>
              <w:spacing w:after="40"/>
              <w:rPr>
                <w:snapToGrid w:val="0"/>
                <w:sz w:val="19"/>
                <w:szCs w:val="19"/>
              </w:rPr>
            </w:pPr>
            <w:r>
              <w:rPr>
                <w:b/>
                <w:sz w:val="19"/>
              </w:rPr>
              <w:t xml:space="preserve">Reprint 6: The </w:t>
            </w:r>
            <w:r>
              <w:rPr>
                <w:b/>
                <w:i/>
                <w:sz w:val="19"/>
              </w:rPr>
              <w:t>Children’s Court of Western Australia Act 1988</w:t>
            </w:r>
            <w:r>
              <w:rPr>
                <w:b/>
                <w:sz w:val="19"/>
              </w:rPr>
              <w:t xml:space="preserve"> as at 13 Jun 2014 </w:t>
            </w:r>
            <w:r>
              <w:rPr>
                <w:sz w:val="19"/>
              </w:rPr>
              <w:t>(includes amendments listed above)</w:t>
            </w:r>
          </w:p>
        </w:tc>
      </w:tr>
    </w:tbl>
    <w:p>
      <w:pPr>
        <w:pStyle w:val="nSubsection"/>
        <w:spacing w:before="160"/>
        <w:rPr>
          <w:vertAlign w:val="superscript"/>
        </w:rPr>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 </w:t>
      </w:r>
      <w:r>
        <w:rPr>
          <w:i/>
          <w:iCs/>
        </w:rPr>
        <w:t>Cross border Justice Regulations 2009</w:t>
      </w:r>
      <w:r>
        <w:t xml:space="preserve"> Part 3 Division 4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Subsection"/>
        <w:spacing w:before="360"/>
        <w:ind w:left="482" w:hanging="482"/>
      </w:pPr>
      <w:r>
        <w:rPr>
          <w:vertAlign w:val="superscript"/>
        </w:rPr>
        <w:t>1a</w:t>
      </w:r>
      <w:r>
        <w:tab/>
        <w:t>On the date as at which this reprint was prepared, provisions referred to in the following table had not come into operation and were therefore not included in compiling the reprint.  For the text of the provisions see the endnotes referred to in the table.</w:t>
      </w:r>
    </w:p>
    <w:p>
      <w:pPr>
        <w:pStyle w:val="nHeading3"/>
      </w:pPr>
      <w:bookmarkStart w:id="70" w:name="_Toc390852569"/>
      <w:r>
        <w:t>Provisions that have not come into operation</w:t>
      </w:r>
      <w:bookmarkEnd w:id="70"/>
    </w:p>
    <w:tbl>
      <w:tblPr>
        <w:tblW w:w="7088" w:type="dxa"/>
        <w:tblInd w:w="28" w:type="dxa"/>
        <w:tblLayout w:type="fixed"/>
        <w:tblCellMar>
          <w:left w:w="56" w:type="dxa"/>
          <w:right w:w="56" w:type="dxa"/>
        </w:tblCellMar>
        <w:tblLook w:val="0000" w:firstRow="0" w:lastRow="0" w:firstColumn="0" w:lastColumn="0" w:noHBand="0" w:noVBand="0"/>
      </w:tblPr>
      <w:tblGrid>
        <w:gridCol w:w="2258"/>
        <w:gridCol w:w="1130"/>
        <w:gridCol w:w="1130"/>
        <w:gridCol w:w="2570"/>
      </w:tblGrid>
      <w:tr>
        <w:trPr>
          <w:cantSplit/>
          <w:tblHeader/>
        </w:trPr>
        <w:tc>
          <w:tcPr>
            <w:tcW w:w="225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0"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0" w:type="dxa"/>
            <w:tcBorders>
              <w:top w:val="single" w:sz="8" w:space="0" w:color="auto"/>
              <w:bottom w:val="single" w:sz="8" w:space="0" w:color="auto"/>
            </w:tcBorders>
          </w:tcPr>
          <w:p>
            <w:pPr>
              <w:pStyle w:val="nTable"/>
              <w:keepNext/>
              <w:spacing w:after="40"/>
              <w:rPr>
                <w:b/>
                <w:sz w:val="19"/>
              </w:rPr>
            </w:pPr>
            <w:r>
              <w:rPr>
                <w:b/>
                <w:sz w:val="19"/>
              </w:rPr>
              <w:t>Assent</w:t>
            </w:r>
          </w:p>
        </w:tc>
        <w:tc>
          <w:tcPr>
            <w:tcW w:w="2570"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58" w:type="dxa"/>
            <w:tcBorders>
              <w:top w:val="single" w:sz="8" w:space="0" w:color="auto"/>
            </w:tcBorders>
          </w:tcPr>
          <w:p>
            <w:pPr>
              <w:pStyle w:val="nTable"/>
              <w:spacing w:after="40"/>
              <w:ind w:right="113"/>
              <w:rPr>
                <w:sz w:val="19"/>
              </w:rPr>
            </w:pPr>
            <w:r>
              <w:rPr>
                <w:i/>
                <w:sz w:val="19"/>
              </w:rPr>
              <w:t>State Superannuation (Transitional and Consequential Provisions) Act 2000</w:t>
            </w:r>
            <w:r>
              <w:rPr>
                <w:sz w:val="19"/>
              </w:rPr>
              <w:t xml:space="preserve"> s. 75</w:t>
            </w:r>
            <w:r>
              <w:rPr>
                <w:sz w:val="19"/>
                <w:vertAlign w:val="superscript"/>
              </w:rPr>
              <w:t xml:space="preserve"> 4</w:t>
            </w:r>
          </w:p>
        </w:tc>
        <w:tc>
          <w:tcPr>
            <w:tcW w:w="1130" w:type="dxa"/>
            <w:tcBorders>
              <w:top w:val="single" w:sz="8" w:space="0" w:color="auto"/>
            </w:tcBorders>
          </w:tcPr>
          <w:p>
            <w:pPr>
              <w:pStyle w:val="nTable"/>
              <w:spacing w:after="40"/>
              <w:rPr>
                <w:sz w:val="19"/>
              </w:rPr>
            </w:pPr>
            <w:r>
              <w:rPr>
                <w:sz w:val="19"/>
              </w:rPr>
              <w:t>43 of 2000</w:t>
            </w:r>
          </w:p>
        </w:tc>
        <w:tc>
          <w:tcPr>
            <w:tcW w:w="1130" w:type="dxa"/>
            <w:tcBorders>
              <w:top w:val="single" w:sz="8" w:space="0" w:color="auto"/>
            </w:tcBorders>
          </w:tcPr>
          <w:p>
            <w:pPr>
              <w:pStyle w:val="nTable"/>
              <w:spacing w:after="40"/>
              <w:rPr>
                <w:sz w:val="19"/>
              </w:rPr>
            </w:pPr>
            <w:r>
              <w:rPr>
                <w:sz w:val="19"/>
              </w:rPr>
              <w:t>2 Nov 2000</w:t>
            </w:r>
          </w:p>
        </w:tc>
        <w:tc>
          <w:tcPr>
            <w:tcW w:w="2570" w:type="dxa"/>
            <w:tcBorders>
              <w:top w:val="single" w:sz="8" w:space="0" w:color="auto"/>
            </w:tcBorders>
          </w:tcPr>
          <w:p>
            <w:pPr>
              <w:pStyle w:val="nTable"/>
              <w:spacing w:after="40"/>
              <w:rPr>
                <w:sz w:val="19"/>
              </w:rPr>
            </w:pPr>
            <w:r>
              <w:rPr>
                <w:sz w:val="19"/>
              </w:rPr>
              <w:t>To be proclaimed (see s. 2(2))</w:t>
            </w:r>
          </w:p>
        </w:tc>
      </w:tr>
      <w:tr>
        <w:trPr>
          <w:cantSplit/>
        </w:trPr>
        <w:tc>
          <w:tcPr>
            <w:tcW w:w="2258" w:type="dxa"/>
            <w:tcBorders>
              <w:bottom w:val="single" w:sz="4" w:space="0" w:color="auto"/>
            </w:tcBorders>
          </w:tcPr>
          <w:p>
            <w:pPr>
              <w:pStyle w:val="nTable"/>
              <w:spacing w:after="40"/>
              <w:ind w:right="113"/>
              <w:rPr>
                <w:i/>
                <w:sz w:val="19"/>
              </w:rPr>
            </w:pPr>
            <w:r>
              <w:rPr>
                <w:i/>
                <w:snapToGrid w:val="0"/>
                <w:sz w:val="19"/>
              </w:rPr>
              <w:t xml:space="preserve">Road Traffic Legislation Amendment Act 2012 </w:t>
            </w:r>
            <w:r>
              <w:rPr>
                <w:snapToGrid w:val="0"/>
                <w:sz w:val="19"/>
              </w:rPr>
              <w:t>Pt. 4 Div. 7</w:t>
            </w:r>
            <w:r>
              <w:rPr>
                <w:rFonts w:ascii="Times" w:hAnsi="Times"/>
                <w:sz w:val="19"/>
                <w:vertAlign w:val="superscript"/>
              </w:rPr>
              <w:t> </w:t>
            </w:r>
            <w:r>
              <w:rPr>
                <w:snapToGrid w:val="0"/>
                <w:sz w:val="19"/>
                <w:vertAlign w:val="superscript"/>
              </w:rPr>
              <w:t>5</w:t>
            </w:r>
          </w:p>
        </w:tc>
        <w:tc>
          <w:tcPr>
            <w:tcW w:w="1130" w:type="dxa"/>
            <w:tcBorders>
              <w:bottom w:val="single" w:sz="4" w:space="0" w:color="auto"/>
            </w:tcBorders>
          </w:tcPr>
          <w:p>
            <w:pPr>
              <w:pStyle w:val="nTable"/>
              <w:spacing w:after="40"/>
              <w:rPr>
                <w:sz w:val="19"/>
              </w:rPr>
            </w:pPr>
            <w:r>
              <w:rPr>
                <w:snapToGrid w:val="0"/>
                <w:sz w:val="19"/>
              </w:rPr>
              <w:t>8 of 2012</w:t>
            </w:r>
          </w:p>
        </w:tc>
        <w:tc>
          <w:tcPr>
            <w:tcW w:w="1130" w:type="dxa"/>
            <w:tcBorders>
              <w:bottom w:val="single" w:sz="4" w:space="0" w:color="auto"/>
            </w:tcBorders>
          </w:tcPr>
          <w:p>
            <w:pPr>
              <w:pStyle w:val="nTable"/>
              <w:spacing w:after="40"/>
              <w:rPr>
                <w:sz w:val="19"/>
              </w:rPr>
            </w:pPr>
            <w:r>
              <w:rPr>
                <w:sz w:val="19"/>
              </w:rPr>
              <w:t>21 May 2012</w:t>
            </w:r>
          </w:p>
        </w:tc>
        <w:tc>
          <w:tcPr>
            <w:tcW w:w="2570" w:type="dxa"/>
            <w:tcBorders>
              <w:bottom w:val="single" w:sz="4" w:space="0" w:color="auto"/>
            </w:tcBorders>
          </w:tcPr>
          <w:p>
            <w:pPr>
              <w:pStyle w:val="nTable"/>
              <w:spacing w:after="40"/>
              <w:rPr>
                <w:sz w:val="19"/>
              </w:rPr>
            </w:pPr>
            <w:r>
              <w:rPr>
                <w:snapToGrid w:val="0"/>
                <w:sz w:val="19"/>
              </w:rPr>
              <w:t xml:space="preserve">Operative on commencement of the </w:t>
            </w:r>
            <w:r>
              <w:rPr>
                <w:i/>
                <w:snapToGrid w:val="0"/>
                <w:sz w:val="19"/>
              </w:rPr>
              <w:t>Road Traffic (Administration) Act 2008</w:t>
            </w:r>
            <w:r>
              <w:rPr>
                <w:snapToGrid w:val="0"/>
                <w:sz w:val="19"/>
              </w:rPr>
              <w:t xml:space="preserve"> (see s. 2(d))</w:t>
            </w:r>
          </w:p>
        </w:tc>
      </w:tr>
    </w:tbl>
    <w:p>
      <w:pPr>
        <w:pStyle w:val="nSubsection"/>
        <w:spacing w:before="160"/>
      </w:pPr>
      <w:r>
        <w:rPr>
          <w:snapToGrid w:val="0"/>
          <w:vertAlign w:val="superscript"/>
        </w:rPr>
        <w:t>2</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pPr>
      <w:r>
        <w:rPr>
          <w:vertAlign w:val="superscript"/>
        </w:rPr>
        <w:t>3</w:t>
      </w:r>
      <w:r>
        <w:tab/>
        <w:t xml:space="preserve">Now known as the </w:t>
      </w:r>
      <w:r>
        <w:rPr>
          <w:i/>
        </w:rPr>
        <w:t>Children’s Court of Western Australia Act 1988</w:t>
      </w:r>
      <w:r>
        <w:t>; short title changed (see note under s. 1).</w:t>
      </w:r>
    </w:p>
    <w:p>
      <w:pPr>
        <w:pStyle w:val="nSubsection"/>
      </w:pPr>
      <w:r>
        <w:rPr>
          <w:snapToGrid w:val="0"/>
          <w:vertAlign w:val="superscript"/>
        </w:rPr>
        <w:t>4</w:t>
      </w:r>
      <w:r>
        <w:rPr>
          <w:snapToGrid w:val="0"/>
        </w:rPr>
        <w:tab/>
        <w:t xml:space="preserve">On the date as at which this reprint was prepared, the </w:t>
      </w:r>
      <w:r>
        <w:rPr>
          <w:i/>
          <w:snapToGrid w:val="0"/>
        </w:rPr>
        <w:t>State Superannuation (Transitional and Consequential Provisions) Act 2000</w:t>
      </w:r>
      <w:r>
        <w:rPr>
          <w:snapToGrid w:val="0"/>
        </w:rPr>
        <w:t xml:space="preserve"> s. 75 had not come into operation.  It reads as follows:</w:t>
      </w:r>
    </w:p>
    <w:p>
      <w:pPr>
        <w:pStyle w:val="BlankOpen"/>
      </w:pPr>
    </w:p>
    <w:p>
      <w:pPr>
        <w:pStyle w:val="nzHeading5"/>
      </w:pPr>
      <w:r>
        <w:t>75.</w:t>
      </w:r>
      <w:r>
        <w:tab/>
        <w:t>Various provisions repealed</w:t>
      </w:r>
    </w:p>
    <w:p>
      <w:pPr>
        <w:pStyle w:val="nzSubsection"/>
      </w:pPr>
      <w:r>
        <w:tab/>
      </w:r>
      <w:r>
        <w:tab/>
        <w:t>The provisions listed in the Table to this section are repealed.</w:t>
      </w:r>
    </w:p>
    <w:p>
      <w:pPr>
        <w:pStyle w:val="MiscellaneousBody"/>
        <w:ind w:left="1202"/>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827"/>
        <w:gridCol w:w="1843"/>
      </w:tblGrid>
      <w:tr>
        <w:trPr>
          <w:trHeight w:val="259"/>
          <w:tblHeader/>
        </w:trPr>
        <w:tc>
          <w:tcPr>
            <w:tcW w:w="3827" w:type="dxa"/>
          </w:tcPr>
          <w:p>
            <w:pPr>
              <w:pStyle w:val="MiscellaneousBody"/>
              <w:rPr>
                <w:b/>
                <w:sz w:val="20"/>
              </w:rPr>
            </w:pPr>
            <w:r>
              <w:rPr>
                <w:b/>
                <w:sz w:val="20"/>
              </w:rPr>
              <w:t>Act</w:t>
            </w:r>
          </w:p>
        </w:tc>
        <w:tc>
          <w:tcPr>
            <w:tcW w:w="1843" w:type="dxa"/>
          </w:tcPr>
          <w:p>
            <w:pPr>
              <w:pStyle w:val="MiscellaneousBody"/>
              <w:rPr>
                <w:b/>
                <w:sz w:val="20"/>
              </w:rPr>
            </w:pPr>
            <w:r>
              <w:rPr>
                <w:b/>
                <w:sz w:val="20"/>
              </w:rPr>
              <w:t>Provision</w:t>
            </w:r>
          </w:p>
        </w:tc>
      </w:tr>
      <w:t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r>
        <w:tc>
          <w:tcPr>
            <w:tcW w:w="3827" w:type="dxa"/>
          </w:tcPr>
          <w:p>
            <w:pPr>
              <w:pStyle w:val="MiscellaneousBody"/>
              <w:spacing w:before="80"/>
              <w:rPr>
                <w:i/>
                <w:sz w:val="20"/>
              </w:rPr>
            </w:pPr>
            <w:r>
              <w:rPr>
                <w:i/>
                <w:sz w:val="20"/>
              </w:rPr>
              <w:t>Children’s Court of Western Australia Act 1988</w:t>
            </w:r>
          </w:p>
        </w:tc>
        <w:tc>
          <w:tcPr>
            <w:tcW w:w="1843" w:type="dxa"/>
          </w:tcPr>
          <w:p>
            <w:pPr>
              <w:pStyle w:val="MiscellaneousBody"/>
              <w:spacing w:before="80"/>
              <w:rPr>
                <w:sz w:val="20"/>
              </w:rPr>
            </w:pPr>
            <w:r>
              <w:rPr>
                <w:sz w:val="20"/>
              </w:rPr>
              <w:t>s. 7(4)</w:t>
            </w:r>
          </w:p>
        </w:tc>
      </w:tr>
      <w:tr>
        <w:trPr>
          <w:trHeight w:val="136"/>
        </w:trP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bl>
    <w:p>
      <w:pPr>
        <w:pStyle w:val="BlankClose"/>
      </w:pPr>
    </w:p>
    <w:p>
      <w:pPr>
        <w:pStyle w:val="nSubsection"/>
        <w:rPr>
          <w:snapToGrid w:val="0"/>
        </w:rPr>
      </w:pPr>
      <w:r>
        <w:rPr>
          <w:snapToGrid w:val="0"/>
          <w:vertAlign w:val="superscript"/>
        </w:rPr>
        <w:t>5</w:t>
      </w:r>
      <w:r>
        <w:rPr>
          <w:snapToGrid w:val="0"/>
        </w:rPr>
        <w:tab/>
      </w:r>
      <w:r>
        <w:t xml:space="preserve">On the date as at which this reprint was prepared, </w:t>
      </w:r>
      <w:r>
        <w:rPr>
          <w:snapToGrid w:val="0"/>
        </w:rPr>
        <w:t xml:space="preserve">the </w:t>
      </w:r>
      <w:r>
        <w:rPr>
          <w:i/>
          <w:snapToGrid w:val="0"/>
        </w:rPr>
        <w:t xml:space="preserve">Road Traffic Legislation Amendment Act 2012 </w:t>
      </w:r>
      <w:r>
        <w:rPr>
          <w:snapToGrid w:val="0"/>
        </w:rPr>
        <w:t>Pt. 4 Div. 7 had not come into operation.  It reads as follows:</w:t>
      </w:r>
    </w:p>
    <w:p>
      <w:pPr>
        <w:pStyle w:val="BlankOpen"/>
        <w:rPr>
          <w:snapToGrid w:val="0"/>
        </w:rPr>
      </w:pPr>
    </w:p>
    <w:p>
      <w:pPr>
        <w:pStyle w:val="nzHeading3"/>
      </w:pPr>
      <w:r>
        <w:rPr>
          <w:rStyle w:val="CharDivNo"/>
        </w:rPr>
        <w:t>Division 7</w:t>
      </w:r>
      <w:r>
        <w:t> — </w:t>
      </w:r>
      <w:r>
        <w:rPr>
          <w:rStyle w:val="CharDivText"/>
          <w:i/>
          <w:iCs/>
        </w:rPr>
        <w:t>Children’s Court of Western Australia Act 1988</w:t>
      </w:r>
      <w:r>
        <w:rPr>
          <w:rStyle w:val="CharDivText"/>
        </w:rPr>
        <w:t> amended</w:t>
      </w:r>
    </w:p>
    <w:p>
      <w:pPr>
        <w:pStyle w:val="nzHeading5"/>
      </w:pPr>
      <w:r>
        <w:rPr>
          <w:rStyle w:val="CharSectno"/>
        </w:rPr>
        <w:t>55</w:t>
      </w:r>
      <w:r>
        <w:t>.</w:t>
      </w:r>
      <w:r>
        <w:tab/>
        <w:t>Act amended</w:t>
      </w:r>
    </w:p>
    <w:p>
      <w:pPr>
        <w:pStyle w:val="nzSubsection"/>
      </w:pPr>
      <w:r>
        <w:tab/>
      </w:r>
      <w:r>
        <w:tab/>
        <w:t xml:space="preserve">This Division amends the </w:t>
      </w:r>
      <w:r>
        <w:rPr>
          <w:i/>
          <w:iCs/>
        </w:rPr>
        <w:t>Children’s Court of Western Australia Act 1988</w:t>
      </w:r>
      <w:r>
        <w:t>.</w:t>
      </w:r>
    </w:p>
    <w:p>
      <w:pPr>
        <w:pStyle w:val="nzHeading5"/>
      </w:pPr>
      <w:r>
        <w:rPr>
          <w:rStyle w:val="CharSectno"/>
        </w:rPr>
        <w:t>56</w:t>
      </w:r>
      <w:r>
        <w:t>.</w:t>
      </w:r>
      <w:r>
        <w:tab/>
        <w:t>Section 51A amended</w:t>
      </w:r>
    </w:p>
    <w:p>
      <w:pPr>
        <w:pStyle w:val="nzSubsection"/>
      </w:pPr>
      <w:r>
        <w:tab/>
      </w:r>
      <w:r>
        <w:tab/>
        <w:t>Delete section 51A(3)(h) and insert:</w:t>
      </w:r>
    </w:p>
    <w:p>
      <w:pPr>
        <w:pStyle w:val="BlankOpen"/>
      </w:pPr>
    </w:p>
    <w:p>
      <w:pPr>
        <w:pStyle w:val="nzIndenta"/>
      </w:pPr>
      <w:r>
        <w:tab/>
        <w:t>(h)</w:t>
      </w:r>
      <w:r>
        <w:tab/>
        <w:t xml:space="preserve">the CEO as defined in the </w:t>
      </w:r>
      <w:r>
        <w:rPr>
          <w:i/>
          <w:iCs/>
        </w:rPr>
        <w:t>Road Traffic (Administration) Act 2008</w:t>
      </w:r>
      <w:r>
        <w:t xml:space="preserve"> section 4;</w:t>
      </w:r>
    </w:p>
    <w:p>
      <w:pPr>
        <w:pStyle w:val="BlankClose"/>
      </w:pPr>
    </w:p>
    <w:p>
      <w:pPr>
        <w:pStyle w:val="BlankClose"/>
      </w:pPr>
    </w:p>
    <w:p/>
    <w:p>
      <w:pPr>
        <w:sectPr>
          <w:headerReference w:type="even" r:id="rId35"/>
          <w:headerReference w:type="default" r:id="rId36"/>
          <w:headerReference w:type="first" r:id="rId37"/>
          <w:pgSz w:w="11906" w:h="16838" w:code="9"/>
          <w:pgMar w:top="2376" w:right="2405" w:bottom="3542" w:left="2405" w:header="706" w:footer="3380" w:gutter="0"/>
          <w:cols w:space="720"/>
          <w:noEndnote/>
          <w:docGrid w:linePitch="326"/>
        </w:sectPr>
      </w:pPr>
    </w:p>
    <w:p/>
    <w:p>
      <w:pPr>
        <w:pStyle w:val="nHeading2"/>
        <w:rPr>
          <w:sz w:val="28"/>
        </w:rPr>
      </w:pPr>
      <w:bookmarkStart w:id="71" w:name="_Toc390852570"/>
      <w:r>
        <w:rPr>
          <w:sz w:val="28"/>
        </w:rPr>
        <w:t>Defined terms</w:t>
      </w:r>
      <w:bookmarkEnd w:id="7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72" w:name="DefinedTerms"/>
      <w:bookmarkEnd w:id="72"/>
      <w:r>
        <w:t>adult</w:t>
      </w:r>
      <w:r>
        <w:tab/>
        <w:t>19C(1)(a)(i)</w:t>
      </w:r>
    </w:p>
    <w:p>
      <w:pPr>
        <w:pStyle w:val="DefinedTerms"/>
      </w:pPr>
      <w:r>
        <w:t>CEO (young offenders)</w:t>
      </w:r>
      <w:r>
        <w:tab/>
        <w:t>3(1)</w:t>
      </w:r>
    </w:p>
    <w:p>
      <w:pPr>
        <w:pStyle w:val="DefinedTerms"/>
      </w:pPr>
      <w:r>
        <w:t>child</w:t>
      </w:r>
      <w:r>
        <w:tab/>
        <w:t>3(1)</w:t>
      </w:r>
    </w:p>
    <w:p>
      <w:pPr>
        <w:pStyle w:val="DefinedTerms"/>
      </w:pPr>
      <w:r>
        <w:t>Court</w:t>
      </w:r>
      <w:r>
        <w:tab/>
        <w:t>3(1)</w:t>
      </w:r>
    </w:p>
    <w:p>
      <w:pPr>
        <w:pStyle w:val="DefinedTerms"/>
      </w:pPr>
      <w:r>
        <w:t>court record</w:t>
      </w:r>
      <w:r>
        <w:tab/>
        <w:t>51A(1)</w:t>
      </w:r>
    </w:p>
    <w:p>
      <w:pPr>
        <w:pStyle w:val="DefinedTerms"/>
      </w:pPr>
      <w:r>
        <w:t>decision</w:t>
      </w:r>
      <w:r>
        <w:tab/>
        <w:t>30(3)</w:t>
      </w:r>
    </w:p>
    <w:p>
      <w:pPr>
        <w:pStyle w:val="DefinedTerms"/>
      </w:pPr>
      <w:r>
        <w:t>detention</w:t>
      </w:r>
      <w:r>
        <w:tab/>
        <w:t>21(1)</w:t>
      </w:r>
    </w:p>
    <w:p>
      <w:pPr>
        <w:pStyle w:val="DefinedTerms"/>
      </w:pPr>
      <w:r>
        <w:t>health department officer</w:t>
      </w:r>
      <w:r>
        <w:tab/>
        <w:t>36AA(2)</w:t>
      </w:r>
    </w:p>
    <w:p>
      <w:pPr>
        <w:pStyle w:val="DefinedTerms"/>
      </w:pPr>
      <w:r>
        <w:t>judge</w:t>
      </w:r>
      <w:r>
        <w:tab/>
        <w:t>3(1)</w:t>
      </w:r>
    </w:p>
    <w:p>
      <w:pPr>
        <w:pStyle w:val="DefinedTerms"/>
      </w:pPr>
      <w:r>
        <w:t>judgment</w:t>
      </w:r>
      <w:r>
        <w:tab/>
        <w:t>39A(1)</w:t>
      </w:r>
    </w:p>
    <w:p>
      <w:pPr>
        <w:pStyle w:val="DefinedTerms"/>
      </w:pPr>
      <w:r>
        <w:t>legal experience</w:t>
      </w:r>
      <w:r>
        <w:tab/>
        <w:t>3(2)</w:t>
      </w:r>
    </w:p>
    <w:p>
      <w:pPr>
        <w:pStyle w:val="DefinedTerms"/>
      </w:pPr>
      <w:r>
        <w:t>legal practitioner</w:t>
      </w:r>
      <w:r>
        <w:tab/>
        <w:t>3(1)</w:t>
      </w:r>
    </w:p>
    <w:p>
      <w:pPr>
        <w:pStyle w:val="DefinedTerms"/>
      </w:pPr>
      <w:r>
        <w:t>magistrate</w:t>
      </w:r>
      <w:r>
        <w:tab/>
        <w:t>3(1)</w:t>
      </w:r>
    </w:p>
    <w:p>
      <w:pPr>
        <w:pStyle w:val="DefinedTerms"/>
      </w:pPr>
      <w:r>
        <w:t>prescribed officer</w:t>
      </w:r>
      <w:r>
        <w:tab/>
        <w:t>33(1)</w:t>
      </w:r>
    </w:p>
    <w:p>
      <w:pPr>
        <w:pStyle w:val="DefinedTerms"/>
      </w:pPr>
      <w:r>
        <w:t>President</w:t>
      </w:r>
      <w:r>
        <w:tab/>
        <w:t>3(1)</w:t>
      </w:r>
    </w:p>
    <w:p>
      <w:pPr>
        <w:pStyle w:val="DefinedTerms"/>
      </w:pPr>
      <w:r>
        <w:t>prohibited matter</w:t>
      </w:r>
      <w:r>
        <w:tab/>
        <w:t>36A(1)</w:t>
      </w:r>
    </w:p>
    <w:p>
      <w:pPr>
        <w:pStyle w:val="DefinedTerms"/>
      </w:pPr>
      <w:r>
        <w:t>reasons</w:t>
      </w:r>
      <w:r>
        <w:tab/>
        <w:t>51A(1)</w:t>
      </w:r>
    </w:p>
    <w:p>
      <w:pPr>
        <w:pStyle w:val="DefinedTerms"/>
      </w:pPr>
      <w:r>
        <w:t>registrar</w:t>
      </w:r>
      <w:r>
        <w:tab/>
        <w:t>3(1)</w:t>
      </w:r>
    </w:p>
    <w:p>
      <w:pPr>
        <w:pStyle w:val="DefinedTerms"/>
      </w:pPr>
      <w:r>
        <w:t>research project</w:t>
      </w:r>
      <w:r>
        <w:tab/>
        <w:t>36AA(2)</w:t>
      </w:r>
    </w:p>
    <w:p>
      <w:pPr>
        <w:pStyle w:val="DefinedTerms"/>
      </w:pPr>
      <w:r>
        <w:t>young offenders agency</w:t>
      </w:r>
      <w:r>
        <w:tab/>
        <w:t>3(1)</w:t>
      </w:r>
    </w:p>
    <w:p/>
    <w:p>
      <w:pPr>
        <w:sectPr>
          <w:headerReference w:type="even" r:id="rId38"/>
          <w:headerReference w:type="default" r:id="rId39"/>
          <w:footerReference w:type="even" r:id="rId40"/>
          <w:headerReference w:type="first" r:id="rId41"/>
          <w:pgSz w:w="11906" w:h="16838" w:code="9"/>
          <w:pgMar w:top="2376" w:right="2405" w:bottom="3542" w:left="2405" w:header="706" w:footer="3380" w:gutter="0"/>
          <w:cols w:space="720"/>
          <w:noEndnote/>
          <w:docGrid w:linePitch="326"/>
        </w:sectPr>
      </w:pPr>
    </w:p>
    <w:p/>
    <w:p/>
    <w:p/>
    <w:p/>
    <w:p/>
    <w:p/>
    <w:p/>
    <w:p/>
    <w:p/>
    <w:p/>
    <w:p/>
    <w:p/>
    <w:p/>
    <w:p/>
    <w:p>
      <w:pPr>
        <w:pBdr>
          <w:top w:val="double" w:sz="4" w:space="0" w:color="auto"/>
        </w:pBdr>
        <w:jc w:val="center"/>
        <w:rPr>
          <w:rFonts w:ascii="Arial" w:hAnsi="Arial" w:cs="Arial"/>
          <w:sz w:val="12"/>
        </w:rPr>
      </w:pPr>
      <w:r>
        <w:rPr>
          <w:rFonts w:ascii="Arial" w:hAnsi="Arial" w:cs="Arial"/>
          <w:sz w:val="12"/>
        </w:rPr>
        <w:t>By Authority: JOHN A. STRIJK, Government Printer</w:t>
      </w:r>
    </w:p>
    <w:sectPr>
      <w:headerReference w:type="even" r:id="rId42"/>
      <w:headerReference w:type="default" r:id="rId43"/>
      <w:headerReference w:type="first" r:id="rId44"/>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PageLeft"/>
      <w:tabs>
        <w:tab w:val="right" w:pos="7088"/>
      </w:tabs>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ii</w:t>
    </w:r>
    <w:r>
      <w:rPr>
        <w:rStyle w:val="CharPageNo"/>
      </w:rPr>
      <w:fldChar w:fldCharType="end"/>
    </w:r>
    <w:r>
      <w:rPr>
        <w:rStyle w:val="CharPageNo"/>
      </w:rPr>
      <w:tab/>
    </w:r>
    <w:r>
      <w:t xml:space="preserve">Reprint </w:t>
    </w:r>
    <w:fldSimple w:instr=" DOCPROPERTY &quot;ReprintNo&quot; ">
      <w:r>
        <w:t>6</w:t>
      </w:r>
    </w:fldSimple>
  </w:p>
  <w:p>
    <w:pPr>
      <w:pStyle w:val="FooterPageLeft"/>
      <w:tabs>
        <w:tab w:val="right" w:pos="7088"/>
      </w:tabs>
      <w:rPr>
        <w:rFonts w:ascii="Times New Roman" w:hAnsi="Times New Roman"/>
        <w:sz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6</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iii</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w:instrText>
    </w:r>
    <w:r>
      <w:rPr>
        <w:sz w:val="20"/>
      </w:rPr>
      <w:fldChar w:fldCharType="separate"/>
    </w:r>
    <w:r>
      <w:rPr>
        <w:sz w:val="20"/>
      </w:rPr>
      <w:t>6</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PageLeft"/>
      <w:tabs>
        <w:tab w:val="right" w:pos="7088"/>
      </w:tabs>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50</w:t>
    </w:r>
    <w:r>
      <w:rPr>
        <w:rStyle w:val="CharPageNo"/>
      </w:rPr>
      <w:fldChar w:fldCharType="end"/>
    </w:r>
    <w:r>
      <w:rPr>
        <w:rStyle w:val="CharPageNo"/>
      </w:rPr>
      <w:tab/>
    </w:r>
    <w:r>
      <w:t xml:space="preserve">Reprint </w:t>
    </w:r>
    <w:fldSimple w:instr=" DOCPROPERTY &quot;ReprintNo&quot; ">
      <w:r>
        <w:t>6</w:t>
      </w:r>
    </w:fldSimple>
  </w:p>
  <w:p>
    <w:pPr>
      <w:pStyle w:val="FooterPageLeft"/>
      <w:tabs>
        <w:tab w:val="right" w:pos="7088"/>
      </w:tabs>
      <w:rPr>
        <w:rFonts w:ascii="Times New Roman" w:hAnsi="Times New Roman"/>
        <w:sz w:val="16"/>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Reprint 6</w:t>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51</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w:instrText>
    </w:r>
    <w:r>
      <w:rPr>
        <w:sz w:val="20"/>
      </w:rPr>
      <w:fldChar w:fldCharType="separate"/>
    </w:r>
    <w:r>
      <w:rPr>
        <w:sz w:val="20"/>
      </w:rPr>
      <w:t>6</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Children’s Court of Western Australia Act 1988</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Children’s Court of Western Australia Act 1988</w:t>
            </w:r>
          </w:fldSimple>
        </w:p>
      </w:tc>
    </w:tr>
    <w:tr>
      <w:tc>
        <w:tcPr>
          <w:tcW w:w="5715" w:type="dxa"/>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17"/>
            <w:rPr>
              <w:b w:val="0"/>
            </w:rPr>
          </w:pPr>
          <w:r>
            <w:fldChar w:fldCharType="begin"/>
          </w:r>
          <w:r>
            <w:instrText xml:space="preserve"> styleref CharSchno </w:instrText>
          </w:r>
          <w:r>
            <w:rPr>
              <w:noProof/>
            </w:rPr>
            <w:fldChar w:fldCharType="end"/>
          </w:r>
        </w:p>
      </w:tc>
    </w:tr>
    <w:tr>
      <w:tc>
        <w:tcPr>
          <w:tcW w:w="5715" w:type="dxa"/>
        </w:tcPr>
        <w:p>
          <w:pPr>
            <w:pStyle w:val="HeaderTextRight"/>
          </w:pPr>
        </w:p>
      </w:tc>
      <w:tc>
        <w:tcPr>
          <w:tcW w:w="1445" w:type="dxa"/>
        </w:tcPr>
        <w:p>
          <w:pPr>
            <w:pStyle w:val="HeaderNumberRight"/>
            <w:ind w:right="17"/>
          </w:pP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Children’s Court of Western Australia Act 1988</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Children’s Court of Western Australia Act 1988</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4">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8">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33"/>
  </w:num>
  <w:num w:numId="13">
    <w:abstractNumId w:val="22"/>
  </w:num>
  <w:num w:numId="14">
    <w:abstractNumId w:val="23"/>
  </w:num>
  <w:num w:numId="1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618105336"/>
    <w:docVar w:name="WAFER_20140113100610" w:val="RemoveTocBookmarks,RemoveUnusedBookmarks,RemoveLanguageTags,UsedStyles,ResetPageSize,UpdateArrangement"/>
    <w:docVar w:name="WAFER_20140113100610_GUID" w:val="bd6a302c-df61-40c4-831c-74b92dc18096"/>
    <w:docVar w:name="WAFER_20140113100643" w:val="RemoveTocBookmarks,RunningHeaders"/>
    <w:docVar w:name="WAFER_20140113100643_GUID" w:val="f7d01e22-f2a3-4bfb-ba3b-b86fa8d6307b"/>
    <w:docVar w:name="WAFER_20140422164356" w:val="RemoveTocBookmarks,RemoveUnusedBookmarks,RemoveLanguageTags,UsedStyles,ResetPageSize,RemoveCustomizations"/>
    <w:docVar w:name="WAFER_20140422164356_GUID" w:val="2d6117c2-0870-4075-8080-5b083dca3479"/>
    <w:docVar w:name="WAFER_20140516143758" w:val="RemoveTocBookmarks,RemoveUnusedBookmarks,RemoveLanguageTags,UsedStyles,ResetPageSize,RemoveCustomizations"/>
    <w:docVar w:name="WAFER_20140516143758_GUID" w:val="1ea944fb-1719-4952-b365-eb6438b97e53"/>
    <w:docVar w:name="WAFER_20140516143810" w:val="RemoveTocBookmarks,RemoveUnusedBookmarks,RemoveLanguageTags,UsedStyles,RemoveTrackChanges"/>
    <w:docVar w:name="WAFER_20140516143810_GUID" w:val="f1907c86-0920-444b-804b-e488bb3c7c9e"/>
    <w:docVar w:name="WAFER_20140516143825" w:val="RemoveTocBookmarks,RemoveLanguageTags,RemoveTrackChanges,RunningHeaders"/>
    <w:docVar w:name="WAFER_20140516143825_GUID" w:val="3ba823d0-b38d-4a79-8d24-8f66ab4c6efe"/>
    <w:docVar w:name="WAFER_20140516143842" w:val="RemoveTocBookmarks,RemoveLanguageTags,RemoveTrackChanges,RunningHeaders"/>
    <w:docVar w:name="WAFER_20140516143842_GUID" w:val="d9e3952b-22d1-4ede-a0c9-886b8048e25c"/>
    <w:docVar w:name="WAFER_20140618105336" w:val="RemoveTocBookmarks,RemoveLanguageTags,RemoveTrackChanges,RunningHeaders"/>
    <w:docVar w:name="WAFER_20140618105336_GUID" w:val="c8ca39ca-0c24-415f-b979-6e08bb33921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Street"/>
  <w:smartTagType w:namespaceuri="urn:schemas-microsoft-com:office:smarttags" w:name="place"/>
  <w:smartTagType w:namespaceuri="urn:schemas-microsoft-com:office:smarttags" w:name="State"/>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noProof w:val="0"/>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noProof w:val="0"/>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eader" Target="header8.xml"/><Relationship Id="rId39" Type="http://schemas.openxmlformats.org/officeDocument/2006/relationships/header" Target="header17.xml"/><Relationship Id="rId3" Type="http://schemas.openxmlformats.org/officeDocument/2006/relationships/styles" Target="styles.xml"/><Relationship Id="rId21" Type="http://schemas.openxmlformats.org/officeDocument/2006/relationships/footer" Target="footer5.xml"/><Relationship Id="rId34" Type="http://schemas.openxmlformats.org/officeDocument/2006/relationships/header" Target="header12.xml"/><Relationship Id="rId42" Type="http://schemas.openxmlformats.org/officeDocument/2006/relationships/header" Target="header19.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7.xml"/><Relationship Id="rId33" Type="http://schemas.openxmlformats.org/officeDocument/2006/relationships/header" Target="header11.xml"/><Relationship Id="rId38" Type="http://schemas.openxmlformats.org/officeDocument/2006/relationships/header" Target="header16.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eader" Target="header9.xml"/><Relationship Id="rId41"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image" Target="media/image3.png"/><Relationship Id="rId32" Type="http://schemas.openxmlformats.org/officeDocument/2006/relationships/header" Target="header10.xml"/><Relationship Id="rId37" Type="http://schemas.openxmlformats.org/officeDocument/2006/relationships/header" Target="header15.xml"/><Relationship Id="rId40" Type="http://schemas.openxmlformats.org/officeDocument/2006/relationships/footer" Target="footer10.xm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footer" Target="footer8.xml"/><Relationship Id="rId36" Type="http://schemas.openxmlformats.org/officeDocument/2006/relationships/header" Target="header14.xml"/><Relationship Id="rId10" Type="http://schemas.openxmlformats.org/officeDocument/2006/relationships/image" Target="media/image2.wmf"/><Relationship Id="rId19" Type="http://schemas.openxmlformats.org/officeDocument/2006/relationships/header" Target="header5.xml"/><Relationship Id="rId31" Type="http://schemas.openxmlformats.org/officeDocument/2006/relationships/image" Target="media/image4.png"/><Relationship Id="rId44" Type="http://schemas.openxmlformats.org/officeDocument/2006/relationships/header" Target="header2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header" Target="header13.xml"/><Relationship Id="rId43" Type="http://schemas.openxmlformats.org/officeDocument/2006/relationships/header" Target="header2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CA04C9-0BFA-4A1D-ADBC-C465F8031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58</Pages>
  <Words>14680</Words>
  <Characters>66211</Characters>
  <Application>Microsoft Office Word</Application>
  <DocSecurity>0</DocSecurity>
  <Lines>1891</Lines>
  <Paragraphs>1050</Paragraphs>
  <ScaleCrop>false</ScaleCrop>
  <HeadingPairs>
    <vt:vector size="2" baseType="variant">
      <vt:variant>
        <vt:lpstr>Title</vt:lpstr>
      </vt:variant>
      <vt:variant>
        <vt:i4>1</vt:i4>
      </vt:variant>
    </vt:vector>
  </HeadingPairs>
  <TitlesOfParts>
    <vt:vector size="1" baseType="lpstr">
      <vt:lpstr>Childrens Court Of Western Australia Act 1988</vt:lpstr>
    </vt:vector>
  </TitlesOfParts>
  <Manager/>
  <Company/>
  <LinksUpToDate>false</LinksUpToDate>
  <CharactersWithSpaces>79841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1988 - 06-00-00</dc:title>
  <dc:subject/>
  <dc:creator/>
  <cp:keywords/>
  <dc:description/>
  <cp:lastModifiedBy>svcMRProcess</cp:lastModifiedBy>
  <cp:revision>4</cp:revision>
  <cp:lastPrinted>2014-06-13T06:02:00Z</cp:lastPrinted>
  <dcterms:created xsi:type="dcterms:W3CDTF">2020-03-04T07:50:00Z</dcterms:created>
  <dcterms:modified xsi:type="dcterms:W3CDTF">2020-03-04T07:50:00Z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CommencementDate">
    <vt:lpwstr>20140613</vt:lpwstr>
  </property>
  <property fmtid="{D5CDD505-2E9C-101B-9397-08002B2CF9AE}" pid="4" name="DocumentType">
    <vt:lpwstr>Act</vt:lpwstr>
  </property>
  <property fmtid="{D5CDD505-2E9C-101B-9397-08002B2CF9AE}" pid="5" name="OwlsUID">
    <vt:i4>124</vt:i4>
  </property>
  <property fmtid="{D5CDD505-2E9C-101B-9397-08002B2CF9AE}" pid="6" name="AsAtDate">
    <vt:lpwstr>13 Jun 2014</vt:lpwstr>
  </property>
  <property fmtid="{D5CDD505-2E9C-101B-9397-08002B2CF9AE}" pid="7" name="Suffix">
    <vt:lpwstr>06-00-00</vt:lpwstr>
  </property>
  <property fmtid="{D5CDD505-2E9C-101B-9397-08002B2CF9AE}" pid="8" name="ReprintNo">
    <vt:lpwstr>6</vt:lpwstr>
  </property>
  <property fmtid="{D5CDD505-2E9C-101B-9397-08002B2CF9AE}" pid="9" name="ReprintedAsAt">
    <vt:filetime>2014-06-12T16:00:00Z</vt:filetime>
  </property>
</Properties>
</file>