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9" name="Picture 9"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smartTag w:uri="urn:schemas-microsoft-com:office:smarttags" w:element="place">
        <w:smartTag w:uri="urn:schemas-microsoft-com:office:smarttags" w:element="State">
          <w:r>
            <w:t>Western Australia</w:t>
          </w:r>
        </w:smartTag>
      </w:smartTag>
    </w:p>
    <w:p>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Poisons Act 1964</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smartTag w:uri="urn:schemas-microsoft-com:office:smarttags" w:element="place">
        <w:smartTag w:uri="urn:schemas-microsoft-com:office:smarttags" w:element="State">
          <w:r>
            <w:lastRenderedPageBreak/>
            <w:t>Western Australia</w:t>
          </w:r>
        </w:smartTag>
      </w:smartTag>
    </w:p>
    <w:p>
      <w:pPr>
        <w:pStyle w:val="NameofActRegPage1"/>
      </w:pPr>
      <w:r>
        <w:fldChar w:fldCharType="begin"/>
      </w:r>
      <w:r>
        <w:instrText xml:space="preserve"> STYLEREF "Name Of Act/Reg"</w:instrText>
      </w:r>
      <w:r>
        <w:fldChar w:fldCharType="separate"/>
      </w:r>
      <w:r>
        <w:rPr>
          <w:noProof/>
        </w:rPr>
        <w:t>Poisons Act 1964</w:t>
      </w:r>
      <w:r>
        <w:fldChar w:fldCharType="end"/>
      </w:r>
    </w:p>
    <w:p>
      <w:pPr>
        <w:pStyle w:val="Arrangement"/>
      </w:pPr>
      <w:r>
        <w:t>Contents</w:t>
      </w:r>
    </w:p>
    <w:p>
      <w:pPr>
        <w:pStyle w:val="TOC2"/>
        <w:tabs>
          <w:tab w:val="right" w:leader="dot" w:pos="7086"/>
        </w:tabs>
        <w:rPr>
          <w:rFonts w:asciiTheme="minorHAnsi" w:eastAsiaTheme="minorEastAsia" w:hAnsiTheme="minorHAnsi" w:cstheme="minorBidi"/>
          <w:b w:val="0"/>
          <w:sz w:val="22"/>
          <w:szCs w:val="22"/>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I — Introductory provisions</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_Toc524065312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_Toc524065313 \h </w:instrText>
      </w:r>
      <w:r>
        <w:fldChar w:fldCharType="separate"/>
      </w:r>
      <w:r>
        <w:t>2</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Terms used</w:t>
      </w:r>
      <w:r>
        <w:tab/>
      </w:r>
      <w:r>
        <w:fldChar w:fldCharType="begin"/>
      </w:r>
      <w:r>
        <w:instrText xml:space="preserve"> PAGEREF _Toc524065314 \h </w:instrText>
      </w:r>
      <w:r>
        <w:fldChar w:fldCharType="separate"/>
      </w:r>
      <w:r>
        <w:t>2</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Construction</w:t>
      </w:r>
      <w:r>
        <w:tab/>
      </w:r>
      <w:r>
        <w:fldChar w:fldCharType="begin"/>
      </w:r>
      <w:r>
        <w:instrText xml:space="preserve"> PAGEREF _Toc524065315 \h </w:instrText>
      </w:r>
      <w:r>
        <w:fldChar w:fldCharType="separate"/>
      </w:r>
      <w:r>
        <w:t>6</w:t>
      </w:r>
      <w:r>
        <w:fldChar w:fldCharType="end"/>
      </w:r>
    </w:p>
    <w:p>
      <w:pPr>
        <w:pStyle w:val="TOC8"/>
        <w:rPr>
          <w:rFonts w:asciiTheme="minorHAnsi" w:eastAsiaTheme="minorEastAsia" w:hAnsiTheme="minorHAnsi" w:cstheme="minorBidi"/>
          <w:szCs w:val="22"/>
        </w:rPr>
      </w:pPr>
      <w:r>
        <w:t>6A</w:t>
      </w:r>
      <w:r>
        <w:rPr>
          <w:snapToGrid w:val="0"/>
        </w:rPr>
        <w:t>.</w:t>
      </w:r>
      <w:r>
        <w:rPr>
          <w:snapToGrid w:val="0"/>
        </w:rPr>
        <w:tab/>
        <w:t>Crown bound</w:t>
      </w:r>
      <w:r>
        <w:tab/>
      </w:r>
      <w:r>
        <w:fldChar w:fldCharType="begin"/>
      </w:r>
      <w:r>
        <w:instrText xml:space="preserve"> PAGEREF _Toc524065316 \h </w:instrText>
      </w:r>
      <w:r>
        <w:fldChar w:fldCharType="separate"/>
      </w:r>
      <w:r>
        <w:t>6</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Administration</w:t>
      </w:r>
      <w:r>
        <w:tab/>
      </w:r>
      <w:r>
        <w:fldChar w:fldCharType="begin"/>
      </w:r>
      <w:r>
        <w:instrText xml:space="preserve"> PAGEREF _Toc524065317 \h </w:instrText>
      </w:r>
      <w:r>
        <w:fldChar w:fldCharType="separate"/>
      </w:r>
      <w:r>
        <w:t>6</w:t>
      </w:r>
      <w:r>
        <w:fldChar w:fldCharType="end"/>
      </w:r>
    </w:p>
    <w:p>
      <w:pPr>
        <w:pStyle w:val="TOC8"/>
        <w:rPr>
          <w:rFonts w:asciiTheme="minorHAnsi" w:eastAsiaTheme="minorEastAsia" w:hAnsiTheme="minorHAnsi" w:cstheme="minorBidi"/>
          <w:szCs w:val="22"/>
        </w:rPr>
      </w:pPr>
      <w:r>
        <w:t>7A.</w:t>
      </w:r>
      <w:r>
        <w:tab/>
        <w:t>Application: industrial hemp, industrial hemp seed and processed industrial hemp</w:t>
      </w:r>
      <w:r>
        <w:tab/>
      </w:r>
      <w:r>
        <w:fldChar w:fldCharType="begin"/>
      </w:r>
      <w:r>
        <w:instrText xml:space="preserve"> PAGEREF _Toc524065318 \h </w:instrText>
      </w:r>
      <w:r>
        <w:fldChar w:fldCharType="separate"/>
      </w:r>
      <w:r>
        <w:t>7</w:t>
      </w:r>
      <w:r>
        <w:fldChar w:fldCharType="end"/>
      </w:r>
    </w:p>
    <w:p>
      <w:pPr>
        <w:pStyle w:val="TOC2"/>
        <w:tabs>
          <w:tab w:val="right" w:leader="dot" w:pos="7086"/>
        </w:tabs>
        <w:rPr>
          <w:rFonts w:asciiTheme="minorHAnsi" w:eastAsiaTheme="minorEastAsia" w:hAnsiTheme="minorHAnsi" w:cstheme="minorBidi"/>
          <w:b w:val="0"/>
          <w:sz w:val="22"/>
          <w:szCs w:val="22"/>
        </w:rPr>
      </w:pPr>
      <w:r>
        <w:t>Part II — Poisons Advisory Committee</w:t>
      </w:r>
    </w:p>
    <w:p>
      <w:pPr>
        <w:pStyle w:val="TOC8"/>
        <w:rPr>
          <w:rFonts w:asciiTheme="minorHAnsi" w:eastAsiaTheme="minorEastAsia" w:hAnsiTheme="minorHAnsi" w:cstheme="minorBidi"/>
          <w:szCs w:val="22"/>
        </w:rPr>
      </w:pPr>
      <w:r>
        <w:t>8</w:t>
      </w:r>
      <w:r>
        <w:rPr>
          <w:snapToGrid w:val="0"/>
        </w:rPr>
        <w:t>.</w:t>
      </w:r>
      <w:r>
        <w:rPr>
          <w:snapToGrid w:val="0"/>
        </w:rPr>
        <w:tab/>
        <w:t>Constitution of Poisons Advisory Committee</w:t>
      </w:r>
      <w:r>
        <w:tab/>
      </w:r>
      <w:r>
        <w:fldChar w:fldCharType="begin"/>
      </w:r>
      <w:r>
        <w:instrText xml:space="preserve"> PAGEREF _Toc524065320 \h </w:instrText>
      </w:r>
      <w:r>
        <w:fldChar w:fldCharType="separate"/>
      </w:r>
      <w:r>
        <w:t>8</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Procedure on default of nomination</w:t>
      </w:r>
      <w:r>
        <w:tab/>
      </w:r>
      <w:r>
        <w:fldChar w:fldCharType="begin"/>
      </w:r>
      <w:r>
        <w:instrText xml:space="preserve"> PAGEREF _Toc524065321 \h </w:instrText>
      </w:r>
      <w:r>
        <w:fldChar w:fldCharType="separate"/>
      </w:r>
      <w:r>
        <w:t>9</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Term of office of nominee member</w:t>
      </w:r>
      <w:r>
        <w:tab/>
      </w:r>
      <w:r>
        <w:fldChar w:fldCharType="begin"/>
      </w:r>
      <w:r>
        <w:instrText xml:space="preserve"> PAGEREF _Toc524065322 \h </w:instrText>
      </w:r>
      <w:r>
        <w:fldChar w:fldCharType="separate"/>
      </w:r>
      <w:r>
        <w:t>10</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Vacation of office</w:t>
      </w:r>
      <w:r>
        <w:tab/>
      </w:r>
      <w:r>
        <w:fldChar w:fldCharType="begin"/>
      </w:r>
      <w:r>
        <w:instrText xml:space="preserve"> PAGEREF _Toc524065323 \h </w:instrText>
      </w:r>
      <w:r>
        <w:fldChar w:fldCharType="separate"/>
      </w:r>
      <w:r>
        <w:t>11</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Dismissal of members</w:t>
      </w:r>
      <w:r>
        <w:tab/>
      </w:r>
      <w:r>
        <w:fldChar w:fldCharType="begin"/>
      </w:r>
      <w:r>
        <w:instrText xml:space="preserve"> PAGEREF _Toc524065324 \h </w:instrText>
      </w:r>
      <w:r>
        <w:fldChar w:fldCharType="separate"/>
      </w:r>
      <w:r>
        <w:t>12</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Leave of absence</w:t>
      </w:r>
      <w:r>
        <w:tab/>
      </w:r>
      <w:r>
        <w:fldChar w:fldCharType="begin"/>
      </w:r>
      <w:r>
        <w:instrText xml:space="preserve"> PAGEREF _Toc524065325 \h </w:instrText>
      </w:r>
      <w:r>
        <w:fldChar w:fldCharType="separate"/>
      </w:r>
      <w:r>
        <w:t>12</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Deputies of members</w:t>
      </w:r>
      <w:r>
        <w:tab/>
      </w:r>
      <w:r>
        <w:fldChar w:fldCharType="begin"/>
      </w:r>
      <w:r>
        <w:instrText xml:space="preserve"> PAGEREF _Toc524065326 \h </w:instrText>
      </w:r>
      <w:r>
        <w:fldChar w:fldCharType="separate"/>
      </w:r>
      <w:r>
        <w:t>12</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Acceptance of office</w:t>
      </w:r>
      <w:r>
        <w:tab/>
      </w:r>
      <w:r>
        <w:fldChar w:fldCharType="begin"/>
      </w:r>
      <w:r>
        <w:instrText xml:space="preserve"> PAGEREF _Toc524065327 \h </w:instrText>
      </w:r>
      <w:r>
        <w:fldChar w:fldCharType="separate"/>
      </w:r>
      <w:r>
        <w:t>12</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Remuneration of members</w:t>
      </w:r>
      <w:r>
        <w:tab/>
      </w:r>
      <w:r>
        <w:fldChar w:fldCharType="begin"/>
      </w:r>
      <w:r>
        <w:instrText xml:space="preserve"> PAGEREF _Toc524065328 \h </w:instrText>
      </w:r>
      <w:r>
        <w:fldChar w:fldCharType="separate"/>
      </w:r>
      <w:r>
        <w:t>13</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Meetings of Advisory Committee</w:t>
      </w:r>
      <w:r>
        <w:tab/>
      </w:r>
      <w:r>
        <w:fldChar w:fldCharType="begin"/>
      </w:r>
      <w:r>
        <w:instrText xml:space="preserve"> PAGEREF _Toc524065329 \h </w:instrText>
      </w:r>
      <w:r>
        <w:fldChar w:fldCharType="separate"/>
      </w:r>
      <w:r>
        <w:t>13</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Officers of Advisory Committee</w:t>
      </w:r>
      <w:r>
        <w:tab/>
      </w:r>
      <w:r>
        <w:fldChar w:fldCharType="begin"/>
      </w:r>
      <w:r>
        <w:instrText xml:space="preserve"> PAGEREF _Toc524065330 \h </w:instrText>
      </w:r>
      <w:r>
        <w:fldChar w:fldCharType="separate"/>
      </w:r>
      <w:r>
        <w:t>14</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Functions of Advisory Committee</w:t>
      </w:r>
      <w:r>
        <w:tab/>
      </w:r>
      <w:r>
        <w:fldChar w:fldCharType="begin"/>
      </w:r>
      <w:r>
        <w:instrText xml:space="preserve"> PAGEREF _Toc524065331 \h </w:instrText>
      </w:r>
      <w:r>
        <w:fldChar w:fldCharType="separate"/>
      </w:r>
      <w:r>
        <w:t>14</w:t>
      </w:r>
      <w:r>
        <w:fldChar w:fldCharType="end"/>
      </w:r>
    </w:p>
    <w:p>
      <w:pPr>
        <w:pStyle w:val="TOC2"/>
        <w:tabs>
          <w:tab w:val="right" w:leader="dot" w:pos="7086"/>
        </w:tabs>
        <w:rPr>
          <w:rFonts w:asciiTheme="minorHAnsi" w:eastAsiaTheme="minorEastAsia" w:hAnsiTheme="minorHAnsi" w:cstheme="minorBidi"/>
          <w:b w:val="0"/>
          <w:sz w:val="22"/>
          <w:szCs w:val="22"/>
        </w:rPr>
      </w:pPr>
      <w:r>
        <w:t>Part III — Poisons and other substances</w:t>
      </w:r>
    </w:p>
    <w:p>
      <w:pPr>
        <w:pStyle w:val="TOC4"/>
        <w:tabs>
          <w:tab w:val="right" w:leader="dot" w:pos="7086"/>
        </w:tabs>
        <w:rPr>
          <w:rFonts w:asciiTheme="minorHAnsi" w:eastAsiaTheme="minorEastAsia" w:hAnsiTheme="minorHAnsi" w:cstheme="minorBidi"/>
          <w:b w:val="0"/>
          <w:szCs w:val="22"/>
        </w:rPr>
      </w:pPr>
      <w:r>
        <w:t>Division 1</w:t>
      </w:r>
      <w:r>
        <w:rPr>
          <w:snapToGrid w:val="0"/>
        </w:rPr>
        <w:t> — </w:t>
      </w:r>
      <w:r>
        <w:t>Classification</w:t>
      </w:r>
    </w:p>
    <w:p>
      <w:pPr>
        <w:pStyle w:val="TOC8"/>
        <w:rPr>
          <w:rFonts w:asciiTheme="minorHAnsi" w:eastAsiaTheme="minorEastAsia" w:hAnsiTheme="minorHAnsi" w:cstheme="minorBidi"/>
          <w:szCs w:val="22"/>
        </w:rPr>
      </w:pPr>
      <w:r>
        <w:t>20</w:t>
      </w:r>
      <w:r>
        <w:rPr>
          <w:snapToGrid w:val="0"/>
        </w:rPr>
        <w:t>.</w:t>
      </w:r>
      <w:r>
        <w:rPr>
          <w:snapToGrid w:val="0"/>
        </w:rPr>
        <w:tab/>
        <w:t>Declaration of poisons</w:t>
      </w:r>
      <w:r>
        <w:tab/>
      </w:r>
      <w:r>
        <w:fldChar w:fldCharType="begin"/>
      </w:r>
      <w:r>
        <w:instrText xml:space="preserve"> PAGEREF _Toc524065334 \h </w:instrText>
      </w:r>
      <w:r>
        <w:fldChar w:fldCharType="separate"/>
      </w:r>
      <w:r>
        <w:t>15</w:t>
      </w:r>
      <w:r>
        <w:fldChar w:fldCharType="end"/>
      </w:r>
    </w:p>
    <w:p>
      <w:pPr>
        <w:pStyle w:val="TOC8"/>
        <w:rPr>
          <w:rFonts w:asciiTheme="minorHAnsi" w:eastAsiaTheme="minorEastAsia" w:hAnsiTheme="minorHAnsi" w:cstheme="minorBidi"/>
          <w:szCs w:val="22"/>
        </w:rPr>
      </w:pPr>
      <w:r>
        <w:t>20A</w:t>
      </w:r>
      <w:r>
        <w:rPr>
          <w:snapToGrid w:val="0"/>
        </w:rPr>
        <w:t>.</w:t>
      </w:r>
      <w:r>
        <w:rPr>
          <w:snapToGrid w:val="0"/>
        </w:rPr>
        <w:tab/>
        <w:t>How poisons may be identified in Schedules</w:t>
      </w:r>
      <w:r>
        <w:tab/>
      </w:r>
      <w:r>
        <w:fldChar w:fldCharType="begin"/>
      </w:r>
      <w:r>
        <w:instrText xml:space="preserve"> PAGEREF _Toc524065335 \h </w:instrText>
      </w:r>
      <w:r>
        <w:fldChar w:fldCharType="separate"/>
      </w:r>
      <w:r>
        <w:t>17</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Amendment of Appendix A</w:t>
      </w:r>
      <w:r>
        <w:tab/>
      </w:r>
      <w:r>
        <w:fldChar w:fldCharType="begin"/>
      </w:r>
      <w:r>
        <w:instrText xml:space="preserve"> PAGEREF _Toc524065336 \h </w:instrText>
      </w:r>
      <w:r>
        <w:fldChar w:fldCharType="separate"/>
      </w:r>
      <w:r>
        <w:t>17</w:t>
      </w:r>
      <w:r>
        <w:fldChar w:fldCharType="end"/>
      </w:r>
    </w:p>
    <w:p>
      <w:pPr>
        <w:pStyle w:val="TOC8"/>
        <w:rPr>
          <w:rFonts w:asciiTheme="minorHAnsi" w:eastAsiaTheme="minorEastAsia" w:hAnsiTheme="minorHAnsi" w:cstheme="minorBidi"/>
          <w:szCs w:val="22"/>
        </w:rPr>
      </w:pPr>
      <w:r>
        <w:t>21A</w:t>
      </w:r>
      <w:r>
        <w:rPr>
          <w:snapToGrid w:val="0"/>
        </w:rPr>
        <w:t>.</w:t>
      </w:r>
      <w:r>
        <w:rPr>
          <w:snapToGrid w:val="0"/>
        </w:rPr>
        <w:tab/>
        <w:t>Exemption of substances from Act</w:t>
      </w:r>
      <w:r>
        <w:tab/>
      </w:r>
      <w:r>
        <w:fldChar w:fldCharType="begin"/>
      </w:r>
      <w:r>
        <w:instrText xml:space="preserve"> PAGEREF _Toc524065337 \h </w:instrText>
      </w:r>
      <w:r>
        <w:fldChar w:fldCharType="separate"/>
      </w:r>
      <w:r>
        <w:t>18</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Sale of any poison may be prohibited</w:t>
      </w:r>
      <w:r>
        <w:tab/>
      </w:r>
      <w:r>
        <w:fldChar w:fldCharType="begin"/>
      </w:r>
      <w:r>
        <w:instrText xml:space="preserve"> PAGEREF _Toc524065338 \h </w:instrText>
      </w:r>
      <w:r>
        <w:fldChar w:fldCharType="separate"/>
      </w:r>
      <w:r>
        <w:t>18</w:t>
      </w:r>
      <w:r>
        <w:fldChar w:fldCharType="end"/>
      </w:r>
    </w:p>
    <w:p>
      <w:pPr>
        <w:pStyle w:val="TOC8"/>
        <w:rPr>
          <w:rFonts w:asciiTheme="minorHAnsi" w:eastAsiaTheme="minorEastAsia" w:hAnsiTheme="minorHAnsi" w:cstheme="minorBidi"/>
          <w:szCs w:val="22"/>
        </w:rPr>
      </w:pPr>
      <w:r>
        <w:t>22A</w:t>
      </w:r>
      <w:r>
        <w:rPr>
          <w:snapToGrid w:val="0"/>
        </w:rPr>
        <w:t>.</w:t>
      </w:r>
      <w:r>
        <w:rPr>
          <w:snapToGrid w:val="0"/>
        </w:rPr>
        <w:tab/>
        <w:t>Specified drugs</w:t>
      </w:r>
      <w:r>
        <w:tab/>
      </w:r>
      <w:r>
        <w:fldChar w:fldCharType="begin"/>
      </w:r>
      <w:r>
        <w:instrText xml:space="preserve"> PAGEREF _Toc524065339 \h </w:instrText>
      </w:r>
      <w:r>
        <w:fldChar w:fldCharType="separate"/>
      </w:r>
      <w:r>
        <w:t>18</w:t>
      </w:r>
      <w:r>
        <w:fldChar w:fldCharType="end"/>
      </w:r>
    </w:p>
    <w:p>
      <w:pPr>
        <w:pStyle w:val="TOC4"/>
        <w:tabs>
          <w:tab w:val="right" w:leader="dot" w:pos="7086"/>
        </w:tabs>
        <w:rPr>
          <w:rFonts w:asciiTheme="minorHAnsi" w:eastAsiaTheme="minorEastAsia" w:hAnsiTheme="minorHAnsi" w:cstheme="minorBidi"/>
          <w:b w:val="0"/>
          <w:szCs w:val="22"/>
        </w:rPr>
      </w:pPr>
      <w:r>
        <w:t>Division 2</w:t>
      </w:r>
      <w:r>
        <w:rPr>
          <w:snapToGrid w:val="0"/>
        </w:rPr>
        <w:t> — </w:t>
      </w:r>
      <w:r>
        <w:t>Sale of poisons</w:t>
      </w:r>
    </w:p>
    <w:p>
      <w:pPr>
        <w:pStyle w:val="TOC8"/>
        <w:rPr>
          <w:rFonts w:asciiTheme="minorHAnsi" w:eastAsiaTheme="minorEastAsia" w:hAnsiTheme="minorHAnsi" w:cstheme="minorBidi"/>
          <w:szCs w:val="22"/>
        </w:rPr>
      </w:pPr>
      <w:r>
        <w:t>23</w:t>
      </w:r>
      <w:r>
        <w:rPr>
          <w:snapToGrid w:val="0"/>
        </w:rPr>
        <w:t>.</w:t>
      </w:r>
      <w:r>
        <w:rPr>
          <w:snapToGrid w:val="0"/>
        </w:rPr>
        <w:tab/>
        <w:t>Persons authorised to sell poisons</w:t>
      </w:r>
      <w:r>
        <w:tab/>
      </w:r>
      <w:r>
        <w:fldChar w:fldCharType="begin"/>
      </w:r>
      <w:r>
        <w:instrText xml:space="preserve"> PAGEREF _Toc524065341 \h </w:instrText>
      </w:r>
      <w:r>
        <w:fldChar w:fldCharType="separate"/>
      </w:r>
      <w:r>
        <w:t>19</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Licences to manufacture or sell poisons</w:t>
      </w:r>
      <w:r>
        <w:tab/>
      </w:r>
      <w:r>
        <w:fldChar w:fldCharType="begin"/>
      </w:r>
      <w:r>
        <w:instrText xml:space="preserve"> PAGEREF _Toc524065342 \h </w:instrText>
      </w:r>
      <w:r>
        <w:fldChar w:fldCharType="separate"/>
      </w:r>
      <w:r>
        <w:t>21</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Permits to purchase poisons for specified purposes</w:t>
      </w:r>
      <w:r>
        <w:tab/>
      </w:r>
      <w:r>
        <w:fldChar w:fldCharType="begin"/>
      </w:r>
      <w:r>
        <w:instrText xml:space="preserve"> PAGEREF _Toc524065343 \h </w:instrText>
      </w:r>
      <w:r>
        <w:fldChar w:fldCharType="separate"/>
      </w:r>
      <w:r>
        <w:t>23</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Form of licences and permits</w:t>
      </w:r>
      <w:r>
        <w:tab/>
      </w:r>
      <w:r>
        <w:fldChar w:fldCharType="begin"/>
      </w:r>
      <w:r>
        <w:instrText xml:space="preserve"> PAGEREF _Toc524065344 \h </w:instrText>
      </w:r>
      <w:r>
        <w:fldChar w:fldCharType="separate"/>
      </w:r>
      <w:r>
        <w:t>23</w:t>
      </w:r>
      <w:r>
        <w:fldChar w:fldCharType="end"/>
      </w:r>
    </w:p>
    <w:p>
      <w:pPr>
        <w:pStyle w:val="TOC8"/>
        <w:rPr>
          <w:rFonts w:asciiTheme="minorHAnsi" w:eastAsiaTheme="minorEastAsia" w:hAnsiTheme="minorHAnsi" w:cstheme="minorBidi"/>
          <w:szCs w:val="22"/>
        </w:rPr>
      </w:pPr>
      <w:r>
        <w:t>26A</w:t>
      </w:r>
      <w:r>
        <w:rPr>
          <w:snapToGrid w:val="0"/>
        </w:rPr>
        <w:t>.</w:t>
      </w:r>
      <w:r>
        <w:rPr>
          <w:snapToGrid w:val="0"/>
        </w:rPr>
        <w:tab/>
        <w:t>Conditions</w:t>
      </w:r>
      <w:r>
        <w:tab/>
      </w:r>
      <w:r>
        <w:fldChar w:fldCharType="begin"/>
      </w:r>
      <w:r>
        <w:instrText xml:space="preserve"> PAGEREF _Toc524065345 \h </w:instrText>
      </w:r>
      <w:r>
        <w:fldChar w:fldCharType="separate"/>
      </w:r>
      <w:r>
        <w:t>24</w:t>
      </w:r>
      <w:r>
        <w:fldChar w:fldCharType="end"/>
      </w:r>
    </w:p>
    <w:p>
      <w:pPr>
        <w:pStyle w:val="TOC8"/>
        <w:rPr>
          <w:rFonts w:asciiTheme="minorHAnsi" w:eastAsiaTheme="minorEastAsia" w:hAnsiTheme="minorHAnsi" w:cstheme="minorBidi"/>
          <w:szCs w:val="22"/>
        </w:rPr>
      </w:pPr>
      <w:r>
        <w:t>26B</w:t>
      </w:r>
      <w:r>
        <w:rPr>
          <w:snapToGrid w:val="0"/>
        </w:rPr>
        <w:t>.</w:t>
      </w:r>
      <w:r>
        <w:rPr>
          <w:snapToGrid w:val="0"/>
        </w:rPr>
        <w:tab/>
        <w:t>Duration of licences and permits</w:t>
      </w:r>
      <w:r>
        <w:tab/>
      </w:r>
      <w:r>
        <w:fldChar w:fldCharType="begin"/>
      </w:r>
      <w:r>
        <w:instrText xml:space="preserve"> PAGEREF _Toc524065346 \h </w:instrText>
      </w:r>
      <w:r>
        <w:fldChar w:fldCharType="separate"/>
      </w:r>
      <w:r>
        <w:t>24</w:t>
      </w:r>
      <w:r>
        <w:fldChar w:fldCharType="end"/>
      </w:r>
    </w:p>
    <w:p>
      <w:pPr>
        <w:pStyle w:val="TOC8"/>
        <w:rPr>
          <w:rFonts w:asciiTheme="minorHAnsi" w:eastAsiaTheme="minorEastAsia" w:hAnsiTheme="minorHAnsi" w:cstheme="minorBidi"/>
          <w:szCs w:val="22"/>
        </w:rPr>
      </w:pPr>
      <w:r>
        <w:t>27</w:t>
      </w:r>
      <w:r>
        <w:rPr>
          <w:snapToGrid w:val="0"/>
        </w:rPr>
        <w:t>.</w:t>
      </w:r>
      <w:r>
        <w:rPr>
          <w:snapToGrid w:val="0"/>
        </w:rPr>
        <w:tab/>
        <w:t>Fees for licences, permits and renewals</w:t>
      </w:r>
      <w:r>
        <w:tab/>
      </w:r>
      <w:r>
        <w:fldChar w:fldCharType="begin"/>
      </w:r>
      <w:r>
        <w:instrText xml:space="preserve"> PAGEREF _Toc524065347 \h </w:instrText>
      </w:r>
      <w:r>
        <w:fldChar w:fldCharType="separate"/>
      </w:r>
      <w:r>
        <w:t>25</w:t>
      </w:r>
      <w:r>
        <w:fldChar w:fldCharType="end"/>
      </w:r>
    </w:p>
    <w:p>
      <w:pPr>
        <w:pStyle w:val="TOC8"/>
        <w:rPr>
          <w:rFonts w:asciiTheme="minorHAnsi" w:eastAsiaTheme="minorEastAsia" w:hAnsiTheme="minorHAnsi" w:cstheme="minorBidi"/>
          <w:szCs w:val="22"/>
        </w:rPr>
      </w:pPr>
      <w:r>
        <w:t>28</w:t>
      </w:r>
      <w:r>
        <w:rPr>
          <w:snapToGrid w:val="0"/>
        </w:rPr>
        <w:t>.</w:t>
      </w:r>
      <w:r>
        <w:rPr>
          <w:snapToGrid w:val="0"/>
        </w:rPr>
        <w:tab/>
      </w:r>
      <w:r>
        <w:t xml:space="preserve">CEO </w:t>
      </w:r>
      <w:r>
        <w:rPr>
          <w:snapToGrid w:val="0"/>
        </w:rPr>
        <w:t>may cancel, suspend or revoke licence or permit</w:t>
      </w:r>
      <w:r>
        <w:tab/>
      </w:r>
      <w:r>
        <w:fldChar w:fldCharType="begin"/>
      </w:r>
      <w:r>
        <w:instrText xml:space="preserve"> PAGEREF _Toc524065348 \h </w:instrText>
      </w:r>
      <w:r>
        <w:fldChar w:fldCharType="separate"/>
      </w:r>
      <w:r>
        <w:t>25</w:t>
      </w:r>
      <w:r>
        <w:fldChar w:fldCharType="end"/>
      </w:r>
    </w:p>
    <w:p>
      <w:pPr>
        <w:pStyle w:val="TOC8"/>
        <w:rPr>
          <w:rFonts w:asciiTheme="minorHAnsi" w:eastAsiaTheme="minorEastAsia" w:hAnsiTheme="minorHAnsi" w:cstheme="minorBidi"/>
          <w:szCs w:val="22"/>
        </w:rPr>
      </w:pPr>
      <w:r>
        <w:t>29</w:t>
      </w:r>
      <w:r>
        <w:rPr>
          <w:snapToGrid w:val="0"/>
        </w:rPr>
        <w:t>.</w:t>
      </w:r>
      <w:r>
        <w:rPr>
          <w:snapToGrid w:val="0"/>
        </w:rPr>
        <w:tab/>
        <w:t xml:space="preserve">Application to SAT for review of order of </w:t>
      </w:r>
      <w:r>
        <w:t>CEO</w:t>
      </w:r>
      <w:r>
        <w:tab/>
      </w:r>
      <w:r>
        <w:fldChar w:fldCharType="begin"/>
      </w:r>
      <w:r>
        <w:instrText xml:space="preserve"> PAGEREF _Toc524065349 \h </w:instrText>
      </w:r>
      <w:r>
        <w:fldChar w:fldCharType="separate"/>
      </w:r>
      <w:r>
        <w:t>25</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Licence not to be granted to company or friendly society</w:t>
      </w:r>
      <w:r>
        <w:tab/>
      </w:r>
      <w:r>
        <w:fldChar w:fldCharType="begin"/>
      </w:r>
      <w:r>
        <w:instrText xml:space="preserve"> PAGEREF _Toc524065350 \h </w:instrText>
      </w:r>
      <w:r>
        <w:fldChar w:fldCharType="separate"/>
      </w:r>
      <w:r>
        <w:t>26</w:t>
      </w:r>
      <w:r>
        <w:fldChar w:fldCharType="end"/>
      </w:r>
    </w:p>
    <w:p>
      <w:pPr>
        <w:pStyle w:val="TOC4"/>
        <w:tabs>
          <w:tab w:val="right" w:leader="dot" w:pos="7086"/>
        </w:tabs>
        <w:rPr>
          <w:rFonts w:asciiTheme="minorHAnsi" w:eastAsiaTheme="minorEastAsia" w:hAnsiTheme="minorHAnsi" w:cstheme="minorBidi"/>
          <w:b w:val="0"/>
          <w:szCs w:val="22"/>
        </w:rPr>
      </w:pPr>
      <w:r>
        <w:t>Division 3</w:t>
      </w:r>
      <w:r>
        <w:rPr>
          <w:snapToGrid w:val="0"/>
        </w:rPr>
        <w:t> — </w:t>
      </w:r>
      <w:r>
        <w:t>General provisions</w:t>
      </w:r>
    </w:p>
    <w:p>
      <w:pPr>
        <w:pStyle w:val="TOC8"/>
        <w:rPr>
          <w:rFonts w:asciiTheme="minorHAnsi" w:eastAsiaTheme="minorEastAsia" w:hAnsiTheme="minorHAnsi" w:cstheme="minorBidi"/>
          <w:szCs w:val="22"/>
        </w:rPr>
      </w:pPr>
      <w:r>
        <w:t>31</w:t>
      </w:r>
      <w:r>
        <w:rPr>
          <w:snapToGrid w:val="0"/>
        </w:rPr>
        <w:t>.</w:t>
      </w:r>
      <w:r>
        <w:rPr>
          <w:snapToGrid w:val="0"/>
        </w:rPr>
        <w:tab/>
        <w:t>Sales of poison to be recorded in a book</w:t>
      </w:r>
      <w:r>
        <w:tab/>
      </w:r>
      <w:r>
        <w:fldChar w:fldCharType="begin"/>
      </w:r>
      <w:r>
        <w:instrText xml:space="preserve"> PAGEREF _Toc524065352 \h </w:instrText>
      </w:r>
      <w:r>
        <w:fldChar w:fldCharType="separate"/>
      </w:r>
      <w:r>
        <w:t>27</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Unauthorised sales of poisons</w:t>
      </w:r>
      <w:r>
        <w:tab/>
      </w:r>
      <w:r>
        <w:fldChar w:fldCharType="begin"/>
      </w:r>
      <w:r>
        <w:instrText xml:space="preserve"> PAGEREF _Toc524065353 \h </w:instrText>
      </w:r>
      <w:r>
        <w:fldChar w:fldCharType="separate"/>
      </w:r>
      <w:r>
        <w:t>27</w:t>
      </w:r>
      <w:r>
        <w:fldChar w:fldCharType="end"/>
      </w:r>
    </w:p>
    <w:p>
      <w:pPr>
        <w:pStyle w:val="TOC8"/>
        <w:rPr>
          <w:rFonts w:asciiTheme="minorHAnsi" w:eastAsiaTheme="minorEastAsia" w:hAnsiTheme="minorHAnsi" w:cstheme="minorBidi"/>
          <w:szCs w:val="22"/>
        </w:rPr>
      </w:pPr>
      <w:r>
        <w:t>33</w:t>
      </w:r>
      <w:r>
        <w:rPr>
          <w:snapToGrid w:val="0"/>
        </w:rPr>
        <w:t>.</w:t>
      </w:r>
      <w:r>
        <w:rPr>
          <w:snapToGrid w:val="0"/>
        </w:rPr>
        <w:tab/>
        <w:t>Wholesaler not to sell by retail</w:t>
      </w:r>
      <w:r>
        <w:tab/>
      </w:r>
      <w:r>
        <w:fldChar w:fldCharType="begin"/>
      </w:r>
      <w:r>
        <w:instrText xml:space="preserve"> PAGEREF _Toc524065354 \h </w:instrText>
      </w:r>
      <w:r>
        <w:fldChar w:fldCharType="separate"/>
      </w:r>
      <w:r>
        <w:t>28</w:t>
      </w:r>
      <w:r>
        <w:fldChar w:fldCharType="end"/>
      </w:r>
    </w:p>
    <w:p>
      <w:pPr>
        <w:pStyle w:val="TOC8"/>
        <w:rPr>
          <w:rFonts w:asciiTheme="minorHAnsi" w:eastAsiaTheme="minorEastAsia" w:hAnsiTheme="minorHAnsi" w:cstheme="minorBidi"/>
          <w:szCs w:val="22"/>
        </w:rPr>
      </w:pPr>
      <w:r>
        <w:t>34</w:t>
      </w:r>
      <w:r>
        <w:rPr>
          <w:snapToGrid w:val="0"/>
        </w:rPr>
        <w:t>.</w:t>
      </w:r>
      <w:r>
        <w:rPr>
          <w:snapToGrid w:val="0"/>
        </w:rPr>
        <w:tab/>
        <w:t>Sales to certain persons prohibited</w:t>
      </w:r>
      <w:r>
        <w:tab/>
      </w:r>
      <w:r>
        <w:fldChar w:fldCharType="begin"/>
      </w:r>
      <w:r>
        <w:instrText xml:space="preserve"> PAGEREF _Toc524065355 \h </w:instrText>
      </w:r>
      <w:r>
        <w:fldChar w:fldCharType="separate"/>
      </w:r>
      <w:r>
        <w:t>28</w:t>
      </w:r>
      <w:r>
        <w:fldChar w:fldCharType="end"/>
      </w:r>
    </w:p>
    <w:p>
      <w:pPr>
        <w:pStyle w:val="TOC8"/>
        <w:rPr>
          <w:rFonts w:asciiTheme="minorHAnsi" w:eastAsiaTheme="minorEastAsia" w:hAnsiTheme="minorHAnsi" w:cstheme="minorBidi"/>
          <w:szCs w:val="22"/>
        </w:rPr>
      </w:pPr>
      <w:r>
        <w:t>35</w:t>
      </w:r>
      <w:r>
        <w:rPr>
          <w:snapToGrid w:val="0"/>
        </w:rPr>
        <w:t>.</w:t>
      </w:r>
      <w:r>
        <w:rPr>
          <w:snapToGrid w:val="0"/>
        </w:rPr>
        <w:tab/>
        <w:t>Making false declarations</w:t>
      </w:r>
      <w:r>
        <w:tab/>
      </w:r>
      <w:r>
        <w:fldChar w:fldCharType="begin"/>
      </w:r>
      <w:r>
        <w:instrText xml:space="preserve"> PAGEREF _Toc524065356 \h </w:instrText>
      </w:r>
      <w:r>
        <w:fldChar w:fldCharType="separate"/>
      </w:r>
      <w:r>
        <w:t>28</w:t>
      </w:r>
      <w:r>
        <w:fldChar w:fldCharType="end"/>
      </w:r>
    </w:p>
    <w:p>
      <w:pPr>
        <w:pStyle w:val="TOC8"/>
        <w:rPr>
          <w:rFonts w:asciiTheme="minorHAnsi" w:eastAsiaTheme="minorEastAsia" w:hAnsiTheme="minorHAnsi" w:cstheme="minorBidi"/>
          <w:szCs w:val="22"/>
        </w:rPr>
      </w:pPr>
      <w:r>
        <w:t>36</w:t>
      </w:r>
      <w:r>
        <w:rPr>
          <w:snapToGrid w:val="0"/>
        </w:rPr>
        <w:t>.</w:t>
      </w:r>
      <w:r>
        <w:rPr>
          <w:snapToGrid w:val="0"/>
        </w:rPr>
        <w:tab/>
        <w:t>Drugs not to be used for self administration</w:t>
      </w:r>
      <w:r>
        <w:tab/>
      </w:r>
      <w:r>
        <w:fldChar w:fldCharType="begin"/>
      </w:r>
      <w:r>
        <w:instrText xml:space="preserve"> PAGEREF _Toc524065357 \h </w:instrText>
      </w:r>
      <w:r>
        <w:fldChar w:fldCharType="separate"/>
      </w:r>
      <w:r>
        <w:t>29</w:t>
      </w:r>
      <w:r>
        <w:fldChar w:fldCharType="end"/>
      </w:r>
    </w:p>
    <w:p>
      <w:pPr>
        <w:pStyle w:val="TOC8"/>
        <w:rPr>
          <w:rFonts w:asciiTheme="minorHAnsi" w:eastAsiaTheme="minorEastAsia" w:hAnsiTheme="minorHAnsi" w:cstheme="minorBidi"/>
          <w:szCs w:val="22"/>
        </w:rPr>
      </w:pPr>
      <w:r>
        <w:t>36A</w:t>
      </w:r>
      <w:r>
        <w:rPr>
          <w:snapToGrid w:val="0"/>
        </w:rPr>
        <w:t>.</w:t>
      </w:r>
      <w:r>
        <w:rPr>
          <w:snapToGrid w:val="0"/>
        </w:rPr>
        <w:tab/>
        <w:t>Defence for persons participating in conduct of needle and syringe programmes</w:t>
      </w:r>
      <w:r>
        <w:tab/>
      </w:r>
      <w:r>
        <w:fldChar w:fldCharType="begin"/>
      </w:r>
      <w:r>
        <w:instrText xml:space="preserve"> PAGEREF _Toc524065358 \h </w:instrText>
      </w:r>
      <w:r>
        <w:fldChar w:fldCharType="separate"/>
      </w:r>
      <w:r>
        <w:t>29</w:t>
      </w:r>
      <w:r>
        <w:fldChar w:fldCharType="end"/>
      </w:r>
    </w:p>
    <w:p>
      <w:pPr>
        <w:pStyle w:val="TOC8"/>
        <w:rPr>
          <w:rFonts w:asciiTheme="minorHAnsi" w:eastAsiaTheme="minorEastAsia" w:hAnsiTheme="minorHAnsi" w:cstheme="minorBidi"/>
          <w:szCs w:val="22"/>
        </w:rPr>
      </w:pPr>
      <w:r>
        <w:t>40</w:t>
      </w:r>
      <w:r>
        <w:rPr>
          <w:snapToGrid w:val="0"/>
        </w:rPr>
        <w:t>.</w:t>
      </w:r>
      <w:r>
        <w:rPr>
          <w:snapToGrid w:val="0"/>
        </w:rPr>
        <w:tab/>
        <w:t>Offences against this Part</w:t>
      </w:r>
      <w:r>
        <w:tab/>
      </w:r>
      <w:r>
        <w:fldChar w:fldCharType="begin"/>
      </w:r>
      <w:r>
        <w:instrText xml:space="preserve"> PAGEREF _Toc524065359 \h </w:instrText>
      </w:r>
      <w:r>
        <w:fldChar w:fldCharType="separate"/>
      </w:r>
      <w:r>
        <w:t>29</w:t>
      </w:r>
      <w:r>
        <w:fldChar w:fldCharType="end"/>
      </w:r>
    </w:p>
    <w:p>
      <w:pPr>
        <w:pStyle w:val="TOC2"/>
        <w:tabs>
          <w:tab w:val="right" w:leader="dot" w:pos="7086"/>
        </w:tabs>
        <w:rPr>
          <w:rFonts w:asciiTheme="minorHAnsi" w:eastAsiaTheme="minorEastAsia" w:hAnsiTheme="minorHAnsi" w:cstheme="minorBidi"/>
          <w:b w:val="0"/>
          <w:sz w:val="22"/>
          <w:szCs w:val="22"/>
        </w:rPr>
      </w:pPr>
      <w:r>
        <w:t>Part IV — Drugs of addiction</w:t>
      </w:r>
    </w:p>
    <w:p>
      <w:pPr>
        <w:pStyle w:val="TOC8"/>
        <w:rPr>
          <w:rFonts w:asciiTheme="minorHAnsi" w:eastAsiaTheme="minorEastAsia" w:hAnsiTheme="minorHAnsi" w:cstheme="minorBidi"/>
          <w:szCs w:val="22"/>
        </w:rPr>
      </w:pPr>
      <w:r>
        <w:t>41</w:t>
      </w:r>
      <w:r>
        <w:rPr>
          <w:snapToGrid w:val="0"/>
        </w:rPr>
        <w:t>.</w:t>
      </w:r>
      <w:r>
        <w:rPr>
          <w:snapToGrid w:val="0"/>
        </w:rPr>
        <w:tab/>
        <w:t>Use of Schedule 9 poisons for research etc.</w:t>
      </w:r>
      <w:r>
        <w:tab/>
      </w:r>
      <w:r>
        <w:fldChar w:fldCharType="begin"/>
      </w:r>
      <w:r>
        <w:instrText xml:space="preserve"> PAGEREF _Toc524065361 \h </w:instrText>
      </w:r>
      <w:r>
        <w:fldChar w:fldCharType="separate"/>
      </w:r>
      <w:r>
        <w:t>31</w:t>
      </w:r>
      <w:r>
        <w:fldChar w:fldCharType="end"/>
      </w:r>
    </w:p>
    <w:p>
      <w:pPr>
        <w:pStyle w:val="TOC8"/>
        <w:rPr>
          <w:rFonts w:asciiTheme="minorHAnsi" w:eastAsiaTheme="minorEastAsia" w:hAnsiTheme="minorHAnsi" w:cstheme="minorBidi"/>
          <w:szCs w:val="22"/>
        </w:rPr>
      </w:pPr>
      <w:r>
        <w:t>41A</w:t>
      </w:r>
      <w:r>
        <w:rPr>
          <w:snapToGrid w:val="0"/>
        </w:rPr>
        <w:t>.</w:t>
      </w:r>
      <w:r>
        <w:rPr>
          <w:snapToGrid w:val="0"/>
        </w:rPr>
        <w:tab/>
        <w:t>Licence to cultivate prohibited plants</w:t>
      </w:r>
      <w:r>
        <w:tab/>
      </w:r>
      <w:r>
        <w:fldChar w:fldCharType="begin"/>
      </w:r>
      <w:r>
        <w:instrText xml:space="preserve"> PAGEREF _Toc524065362 \h </w:instrText>
      </w:r>
      <w:r>
        <w:fldChar w:fldCharType="separate"/>
      </w:r>
      <w:r>
        <w:t>31</w:t>
      </w:r>
      <w:r>
        <w:fldChar w:fldCharType="end"/>
      </w:r>
    </w:p>
    <w:p>
      <w:pPr>
        <w:pStyle w:val="TOC8"/>
        <w:rPr>
          <w:rFonts w:asciiTheme="minorHAnsi" w:eastAsiaTheme="minorEastAsia" w:hAnsiTheme="minorHAnsi" w:cstheme="minorBidi"/>
          <w:szCs w:val="22"/>
        </w:rPr>
      </w:pPr>
      <w:r>
        <w:t>44</w:t>
      </w:r>
      <w:r>
        <w:rPr>
          <w:snapToGrid w:val="0"/>
        </w:rPr>
        <w:t>.</w:t>
      </w:r>
      <w:r>
        <w:rPr>
          <w:snapToGrid w:val="0"/>
        </w:rPr>
        <w:tab/>
        <w:t>Offences generally against this Part</w:t>
      </w:r>
      <w:r>
        <w:tab/>
      </w:r>
      <w:r>
        <w:fldChar w:fldCharType="begin"/>
      </w:r>
      <w:r>
        <w:instrText xml:space="preserve"> PAGEREF _Toc524065363 \h </w:instrText>
      </w:r>
      <w:r>
        <w:fldChar w:fldCharType="separate"/>
      </w:r>
      <w:r>
        <w:t>32</w:t>
      </w:r>
      <w:r>
        <w:fldChar w:fldCharType="end"/>
      </w:r>
    </w:p>
    <w:p>
      <w:pPr>
        <w:pStyle w:val="TOC8"/>
        <w:rPr>
          <w:rFonts w:asciiTheme="minorHAnsi" w:eastAsiaTheme="minorEastAsia" w:hAnsiTheme="minorHAnsi" w:cstheme="minorBidi"/>
          <w:szCs w:val="22"/>
        </w:rPr>
      </w:pPr>
      <w:r>
        <w:t>45</w:t>
      </w:r>
      <w:r>
        <w:rPr>
          <w:snapToGrid w:val="0"/>
        </w:rPr>
        <w:t>.</w:t>
      </w:r>
      <w:r>
        <w:rPr>
          <w:snapToGrid w:val="0"/>
        </w:rPr>
        <w:tab/>
        <w:t>Term used: corresponding law</w:t>
      </w:r>
      <w:r>
        <w:tab/>
      </w:r>
      <w:r>
        <w:fldChar w:fldCharType="begin"/>
      </w:r>
      <w:r>
        <w:instrText xml:space="preserve"> PAGEREF _Toc524065364 \h </w:instrText>
      </w:r>
      <w:r>
        <w:fldChar w:fldCharType="separate"/>
      </w:r>
      <w:r>
        <w:t>33</w:t>
      </w:r>
      <w:r>
        <w:fldChar w:fldCharType="end"/>
      </w:r>
    </w:p>
    <w:p>
      <w:pPr>
        <w:pStyle w:val="TOC2"/>
        <w:tabs>
          <w:tab w:val="right" w:leader="dot" w:pos="7086"/>
        </w:tabs>
        <w:rPr>
          <w:rFonts w:asciiTheme="minorHAnsi" w:eastAsiaTheme="minorEastAsia" w:hAnsiTheme="minorHAnsi" w:cstheme="minorBidi"/>
          <w:b w:val="0"/>
          <w:sz w:val="22"/>
          <w:szCs w:val="22"/>
        </w:rPr>
      </w:pPr>
      <w:r>
        <w:t>Part V — Miscellaneous provisions</w:t>
      </w:r>
    </w:p>
    <w:p>
      <w:pPr>
        <w:pStyle w:val="TOC8"/>
        <w:rPr>
          <w:rFonts w:asciiTheme="minorHAnsi" w:eastAsiaTheme="minorEastAsia" w:hAnsiTheme="minorHAnsi" w:cstheme="minorBidi"/>
          <w:szCs w:val="22"/>
        </w:rPr>
      </w:pPr>
      <w:r>
        <w:t>46</w:t>
      </w:r>
      <w:r>
        <w:rPr>
          <w:snapToGrid w:val="0"/>
        </w:rPr>
        <w:t>.</w:t>
      </w:r>
      <w:r>
        <w:rPr>
          <w:snapToGrid w:val="0"/>
        </w:rPr>
        <w:tab/>
        <w:t>Containers of poisons to be marked or labelled</w:t>
      </w:r>
      <w:r>
        <w:tab/>
      </w:r>
      <w:r>
        <w:fldChar w:fldCharType="begin"/>
      </w:r>
      <w:r>
        <w:instrText xml:space="preserve"> PAGEREF _Toc524065366 \h </w:instrText>
      </w:r>
      <w:r>
        <w:fldChar w:fldCharType="separate"/>
      </w:r>
      <w:r>
        <w:t>34</w:t>
      </w:r>
      <w:r>
        <w:fldChar w:fldCharType="end"/>
      </w:r>
    </w:p>
    <w:p>
      <w:pPr>
        <w:pStyle w:val="TOC8"/>
        <w:rPr>
          <w:rFonts w:asciiTheme="minorHAnsi" w:eastAsiaTheme="minorEastAsia" w:hAnsiTheme="minorHAnsi" w:cstheme="minorBidi"/>
          <w:szCs w:val="22"/>
        </w:rPr>
      </w:pPr>
      <w:r>
        <w:t>47</w:t>
      </w:r>
      <w:r>
        <w:rPr>
          <w:snapToGrid w:val="0"/>
        </w:rPr>
        <w:t>.</w:t>
      </w:r>
      <w:r>
        <w:rPr>
          <w:snapToGrid w:val="0"/>
        </w:rPr>
        <w:tab/>
        <w:t>Medicines for internal use not to be sold in certain packages or containers</w:t>
      </w:r>
      <w:r>
        <w:tab/>
      </w:r>
      <w:r>
        <w:fldChar w:fldCharType="begin"/>
      </w:r>
      <w:r>
        <w:instrText xml:space="preserve"> PAGEREF _Toc524065367 \h </w:instrText>
      </w:r>
      <w:r>
        <w:fldChar w:fldCharType="separate"/>
      </w:r>
      <w:r>
        <w:t>34</w:t>
      </w:r>
      <w:r>
        <w:fldChar w:fldCharType="end"/>
      </w:r>
    </w:p>
    <w:p>
      <w:pPr>
        <w:pStyle w:val="TOC8"/>
        <w:rPr>
          <w:rFonts w:asciiTheme="minorHAnsi" w:eastAsiaTheme="minorEastAsia" w:hAnsiTheme="minorHAnsi" w:cstheme="minorBidi"/>
          <w:szCs w:val="22"/>
        </w:rPr>
      </w:pPr>
      <w:r>
        <w:t>48</w:t>
      </w:r>
      <w:r>
        <w:rPr>
          <w:snapToGrid w:val="0"/>
        </w:rPr>
        <w:t>.</w:t>
      </w:r>
      <w:r>
        <w:rPr>
          <w:snapToGrid w:val="0"/>
        </w:rPr>
        <w:tab/>
        <w:t>Prohibition against hawking etc.</w:t>
      </w:r>
      <w:r>
        <w:tab/>
      </w:r>
      <w:r>
        <w:fldChar w:fldCharType="begin"/>
      </w:r>
      <w:r>
        <w:instrText xml:space="preserve"> PAGEREF _Toc524065368 \h </w:instrText>
      </w:r>
      <w:r>
        <w:fldChar w:fldCharType="separate"/>
      </w:r>
      <w:r>
        <w:t>34</w:t>
      </w:r>
      <w:r>
        <w:fldChar w:fldCharType="end"/>
      </w:r>
    </w:p>
    <w:p>
      <w:pPr>
        <w:pStyle w:val="TOC8"/>
        <w:rPr>
          <w:rFonts w:asciiTheme="minorHAnsi" w:eastAsiaTheme="minorEastAsia" w:hAnsiTheme="minorHAnsi" w:cstheme="minorBidi"/>
          <w:szCs w:val="22"/>
        </w:rPr>
      </w:pPr>
      <w:r>
        <w:t>49</w:t>
      </w:r>
      <w:r>
        <w:rPr>
          <w:snapToGrid w:val="0"/>
        </w:rPr>
        <w:t>.</w:t>
      </w:r>
      <w:r>
        <w:rPr>
          <w:snapToGrid w:val="0"/>
        </w:rPr>
        <w:tab/>
        <w:t>Prohibition against selling by automatic machines</w:t>
      </w:r>
      <w:r>
        <w:tab/>
      </w:r>
      <w:r>
        <w:fldChar w:fldCharType="begin"/>
      </w:r>
      <w:r>
        <w:instrText xml:space="preserve"> PAGEREF _Toc524065369 \h </w:instrText>
      </w:r>
      <w:r>
        <w:fldChar w:fldCharType="separate"/>
      </w:r>
      <w:r>
        <w:t>35</w:t>
      </w:r>
      <w:r>
        <w:fldChar w:fldCharType="end"/>
      </w:r>
    </w:p>
    <w:p>
      <w:pPr>
        <w:pStyle w:val="TOC8"/>
        <w:rPr>
          <w:rFonts w:asciiTheme="minorHAnsi" w:eastAsiaTheme="minorEastAsia" w:hAnsiTheme="minorHAnsi" w:cstheme="minorBidi"/>
          <w:szCs w:val="22"/>
        </w:rPr>
      </w:pPr>
      <w:r>
        <w:t>50</w:t>
      </w:r>
      <w:r>
        <w:rPr>
          <w:snapToGrid w:val="0"/>
        </w:rPr>
        <w:t>.</w:t>
      </w:r>
      <w:r>
        <w:rPr>
          <w:snapToGrid w:val="0"/>
        </w:rPr>
        <w:tab/>
        <w:t>Leaving poisons unlabelled an offence</w:t>
      </w:r>
      <w:r>
        <w:tab/>
      </w:r>
      <w:r>
        <w:fldChar w:fldCharType="begin"/>
      </w:r>
      <w:r>
        <w:instrText xml:space="preserve"> PAGEREF _Toc524065370 \h </w:instrText>
      </w:r>
      <w:r>
        <w:fldChar w:fldCharType="separate"/>
      </w:r>
      <w:r>
        <w:t>36</w:t>
      </w:r>
      <w:r>
        <w:fldChar w:fldCharType="end"/>
      </w:r>
    </w:p>
    <w:p>
      <w:pPr>
        <w:pStyle w:val="TOC2"/>
        <w:tabs>
          <w:tab w:val="right" w:leader="dot" w:pos="7086"/>
        </w:tabs>
        <w:rPr>
          <w:rFonts w:asciiTheme="minorHAnsi" w:eastAsiaTheme="minorEastAsia" w:hAnsiTheme="minorHAnsi" w:cstheme="minorBidi"/>
          <w:b w:val="0"/>
          <w:sz w:val="22"/>
          <w:szCs w:val="22"/>
        </w:rPr>
      </w:pPr>
      <w:r>
        <w:t>Part VI — Supplementary provisions</w:t>
      </w:r>
    </w:p>
    <w:p>
      <w:pPr>
        <w:pStyle w:val="TOC8"/>
        <w:rPr>
          <w:rFonts w:asciiTheme="minorHAnsi" w:eastAsiaTheme="minorEastAsia" w:hAnsiTheme="minorHAnsi" w:cstheme="minorBidi"/>
          <w:szCs w:val="22"/>
        </w:rPr>
      </w:pPr>
      <w:r>
        <w:t>52</w:t>
      </w:r>
      <w:r>
        <w:rPr>
          <w:snapToGrid w:val="0"/>
        </w:rPr>
        <w:t>.</w:t>
      </w:r>
      <w:r>
        <w:rPr>
          <w:snapToGrid w:val="0"/>
        </w:rPr>
        <w:tab/>
        <w:t>Orders in Council may be cancelled or amended</w:t>
      </w:r>
      <w:r>
        <w:tab/>
      </w:r>
      <w:r>
        <w:fldChar w:fldCharType="begin"/>
      </w:r>
      <w:r>
        <w:instrText xml:space="preserve"> PAGEREF _Toc524065372 \h </w:instrText>
      </w:r>
      <w:r>
        <w:fldChar w:fldCharType="separate"/>
      </w:r>
      <w:r>
        <w:t>37</w:t>
      </w:r>
      <w:r>
        <w:fldChar w:fldCharType="end"/>
      </w:r>
    </w:p>
    <w:p>
      <w:pPr>
        <w:pStyle w:val="TOC8"/>
        <w:rPr>
          <w:rFonts w:asciiTheme="minorHAnsi" w:eastAsiaTheme="minorEastAsia" w:hAnsiTheme="minorHAnsi" w:cstheme="minorBidi"/>
          <w:szCs w:val="22"/>
        </w:rPr>
      </w:pPr>
      <w:r>
        <w:t>52A</w:t>
      </w:r>
      <w:r>
        <w:rPr>
          <w:snapToGrid w:val="0"/>
        </w:rPr>
        <w:t>.</w:t>
      </w:r>
      <w:r>
        <w:rPr>
          <w:snapToGrid w:val="0"/>
        </w:rPr>
        <w:tab/>
        <w:t>Minister may declare person to be authorised officer</w:t>
      </w:r>
      <w:r>
        <w:tab/>
      </w:r>
      <w:r>
        <w:fldChar w:fldCharType="begin"/>
      </w:r>
      <w:r>
        <w:instrText xml:space="preserve"> PAGEREF _Toc524065373 \h </w:instrText>
      </w:r>
      <w:r>
        <w:fldChar w:fldCharType="separate"/>
      </w:r>
      <w:r>
        <w:t>37</w:t>
      </w:r>
      <w:r>
        <w:fldChar w:fldCharType="end"/>
      </w:r>
    </w:p>
    <w:p>
      <w:pPr>
        <w:pStyle w:val="TOC8"/>
        <w:rPr>
          <w:rFonts w:asciiTheme="minorHAnsi" w:eastAsiaTheme="minorEastAsia" w:hAnsiTheme="minorHAnsi" w:cstheme="minorBidi"/>
          <w:szCs w:val="22"/>
        </w:rPr>
      </w:pPr>
      <w:r>
        <w:t>53</w:t>
      </w:r>
      <w:r>
        <w:rPr>
          <w:snapToGrid w:val="0"/>
        </w:rPr>
        <w:t>.</w:t>
      </w:r>
      <w:r>
        <w:rPr>
          <w:snapToGrid w:val="0"/>
        </w:rPr>
        <w:tab/>
        <w:t>Apprehension of offenders</w:t>
      </w:r>
      <w:r>
        <w:tab/>
      </w:r>
      <w:r>
        <w:fldChar w:fldCharType="begin"/>
      </w:r>
      <w:r>
        <w:instrText xml:space="preserve"> PAGEREF _Toc524065374 \h </w:instrText>
      </w:r>
      <w:r>
        <w:fldChar w:fldCharType="separate"/>
      </w:r>
      <w:r>
        <w:t>37</w:t>
      </w:r>
      <w:r>
        <w:fldChar w:fldCharType="end"/>
      </w:r>
    </w:p>
    <w:p>
      <w:pPr>
        <w:pStyle w:val="TOC8"/>
        <w:rPr>
          <w:rFonts w:asciiTheme="minorHAnsi" w:eastAsiaTheme="minorEastAsia" w:hAnsiTheme="minorHAnsi" w:cstheme="minorBidi"/>
          <w:szCs w:val="22"/>
        </w:rPr>
      </w:pPr>
      <w:r>
        <w:t>54</w:t>
      </w:r>
      <w:r>
        <w:rPr>
          <w:snapToGrid w:val="0"/>
        </w:rPr>
        <w:t>.</w:t>
      </w:r>
      <w:r>
        <w:rPr>
          <w:snapToGrid w:val="0"/>
        </w:rPr>
        <w:tab/>
        <w:t>Routine inspection</w:t>
      </w:r>
      <w:r>
        <w:tab/>
      </w:r>
      <w:r>
        <w:fldChar w:fldCharType="begin"/>
      </w:r>
      <w:r>
        <w:instrText xml:space="preserve"> PAGEREF _Toc524065375 \h </w:instrText>
      </w:r>
      <w:r>
        <w:fldChar w:fldCharType="separate"/>
      </w:r>
      <w:r>
        <w:t>38</w:t>
      </w:r>
      <w:r>
        <w:fldChar w:fldCharType="end"/>
      </w:r>
    </w:p>
    <w:p>
      <w:pPr>
        <w:pStyle w:val="TOC8"/>
        <w:rPr>
          <w:rFonts w:asciiTheme="minorHAnsi" w:eastAsiaTheme="minorEastAsia" w:hAnsiTheme="minorHAnsi" w:cstheme="minorBidi"/>
          <w:szCs w:val="22"/>
        </w:rPr>
      </w:pPr>
      <w:r>
        <w:t>55</w:t>
      </w:r>
      <w:r>
        <w:rPr>
          <w:snapToGrid w:val="0"/>
        </w:rPr>
        <w:t>.</w:t>
      </w:r>
      <w:r>
        <w:rPr>
          <w:snapToGrid w:val="0"/>
        </w:rPr>
        <w:tab/>
        <w:t>Powers in respect of premises, vehicles or vessels if offence suspected of being committed</w:t>
      </w:r>
      <w:r>
        <w:tab/>
      </w:r>
      <w:r>
        <w:fldChar w:fldCharType="begin"/>
      </w:r>
      <w:r>
        <w:instrText xml:space="preserve"> PAGEREF _Toc524065376 \h </w:instrText>
      </w:r>
      <w:r>
        <w:fldChar w:fldCharType="separate"/>
      </w:r>
      <w:r>
        <w:t>39</w:t>
      </w:r>
      <w:r>
        <w:fldChar w:fldCharType="end"/>
      </w:r>
    </w:p>
    <w:p>
      <w:pPr>
        <w:pStyle w:val="TOC8"/>
        <w:rPr>
          <w:rFonts w:asciiTheme="minorHAnsi" w:eastAsiaTheme="minorEastAsia" w:hAnsiTheme="minorHAnsi" w:cstheme="minorBidi"/>
          <w:szCs w:val="22"/>
        </w:rPr>
      </w:pPr>
      <w:r>
        <w:t>55A</w:t>
      </w:r>
      <w:r>
        <w:rPr>
          <w:snapToGrid w:val="0"/>
        </w:rPr>
        <w:t>.</w:t>
      </w:r>
      <w:r>
        <w:rPr>
          <w:snapToGrid w:val="0"/>
        </w:rPr>
        <w:tab/>
        <w:t>Warrants</w:t>
      </w:r>
      <w:r>
        <w:tab/>
      </w:r>
      <w:r>
        <w:fldChar w:fldCharType="begin"/>
      </w:r>
      <w:r>
        <w:instrText xml:space="preserve"> PAGEREF _Toc524065377 \h </w:instrText>
      </w:r>
      <w:r>
        <w:fldChar w:fldCharType="separate"/>
      </w:r>
      <w:r>
        <w:t>40</w:t>
      </w:r>
      <w:r>
        <w:fldChar w:fldCharType="end"/>
      </w:r>
    </w:p>
    <w:p>
      <w:pPr>
        <w:pStyle w:val="TOC8"/>
        <w:rPr>
          <w:rFonts w:asciiTheme="minorHAnsi" w:eastAsiaTheme="minorEastAsia" w:hAnsiTheme="minorHAnsi" w:cstheme="minorBidi"/>
          <w:szCs w:val="22"/>
        </w:rPr>
      </w:pPr>
      <w:r>
        <w:t>55B</w:t>
      </w:r>
      <w:r>
        <w:rPr>
          <w:snapToGrid w:val="0"/>
        </w:rPr>
        <w:t>.</w:t>
      </w:r>
      <w:r>
        <w:rPr>
          <w:snapToGrid w:val="0"/>
        </w:rPr>
        <w:tab/>
        <w:t>Person not to hinder or obstruct authorised officer</w:t>
      </w:r>
      <w:r>
        <w:tab/>
      </w:r>
      <w:r>
        <w:fldChar w:fldCharType="begin"/>
      </w:r>
      <w:r>
        <w:instrText xml:space="preserve"> PAGEREF _Toc524065378 \h </w:instrText>
      </w:r>
      <w:r>
        <w:fldChar w:fldCharType="separate"/>
      </w:r>
      <w:r>
        <w:t>40</w:t>
      </w:r>
      <w:r>
        <w:fldChar w:fldCharType="end"/>
      </w:r>
    </w:p>
    <w:p>
      <w:pPr>
        <w:pStyle w:val="TOC8"/>
        <w:rPr>
          <w:rFonts w:asciiTheme="minorHAnsi" w:eastAsiaTheme="minorEastAsia" w:hAnsiTheme="minorHAnsi" w:cstheme="minorBidi"/>
          <w:szCs w:val="22"/>
        </w:rPr>
      </w:pPr>
      <w:r>
        <w:t>55C</w:t>
      </w:r>
      <w:r>
        <w:rPr>
          <w:snapToGrid w:val="0"/>
        </w:rPr>
        <w:t>.</w:t>
      </w:r>
      <w:r>
        <w:rPr>
          <w:snapToGrid w:val="0"/>
        </w:rPr>
        <w:tab/>
      </w:r>
      <w:r>
        <w:rPr>
          <w:iCs/>
          <w:snapToGrid w:val="0"/>
        </w:rPr>
        <w:t xml:space="preserve">Sections 54 to 55A do not derogate from </w:t>
      </w:r>
      <w:r>
        <w:rPr>
          <w:i/>
          <w:snapToGrid w:val="0"/>
        </w:rPr>
        <w:t>Health Practitioner Regulation National Law (Western Australia)</w:t>
      </w:r>
      <w:r>
        <w:rPr>
          <w:iCs/>
          <w:snapToGrid w:val="0"/>
        </w:rPr>
        <w:t xml:space="preserve"> or </w:t>
      </w:r>
      <w:r>
        <w:rPr>
          <w:i/>
          <w:snapToGrid w:val="0"/>
        </w:rPr>
        <w:t>Misuse of Drugs Act 1981</w:t>
      </w:r>
      <w:r>
        <w:tab/>
      </w:r>
      <w:r>
        <w:fldChar w:fldCharType="begin"/>
      </w:r>
      <w:r>
        <w:instrText xml:space="preserve"> PAGEREF _Toc524065379 \h </w:instrText>
      </w:r>
      <w:r>
        <w:fldChar w:fldCharType="separate"/>
      </w:r>
      <w:r>
        <w:t>41</w:t>
      </w:r>
      <w:r>
        <w:fldChar w:fldCharType="end"/>
      </w:r>
    </w:p>
    <w:p>
      <w:pPr>
        <w:pStyle w:val="TOC8"/>
        <w:rPr>
          <w:rFonts w:asciiTheme="minorHAnsi" w:eastAsiaTheme="minorEastAsia" w:hAnsiTheme="minorHAnsi" w:cstheme="minorBidi"/>
          <w:szCs w:val="22"/>
        </w:rPr>
      </w:pPr>
      <w:r>
        <w:t>55D</w:t>
      </w:r>
      <w:r>
        <w:rPr>
          <w:snapToGrid w:val="0"/>
        </w:rPr>
        <w:t>.</w:t>
      </w:r>
      <w:r>
        <w:rPr>
          <w:snapToGrid w:val="0"/>
        </w:rPr>
        <w:tab/>
        <w:t>Order for forfeiture</w:t>
      </w:r>
      <w:r>
        <w:tab/>
      </w:r>
      <w:r>
        <w:fldChar w:fldCharType="begin"/>
      </w:r>
      <w:r>
        <w:instrText xml:space="preserve"> PAGEREF _Toc524065380 \h </w:instrText>
      </w:r>
      <w:r>
        <w:fldChar w:fldCharType="separate"/>
      </w:r>
      <w:r>
        <w:t>41</w:t>
      </w:r>
      <w:r>
        <w:fldChar w:fldCharType="end"/>
      </w:r>
    </w:p>
    <w:p>
      <w:pPr>
        <w:pStyle w:val="TOC8"/>
        <w:rPr>
          <w:rFonts w:asciiTheme="minorHAnsi" w:eastAsiaTheme="minorEastAsia" w:hAnsiTheme="minorHAnsi" w:cstheme="minorBidi"/>
          <w:szCs w:val="22"/>
        </w:rPr>
      </w:pPr>
      <w:r>
        <w:t>55E</w:t>
      </w:r>
      <w:r>
        <w:rPr>
          <w:snapToGrid w:val="0"/>
        </w:rPr>
        <w:t>.</w:t>
      </w:r>
      <w:r>
        <w:rPr>
          <w:snapToGrid w:val="0"/>
        </w:rPr>
        <w:tab/>
        <w:t>Powers to quarantine or destroy poisons in certain circumstances</w:t>
      </w:r>
      <w:r>
        <w:tab/>
      </w:r>
      <w:r>
        <w:fldChar w:fldCharType="begin"/>
      </w:r>
      <w:r>
        <w:instrText xml:space="preserve"> PAGEREF _Toc524065381 \h </w:instrText>
      </w:r>
      <w:r>
        <w:fldChar w:fldCharType="separate"/>
      </w:r>
      <w:r>
        <w:t>41</w:t>
      </w:r>
      <w:r>
        <w:fldChar w:fldCharType="end"/>
      </w:r>
    </w:p>
    <w:p>
      <w:pPr>
        <w:pStyle w:val="TOC8"/>
        <w:rPr>
          <w:rFonts w:asciiTheme="minorHAnsi" w:eastAsiaTheme="minorEastAsia" w:hAnsiTheme="minorHAnsi" w:cstheme="minorBidi"/>
          <w:szCs w:val="22"/>
        </w:rPr>
      </w:pPr>
      <w:r>
        <w:t>56</w:t>
      </w:r>
      <w:r>
        <w:rPr>
          <w:snapToGrid w:val="0"/>
        </w:rPr>
        <w:t>.</w:t>
      </w:r>
      <w:r>
        <w:rPr>
          <w:snapToGrid w:val="0"/>
        </w:rPr>
        <w:tab/>
        <w:t>Sales by employees etc.</w:t>
      </w:r>
      <w:r>
        <w:tab/>
      </w:r>
      <w:r>
        <w:fldChar w:fldCharType="begin"/>
      </w:r>
      <w:r>
        <w:instrText xml:space="preserve"> PAGEREF _Toc524065382 \h </w:instrText>
      </w:r>
      <w:r>
        <w:fldChar w:fldCharType="separate"/>
      </w:r>
      <w:r>
        <w:t>42</w:t>
      </w:r>
      <w:r>
        <w:fldChar w:fldCharType="end"/>
      </w:r>
    </w:p>
    <w:p>
      <w:pPr>
        <w:pStyle w:val="TOC8"/>
        <w:rPr>
          <w:rFonts w:asciiTheme="minorHAnsi" w:eastAsiaTheme="minorEastAsia" w:hAnsiTheme="minorHAnsi" w:cstheme="minorBidi"/>
          <w:szCs w:val="22"/>
        </w:rPr>
      </w:pPr>
      <w:r>
        <w:t>57</w:t>
      </w:r>
      <w:r>
        <w:rPr>
          <w:snapToGrid w:val="0"/>
        </w:rPr>
        <w:t>.</w:t>
      </w:r>
      <w:r>
        <w:rPr>
          <w:snapToGrid w:val="0"/>
        </w:rPr>
        <w:tab/>
        <w:t>Persons deemed to have sold poisons</w:t>
      </w:r>
      <w:r>
        <w:tab/>
      </w:r>
      <w:r>
        <w:fldChar w:fldCharType="begin"/>
      </w:r>
      <w:r>
        <w:instrText xml:space="preserve"> PAGEREF _Toc524065383 \h </w:instrText>
      </w:r>
      <w:r>
        <w:fldChar w:fldCharType="separate"/>
      </w:r>
      <w:r>
        <w:t>42</w:t>
      </w:r>
      <w:r>
        <w:fldChar w:fldCharType="end"/>
      </w:r>
    </w:p>
    <w:p>
      <w:pPr>
        <w:pStyle w:val="TOC8"/>
        <w:rPr>
          <w:rFonts w:asciiTheme="minorHAnsi" w:eastAsiaTheme="minorEastAsia" w:hAnsiTheme="minorHAnsi" w:cstheme="minorBidi"/>
          <w:szCs w:val="22"/>
        </w:rPr>
      </w:pPr>
      <w:r>
        <w:t>58</w:t>
      </w:r>
      <w:r>
        <w:rPr>
          <w:snapToGrid w:val="0"/>
        </w:rPr>
        <w:t>.</w:t>
      </w:r>
      <w:r>
        <w:rPr>
          <w:snapToGrid w:val="0"/>
        </w:rPr>
        <w:tab/>
        <w:t>Evidence on prosecutions</w:t>
      </w:r>
      <w:r>
        <w:tab/>
      </w:r>
      <w:r>
        <w:fldChar w:fldCharType="begin"/>
      </w:r>
      <w:r>
        <w:instrText xml:space="preserve"> PAGEREF _Toc524065384 \h </w:instrText>
      </w:r>
      <w:r>
        <w:fldChar w:fldCharType="separate"/>
      </w:r>
      <w:r>
        <w:t>44</w:t>
      </w:r>
      <w:r>
        <w:fldChar w:fldCharType="end"/>
      </w:r>
    </w:p>
    <w:p>
      <w:pPr>
        <w:pStyle w:val="TOC8"/>
        <w:rPr>
          <w:rFonts w:asciiTheme="minorHAnsi" w:eastAsiaTheme="minorEastAsia" w:hAnsiTheme="minorHAnsi" w:cstheme="minorBidi"/>
          <w:szCs w:val="22"/>
        </w:rPr>
      </w:pPr>
      <w:r>
        <w:t>59</w:t>
      </w:r>
      <w:r>
        <w:rPr>
          <w:snapToGrid w:val="0"/>
        </w:rPr>
        <w:t>.</w:t>
      </w:r>
      <w:r>
        <w:rPr>
          <w:snapToGrid w:val="0"/>
        </w:rPr>
        <w:tab/>
        <w:t>Publication of list of licensed persons</w:t>
      </w:r>
      <w:r>
        <w:tab/>
      </w:r>
      <w:r>
        <w:fldChar w:fldCharType="begin"/>
      </w:r>
      <w:r>
        <w:instrText xml:space="preserve"> PAGEREF _Toc524065385 \h </w:instrText>
      </w:r>
      <w:r>
        <w:fldChar w:fldCharType="separate"/>
      </w:r>
      <w:r>
        <w:t>45</w:t>
      </w:r>
      <w:r>
        <w:fldChar w:fldCharType="end"/>
      </w:r>
    </w:p>
    <w:p>
      <w:pPr>
        <w:pStyle w:val="TOC8"/>
        <w:rPr>
          <w:rFonts w:asciiTheme="minorHAnsi" w:eastAsiaTheme="minorEastAsia" w:hAnsiTheme="minorHAnsi" w:cstheme="minorBidi"/>
          <w:szCs w:val="22"/>
        </w:rPr>
      </w:pPr>
      <w:r>
        <w:t>60</w:t>
      </w:r>
      <w:r>
        <w:rPr>
          <w:snapToGrid w:val="0"/>
        </w:rPr>
        <w:t>.</w:t>
      </w:r>
      <w:r>
        <w:rPr>
          <w:snapToGrid w:val="0"/>
        </w:rPr>
        <w:tab/>
        <w:t>Proof of certificate of analysts</w:t>
      </w:r>
      <w:r>
        <w:tab/>
      </w:r>
      <w:r>
        <w:fldChar w:fldCharType="begin"/>
      </w:r>
      <w:r>
        <w:instrText xml:space="preserve"> PAGEREF _Toc524065386 \h </w:instrText>
      </w:r>
      <w:r>
        <w:fldChar w:fldCharType="separate"/>
      </w:r>
      <w:r>
        <w:t>45</w:t>
      </w:r>
      <w:r>
        <w:fldChar w:fldCharType="end"/>
      </w:r>
    </w:p>
    <w:p>
      <w:pPr>
        <w:pStyle w:val="TOC8"/>
        <w:rPr>
          <w:rFonts w:asciiTheme="minorHAnsi" w:eastAsiaTheme="minorEastAsia" w:hAnsiTheme="minorHAnsi" w:cstheme="minorBidi"/>
          <w:szCs w:val="22"/>
        </w:rPr>
      </w:pPr>
      <w:r>
        <w:t>61.</w:t>
      </w:r>
      <w:r>
        <w:tab/>
        <w:t>Evidence of qualifications</w:t>
      </w:r>
      <w:r>
        <w:tab/>
      </w:r>
      <w:r>
        <w:fldChar w:fldCharType="begin"/>
      </w:r>
      <w:r>
        <w:instrText xml:space="preserve"> PAGEREF _Toc524065387 \h </w:instrText>
      </w:r>
      <w:r>
        <w:fldChar w:fldCharType="separate"/>
      </w:r>
      <w:r>
        <w:t>46</w:t>
      </w:r>
      <w:r>
        <w:fldChar w:fldCharType="end"/>
      </w:r>
    </w:p>
    <w:p>
      <w:pPr>
        <w:pStyle w:val="TOC8"/>
        <w:rPr>
          <w:rFonts w:asciiTheme="minorHAnsi" w:eastAsiaTheme="minorEastAsia" w:hAnsiTheme="minorHAnsi" w:cstheme="minorBidi"/>
          <w:szCs w:val="22"/>
        </w:rPr>
      </w:pPr>
      <w:r>
        <w:t>61A</w:t>
      </w:r>
      <w:r>
        <w:rPr>
          <w:snapToGrid w:val="0"/>
        </w:rPr>
        <w:t>.</w:t>
      </w:r>
      <w:r>
        <w:rPr>
          <w:snapToGrid w:val="0"/>
        </w:rPr>
        <w:tab/>
        <w:t>Evidence of approval</w:t>
      </w:r>
      <w:r>
        <w:tab/>
      </w:r>
      <w:r>
        <w:fldChar w:fldCharType="begin"/>
      </w:r>
      <w:r>
        <w:instrText xml:space="preserve"> PAGEREF _Toc524065388 \h </w:instrText>
      </w:r>
      <w:r>
        <w:fldChar w:fldCharType="separate"/>
      </w:r>
      <w:r>
        <w:t>46</w:t>
      </w:r>
      <w:r>
        <w:fldChar w:fldCharType="end"/>
      </w:r>
    </w:p>
    <w:p>
      <w:pPr>
        <w:pStyle w:val="TOC8"/>
        <w:rPr>
          <w:rFonts w:asciiTheme="minorHAnsi" w:eastAsiaTheme="minorEastAsia" w:hAnsiTheme="minorHAnsi" w:cstheme="minorBidi"/>
          <w:szCs w:val="22"/>
        </w:rPr>
      </w:pPr>
      <w:r>
        <w:t>61B</w:t>
      </w:r>
      <w:r>
        <w:rPr>
          <w:snapToGrid w:val="0"/>
        </w:rPr>
        <w:t>.</w:t>
      </w:r>
      <w:r>
        <w:rPr>
          <w:snapToGrid w:val="0"/>
        </w:rPr>
        <w:tab/>
        <w:t>Evidence of contents of standard</w:t>
      </w:r>
      <w:r>
        <w:tab/>
      </w:r>
      <w:r>
        <w:fldChar w:fldCharType="begin"/>
      </w:r>
      <w:r>
        <w:instrText xml:space="preserve"> PAGEREF _Toc524065389 \h </w:instrText>
      </w:r>
      <w:r>
        <w:fldChar w:fldCharType="separate"/>
      </w:r>
      <w:r>
        <w:t>47</w:t>
      </w:r>
      <w:r>
        <w:fldChar w:fldCharType="end"/>
      </w:r>
    </w:p>
    <w:p>
      <w:pPr>
        <w:pStyle w:val="TOC8"/>
        <w:rPr>
          <w:rFonts w:asciiTheme="minorHAnsi" w:eastAsiaTheme="minorEastAsia" w:hAnsiTheme="minorHAnsi" w:cstheme="minorBidi"/>
          <w:szCs w:val="22"/>
        </w:rPr>
      </w:pPr>
      <w:r>
        <w:t>62</w:t>
      </w:r>
      <w:r>
        <w:rPr>
          <w:snapToGrid w:val="0"/>
        </w:rPr>
        <w:t>.</w:t>
      </w:r>
      <w:r>
        <w:rPr>
          <w:snapToGrid w:val="0"/>
        </w:rPr>
        <w:tab/>
        <w:t>General penalty</w:t>
      </w:r>
      <w:r>
        <w:tab/>
      </w:r>
      <w:r>
        <w:fldChar w:fldCharType="begin"/>
      </w:r>
      <w:r>
        <w:instrText xml:space="preserve"> PAGEREF _Toc524065390 \h </w:instrText>
      </w:r>
      <w:r>
        <w:fldChar w:fldCharType="separate"/>
      </w:r>
      <w:r>
        <w:t>47</w:t>
      </w:r>
      <w:r>
        <w:fldChar w:fldCharType="end"/>
      </w:r>
    </w:p>
    <w:p>
      <w:pPr>
        <w:pStyle w:val="TOC8"/>
        <w:rPr>
          <w:rFonts w:asciiTheme="minorHAnsi" w:eastAsiaTheme="minorEastAsia" w:hAnsiTheme="minorHAnsi" w:cstheme="minorBidi"/>
          <w:szCs w:val="22"/>
        </w:rPr>
      </w:pPr>
      <w:r>
        <w:t>63</w:t>
      </w:r>
      <w:r>
        <w:rPr>
          <w:snapToGrid w:val="0"/>
        </w:rPr>
        <w:t>.</w:t>
      </w:r>
      <w:r>
        <w:rPr>
          <w:snapToGrid w:val="0"/>
        </w:rPr>
        <w:tab/>
        <w:t>Protection from liability</w:t>
      </w:r>
      <w:r>
        <w:tab/>
      </w:r>
      <w:r>
        <w:fldChar w:fldCharType="begin"/>
      </w:r>
      <w:r>
        <w:instrText xml:space="preserve"> PAGEREF _Toc524065391 \h </w:instrText>
      </w:r>
      <w:r>
        <w:fldChar w:fldCharType="separate"/>
      </w:r>
      <w:r>
        <w:t>47</w:t>
      </w:r>
      <w:r>
        <w:fldChar w:fldCharType="end"/>
      </w:r>
    </w:p>
    <w:p>
      <w:pPr>
        <w:pStyle w:val="TOC8"/>
        <w:rPr>
          <w:rFonts w:asciiTheme="minorHAnsi" w:eastAsiaTheme="minorEastAsia" w:hAnsiTheme="minorHAnsi" w:cstheme="minorBidi"/>
          <w:szCs w:val="22"/>
        </w:rPr>
      </w:pPr>
      <w:r>
        <w:t>64</w:t>
      </w:r>
      <w:r>
        <w:rPr>
          <w:snapToGrid w:val="0"/>
        </w:rPr>
        <w:t>.</w:t>
      </w:r>
      <w:r>
        <w:rPr>
          <w:snapToGrid w:val="0"/>
        </w:rPr>
        <w:tab/>
        <w:t>Regulations</w:t>
      </w:r>
      <w:r>
        <w:tab/>
      </w:r>
      <w:r>
        <w:fldChar w:fldCharType="begin"/>
      </w:r>
      <w:r>
        <w:instrText xml:space="preserve"> PAGEREF _Toc524065392 \h </w:instrText>
      </w:r>
      <w:r>
        <w:fldChar w:fldCharType="separate"/>
      </w:r>
      <w:r>
        <w:t>48</w:t>
      </w:r>
      <w:r>
        <w:fldChar w:fldCharType="end"/>
      </w:r>
    </w:p>
    <w:p>
      <w:pPr>
        <w:pStyle w:val="TOC8"/>
        <w:rPr>
          <w:rFonts w:asciiTheme="minorHAnsi" w:eastAsiaTheme="minorEastAsia" w:hAnsiTheme="minorHAnsi" w:cstheme="minorBidi"/>
          <w:szCs w:val="22"/>
        </w:rPr>
      </w:pPr>
      <w:r>
        <w:t>64A</w:t>
      </w:r>
      <w:r>
        <w:rPr>
          <w:snapToGrid w:val="0"/>
        </w:rPr>
        <w:t>.</w:t>
      </w:r>
      <w:r>
        <w:rPr>
          <w:snapToGrid w:val="0"/>
        </w:rPr>
        <w:tab/>
        <w:t>Regulations may adopt standards</w:t>
      </w:r>
      <w:r>
        <w:tab/>
      </w:r>
      <w:r>
        <w:fldChar w:fldCharType="begin"/>
      </w:r>
      <w:r>
        <w:instrText xml:space="preserve"> PAGEREF _Toc524065393 \h </w:instrText>
      </w:r>
      <w:r>
        <w:fldChar w:fldCharType="separate"/>
      </w:r>
      <w:r>
        <w:t>53</w:t>
      </w:r>
      <w:r>
        <w:fldChar w:fldCharType="end"/>
      </w:r>
    </w:p>
    <w:p>
      <w:pPr>
        <w:pStyle w:val="TOC8"/>
        <w:rPr>
          <w:rFonts w:asciiTheme="minorHAnsi" w:eastAsiaTheme="minorEastAsia" w:hAnsiTheme="minorHAnsi" w:cstheme="minorBidi"/>
          <w:szCs w:val="22"/>
        </w:rPr>
      </w:pPr>
      <w:r>
        <w:t>64B</w:t>
      </w:r>
      <w:r>
        <w:rPr>
          <w:snapToGrid w:val="0"/>
        </w:rPr>
        <w:t>.</w:t>
      </w:r>
      <w:r>
        <w:rPr>
          <w:snapToGrid w:val="0"/>
        </w:rPr>
        <w:tab/>
        <w:t>Copies of standards to be kept and made available to public</w:t>
      </w:r>
      <w:r>
        <w:tab/>
      </w:r>
      <w:r>
        <w:fldChar w:fldCharType="begin"/>
      </w:r>
      <w:r>
        <w:instrText xml:space="preserve"> PAGEREF _Toc524065394 \h </w:instrText>
      </w:r>
      <w:r>
        <w:fldChar w:fldCharType="separate"/>
      </w:r>
      <w:r>
        <w:t>53</w:t>
      </w:r>
      <w:r>
        <w:fldChar w:fldCharType="end"/>
      </w:r>
    </w:p>
    <w:p>
      <w:pPr>
        <w:pStyle w:val="TOC2"/>
        <w:tabs>
          <w:tab w:val="right" w:leader="dot" w:pos="7086"/>
        </w:tabs>
        <w:rPr>
          <w:rFonts w:asciiTheme="minorHAnsi" w:eastAsiaTheme="minorEastAsia" w:hAnsiTheme="minorHAnsi" w:cstheme="minorBidi"/>
          <w:b w:val="0"/>
          <w:sz w:val="22"/>
          <w:szCs w:val="22"/>
        </w:rPr>
      </w:pPr>
      <w:r>
        <w:t>Appendix A</w:t>
      </w:r>
    </w:p>
    <w:p>
      <w:pPr>
        <w:pStyle w:val="TOC8"/>
        <w:rPr>
          <w:rFonts w:asciiTheme="minorHAnsi" w:eastAsiaTheme="minorEastAsia" w:hAnsiTheme="minorHAnsi" w:cstheme="minorBidi"/>
          <w:szCs w:val="22"/>
        </w:rPr>
      </w:pPr>
      <w:r>
        <w:t>1</w:t>
      </w:r>
      <w:r>
        <w:rPr>
          <w:snapToGrid w:val="0"/>
        </w:rPr>
        <w:t>.</w:t>
      </w:r>
      <w:r>
        <w:rPr>
          <w:snapToGrid w:val="0"/>
        </w:rPr>
        <w:tab/>
        <w:t>Term used: SUSMP</w:t>
      </w:r>
      <w:r>
        <w:tab/>
      </w:r>
      <w:r>
        <w:fldChar w:fldCharType="begin"/>
      </w:r>
      <w:r>
        <w:instrText xml:space="preserve"> PAGEREF _Toc524065396 \h </w:instrText>
      </w:r>
      <w:r>
        <w:fldChar w:fldCharType="separate"/>
      </w:r>
      <w:r>
        <w:t>54</w:t>
      </w:r>
      <w:r>
        <w:fldChar w:fldCharType="end"/>
      </w:r>
    </w:p>
    <w:p>
      <w:pPr>
        <w:pStyle w:val="TOC2"/>
        <w:tabs>
          <w:tab w:val="right" w:leader="dot" w:pos="7086"/>
        </w:tabs>
        <w:rPr>
          <w:rFonts w:asciiTheme="minorHAnsi" w:eastAsiaTheme="minorEastAsia" w:hAnsiTheme="minorHAnsi" w:cstheme="minorBidi"/>
          <w:b w:val="0"/>
          <w:sz w:val="22"/>
          <w:szCs w:val="22"/>
        </w:rPr>
      </w:pPr>
      <w:r>
        <w:t>Schedule 1</w:t>
      </w:r>
    </w:p>
    <w:p>
      <w:pPr>
        <w:pStyle w:val="TOC2"/>
        <w:tabs>
          <w:tab w:val="right" w:leader="dot" w:pos="7086"/>
        </w:tabs>
        <w:rPr>
          <w:rFonts w:asciiTheme="minorHAnsi" w:eastAsiaTheme="minorEastAsia" w:hAnsiTheme="minorHAnsi" w:cstheme="minorBidi"/>
          <w:b w:val="0"/>
          <w:sz w:val="22"/>
          <w:szCs w:val="22"/>
        </w:rPr>
      </w:pPr>
      <w:r>
        <w:t>Schedule 2</w:t>
      </w:r>
    </w:p>
    <w:p>
      <w:pPr>
        <w:pStyle w:val="TOC2"/>
        <w:tabs>
          <w:tab w:val="right" w:leader="dot" w:pos="7086"/>
        </w:tabs>
        <w:rPr>
          <w:rFonts w:asciiTheme="minorHAnsi" w:eastAsiaTheme="minorEastAsia" w:hAnsiTheme="minorHAnsi" w:cstheme="minorBidi"/>
          <w:b w:val="0"/>
          <w:sz w:val="22"/>
          <w:szCs w:val="22"/>
        </w:rPr>
      </w:pPr>
      <w:r>
        <w:t>Schedule 3</w:t>
      </w:r>
    </w:p>
    <w:p>
      <w:pPr>
        <w:pStyle w:val="TOC2"/>
        <w:tabs>
          <w:tab w:val="right" w:leader="dot" w:pos="7086"/>
        </w:tabs>
        <w:rPr>
          <w:rFonts w:asciiTheme="minorHAnsi" w:eastAsiaTheme="minorEastAsia" w:hAnsiTheme="minorHAnsi" w:cstheme="minorBidi"/>
          <w:b w:val="0"/>
          <w:sz w:val="22"/>
          <w:szCs w:val="22"/>
        </w:rPr>
      </w:pPr>
      <w:r>
        <w:t>Schedule 4</w:t>
      </w:r>
    </w:p>
    <w:p>
      <w:pPr>
        <w:pStyle w:val="TOC2"/>
        <w:tabs>
          <w:tab w:val="right" w:leader="dot" w:pos="7086"/>
        </w:tabs>
        <w:rPr>
          <w:rFonts w:asciiTheme="minorHAnsi" w:eastAsiaTheme="minorEastAsia" w:hAnsiTheme="minorHAnsi" w:cstheme="minorBidi"/>
          <w:b w:val="0"/>
          <w:sz w:val="22"/>
          <w:szCs w:val="22"/>
        </w:rPr>
      </w:pPr>
      <w:r>
        <w:t>Schedule 5</w:t>
      </w:r>
    </w:p>
    <w:p>
      <w:pPr>
        <w:pStyle w:val="TOC2"/>
        <w:tabs>
          <w:tab w:val="right" w:leader="dot" w:pos="7086"/>
        </w:tabs>
        <w:rPr>
          <w:rFonts w:asciiTheme="minorHAnsi" w:eastAsiaTheme="minorEastAsia" w:hAnsiTheme="minorHAnsi" w:cstheme="minorBidi"/>
          <w:b w:val="0"/>
          <w:sz w:val="22"/>
          <w:szCs w:val="22"/>
        </w:rPr>
      </w:pPr>
      <w:r>
        <w:t>Schedule 6</w:t>
      </w:r>
    </w:p>
    <w:p>
      <w:pPr>
        <w:pStyle w:val="TOC2"/>
        <w:tabs>
          <w:tab w:val="right" w:leader="dot" w:pos="7086"/>
        </w:tabs>
        <w:rPr>
          <w:rFonts w:asciiTheme="minorHAnsi" w:eastAsiaTheme="minorEastAsia" w:hAnsiTheme="minorHAnsi" w:cstheme="minorBidi"/>
          <w:b w:val="0"/>
          <w:sz w:val="22"/>
          <w:szCs w:val="22"/>
        </w:rPr>
      </w:pPr>
      <w:r>
        <w:t>Schedule 7</w:t>
      </w:r>
    </w:p>
    <w:p>
      <w:pPr>
        <w:pStyle w:val="TOC2"/>
        <w:tabs>
          <w:tab w:val="right" w:leader="dot" w:pos="7086"/>
        </w:tabs>
        <w:rPr>
          <w:rFonts w:asciiTheme="minorHAnsi" w:eastAsiaTheme="minorEastAsia" w:hAnsiTheme="minorHAnsi" w:cstheme="minorBidi"/>
          <w:b w:val="0"/>
          <w:sz w:val="22"/>
          <w:szCs w:val="22"/>
        </w:rPr>
      </w:pPr>
      <w:r>
        <w:t>Schedule 8</w:t>
      </w:r>
    </w:p>
    <w:p>
      <w:pPr>
        <w:pStyle w:val="TOC2"/>
        <w:tabs>
          <w:tab w:val="right" w:leader="dot" w:pos="7086"/>
        </w:tabs>
        <w:rPr>
          <w:rFonts w:asciiTheme="minorHAnsi" w:eastAsiaTheme="minorEastAsia" w:hAnsiTheme="minorHAnsi" w:cstheme="minorBidi"/>
          <w:b w:val="0"/>
          <w:sz w:val="22"/>
          <w:szCs w:val="22"/>
        </w:rPr>
      </w:pPr>
      <w:r>
        <w:t>Schedule 9</w:t>
      </w:r>
    </w:p>
    <w:p>
      <w:pPr>
        <w:pStyle w:val="TOC2"/>
        <w:tabs>
          <w:tab w:val="right" w:leader="dot" w:pos="7086"/>
        </w:tabs>
        <w:rPr>
          <w:rFonts w:asciiTheme="minorHAnsi" w:eastAsiaTheme="minorEastAsia" w:hAnsiTheme="minorHAnsi" w:cstheme="minorBidi"/>
          <w:b w:val="0"/>
          <w:sz w:val="22"/>
          <w:szCs w:val="22"/>
        </w:rPr>
      </w:pPr>
      <w:r>
        <w:t>Appendix B</w:t>
      </w:r>
    </w:p>
    <w:p>
      <w:pPr>
        <w:pStyle w:val="TOC2"/>
        <w:tabs>
          <w:tab w:val="right" w:leader="dot" w:pos="7086"/>
        </w:tabs>
        <w:rPr>
          <w:rFonts w:asciiTheme="minorHAnsi" w:eastAsiaTheme="minorEastAsia" w:hAnsiTheme="minorHAnsi" w:cstheme="minorBidi"/>
          <w:b w:val="0"/>
          <w:sz w:val="22"/>
          <w:szCs w:val="22"/>
        </w:rPr>
      </w:pPr>
      <w:r>
        <w:t>Conventions</w:t>
      </w:r>
    </w:p>
    <w:p>
      <w:pPr>
        <w:pStyle w:val="TOC2"/>
        <w:tabs>
          <w:tab w:val="right" w:leader="dot" w:pos="7086"/>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Compilation table</w:t>
      </w:r>
      <w:r>
        <w:tab/>
      </w:r>
      <w:r>
        <w:fldChar w:fldCharType="begin"/>
      </w:r>
      <w:r>
        <w:instrText xml:space="preserve"> PAGEREF _Toc524065409 \h </w:instrText>
      </w:r>
      <w:r>
        <w:fldChar w:fldCharType="separate"/>
      </w:r>
      <w:r>
        <w:t>62</w:t>
      </w:r>
      <w:r>
        <w:fldChar w:fldCharType="end"/>
      </w:r>
    </w:p>
    <w:p>
      <w:pPr>
        <w:pStyle w:val="TOC2"/>
        <w:tabs>
          <w:tab w:val="right" w:leader="dot" w:pos="7086"/>
        </w:tabs>
        <w:rPr>
          <w:rFonts w:asciiTheme="minorHAnsi" w:eastAsiaTheme="minorEastAsia" w:hAnsiTheme="minorHAnsi" w:cstheme="minorBidi"/>
          <w:b w:val="0"/>
          <w:sz w:val="22"/>
          <w:szCs w:val="22"/>
        </w:rPr>
      </w:pPr>
      <w:r>
        <w:t>Defined Terms</w:t>
      </w:r>
    </w:p>
    <w:p>
      <w:pPr>
        <w:rPr>
          <w:b/>
          <w:sz w:val="28"/>
        </w:rPr>
      </w:pPr>
      <w:r>
        <w:fldChar w:fldCharType="end"/>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fmt="lowerRoman" w:start="1"/>
          <w:cols w:space="720"/>
          <w:noEndnote/>
          <w:titlePg/>
          <w:docGrid w:linePitch="326"/>
        </w:sectPr>
      </w:pPr>
    </w:p>
    <w:p>
      <w:pPr>
        <w:pStyle w:val="WA"/>
        <w:spacing w:before="120"/>
        <w:rPr>
          <w:b/>
          <w:sz w:val="22"/>
        </w:rPr>
      </w:pPr>
      <w:smartTag w:uri="urn:schemas-microsoft-com:office:smarttags" w:element="place">
        <w:smartTag w:uri="urn:schemas-microsoft-com:office:smarttags" w:element="State">
          <w:r>
            <w:t>Western Australia</w:t>
          </w:r>
        </w:smartTag>
      </w:smartTag>
    </w:p>
    <w:p>
      <w:pPr>
        <w:pStyle w:val="NameofActReg"/>
        <w:spacing w:before="960" w:after="1080"/>
      </w:pPr>
      <w:r>
        <w:t>Poisons Act 1964</w:t>
      </w:r>
    </w:p>
    <w:p>
      <w:pPr>
        <w:pStyle w:val="LongTitle"/>
        <w:spacing w:before="240"/>
        <w:rPr>
          <w:snapToGrid w:val="0"/>
        </w:rPr>
      </w:pPr>
      <w:r>
        <w:rPr>
          <w:snapToGrid w:val="0"/>
        </w:rPr>
        <w:t>An Act to regulate and control the possession, sale and use of poisons and other substances; to constitute a Poisons Advisory Committee; and for incidental and other purposes.</w:t>
      </w:r>
    </w:p>
    <w:p>
      <w:pPr>
        <w:pStyle w:val="Heading2"/>
      </w:pPr>
      <w:bookmarkStart w:id="1" w:name="_Toc524065311"/>
      <w:r>
        <w:rPr>
          <w:rStyle w:val="CharPartNo"/>
        </w:rPr>
        <w:t>Part I</w:t>
      </w:r>
      <w:r>
        <w:rPr>
          <w:rStyle w:val="CharDivNo"/>
        </w:rPr>
        <w:t> </w:t>
      </w:r>
      <w:r>
        <w:t>—</w:t>
      </w:r>
      <w:r>
        <w:rPr>
          <w:rStyle w:val="CharDivText"/>
        </w:rPr>
        <w:t> </w:t>
      </w:r>
      <w:r>
        <w:rPr>
          <w:rStyle w:val="CharPartText"/>
        </w:rPr>
        <w:t>Introductory provisions</w:t>
      </w:r>
      <w:bookmarkEnd w:id="1"/>
    </w:p>
    <w:p>
      <w:pPr>
        <w:pStyle w:val="Heading5"/>
        <w:rPr>
          <w:snapToGrid w:val="0"/>
        </w:rPr>
      </w:pPr>
      <w:bookmarkStart w:id="2" w:name="_Toc524065312"/>
      <w:r>
        <w:rPr>
          <w:rStyle w:val="CharSectno"/>
        </w:rPr>
        <w:t>1</w:t>
      </w:r>
      <w:r>
        <w:rPr>
          <w:snapToGrid w:val="0"/>
        </w:rPr>
        <w:t>.</w:t>
      </w:r>
      <w:r>
        <w:rPr>
          <w:snapToGrid w:val="0"/>
        </w:rPr>
        <w:tab/>
        <w:t>Short title</w:t>
      </w:r>
      <w:bookmarkEnd w:id="2"/>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3" w:name="_Toc524065313"/>
      <w:r>
        <w:rPr>
          <w:rStyle w:val="CharSectno"/>
        </w:rPr>
        <w:t>2</w:t>
      </w:r>
      <w:r>
        <w:rPr>
          <w:snapToGrid w:val="0"/>
        </w:rPr>
        <w:t>.</w:t>
      </w:r>
      <w:r>
        <w:rPr>
          <w:snapToGrid w:val="0"/>
        </w:rPr>
        <w:tab/>
        <w:t>Commencement</w:t>
      </w:r>
      <w:bookmarkEnd w:id="3"/>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Deleted by No. 48 of 1995 s. 4.]</w:t>
      </w:r>
    </w:p>
    <w:p>
      <w:pPr>
        <w:pStyle w:val="Heading5"/>
        <w:rPr>
          <w:snapToGrid w:val="0"/>
        </w:rPr>
      </w:pPr>
      <w:bookmarkStart w:id="4" w:name="_Toc524065314"/>
      <w:r>
        <w:rPr>
          <w:rStyle w:val="CharSectno"/>
        </w:rPr>
        <w:t>5</w:t>
      </w:r>
      <w:r>
        <w:rPr>
          <w:snapToGrid w:val="0"/>
        </w:rPr>
        <w:t>.</w:t>
      </w:r>
      <w:r>
        <w:rPr>
          <w:snapToGrid w:val="0"/>
        </w:rPr>
        <w:tab/>
        <w:t>Terms used</w:t>
      </w:r>
      <w:bookmarkEnd w:id="4"/>
    </w:p>
    <w:p>
      <w:pPr>
        <w:pStyle w:val="Subsection"/>
        <w:rPr>
          <w:snapToGrid w:val="0"/>
        </w:rPr>
      </w:pPr>
      <w:r>
        <w:rPr>
          <w:snapToGrid w:val="0"/>
        </w:rPr>
        <w:tab/>
        <w:t>(1)</w:t>
      </w:r>
      <w:r>
        <w:rPr>
          <w:snapToGrid w:val="0"/>
        </w:rPr>
        <w:tab/>
        <w:t>In this Act unless the context requires otherwise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p>
    <w:p>
      <w:pPr>
        <w:pStyle w:val="Defpara"/>
      </w:pPr>
      <w:r>
        <w:tab/>
        <w:t>(a)</w:t>
      </w:r>
      <w:r>
        <w:tab/>
        <w:t>an environmental health officer; or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90"/>
      </w:pPr>
      <w:r>
        <w:rPr>
          <w:b/>
        </w:rPr>
        <w:tab/>
      </w:r>
      <w:r>
        <w:rPr>
          <w:rStyle w:val="CharDefText"/>
        </w:rPr>
        <w:t>container</w:t>
      </w:r>
      <w:r>
        <w:t>, in relation to a thing, means any bottle, vessel, tube, sachet, ampoule, syringe, vial, or other receptacle in which the thing is contained;</w:t>
      </w:r>
    </w:p>
    <w:p>
      <w:pPr>
        <w:pStyle w:val="Defstart"/>
        <w:spacing w:before="90"/>
      </w:pPr>
      <w:r>
        <w:tab/>
      </w:r>
      <w:r>
        <w:rPr>
          <w:rStyle w:val="CharDefText"/>
        </w:rPr>
        <w:t>dentist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dental profession whose name is entered on the Dentists Division of the Register of Dental Practitioners kept under that Law;</w:t>
      </w:r>
    </w:p>
    <w:p>
      <w:pPr>
        <w:pStyle w:val="Defstart"/>
        <w:spacing w:before="90"/>
      </w:pPr>
      <w:r>
        <w:rPr>
          <w:b/>
        </w:rPr>
        <w:tab/>
      </w:r>
      <w:r>
        <w:rPr>
          <w:rStyle w:val="CharDefText"/>
        </w:rPr>
        <w:t>department</w:t>
      </w:r>
      <w:r>
        <w:t xml:space="preserve"> means the department of the Public Service of the State principally assisting the Minister in the administration of this Act;</w:t>
      </w:r>
    </w:p>
    <w:p>
      <w:pPr>
        <w:pStyle w:val="Defstart"/>
        <w:spacing w:before="90"/>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spacing w:before="90"/>
      </w:pPr>
      <w:r>
        <w:rPr>
          <w:b/>
        </w:rPr>
        <w:tab/>
      </w:r>
      <w:r>
        <w:rPr>
          <w:rStyle w:val="CharDefText"/>
        </w:rPr>
        <w:t>drug of addiction</w:t>
      </w:r>
      <w:r>
        <w:t xml:space="preserve"> means any substance included in Schedule 8 or 9;</w:t>
      </w:r>
    </w:p>
    <w:p>
      <w:pPr>
        <w:pStyle w:val="Defstart"/>
        <w:spacing w:before="90"/>
      </w:pPr>
      <w:r>
        <w:tab/>
      </w:r>
      <w:r>
        <w:rPr>
          <w:rStyle w:val="CharDefText"/>
        </w:rPr>
        <w:t>endorsed health practitioner</w:t>
      </w:r>
      <w:r>
        <w:t xml:space="preserve">, in relation to a scheduled medicine or class of scheduled medicine, means a health practitioner who is registered under the </w:t>
      </w:r>
      <w:r>
        <w:rPr>
          <w:i/>
        </w:rPr>
        <w:t>Health Practitioner Regulation National Law (Western Australia)</w:t>
      </w:r>
      <w:r>
        <w:rPr>
          <w:iCs/>
        </w:rPr>
        <w:t xml:space="preserve"> to practise a health profession and whose registration is endorsed to </w:t>
      </w:r>
      <w:r>
        <w:t>administer, obtain, possess, prescribe, sell, supply or use</w:t>
      </w:r>
      <w:r>
        <w:rPr>
          <w:iCs/>
        </w:rPr>
        <w:t xml:space="preserve"> the </w:t>
      </w:r>
      <w:r>
        <w:t>scheduled medicine or class of scheduled medicine;</w:t>
      </w:r>
    </w:p>
    <w:p>
      <w:pPr>
        <w:pStyle w:val="Defstart"/>
        <w:spacing w:before="90"/>
      </w:pPr>
      <w:r>
        <w:rPr>
          <w:b/>
        </w:rPr>
        <w:tab/>
      </w:r>
      <w:r>
        <w:rPr>
          <w:rStyle w:val="CharDefText"/>
        </w:rPr>
        <w:t>environmental health officer</w:t>
      </w:r>
      <w:r>
        <w:t xml:space="preserve"> means an environmental health officer referred to in the </w:t>
      </w:r>
      <w:r>
        <w:rPr>
          <w:i/>
        </w:rPr>
        <w:t>Health Act 1911</w:t>
      </w:r>
      <w:r>
        <w:t>;</w:t>
      </w:r>
    </w:p>
    <w:p>
      <w:pPr>
        <w:pStyle w:val="Defstart"/>
        <w:spacing w:before="90"/>
      </w:pPr>
      <w:r>
        <w:rPr>
          <w:b/>
        </w:rPr>
        <w:tab/>
      </w:r>
      <w:r>
        <w:rPr>
          <w:rStyle w:val="CharDefText"/>
        </w:rPr>
        <w:t>internal use</w:t>
      </w:r>
      <w:r>
        <w:t xml:space="preserve"> means administration —</w:t>
      </w:r>
    </w:p>
    <w:p>
      <w:pPr>
        <w:pStyle w:val="Defpara"/>
        <w:spacing w:before="90"/>
      </w:pPr>
      <w:r>
        <w:tab/>
        <w:t>(a)</w:t>
      </w:r>
      <w:r>
        <w:tab/>
        <w:t>orally, except for topical effect in the mouth; or</w:t>
      </w:r>
    </w:p>
    <w:p>
      <w:pPr>
        <w:pStyle w:val="Defpara"/>
        <w:spacing w:before="90"/>
      </w:pPr>
      <w:r>
        <w:tab/>
        <w:t>(b)</w:t>
      </w:r>
      <w:r>
        <w:tab/>
        <w:t>for absorption and the production of a systemic effect —</w:t>
      </w:r>
    </w:p>
    <w:p>
      <w:pPr>
        <w:pStyle w:val="Defsubpara"/>
        <w:spacing w:before="90"/>
        <w:rPr>
          <w:snapToGrid w:val="0"/>
        </w:rPr>
      </w:pPr>
      <w:r>
        <w:rPr>
          <w:snapToGrid w:val="0"/>
        </w:rPr>
        <w:tab/>
        <w:t>(i)</w:t>
      </w:r>
      <w:r>
        <w:rPr>
          <w:snapToGrid w:val="0"/>
        </w:rPr>
        <w:tab/>
        <w:t>by way of a body orifice other than the mouth; or</w:t>
      </w:r>
    </w:p>
    <w:p>
      <w:pPr>
        <w:pStyle w:val="Defsubpara"/>
        <w:spacing w:before="90"/>
        <w:rPr>
          <w:snapToGrid w:val="0"/>
        </w:rPr>
      </w:pPr>
      <w:r>
        <w:rPr>
          <w:snapToGrid w:val="0"/>
        </w:rPr>
        <w:tab/>
        <w:t>(ii)</w:t>
      </w:r>
      <w:r>
        <w:rPr>
          <w:snapToGrid w:val="0"/>
        </w:rPr>
        <w:tab/>
        <w:t>parenterally, other than by application to unbroken skin;</w:t>
      </w:r>
    </w:p>
    <w:p>
      <w:pPr>
        <w:pStyle w:val="Defstart"/>
        <w:spacing w:before="90"/>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spacing w:before="90"/>
      </w:pPr>
      <w:r>
        <w:rPr>
          <w:b/>
        </w:rPr>
        <w:tab/>
      </w:r>
      <w:r>
        <w:rPr>
          <w:rStyle w:val="CharDefText"/>
        </w:rPr>
        <w:t>licence</w:t>
      </w:r>
      <w:r>
        <w:t xml:space="preserve"> means a licence granted under this Act that is valid and unexpired;</w:t>
      </w:r>
    </w:p>
    <w:p>
      <w:pPr>
        <w:pStyle w:val="Defstart"/>
        <w:spacing w:before="90"/>
      </w:pPr>
      <w:r>
        <w:rPr>
          <w:b/>
        </w:rPr>
        <w:tab/>
      </w:r>
      <w:r>
        <w:rPr>
          <w:rStyle w:val="CharDefText"/>
        </w:rPr>
        <w:t>licensee</w:t>
      </w:r>
      <w:r>
        <w:t xml:space="preserve"> means a person who holds or is entitled to exercise a licence under this Act;</w:t>
      </w:r>
    </w:p>
    <w:p>
      <w:pPr>
        <w:pStyle w:val="Defstart"/>
        <w:spacing w:before="90"/>
      </w:pPr>
      <w:r>
        <w:tab/>
      </w:r>
      <w:r>
        <w:rPr>
          <w:rStyle w:val="CharDefText"/>
        </w:rPr>
        <w:t>medical practitioner</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medical profession;</w:t>
      </w:r>
    </w:p>
    <w:p>
      <w:pPr>
        <w:pStyle w:val="Defstart"/>
        <w:spacing w:before="90"/>
      </w:pPr>
      <w:r>
        <w:tab/>
      </w:r>
      <w:r>
        <w:rPr>
          <w:rStyle w:val="CharDefText"/>
        </w:rPr>
        <w:t>medicine</w:t>
      </w:r>
      <w:r>
        <w:t xml:space="preserve"> means a substance included in Schedule 2, 3, 4 or 8;</w:t>
      </w:r>
    </w:p>
    <w:p>
      <w:pPr>
        <w:pStyle w:val="Defstart"/>
        <w:spacing w:before="90"/>
      </w:pPr>
      <w:r>
        <w:rPr>
          <w:b/>
        </w:rPr>
        <w:tab/>
      </w:r>
      <w:r>
        <w:rPr>
          <w:rStyle w:val="CharDefText"/>
        </w:rPr>
        <w:t>member</w:t>
      </w:r>
      <w:r>
        <w:t xml:space="preserve"> means a person occupying any of the offices of the Advisory Committee, including that of chairman;</w:t>
      </w:r>
    </w:p>
    <w:p>
      <w:pPr>
        <w:pStyle w:val="Defstart"/>
        <w:spacing w:before="90"/>
      </w:pPr>
      <w:r>
        <w:rPr>
          <w:b/>
        </w:rPr>
        <w:tab/>
      </w:r>
      <w:r>
        <w:rPr>
          <w:rStyle w:val="CharDefText"/>
        </w:rPr>
        <w:t>needle and syringe programme</w:t>
      </w:r>
      <w:r>
        <w:t xml:space="preserve"> means a programme to do one or more of the following —</w:t>
      </w:r>
    </w:p>
    <w:p>
      <w:pPr>
        <w:pStyle w:val="Defpara"/>
        <w:spacing w:before="90"/>
      </w:pPr>
      <w:r>
        <w:tab/>
        <w:t>(a)</w:t>
      </w:r>
      <w:r>
        <w:tab/>
        <w:t>to supply persons with sterile hypodermic syringes or sterile hypodermic needles; or</w:t>
      </w:r>
    </w:p>
    <w:p>
      <w:pPr>
        <w:pStyle w:val="Defpara"/>
        <w:spacing w:before="90"/>
      </w:pPr>
      <w:r>
        <w:tab/>
        <w:t>(b)</w:t>
      </w:r>
      <w:r>
        <w:tab/>
        <w:t>to facilitate the safe disposal of used hypodermic syringes or used hypodermic needles; or</w:t>
      </w:r>
    </w:p>
    <w:p>
      <w:pPr>
        <w:pStyle w:val="Defpara"/>
        <w:spacing w:before="90"/>
      </w:pPr>
      <w:r>
        <w:tab/>
        <w:t>(c)</w:t>
      </w:r>
      <w:r>
        <w:tab/>
        <w:t>to advise, counsel or disseminate information to persons,</w:t>
      </w:r>
    </w:p>
    <w:p>
      <w:pPr>
        <w:pStyle w:val="Defstart"/>
        <w:spacing w:before="90"/>
      </w:pPr>
      <w:r>
        <w:tab/>
        <w:t>principally for the purpose of preventing the spread of bloodborne infectious diseases;</w:t>
      </w:r>
    </w:p>
    <w:p>
      <w:pPr>
        <w:pStyle w:val="Defstart"/>
        <w:spacing w:before="90"/>
      </w:pPr>
      <w:r>
        <w:tab/>
      </w:r>
      <w:r>
        <w:rPr>
          <w:rStyle w:val="CharDefText"/>
        </w:rPr>
        <w:t>nurse practitioner</w:t>
      </w:r>
      <w:r>
        <w:t xml:space="preserve"> means a person registered under the </w:t>
      </w:r>
      <w:r>
        <w:rPr>
          <w:i/>
        </w:rPr>
        <w:t>Health Practitioner Regulation National Law (Western Australia)</w:t>
      </w:r>
      <w:r>
        <w:t xml:space="preserve"> whose name is entered on the Register of Nurses kept under that Law as a being qualified to practise as a nurse practitioner;</w:t>
      </w:r>
    </w:p>
    <w:p>
      <w:pPr>
        <w:pStyle w:val="Defstart"/>
        <w:spacing w:before="90"/>
      </w:pPr>
      <w:r>
        <w:rPr>
          <w:b/>
        </w:rPr>
        <w:tab/>
      </w:r>
      <w:r>
        <w:rPr>
          <w:rStyle w:val="CharDefText"/>
        </w:rPr>
        <w:t>package</w:t>
      </w:r>
      <w:r>
        <w:t>, in relation to a thing, means any box, wrapper, strip pack, blister pack or other thing in which the thing is wrapped or packaged;</w:t>
      </w:r>
    </w:p>
    <w:p>
      <w:pPr>
        <w:pStyle w:val="Defstart"/>
        <w:spacing w:before="90"/>
      </w:pPr>
      <w:r>
        <w:tab/>
      </w:r>
      <w:r>
        <w:rPr>
          <w:rStyle w:val="CharDefText"/>
        </w:rPr>
        <w:t>pharmacist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pharmacy profession;</w:t>
      </w:r>
    </w:p>
    <w:p>
      <w:pPr>
        <w:pStyle w:val="Defstart"/>
        <w:spacing w:before="90"/>
      </w:pPr>
      <w:r>
        <w:rPr>
          <w:b/>
        </w:rPr>
        <w:tab/>
      </w:r>
      <w:r>
        <w:rPr>
          <w:rStyle w:val="CharDefText"/>
        </w:rPr>
        <w:t>poison</w:t>
      </w:r>
      <w:r>
        <w:t xml:space="preserve"> means any substance included in a Schedule;</w:t>
      </w:r>
    </w:p>
    <w:p>
      <w:pPr>
        <w:pStyle w:val="Defstart"/>
        <w:spacing w:before="90"/>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spacing w:before="90"/>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spacing w:before="90"/>
      </w:pPr>
      <w:r>
        <w:rPr>
          <w:b/>
        </w:rPr>
        <w:tab/>
      </w:r>
      <w:r>
        <w:rPr>
          <w:rStyle w:val="CharDefText"/>
        </w:rPr>
        <w:t>Schedule</w:t>
      </w:r>
      <w:r>
        <w:t xml:space="preserve"> means a Schedule in Appendix A;</w:t>
      </w:r>
    </w:p>
    <w:p>
      <w:pPr>
        <w:pStyle w:val="Defstart"/>
        <w:spacing w:before="90"/>
      </w:pPr>
      <w:r>
        <w:rPr>
          <w:b/>
        </w:rPr>
        <w:tab/>
      </w:r>
      <w:r>
        <w:rPr>
          <w:rStyle w:val="CharDefText"/>
        </w:rPr>
        <w:t>specified</w:t>
      </w:r>
      <w:r>
        <w:t>, in relation to a regulation, order, notice or other instrument, means specified in the regulation, order, notice or other instrument (as the case may be);</w:t>
      </w:r>
    </w:p>
    <w:p>
      <w:pPr>
        <w:pStyle w:val="Defstart"/>
        <w:spacing w:before="90"/>
      </w:pPr>
      <w:r>
        <w:rPr>
          <w:b/>
        </w:rPr>
        <w:tab/>
      </w:r>
      <w:r>
        <w:rPr>
          <w:rStyle w:val="CharDefText"/>
        </w:rPr>
        <w:t>specified drug</w:t>
      </w:r>
      <w:r>
        <w:t xml:space="preserve"> means any substance that is declared to be a specified drug for the purposes of this Act;</w:t>
      </w:r>
    </w:p>
    <w:p>
      <w:pPr>
        <w:pStyle w:val="Defstart"/>
        <w:spacing w:before="90"/>
      </w:pPr>
      <w:r>
        <w:rPr>
          <w:b/>
        </w:rPr>
        <w:tab/>
      </w:r>
      <w:r>
        <w:rPr>
          <w:rStyle w:val="CharDefText"/>
        </w:rPr>
        <w:t>standard</w:t>
      </w:r>
      <w:r>
        <w:t xml:space="preserve"> includes a code or other document;</w:t>
      </w:r>
    </w:p>
    <w:p>
      <w:pPr>
        <w:pStyle w:val="Defstart"/>
        <w:spacing w:before="90"/>
      </w:pPr>
      <w:r>
        <w:rPr>
          <w:b/>
        </w:rPr>
        <w:tab/>
      </w:r>
      <w:r>
        <w:rPr>
          <w:rStyle w:val="CharDefText"/>
        </w:rPr>
        <w:t>substance</w:t>
      </w:r>
      <w:r>
        <w:t xml:space="preserve"> includes substance, material, compound, preparation, and admixture;</w:t>
      </w:r>
    </w:p>
    <w:p>
      <w:pPr>
        <w:pStyle w:val="Defstart"/>
        <w:spacing w:before="90"/>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spacing w:before="90"/>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spacing w:before="90"/>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Sch. 3 cl. 17(2); No. 22 of 2008 Sch. 3 cl. 46(2); No. 35 of 2010 s. 124.]</w:t>
      </w:r>
    </w:p>
    <w:p>
      <w:pPr>
        <w:pStyle w:val="Heading5"/>
        <w:spacing w:before="180"/>
        <w:rPr>
          <w:snapToGrid w:val="0"/>
        </w:rPr>
      </w:pPr>
      <w:bookmarkStart w:id="5" w:name="_Toc524065315"/>
      <w:r>
        <w:rPr>
          <w:rStyle w:val="CharSectno"/>
        </w:rPr>
        <w:t>6</w:t>
      </w:r>
      <w:r>
        <w:rPr>
          <w:snapToGrid w:val="0"/>
        </w:rPr>
        <w:t>.</w:t>
      </w:r>
      <w:r>
        <w:rPr>
          <w:snapToGrid w:val="0"/>
        </w:rPr>
        <w:tab/>
        <w:t>Construction</w:t>
      </w:r>
      <w:bookmarkEnd w:id="5"/>
    </w:p>
    <w:p>
      <w:pPr>
        <w:pStyle w:val="Subsection"/>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4.]</w:t>
      </w:r>
    </w:p>
    <w:p>
      <w:pPr>
        <w:pStyle w:val="Heading5"/>
        <w:rPr>
          <w:snapToGrid w:val="0"/>
        </w:rPr>
      </w:pPr>
      <w:bookmarkStart w:id="6" w:name="_Toc524065316"/>
      <w:r>
        <w:rPr>
          <w:rStyle w:val="CharSectno"/>
        </w:rPr>
        <w:t>6A</w:t>
      </w:r>
      <w:r>
        <w:rPr>
          <w:snapToGrid w:val="0"/>
        </w:rPr>
        <w:t>.</w:t>
      </w:r>
      <w:r>
        <w:rPr>
          <w:snapToGrid w:val="0"/>
        </w:rPr>
        <w:tab/>
        <w:t>Crown bound</w:t>
      </w:r>
      <w:bookmarkEnd w:id="6"/>
    </w:p>
    <w:p>
      <w:pPr>
        <w:pStyle w:val="Subsection"/>
        <w:rPr>
          <w:snapToGrid w:val="0"/>
        </w:rPr>
      </w:pPr>
      <w:r>
        <w:rPr>
          <w:snapToGrid w:val="0"/>
        </w:rPr>
        <w:tab/>
      </w:r>
      <w:r>
        <w:rPr>
          <w:snapToGrid w:val="0"/>
        </w:rPr>
        <w:tab/>
        <w:t>This Act binds the Crown.</w:t>
      </w:r>
    </w:p>
    <w:p>
      <w:pPr>
        <w:pStyle w:val="Footnotesection"/>
      </w:pPr>
      <w:r>
        <w:tab/>
        <w:t>[Section 6A inserted by No. 48 of 1995 s. 6.]</w:t>
      </w:r>
    </w:p>
    <w:p>
      <w:pPr>
        <w:pStyle w:val="Heading5"/>
        <w:rPr>
          <w:snapToGrid w:val="0"/>
        </w:rPr>
      </w:pPr>
      <w:bookmarkStart w:id="7" w:name="_Toc524065317"/>
      <w:r>
        <w:rPr>
          <w:rStyle w:val="CharSectno"/>
        </w:rPr>
        <w:t>7</w:t>
      </w:r>
      <w:r>
        <w:rPr>
          <w:snapToGrid w:val="0"/>
        </w:rPr>
        <w:t>.</w:t>
      </w:r>
      <w:r>
        <w:rPr>
          <w:snapToGrid w:val="0"/>
        </w:rPr>
        <w:tab/>
        <w:t>Administration</w:t>
      </w:r>
      <w:bookmarkEnd w:id="7"/>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p>
    <w:p>
      <w:pPr>
        <w:pStyle w:val="Heading5"/>
      </w:pPr>
      <w:bookmarkStart w:id="8" w:name="_Toc524065318"/>
      <w:r>
        <w:rPr>
          <w:rStyle w:val="CharSectno"/>
        </w:rPr>
        <w:t>7A</w:t>
      </w:r>
      <w:r>
        <w:t>.</w:t>
      </w:r>
      <w:r>
        <w:tab/>
        <w:t>Application: industrial hemp, industrial hemp seed and processed industrial hemp</w:t>
      </w:r>
      <w:bookmarkEnd w:id="8"/>
    </w:p>
    <w:p>
      <w:pPr>
        <w:pStyle w:val="Subsection"/>
        <w:keepNext/>
      </w:pPr>
      <w:r>
        <w:tab/>
      </w:r>
      <w:r>
        <w:tab/>
        <w:t>This Act does not apply to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9" w:name="_Toc524065319"/>
      <w:r>
        <w:rPr>
          <w:rStyle w:val="CharPartNo"/>
        </w:rPr>
        <w:t>Part II</w:t>
      </w:r>
      <w:r>
        <w:rPr>
          <w:rStyle w:val="CharDivNo"/>
        </w:rPr>
        <w:t> </w:t>
      </w:r>
      <w:r>
        <w:t>—</w:t>
      </w:r>
      <w:r>
        <w:rPr>
          <w:rStyle w:val="CharDivText"/>
        </w:rPr>
        <w:t> </w:t>
      </w:r>
      <w:r>
        <w:rPr>
          <w:rStyle w:val="CharPartText"/>
        </w:rPr>
        <w:t>Poisons Advisory Committee</w:t>
      </w:r>
      <w:bookmarkEnd w:id="9"/>
    </w:p>
    <w:p>
      <w:pPr>
        <w:pStyle w:val="Heading5"/>
        <w:rPr>
          <w:snapToGrid w:val="0"/>
        </w:rPr>
      </w:pPr>
      <w:bookmarkStart w:id="10" w:name="_Toc524065320"/>
      <w:r>
        <w:rPr>
          <w:rStyle w:val="CharSectno"/>
        </w:rPr>
        <w:t>8</w:t>
      </w:r>
      <w:r>
        <w:rPr>
          <w:snapToGrid w:val="0"/>
        </w:rPr>
        <w:t>.</w:t>
      </w:r>
      <w:r>
        <w:rPr>
          <w:snapToGrid w:val="0"/>
        </w:rPr>
        <w:tab/>
        <w:t>Constitution of Poisons Advisory Committee</w:t>
      </w:r>
      <w:bookmarkEnd w:id="10"/>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 and</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p>
    <w:p>
      <w:pPr>
        <w:pStyle w:val="Indenta"/>
        <w:rPr>
          <w:snapToGrid w:val="0"/>
        </w:rPr>
      </w:pPr>
      <w:r>
        <w:rPr>
          <w:snapToGrid w:val="0"/>
        </w:rPr>
        <w:tab/>
        <w:t>(a)</w:t>
      </w:r>
      <w:r>
        <w:rPr>
          <w:snapToGrid w:val="0"/>
        </w:rPr>
        <w:tab/>
        <w:t>one shall be a pharmacologist nominated by the Senate of The University of Western Australia; and</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 and</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 and</w:t>
      </w:r>
    </w:p>
    <w:p>
      <w:pPr>
        <w:pStyle w:val="Indenta"/>
        <w:rPr>
          <w:snapToGrid w:val="0"/>
        </w:rPr>
      </w:pPr>
      <w:r>
        <w:rPr>
          <w:snapToGrid w:val="0"/>
        </w:rPr>
        <w:tab/>
        <w:t>(d)</w:t>
      </w:r>
      <w:r>
        <w:rPr>
          <w:snapToGrid w:val="0"/>
        </w:rPr>
        <w:tab/>
        <w:t>one shall be an officer of the Department of Agriculture</w:t>
      </w:r>
      <w:r>
        <w:rPr>
          <w:snapToGrid w:val="0"/>
          <w:vertAlign w:val="superscript"/>
        </w:rPr>
        <w:t> 2</w:t>
      </w:r>
      <w:r>
        <w:rPr>
          <w:snapToGrid w:val="0"/>
        </w:rPr>
        <w:t>, nominated by the Minister for Agriculture</w:t>
      </w:r>
      <w:r>
        <w:rPr>
          <w:snapToGrid w:val="0"/>
          <w:vertAlign w:val="superscript"/>
        </w:rPr>
        <w:t> 3</w:t>
      </w:r>
      <w:r>
        <w:rPr>
          <w:snapToGrid w:val="0"/>
        </w:rPr>
        <w:t>; and</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 and</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 and</w:t>
      </w:r>
    </w:p>
    <w:p>
      <w:pPr>
        <w:pStyle w:val="Indenta"/>
      </w:pPr>
      <w:r>
        <w:tab/>
        <w:t>(g)</w:t>
      </w:r>
      <w:r>
        <w:tab/>
        <w:t xml:space="preserve">one is to be a person nominated by the Pharmacy Board of Australia established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rPr>
          <w:iCs/>
        </w:rPr>
        <w:t xml:space="preserve"> </w:t>
      </w:r>
      <w:r>
        <w:t>section 31(1);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43; No. 8 of 2009 s. 101; No. 35 of 2010 s. 125.]</w:t>
      </w:r>
    </w:p>
    <w:p>
      <w:pPr>
        <w:pStyle w:val="Heading5"/>
        <w:rPr>
          <w:snapToGrid w:val="0"/>
        </w:rPr>
      </w:pPr>
      <w:bookmarkStart w:id="11" w:name="_Toc524065321"/>
      <w:r>
        <w:rPr>
          <w:rStyle w:val="CharSectno"/>
        </w:rPr>
        <w:t>9</w:t>
      </w:r>
      <w:r>
        <w:rPr>
          <w:snapToGrid w:val="0"/>
        </w:rPr>
        <w:t>.</w:t>
      </w:r>
      <w:r>
        <w:rPr>
          <w:snapToGrid w:val="0"/>
        </w:rPr>
        <w:tab/>
        <w:t>Procedure on default of nomination</w:t>
      </w:r>
      <w:bookmarkEnd w:id="11"/>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2" w:name="_Toc524065322"/>
      <w:r>
        <w:rPr>
          <w:rStyle w:val="CharSectno"/>
        </w:rPr>
        <w:t>10</w:t>
      </w:r>
      <w:r>
        <w:rPr>
          <w:snapToGrid w:val="0"/>
        </w:rPr>
        <w:t>.</w:t>
      </w:r>
      <w:r>
        <w:rPr>
          <w:snapToGrid w:val="0"/>
        </w:rPr>
        <w:tab/>
        <w:t>Term of office of nominee member</w:t>
      </w:r>
      <w:bookmarkEnd w:id="12"/>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 and</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3" w:name="_Toc524065323"/>
      <w:r>
        <w:rPr>
          <w:rStyle w:val="CharSectno"/>
        </w:rPr>
        <w:t>11</w:t>
      </w:r>
      <w:r>
        <w:rPr>
          <w:snapToGrid w:val="0"/>
        </w:rPr>
        <w:t>.</w:t>
      </w:r>
      <w:r>
        <w:rPr>
          <w:snapToGrid w:val="0"/>
        </w:rPr>
        <w:tab/>
        <w:t>Vacation of office</w:t>
      </w:r>
      <w:bookmarkEnd w:id="13"/>
    </w:p>
    <w:p>
      <w:pPr>
        <w:pStyle w:val="Subsection"/>
        <w:rPr>
          <w:snapToGrid w:val="0"/>
        </w:rPr>
      </w:pPr>
      <w:r>
        <w:rPr>
          <w:snapToGrid w:val="0"/>
        </w:rPr>
        <w:tab/>
        <w:t>(1)</w:t>
      </w:r>
      <w:r>
        <w:rPr>
          <w:snapToGrid w:val="0"/>
        </w:rPr>
        <w:tab/>
        <w:t>The office of a member becomes vacant if —</w:t>
      </w:r>
    </w:p>
    <w:p>
      <w:pPr>
        <w:pStyle w:val="Indenta"/>
      </w:pPr>
      <w:r>
        <w:tab/>
        <w:t>(a)</w:t>
      </w:r>
      <w:r>
        <w:tab/>
        <w:t xml:space="preserve">he is, according to the </w:t>
      </w:r>
      <w:r>
        <w:rPr>
          <w:i/>
        </w:rPr>
        <w:t>Interpretation Act 1984</w:t>
      </w:r>
      <w:r>
        <w:t xml:space="preserve"> section 13D, a bankrupt or a person whose affairs are under insolvency laws; or</w:t>
      </w:r>
    </w:p>
    <w:p>
      <w:pPr>
        <w:pStyle w:val="Indenta"/>
        <w:rPr>
          <w:snapToGrid w:val="0"/>
        </w:rPr>
      </w:pPr>
      <w:r>
        <w:rPr>
          <w:snapToGrid w:val="0"/>
        </w:rPr>
        <w:tab/>
        <w:t>(b)</w:t>
      </w:r>
      <w:r>
        <w:rPr>
          <w:snapToGrid w:val="0"/>
        </w:rPr>
        <w:tab/>
        <w:t>he is absent, except on leave granted by the Minister, from 3 consecutive meetings of the Advisory Committee; or</w:t>
      </w:r>
    </w:p>
    <w:p>
      <w:pPr>
        <w:pStyle w:val="Indenta"/>
        <w:rPr>
          <w:snapToGrid w:val="0"/>
        </w:rPr>
      </w:pPr>
      <w:r>
        <w:rPr>
          <w:snapToGrid w:val="0"/>
        </w:rPr>
        <w:tab/>
        <w:t>(c)</w:t>
      </w:r>
      <w:r>
        <w:rPr>
          <w:snapToGrid w:val="0"/>
        </w:rPr>
        <w:tab/>
        <w:t>he becomes permanently incapable of performing his duties; or</w:t>
      </w:r>
    </w:p>
    <w:p>
      <w:pPr>
        <w:pStyle w:val="Indenta"/>
        <w:rPr>
          <w:snapToGrid w:val="0"/>
        </w:rPr>
      </w:pPr>
      <w:r>
        <w:rPr>
          <w:snapToGrid w:val="0"/>
        </w:rPr>
        <w:tab/>
        <w:t>(d)</w:t>
      </w:r>
      <w:r>
        <w:rPr>
          <w:snapToGrid w:val="0"/>
        </w:rPr>
        <w:tab/>
        <w:t>he resigns his office in accordance with the provisions of this Act; or</w:t>
      </w:r>
    </w:p>
    <w:p>
      <w:pPr>
        <w:pStyle w:val="Indenta"/>
        <w:rPr>
          <w:snapToGrid w:val="0"/>
        </w:rPr>
      </w:pPr>
      <w:r>
        <w:rPr>
          <w:snapToGrid w:val="0"/>
        </w:rPr>
        <w:tab/>
        <w:t>(e)</w:t>
      </w:r>
      <w:r>
        <w:rPr>
          <w:snapToGrid w:val="0"/>
        </w:rPr>
        <w:tab/>
        <w:t>he dies; or</w:t>
      </w:r>
    </w:p>
    <w:p>
      <w:pPr>
        <w:pStyle w:val="Indenta"/>
        <w:rPr>
          <w:snapToGrid w:val="0"/>
        </w:rPr>
      </w:pPr>
      <w:r>
        <w:rPr>
          <w:snapToGrid w:val="0"/>
        </w:rPr>
        <w:tab/>
        <w:t>(f)</w:t>
      </w:r>
      <w:r>
        <w:rPr>
          <w:snapToGrid w:val="0"/>
        </w:rPr>
        <w:tab/>
        <w:t>the term of his tenure of office expires by effluxion of time; or</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Footnotesection"/>
      </w:pPr>
      <w:r>
        <w:tab/>
        <w:t>[Section 11 amended by No. 18 of 2009 s. 67.]</w:t>
      </w:r>
    </w:p>
    <w:p>
      <w:pPr>
        <w:pStyle w:val="Heading5"/>
        <w:rPr>
          <w:snapToGrid w:val="0"/>
        </w:rPr>
      </w:pPr>
      <w:bookmarkStart w:id="14" w:name="_Toc524065324"/>
      <w:r>
        <w:rPr>
          <w:rStyle w:val="CharSectno"/>
        </w:rPr>
        <w:t>12</w:t>
      </w:r>
      <w:r>
        <w:rPr>
          <w:snapToGrid w:val="0"/>
        </w:rPr>
        <w:t>.</w:t>
      </w:r>
      <w:r>
        <w:rPr>
          <w:snapToGrid w:val="0"/>
        </w:rPr>
        <w:tab/>
        <w:t>Dismissal of members</w:t>
      </w:r>
      <w:bookmarkEnd w:id="14"/>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5" w:name="_Toc524065325"/>
      <w:r>
        <w:rPr>
          <w:rStyle w:val="CharSectno"/>
        </w:rPr>
        <w:t>13</w:t>
      </w:r>
      <w:r>
        <w:rPr>
          <w:snapToGrid w:val="0"/>
        </w:rPr>
        <w:t>.</w:t>
      </w:r>
      <w:r>
        <w:rPr>
          <w:snapToGrid w:val="0"/>
        </w:rPr>
        <w:tab/>
        <w:t>Leave of absence</w:t>
      </w:r>
      <w:bookmarkEnd w:id="15"/>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6" w:name="_Toc524065326"/>
      <w:r>
        <w:rPr>
          <w:rStyle w:val="CharSectno"/>
        </w:rPr>
        <w:t>14</w:t>
      </w:r>
      <w:r>
        <w:rPr>
          <w:snapToGrid w:val="0"/>
        </w:rPr>
        <w:t>.</w:t>
      </w:r>
      <w:r>
        <w:rPr>
          <w:snapToGrid w:val="0"/>
        </w:rPr>
        <w:tab/>
        <w:t>Deputies of members</w:t>
      </w:r>
      <w:bookmarkEnd w:id="16"/>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7" w:name="_Toc524065327"/>
      <w:r>
        <w:rPr>
          <w:rStyle w:val="CharSectno"/>
        </w:rPr>
        <w:t>15</w:t>
      </w:r>
      <w:r>
        <w:rPr>
          <w:snapToGrid w:val="0"/>
        </w:rPr>
        <w:t>.</w:t>
      </w:r>
      <w:r>
        <w:rPr>
          <w:snapToGrid w:val="0"/>
        </w:rPr>
        <w:tab/>
        <w:t>Acceptance of office</w:t>
      </w:r>
      <w:bookmarkEnd w:id="17"/>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p>
    <w:p>
      <w:pPr>
        <w:pStyle w:val="Heading5"/>
        <w:rPr>
          <w:snapToGrid w:val="0"/>
        </w:rPr>
      </w:pPr>
      <w:bookmarkStart w:id="18" w:name="_Toc524065328"/>
      <w:r>
        <w:rPr>
          <w:rStyle w:val="CharSectno"/>
        </w:rPr>
        <w:t>16</w:t>
      </w:r>
      <w:r>
        <w:rPr>
          <w:snapToGrid w:val="0"/>
        </w:rPr>
        <w:t>.</w:t>
      </w:r>
      <w:r>
        <w:rPr>
          <w:snapToGrid w:val="0"/>
        </w:rPr>
        <w:tab/>
        <w:t>Remuneration of members</w:t>
      </w:r>
      <w:bookmarkEnd w:id="18"/>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9" w:name="_Toc524065329"/>
      <w:r>
        <w:rPr>
          <w:rStyle w:val="CharSectno"/>
        </w:rPr>
        <w:t>17</w:t>
      </w:r>
      <w:r>
        <w:rPr>
          <w:snapToGrid w:val="0"/>
        </w:rPr>
        <w:t>.</w:t>
      </w:r>
      <w:r>
        <w:rPr>
          <w:snapToGrid w:val="0"/>
        </w:rPr>
        <w:tab/>
        <w:t>Meetings of Advisory Committee</w:t>
      </w:r>
      <w:bookmarkEnd w:id="19"/>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20" w:name="_Toc524065330"/>
      <w:r>
        <w:rPr>
          <w:rStyle w:val="CharSectno"/>
        </w:rPr>
        <w:t>18</w:t>
      </w:r>
      <w:r>
        <w:rPr>
          <w:snapToGrid w:val="0"/>
        </w:rPr>
        <w:t>.</w:t>
      </w:r>
      <w:r>
        <w:rPr>
          <w:snapToGrid w:val="0"/>
        </w:rPr>
        <w:tab/>
        <w:t>Officers of Advisory Committee</w:t>
      </w:r>
      <w:bookmarkEnd w:id="20"/>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p>
    <w:p>
      <w:pPr>
        <w:pStyle w:val="Heading5"/>
        <w:rPr>
          <w:snapToGrid w:val="0"/>
        </w:rPr>
      </w:pPr>
      <w:bookmarkStart w:id="21" w:name="_Toc524065331"/>
      <w:r>
        <w:rPr>
          <w:rStyle w:val="CharSectno"/>
        </w:rPr>
        <w:t>19</w:t>
      </w:r>
      <w:r>
        <w:rPr>
          <w:snapToGrid w:val="0"/>
        </w:rPr>
        <w:t>.</w:t>
      </w:r>
      <w:r>
        <w:rPr>
          <w:snapToGrid w:val="0"/>
        </w:rPr>
        <w:tab/>
        <w:t>Functions of Advisory Committee</w:t>
      </w:r>
      <w:bookmarkEnd w:id="21"/>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p>
    <w:p>
      <w:pPr>
        <w:pStyle w:val="Indenta"/>
        <w:rPr>
          <w:snapToGrid w:val="0"/>
        </w:rPr>
      </w:pPr>
      <w:r>
        <w:rPr>
          <w:snapToGrid w:val="0"/>
        </w:rPr>
        <w:tab/>
        <w:t>(a)</w:t>
      </w:r>
      <w:r>
        <w:rPr>
          <w:snapToGrid w:val="0"/>
        </w:rPr>
        <w:tab/>
        <w:t>the necessity to amend any of the Schedules; and</w:t>
      </w:r>
    </w:p>
    <w:p>
      <w:pPr>
        <w:pStyle w:val="Indenta"/>
        <w:rPr>
          <w:snapToGrid w:val="0"/>
        </w:rPr>
      </w:pPr>
      <w:r>
        <w:rPr>
          <w:snapToGrid w:val="0"/>
        </w:rPr>
        <w:tab/>
        <w:t>(b)</w:t>
      </w:r>
      <w:r>
        <w:rPr>
          <w:snapToGrid w:val="0"/>
        </w:rPr>
        <w:tab/>
        <w:t>the necessity to make, amend or revoke any regulation under this Act; and</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p>
    <w:p>
      <w:pPr>
        <w:pStyle w:val="Heading2"/>
      </w:pPr>
      <w:bookmarkStart w:id="22" w:name="_Toc524065332"/>
      <w:r>
        <w:rPr>
          <w:rStyle w:val="CharPartNo"/>
        </w:rPr>
        <w:t>Part III</w:t>
      </w:r>
      <w:r>
        <w:t> — </w:t>
      </w:r>
      <w:r>
        <w:rPr>
          <w:rStyle w:val="CharPartText"/>
        </w:rPr>
        <w:t>Poisons and other substances</w:t>
      </w:r>
      <w:bookmarkEnd w:id="22"/>
    </w:p>
    <w:p>
      <w:pPr>
        <w:pStyle w:val="Heading3"/>
      </w:pPr>
      <w:bookmarkStart w:id="23" w:name="_Toc524065333"/>
      <w:r>
        <w:rPr>
          <w:rStyle w:val="CharDivNo"/>
        </w:rPr>
        <w:t>Division 1</w:t>
      </w:r>
      <w:r>
        <w:rPr>
          <w:snapToGrid w:val="0"/>
        </w:rPr>
        <w:t> — </w:t>
      </w:r>
      <w:r>
        <w:rPr>
          <w:rStyle w:val="CharDivText"/>
        </w:rPr>
        <w:t>Classification</w:t>
      </w:r>
      <w:bookmarkEnd w:id="23"/>
    </w:p>
    <w:p>
      <w:pPr>
        <w:pStyle w:val="Heading5"/>
        <w:rPr>
          <w:snapToGrid w:val="0"/>
        </w:rPr>
      </w:pPr>
      <w:bookmarkStart w:id="24" w:name="_Toc524065334"/>
      <w:r>
        <w:rPr>
          <w:rStyle w:val="CharSectno"/>
        </w:rPr>
        <w:t>20</w:t>
      </w:r>
      <w:r>
        <w:rPr>
          <w:snapToGrid w:val="0"/>
        </w:rPr>
        <w:t>.</w:t>
      </w:r>
      <w:r>
        <w:rPr>
          <w:snapToGrid w:val="0"/>
        </w:rPr>
        <w:tab/>
        <w:t>Declaration of poisons</w:t>
      </w:r>
      <w:bookmarkEnd w:id="24"/>
    </w:p>
    <w:p>
      <w:pPr>
        <w:pStyle w:val="Subsection"/>
        <w:rPr>
          <w:snapToGrid w:val="0"/>
        </w:rPr>
      </w:pPr>
      <w:r>
        <w:rPr>
          <w:snapToGrid w:val="0"/>
        </w:rPr>
        <w:tab/>
        <w:t>(1)</w:t>
      </w:r>
      <w:r>
        <w:rPr>
          <w:snapToGrid w:val="0"/>
        </w:rPr>
        <w:tab/>
        <w:t>For the purposes of this Act the substances included in the Schedules are poisons.</w:t>
      </w:r>
    </w:p>
    <w:p>
      <w:pPr>
        <w:pStyle w:val="Subsection"/>
      </w:pPr>
      <w:r>
        <w:tab/>
        <w:t>(2)</w:t>
      </w:r>
      <w:r>
        <w:tab/>
        <w:t>A Schedule includes substances of the kind described in the Table for the Schedule.</w:t>
      </w:r>
    </w:p>
    <w:p>
      <w:pPr>
        <w:pStyle w:val="zTHeadingNAm"/>
      </w:pPr>
      <w:r>
        <w:t>Table</w:t>
      </w:r>
    </w:p>
    <w:tbl>
      <w:tblPr>
        <w:tblW w:w="0" w:type="auto"/>
        <w:tblInd w:w="1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5806"/>
      </w:tblGrid>
      <w:tr>
        <w:trPr>
          <w:cantSplit/>
        </w:trPr>
        <w:tc>
          <w:tcPr>
            <w:tcW w:w="5806" w:type="dxa"/>
          </w:tcPr>
          <w:p>
            <w:pPr>
              <w:pStyle w:val="TableNAm"/>
            </w:pPr>
            <w:r>
              <w:rPr>
                <w:b/>
                <w:bCs/>
              </w:rPr>
              <w:t>Schedule 1</w:t>
            </w:r>
            <w:r>
              <w:t xml:space="preserve"> — [Blank]</w:t>
            </w:r>
          </w:p>
        </w:tc>
      </w:tr>
      <w:tr>
        <w:trPr>
          <w:cantSplit/>
        </w:trPr>
        <w:tc>
          <w:tcPr>
            <w:tcW w:w="5806" w:type="dxa"/>
          </w:tcPr>
          <w:p>
            <w:pPr>
              <w:pStyle w:val="TableNAm"/>
              <w:rPr>
                <w:b/>
                <w:bCs/>
              </w:rPr>
            </w:pPr>
            <w:r>
              <w:rPr>
                <w:b/>
                <w:bCs/>
              </w:rPr>
              <w:t>Schedule 2 — Pharmacy medicines</w:t>
            </w:r>
          </w:p>
          <w:p>
            <w:pPr>
              <w:pStyle w:val="TableNAm"/>
            </w:pPr>
            <w:r>
              <w:t>Substances, the safe use of which may require advice from a pharmacist and which should be available from a pharmacy or, where a pharmacy service is not available, from a licensed person.</w:t>
            </w:r>
          </w:p>
        </w:tc>
      </w:tr>
      <w:tr>
        <w:trPr>
          <w:cantSplit/>
        </w:trPr>
        <w:tc>
          <w:tcPr>
            <w:tcW w:w="5806" w:type="dxa"/>
          </w:tcPr>
          <w:p>
            <w:pPr>
              <w:pStyle w:val="TableNAm"/>
              <w:rPr>
                <w:b/>
                <w:bCs/>
              </w:rPr>
            </w:pPr>
            <w:r>
              <w:rPr>
                <w:b/>
                <w:bCs/>
              </w:rPr>
              <w:t>Schedule 3 — Pharmacist only medicines</w:t>
            </w:r>
          </w:p>
          <w:p>
            <w:pPr>
              <w:pStyle w:val="TableNAm"/>
            </w:pPr>
            <w:r>
              <w:t>Substances, the safe use of which requires professional advice but which should be available to the public from a pharmacist without a prescription.</w:t>
            </w:r>
          </w:p>
        </w:tc>
      </w:tr>
      <w:tr>
        <w:trPr>
          <w:cantSplit/>
        </w:trPr>
        <w:tc>
          <w:tcPr>
            <w:tcW w:w="5806" w:type="dxa"/>
          </w:tcPr>
          <w:p>
            <w:pPr>
              <w:pStyle w:val="TableNAm"/>
              <w:rPr>
                <w:b/>
                <w:bCs/>
              </w:rPr>
            </w:pPr>
            <w:r>
              <w:rPr>
                <w:b/>
                <w:bCs/>
              </w:rPr>
              <w:t xml:space="preserve">Schedule 4 — Prescription only medicines, </w:t>
            </w:r>
            <w:r>
              <w:t>or</w:t>
            </w:r>
            <w:r>
              <w:rPr>
                <w:b/>
                <w:bCs/>
              </w:rPr>
              <w:t xml:space="preserve"> Prescription Animal Remedy</w:t>
            </w:r>
          </w:p>
          <w:p>
            <w:pPr>
              <w:pStyle w:val="TableNAm"/>
            </w:pPr>
            <w:r>
              <w:t>Substances, the use or supply of which should be by or on the order of persons permitted under the Act to prescribe and should be available from a pharmacist on prescription.</w:t>
            </w:r>
          </w:p>
        </w:tc>
      </w:tr>
      <w:tr>
        <w:trPr>
          <w:cantSplit/>
        </w:trPr>
        <w:tc>
          <w:tcPr>
            <w:tcW w:w="5806" w:type="dxa"/>
          </w:tcPr>
          <w:p>
            <w:pPr>
              <w:pStyle w:val="TableNAm"/>
              <w:rPr>
                <w:b/>
                <w:bCs/>
              </w:rPr>
            </w:pPr>
            <w:r>
              <w:rPr>
                <w:b/>
                <w:bCs/>
              </w:rPr>
              <w:t>Schedule 5 — Caution</w:t>
            </w:r>
          </w:p>
          <w:p>
            <w:pPr>
              <w:pStyle w:val="TableNAm"/>
              <w:spacing w:before="80"/>
            </w:pPr>
            <w:r>
              <w:t>Substances with a low potential for causing harm, the extent of which can be reduced through the use of appropriate packaging with simple warnings and safety directions on the label.</w:t>
            </w:r>
          </w:p>
        </w:tc>
      </w:tr>
      <w:tr>
        <w:trPr>
          <w:cantSplit/>
        </w:trPr>
        <w:tc>
          <w:tcPr>
            <w:tcW w:w="5806" w:type="dxa"/>
          </w:tcPr>
          <w:p>
            <w:pPr>
              <w:pStyle w:val="TableNAm"/>
              <w:rPr>
                <w:b/>
                <w:bCs/>
              </w:rPr>
            </w:pPr>
            <w:r>
              <w:rPr>
                <w:b/>
                <w:bCs/>
              </w:rPr>
              <w:t>Schedule 6 — Poison</w:t>
            </w:r>
          </w:p>
          <w:p>
            <w:pPr>
              <w:pStyle w:val="TableNAm"/>
              <w:spacing w:before="80"/>
            </w:pPr>
            <w:r>
              <w:t>Substances with a moderate potential for causing harm, the extent of which can be reduced through the use of distinctive packaging with strong warnings and safety directions on the label.</w:t>
            </w:r>
          </w:p>
        </w:tc>
      </w:tr>
      <w:tr>
        <w:trPr>
          <w:cantSplit/>
        </w:trPr>
        <w:tc>
          <w:tcPr>
            <w:tcW w:w="5806" w:type="dxa"/>
          </w:tcPr>
          <w:p>
            <w:pPr>
              <w:pStyle w:val="TableNAm"/>
              <w:rPr>
                <w:b/>
                <w:bCs/>
              </w:rPr>
            </w:pPr>
            <w:r>
              <w:rPr>
                <w:b/>
                <w:bCs/>
              </w:rPr>
              <w:t>Schedule 7 — Dangerous Poison</w:t>
            </w:r>
          </w:p>
          <w:p>
            <w:pPr>
              <w:pStyle w:val="TableNAm"/>
              <w:spacing w:before="80"/>
            </w:pPr>
            <w:r>
              <w:t>Substances with a high potential for causing harm at low exposure and which require special precautions during manufacture, handling or use. These poisons should be available only to specialised or authorised users who have the skills necessary to handle them safely. Special regulations restricting their availability, possession, storage or use may apply.</w:t>
            </w:r>
          </w:p>
        </w:tc>
      </w:tr>
      <w:tr>
        <w:trPr>
          <w:cantSplit/>
        </w:trPr>
        <w:tc>
          <w:tcPr>
            <w:tcW w:w="5806" w:type="dxa"/>
          </w:tcPr>
          <w:p>
            <w:pPr>
              <w:pStyle w:val="TableNAm"/>
              <w:rPr>
                <w:b/>
                <w:bCs/>
              </w:rPr>
            </w:pPr>
            <w:r>
              <w:rPr>
                <w:b/>
                <w:bCs/>
              </w:rPr>
              <w:t>Schedule 8 — Controlled Drug</w:t>
            </w:r>
          </w:p>
          <w:p>
            <w:pPr>
              <w:pStyle w:val="TableNAm"/>
              <w:spacing w:before="80"/>
            </w:pPr>
            <w:r>
              <w:t>Substances which should be available for use but require restriction of manufacture, supply, distribution, possession and use to reduce abuse, misuse and physical or psychological dependence.</w:t>
            </w:r>
          </w:p>
        </w:tc>
      </w:tr>
      <w:tr>
        <w:trPr>
          <w:cantSplit/>
        </w:trPr>
        <w:tc>
          <w:tcPr>
            <w:tcW w:w="5806" w:type="dxa"/>
          </w:tcPr>
          <w:p>
            <w:pPr>
              <w:pStyle w:val="TableNAm"/>
              <w:rPr>
                <w:b/>
                <w:bCs/>
              </w:rPr>
            </w:pPr>
            <w:r>
              <w:rPr>
                <w:b/>
                <w:bCs/>
              </w:rPr>
              <w:t>Schedule 9 — Prohibited Substance</w:t>
            </w:r>
          </w:p>
          <w:p>
            <w:pPr>
              <w:pStyle w:val="TableNAm"/>
              <w:spacing w:before="80"/>
            </w:pPr>
            <w:r>
              <w:t>Substances which may be abused or misused, the manufacture, possession, sale or use of which should be prohibited by law except when required for medical or scientific research, or for analytical, teaching or training purposes with approval of the CEO.</w:t>
            </w:r>
          </w:p>
        </w:tc>
      </w:tr>
    </w:tbl>
    <w:p>
      <w:pPr>
        <w:pStyle w:val="Footnotesection"/>
      </w:pPr>
      <w:r>
        <w:tab/>
        <w:t>[Section 20 inserted by No. 48 of 1995 s. 8; amended by No. 9 of 2003 s. 36; No. 35 of 2010 s. 126.]</w:t>
      </w:r>
    </w:p>
    <w:p>
      <w:pPr>
        <w:pStyle w:val="Heading5"/>
        <w:spacing w:before="240"/>
        <w:rPr>
          <w:snapToGrid w:val="0"/>
        </w:rPr>
      </w:pPr>
      <w:bookmarkStart w:id="25" w:name="_Toc524065335"/>
      <w:r>
        <w:rPr>
          <w:rStyle w:val="CharSectno"/>
        </w:rPr>
        <w:t>20A</w:t>
      </w:r>
      <w:r>
        <w:rPr>
          <w:snapToGrid w:val="0"/>
        </w:rPr>
        <w:t>.</w:t>
      </w:r>
      <w:r>
        <w:rPr>
          <w:snapToGrid w:val="0"/>
        </w:rPr>
        <w:tab/>
        <w:t>How poisons may be identified in Schedules</w:t>
      </w:r>
      <w:bookmarkEnd w:id="25"/>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p>
    <w:p>
      <w:pPr>
        <w:pStyle w:val="Indenta"/>
        <w:rPr>
          <w:snapToGrid w:val="0"/>
        </w:rPr>
      </w:pPr>
      <w:r>
        <w:rPr>
          <w:snapToGrid w:val="0"/>
        </w:rPr>
        <w:tab/>
        <w:t>(a)</w:t>
      </w:r>
      <w:r>
        <w:rPr>
          <w:snapToGrid w:val="0"/>
        </w:rPr>
        <w:tab/>
        <w:t>any list of substances contained in the standard or part of the standard; or</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p>
    <w:p>
      <w:pPr>
        <w:pStyle w:val="Indenta"/>
        <w:rPr>
          <w:snapToGrid w:val="0"/>
        </w:rPr>
      </w:pPr>
      <w:r>
        <w:rPr>
          <w:snapToGrid w:val="0"/>
        </w:rPr>
        <w:tab/>
        <w:t>(a)</w:t>
      </w:r>
      <w:r>
        <w:rPr>
          <w:snapToGrid w:val="0"/>
        </w:rPr>
        <w:tab/>
        <w:t>the way in which or the purpose for which, it is used or intended for use; or</w:t>
      </w:r>
    </w:p>
    <w:p>
      <w:pPr>
        <w:pStyle w:val="Indenta"/>
        <w:rPr>
          <w:snapToGrid w:val="0"/>
        </w:rPr>
      </w:pPr>
      <w:r>
        <w:rPr>
          <w:snapToGrid w:val="0"/>
        </w:rPr>
        <w:tab/>
        <w:t>(b)</w:t>
      </w:r>
      <w:r>
        <w:rPr>
          <w:snapToGrid w:val="0"/>
        </w:rPr>
        <w:tab/>
        <w:t>the quantity in which it is supplied; or</w:t>
      </w:r>
    </w:p>
    <w:p>
      <w:pPr>
        <w:pStyle w:val="Indenta"/>
        <w:rPr>
          <w:snapToGrid w:val="0"/>
        </w:rPr>
      </w:pPr>
      <w:r>
        <w:rPr>
          <w:snapToGrid w:val="0"/>
        </w:rPr>
        <w:tab/>
        <w:t>(c)</w:t>
      </w:r>
      <w:r>
        <w:rPr>
          <w:snapToGrid w:val="0"/>
        </w:rPr>
        <w:tab/>
        <w:t>the nature of the package or container, including the labelling thereof, in which it is supplied; or</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p>
    <w:p>
      <w:pPr>
        <w:pStyle w:val="Heading5"/>
        <w:rPr>
          <w:snapToGrid w:val="0"/>
        </w:rPr>
      </w:pPr>
      <w:bookmarkStart w:id="26" w:name="_Toc524065336"/>
      <w:r>
        <w:rPr>
          <w:rStyle w:val="CharSectno"/>
        </w:rPr>
        <w:t>21</w:t>
      </w:r>
      <w:r>
        <w:rPr>
          <w:snapToGrid w:val="0"/>
        </w:rPr>
        <w:t>.</w:t>
      </w:r>
      <w:r>
        <w:rPr>
          <w:snapToGrid w:val="0"/>
        </w:rPr>
        <w:tab/>
        <w:t>Amendment of Appendix A</w:t>
      </w:r>
      <w:bookmarkEnd w:id="26"/>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p>
    <w:p>
      <w:pPr>
        <w:pStyle w:val="Heading5"/>
        <w:rPr>
          <w:snapToGrid w:val="0"/>
        </w:rPr>
      </w:pPr>
      <w:bookmarkStart w:id="27" w:name="_Toc524065337"/>
      <w:r>
        <w:rPr>
          <w:rStyle w:val="CharSectno"/>
        </w:rPr>
        <w:t>21A</w:t>
      </w:r>
      <w:r>
        <w:rPr>
          <w:snapToGrid w:val="0"/>
        </w:rPr>
        <w:t>.</w:t>
      </w:r>
      <w:r>
        <w:rPr>
          <w:snapToGrid w:val="0"/>
        </w:rPr>
        <w:tab/>
        <w:t>Exemption of substances from Act</w:t>
      </w:r>
      <w:bookmarkEnd w:id="27"/>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p>
    <w:p>
      <w:pPr>
        <w:pStyle w:val="Heading5"/>
        <w:rPr>
          <w:snapToGrid w:val="0"/>
        </w:rPr>
      </w:pPr>
      <w:bookmarkStart w:id="28" w:name="_Toc524065338"/>
      <w:r>
        <w:rPr>
          <w:rStyle w:val="CharSectno"/>
        </w:rPr>
        <w:t>22</w:t>
      </w:r>
      <w:r>
        <w:rPr>
          <w:snapToGrid w:val="0"/>
        </w:rPr>
        <w:t>.</w:t>
      </w:r>
      <w:r>
        <w:rPr>
          <w:snapToGrid w:val="0"/>
        </w:rPr>
        <w:tab/>
      </w:r>
      <w:smartTag w:uri="urn:schemas-microsoft-com:office:smarttags" w:element="place">
        <w:smartTag w:uri="urn:schemas-microsoft-com:office:smarttags" w:element="City">
          <w:r>
            <w:rPr>
              <w:snapToGrid w:val="0"/>
            </w:rPr>
            <w:t>Sale</w:t>
          </w:r>
        </w:smartTag>
      </w:smartTag>
      <w:r>
        <w:rPr>
          <w:snapToGrid w:val="0"/>
        </w:rPr>
        <w:t xml:space="preserve"> of any poison may be prohibited</w:t>
      </w:r>
      <w:bookmarkEnd w:id="28"/>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p>
    <w:p>
      <w:pPr>
        <w:pStyle w:val="Heading5"/>
        <w:rPr>
          <w:snapToGrid w:val="0"/>
        </w:rPr>
      </w:pPr>
      <w:bookmarkStart w:id="29" w:name="_Toc524065339"/>
      <w:r>
        <w:rPr>
          <w:rStyle w:val="CharSectno"/>
        </w:rPr>
        <w:t>22A</w:t>
      </w:r>
      <w:r>
        <w:rPr>
          <w:snapToGrid w:val="0"/>
        </w:rPr>
        <w:t>.</w:t>
      </w:r>
      <w:r>
        <w:rPr>
          <w:snapToGrid w:val="0"/>
        </w:rPr>
        <w:tab/>
        <w:t>Specified drugs</w:t>
      </w:r>
      <w:bookmarkEnd w:id="29"/>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p>
    <w:p>
      <w:pPr>
        <w:pStyle w:val="Heading3"/>
        <w:spacing w:before="260"/>
      </w:pPr>
      <w:bookmarkStart w:id="30" w:name="_Toc524065340"/>
      <w:r>
        <w:rPr>
          <w:rStyle w:val="CharDivNo"/>
        </w:rPr>
        <w:t>Division 2</w:t>
      </w:r>
      <w:r>
        <w:rPr>
          <w:snapToGrid w:val="0"/>
        </w:rPr>
        <w:t> — </w:t>
      </w:r>
      <w:smartTag w:uri="urn:schemas-microsoft-com:office:smarttags" w:element="place">
        <w:smartTag w:uri="urn:schemas-microsoft-com:office:smarttags" w:element="City">
          <w:r>
            <w:rPr>
              <w:rStyle w:val="CharDivText"/>
            </w:rPr>
            <w:t>Sale</w:t>
          </w:r>
        </w:smartTag>
      </w:smartTag>
      <w:r>
        <w:rPr>
          <w:rStyle w:val="CharDivText"/>
        </w:rPr>
        <w:t xml:space="preserve"> of poisons</w:t>
      </w:r>
      <w:bookmarkEnd w:id="30"/>
    </w:p>
    <w:p>
      <w:pPr>
        <w:pStyle w:val="Heading5"/>
        <w:rPr>
          <w:snapToGrid w:val="0"/>
        </w:rPr>
      </w:pPr>
      <w:bookmarkStart w:id="31" w:name="_Toc524065341"/>
      <w:r>
        <w:rPr>
          <w:rStyle w:val="CharSectno"/>
        </w:rPr>
        <w:t>23</w:t>
      </w:r>
      <w:r>
        <w:rPr>
          <w:snapToGrid w:val="0"/>
        </w:rPr>
        <w:t>.</w:t>
      </w:r>
      <w:r>
        <w:rPr>
          <w:snapToGrid w:val="0"/>
        </w:rPr>
        <w:tab/>
        <w:t>Persons authorised to sell poisons</w:t>
      </w:r>
      <w:bookmarkEnd w:id="31"/>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p>
    <w:p>
      <w:pPr>
        <w:pStyle w:val="Indenta"/>
        <w:rPr>
          <w:snapToGrid w:val="0"/>
        </w:rPr>
      </w:pPr>
      <w:r>
        <w:rPr>
          <w:snapToGrid w:val="0"/>
        </w:rPr>
        <w:tab/>
        <w:t>(a)</w:t>
      </w:r>
      <w:r>
        <w:rPr>
          <w:snapToGrid w:val="0"/>
        </w:rPr>
        <w:tab/>
      </w:r>
      <w:r>
        <w:t>a pharmacist</w:t>
      </w:r>
      <w:r>
        <w:rPr>
          <w:snapToGrid w:val="0"/>
        </w:rPr>
        <w:t xml:space="preserve"> is authorised to manufacture, have in his possession, and to use, supply or sell at his pharmacy in the ordinary course of his retail business any preparation, admixture or extract containing any poison; and</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 and</w:t>
      </w:r>
    </w:p>
    <w:p>
      <w:pPr>
        <w:pStyle w:val="Indenta"/>
        <w:rPr>
          <w:snapToGrid w:val="0"/>
        </w:rPr>
      </w:pPr>
      <w:r>
        <w:rPr>
          <w:snapToGrid w:val="0"/>
        </w:rPr>
        <w:tab/>
        <w:t>(c)</w:t>
      </w:r>
      <w:r>
        <w:rPr>
          <w:snapToGrid w:val="0"/>
        </w:rPr>
        <w:tab/>
        <w:t>any dentist is authorised to have in his possession and to use in the lawful practice of his profession any poison; and</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pPr>
      <w:r>
        <w:tab/>
        <w:t>(4A)</w:t>
      </w:r>
      <w:r>
        <w:tab/>
        <w:t xml:space="preserve">If the CEO gives a dentist, medical practitioner, nurse practitioner or pharmacist a notice pursuant to any regulations made under section 64(2)(ha), the CEO may give a copy of the notice to the National Board as defined in the </w:t>
      </w:r>
      <w:r>
        <w:rPr>
          <w:i/>
        </w:rPr>
        <w:t>Health Practitioner Regulation National Law (Western Australia)</w:t>
      </w:r>
      <w:r>
        <w:t xml:space="preserve"> section 5 for the person’s health profession.</w:t>
      </w:r>
    </w:p>
    <w:p>
      <w:pPr>
        <w:pStyle w:val="Subsection"/>
      </w:pPr>
      <w:r>
        <w:tab/>
        <w:t>(4B)</w:t>
      </w:r>
      <w:r>
        <w:tab/>
        <w:t xml:space="preserve">Subject to this Act, a person who is a member of a prescribed class of endorsed health practitioner is authorised in the lawful practice of his or her profession to do any one or more of the following things in relation to a medicine as is prescribed in relation to the prescribed class — </w:t>
      </w:r>
    </w:p>
    <w:p>
      <w:pPr>
        <w:pStyle w:val="Indenta"/>
      </w:pPr>
      <w:r>
        <w:tab/>
        <w:t>(a)</w:t>
      </w:r>
      <w:r>
        <w:tab/>
        <w:t>possess;</w:t>
      </w:r>
    </w:p>
    <w:p>
      <w:pPr>
        <w:pStyle w:val="Indenta"/>
      </w:pPr>
      <w:r>
        <w:tab/>
        <w:t>(b)</w:t>
      </w:r>
      <w:r>
        <w:tab/>
        <w:t>use;</w:t>
      </w:r>
    </w:p>
    <w:p>
      <w:pPr>
        <w:pStyle w:val="Indenta"/>
      </w:pPr>
      <w:r>
        <w:tab/>
        <w:t>(c)</w:t>
      </w:r>
      <w:r>
        <w:tab/>
        <w:t>supply;</w:t>
      </w:r>
    </w:p>
    <w:p>
      <w:pPr>
        <w:pStyle w:val="Indenta"/>
      </w:pPr>
      <w:r>
        <w:tab/>
        <w:t>(d)</w:t>
      </w:r>
      <w:r>
        <w:tab/>
        <w:t>sell;</w:t>
      </w:r>
    </w:p>
    <w:p>
      <w:pPr>
        <w:pStyle w:val="Indenta"/>
      </w:pPr>
      <w:r>
        <w:tab/>
        <w:t>(e)</w:t>
      </w:r>
      <w:r>
        <w:tab/>
        <w:t>prescribe.</w:t>
      </w:r>
    </w:p>
    <w:p>
      <w:pPr>
        <w:pStyle w:val="Subsection"/>
      </w:pPr>
      <w:r>
        <w:tab/>
        <w:t>(4C)</w:t>
      </w:r>
      <w:r>
        <w:tab/>
        <w:t xml:space="preserve">The authorisation given by subsection (4B) is subject to — </w:t>
      </w:r>
    </w:p>
    <w:p>
      <w:pPr>
        <w:pStyle w:val="Indenta"/>
      </w:pPr>
      <w:r>
        <w:tab/>
        <w:t>(a)</w:t>
      </w:r>
      <w:r>
        <w:tab/>
        <w:t>such conditions and restrictions as may be prescribed; and</w:t>
      </w:r>
    </w:p>
    <w:p>
      <w:pPr>
        <w:pStyle w:val="Indenta"/>
      </w:pPr>
      <w:r>
        <w:tab/>
        <w:t>(b)</w:t>
      </w:r>
      <w:r>
        <w:tab/>
        <w:t>any notice given by the CEO pursuant to any regulations made under section 64(2)(ha).</w:t>
      </w:r>
    </w:p>
    <w:p>
      <w:pPr>
        <w:pStyle w:val="Subsection"/>
      </w:pPr>
      <w:r>
        <w:tab/>
        <w:t>(4D)</w:t>
      </w:r>
      <w:r>
        <w:tab/>
        <w:t xml:space="preserve">If the CEO gives an endorsed health practitioner a notice pursuant to any regulations made under section 64(2)(ha), the CEO may give a copy of the notice to the National Board as defined in the </w:t>
      </w:r>
      <w:r>
        <w:rPr>
          <w:i/>
        </w:rPr>
        <w:t>Health Practitioner Regulation National Law (Western Australia)</w:t>
      </w:r>
      <w:r>
        <w:t xml:space="preserve"> section 5 that endorsed the registration of the health practitioner.</w:t>
      </w:r>
    </w:p>
    <w:p>
      <w:pPr>
        <w:pStyle w:val="Subsection"/>
      </w:pPr>
      <w:r>
        <w:tab/>
        <w:t>(4E)</w:t>
      </w:r>
      <w:r>
        <w:tab/>
        <w:t>Subsection (4B) does not authorise a person to sell any poison in an open shop unless the person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 No. 35 of 2010 s. 127.]</w:t>
      </w:r>
    </w:p>
    <w:p>
      <w:pPr>
        <w:pStyle w:val="Heading5"/>
        <w:rPr>
          <w:snapToGrid w:val="0"/>
        </w:rPr>
      </w:pPr>
      <w:bookmarkStart w:id="32" w:name="_Toc524065342"/>
      <w:r>
        <w:rPr>
          <w:rStyle w:val="CharSectno"/>
        </w:rPr>
        <w:t>24</w:t>
      </w:r>
      <w:r>
        <w:rPr>
          <w:snapToGrid w:val="0"/>
        </w:rPr>
        <w:t>.</w:t>
      </w:r>
      <w:r>
        <w:rPr>
          <w:snapToGrid w:val="0"/>
        </w:rPr>
        <w:tab/>
        <w:t>Licences to manufacture or sell poisons</w:t>
      </w:r>
      <w:bookmarkEnd w:id="32"/>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p>
    <w:p>
      <w:pPr>
        <w:pStyle w:val="Indenta"/>
        <w:rPr>
          <w:snapToGrid w:val="0"/>
        </w:rPr>
      </w:pPr>
      <w:r>
        <w:rPr>
          <w:snapToGrid w:val="0"/>
        </w:rPr>
        <w:tab/>
        <w:t>(a)</w:t>
      </w:r>
      <w:r>
        <w:rPr>
          <w:snapToGrid w:val="0"/>
        </w:rPr>
        <w:tab/>
        <w:t>to manufacture any poison; or</w:t>
      </w:r>
    </w:p>
    <w:p>
      <w:pPr>
        <w:pStyle w:val="Indenta"/>
        <w:rPr>
          <w:snapToGrid w:val="0"/>
        </w:rPr>
      </w:pPr>
      <w:r>
        <w:rPr>
          <w:snapToGrid w:val="0"/>
        </w:rPr>
        <w:tab/>
        <w:t>(b)</w:t>
      </w:r>
      <w:r>
        <w:rPr>
          <w:snapToGrid w:val="0"/>
        </w:rPr>
        <w:tab/>
        <w:t>to manufacture and distribute or sell by wholesale any poison; or</w:t>
      </w:r>
    </w:p>
    <w:p>
      <w:pPr>
        <w:pStyle w:val="Indenta"/>
        <w:rPr>
          <w:snapToGrid w:val="0"/>
        </w:rPr>
      </w:pPr>
      <w:r>
        <w:rPr>
          <w:snapToGrid w:val="0"/>
        </w:rPr>
        <w:tab/>
        <w:t>(c)</w:t>
      </w:r>
      <w:r>
        <w:rPr>
          <w:snapToGrid w:val="0"/>
        </w:rPr>
        <w:tab/>
        <w:t>to sell by wholesale any poison; or</w:t>
      </w:r>
    </w:p>
    <w:p>
      <w:pPr>
        <w:pStyle w:val="Indenta"/>
        <w:keepNext/>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w:t>
      </w:r>
      <w:r>
        <w:t>premises or at a</w:t>
      </w:r>
      <w:r>
        <w:rPr>
          <w:snapToGrid w:val="0"/>
        </w:rPr>
        <w:t xml:space="preserve">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Ednotesubsection"/>
      </w:pPr>
      <w:r>
        <w:tab/>
        <w:t>[(4)</w:t>
      </w:r>
      <w:r>
        <w:tab/>
        <w:t>deleted]</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 and</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 and</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 No. 35 of 2010 s. 128.]</w:t>
      </w:r>
    </w:p>
    <w:p>
      <w:pPr>
        <w:pStyle w:val="Heading5"/>
        <w:spacing w:before="240"/>
        <w:rPr>
          <w:snapToGrid w:val="0"/>
        </w:rPr>
      </w:pPr>
      <w:bookmarkStart w:id="33" w:name="_Toc524065343"/>
      <w:r>
        <w:rPr>
          <w:rStyle w:val="CharSectno"/>
        </w:rPr>
        <w:t>25</w:t>
      </w:r>
      <w:r>
        <w:rPr>
          <w:snapToGrid w:val="0"/>
        </w:rPr>
        <w:t>.</w:t>
      </w:r>
      <w:r>
        <w:rPr>
          <w:snapToGrid w:val="0"/>
        </w:rPr>
        <w:tab/>
        <w:t>Permits to purchase poisons for specified purposes</w:t>
      </w:r>
      <w:bookmarkEnd w:id="33"/>
    </w:p>
    <w:p>
      <w:pPr>
        <w:pStyle w:val="Subsection"/>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p>
    <w:p>
      <w:pPr>
        <w:pStyle w:val="Heading5"/>
        <w:spacing w:before="240"/>
        <w:rPr>
          <w:snapToGrid w:val="0"/>
        </w:rPr>
      </w:pPr>
      <w:bookmarkStart w:id="34" w:name="_Toc524065344"/>
      <w:r>
        <w:rPr>
          <w:rStyle w:val="CharSectno"/>
        </w:rPr>
        <w:t>26</w:t>
      </w:r>
      <w:r>
        <w:rPr>
          <w:snapToGrid w:val="0"/>
        </w:rPr>
        <w:t>.</w:t>
      </w:r>
      <w:r>
        <w:rPr>
          <w:snapToGrid w:val="0"/>
        </w:rPr>
        <w:tab/>
        <w:t>Form of licences and permits</w:t>
      </w:r>
      <w:bookmarkEnd w:id="34"/>
    </w:p>
    <w:p>
      <w:pPr>
        <w:pStyle w:val="Subsection"/>
        <w:rPr>
          <w:snapToGrid w:val="0"/>
        </w:rPr>
      </w:pPr>
      <w:r>
        <w:rPr>
          <w:snapToGrid w:val="0"/>
        </w:rPr>
        <w:tab/>
        <w:t>(1)</w:t>
      </w:r>
      <w:r>
        <w:rPr>
          <w:snapToGrid w:val="0"/>
        </w:rPr>
        <w:tab/>
        <w:t>A licence or permit under this Act must be in the prescribed form.</w:t>
      </w:r>
    </w:p>
    <w:p>
      <w:pPr>
        <w:pStyle w:val="Subsection"/>
        <w:rPr>
          <w:snapToGrid w:val="0"/>
        </w:rPr>
      </w:pPr>
      <w:r>
        <w:rPr>
          <w:snapToGrid w:val="0"/>
        </w:rPr>
        <w:tab/>
        <w:t>(2)</w:t>
      </w:r>
      <w:r>
        <w:rPr>
          <w:snapToGrid w:val="0"/>
        </w:rPr>
        <w:tab/>
        <w:t>A licence must specify the premises or place of business in or at which the licence may be exercised.</w:t>
      </w:r>
    </w:p>
    <w:p>
      <w:pPr>
        <w:pStyle w:val="Subsection"/>
        <w:rPr>
          <w:snapToGrid w:val="0"/>
        </w:rPr>
      </w:pPr>
      <w:r>
        <w:rPr>
          <w:snapToGrid w:val="0"/>
        </w:rPr>
        <w:tab/>
        <w:t>(3)</w:t>
      </w:r>
      <w:r>
        <w:rPr>
          <w:snapToGrid w:val="0"/>
        </w:rPr>
        <w:tab/>
        <w:t>No more than one place may be specified under subsection (2).</w:t>
      </w:r>
    </w:p>
    <w:p>
      <w:pPr>
        <w:pStyle w:val="Footnotesection"/>
      </w:pPr>
      <w:r>
        <w:tab/>
        <w:t>[Section 26 inserted by No. 48 of 1995 s. 14; amended by No. 35 of 2010 s. 129.]</w:t>
      </w:r>
    </w:p>
    <w:p>
      <w:pPr>
        <w:pStyle w:val="Heading5"/>
        <w:spacing w:before="180"/>
        <w:rPr>
          <w:snapToGrid w:val="0"/>
        </w:rPr>
      </w:pPr>
      <w:bookmarkStart w:id="35" w:name="_Toc524065345"/>
      <w:r>
        <w:rPr>
          <w:rStyle w:val="CharSectno"/>
        </w:rPr>
        <w:t>26A</w:t>
      </w:r>
      <w:r>
        <w:rPr>
          <w:snapToGrid w:val="0"/>
        </w:rPr>
        <w:t>.</w:t>
      </w:r>
      <w:r>
        <w:rPr>
          <w:snapToGrid w:val="0"/>
        </w:rPr>
        <w:tab/>
        <w:t>Conditions</w:t>
      </w:r>
      <w:bookmarkEnd w:id="35"/>
    </w:p>
    <w:p>
      <w:pPr>
        <w:pStyle w:val="Subsection"/>
        <w:keepNext/>
        <w:keepLines/>
        <w:rPr>
          <w:snapToGrid w:val="0"/>
        </w:rPr>
      </w:pPr>
      <w:r>
        <w:rPr>
          <w:snapToGrid w:val="0"/>
        </w:rPr>
        <w:tab/>
        <w:t>(1)</w:t>
      </w:r>
      <w:r>
        <w:rPr>
          <w:snapToGrid w:val="0"/>
        </w:rPr>
        <w:tab/>
        <w:t>A licence or permit under this Act is subject to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p>
    <w:p>
      <w:pPr>
        <w:pStyle w:val="Heading5"/>
        <w:rPr>
          <w:snapToGrid w:val="0"/>
        </w:rPr>
      </w:pPr>
      <w:bookmarkStart w:id="36" w:name="_Toc524065346"/>
      <w:r>
        <w:rPr>
          <w:rStyle w:val="CharSectno"/>
        </w:rPr>
        <w:t>26B</w:t>
      </w:r>
      <w:r>
        <w:rPr>
          <w:snapToGrid w:val="0"/>
        </w:rPr>
        <w:t>.</w:t>
      </w:r>
      <w:r>
        <w:rPr>
          <w:snapToGrid w:val="0"/>
        </w:rPr>
        <w:tab/>
        <w:t>Duration of licences and permits</w:t>
      </w:r>
      <w:bookmarkEnd w:id="36"/>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p>
    <w:p>
      <w:pPr>
        <w:pStyle w:val="Heading5"/>
        <w:rPr>
          <w:snapToGrid w:val="0"/>
        </w:rPr>
      </w:pPr>
      <w:bookmarkStart w:id="37" w:name="_Toc524065347"/>
      <w:r>
        <w:rPr>
          <w:rStyle w:val="CharSectno"/>
        </w:rPr>
        <w:t>27</w:t>
      </w:r>
      <w:r>
        <w:rPr>
          <w:snapToGrid w:val="0"/>
        </w:rPr>
        <w:t>.</w:t>
      </w:r>
      <w:r>
        <w:rPr>
          <w:snapToGrid w:val="0"/>
        </w:rPr>
        <w:tab/>
        <w:t>Fees for licences, permits and renewals</w:t>
      </w:r>
      <w:bookmarkEnd w:id="37"/>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p>
    <w:p>
      <w:pPr>
        <w:pStyle w:val="Heading5"/>
        <w:rPr>
          <w:snapToGrid w:val="0"/>
        </w:rPr>
      </w:pPr>
      <w:bookmarkStart w:id="38" w:name="_Toc524065348"/>
      <w:r>
        <w:rPr>
          <w:rStyle w:val="CharSectno"/>
        </w:rPr>
        <w:t>28</w:t>
      </w:r>
      <w:r>
        <w:rPr>
          <w:snapToGrid w:val="0"/>
        </w:rPr>
        <w:t>.</w:t>
      </w:r>
      <w:r>
        <w:rPr>
          <w:snapToGrid w:val="0"/>
        </w:rPr>
        <w:tab/>
      </w:r>
      <w:r>
        <w:t xml:space="preserve">CEO </w:t>
      </w:r>
      <w:r>
        <w:rPr>
          <w:snapToGrid w:val="0"/>
        </w:rPr>
        <w:t>may cancel, suspend or revoke licence or permit</w:t>
      </w:r>
      <w:bookmarkEnd w:id="38"/>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p>
    <w:p>
      <w:pPr>
        <w:pStyle w:val="Heading5"/>
        <w:rPr>
          <w:snapToGrid w:val="0"/>
        </w:rPr>
      </w:pPr>
      <w:bookmarkStart w:id="39" w:name="_Toc524065349"/>
      <w:r>
        <w:rPr>
          <w:rStyle w:val="CharSectno"/>
        </w:rPr>
        <w:t>29</w:t>
      </w:r>
      <w:r>
        <w:rPr>
          <w:snapToGrid w:val="0"/>
        </w:rPr>
        <w:t>.</w:t>
      </w:r>
      <w:r>
        <w:rPr>
          <w:snapToGrid w:val="0"/>
        </w:rPr>
        <w:tab/>
        <w:t xml:space="preserve">Application to SAT for review of order of </w:t>
      </w:r>
      <w:r>
        <w:t>CEO</w:t>
      </w:r>
      <w:bookmarkEnd w:id="39"/>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r>
        <w:tab/>
        <w:t>deleted]</w:t>
      </w:r>
    </w:p>
    <w:p>
      <w:pPr>
        <w:pStyle w:val="Footnotesection"/>
      </w:pPr>
      <w:r>
        <w:tab/>
        <w:t>[Section 29 amended by No. 28 of 1984 s. 92; No. 12 of 1994 s. 10; No. 55 of 2004 s. 965; No. 28 of 2006 s. 282.]</w:t>
      </w:r>
    </w:p>
    <w:p>
      <w:pPr>
        <w:pStyle w:val="Heading5"/>
        <w:rPr>
          <w:snapToGrid w:val="0"/>
        </w:rPr>
      </w:pPr>
      <w:bookmarkStart w:id="40" w:name="_Toc524065350"/>
      <w:r>
        <w:rPr>
          <w:rStyle w:val="CharSectno"/>
        </w:rPr>
        <w:t>30</w:t>
      </w:r>
      <w:r>
        <w:rPr>
          <w:snapToGrid w:val="0"/>
        </w:rPr>
        <w:t>.</w:t>
      </w:r>
      <w:r>
        <w:rPr>
          <w:snapToGrid w:val="0"/>
        </w:rPr>
        <w:tab/>
        <w:t>Licence not to be granted to company or friendly society</w:t>
      </w:r>
      <w:bookmarkEnd w:id="40"/>
    </w:p>
    <w:p>
      <w:pPr>
        <w:pStyle w:val="Subsection"/>
        <w:spacing w:before="180"/>
        <w:rPr>
          <w:snapToGrid w:val="0"/>
        </w:rPr>
      </w:pPr>
      <w:r>
        <w:rPr>
          <w:snapToGrid w:val="0"/>
        </w:rPr>
        <w:tab/>
        <w:t>(1)</w:t>
      </w:r>
      <w:r>
        <w:rPr>
          <w:snapToGrid w:val="0"/>
        </w:rPr>
        <w:tab/>
        <w:t>A licence under this Part shall not be granted to a company or friendly society although the company or friendly society is lawfully carrying on business as a</w:t>
      </w:r>
      <w:r>
        <w:t xml:space="preserve"> pharmacist;</w:t>
      </w:r>
      <w:r>
        <w:rPr>
          <w:snapToGrid w:val="0"/>
        </w:rPr>
        <w:t xml:space="preserve"> but such a licence may be granted to any </w:t>
      </w:r>
      <w:r>
        <w:t>pharmacist</w:t>
      </w:r>
      <w:r>
        <w:rPr>
          <w:snapToGrid w:val="0"/>
        </w:rPr>
        <w:t xml:space="preserve"> entitled thereto for his own use, who is </w:t>
      </w:r>
      <w:r>
        <w:rPr>
          <w:i/>
          <w:snapToGrid w:val="0"/>
        </w:rPr>
        <w:t>bona fide</w:t>
      </w:r>
      <w:r>
        <w:rPr>
          <w:snapToGrid w:val="0"/>
        </w:rPr>
        <w:t xml:space="preserve"> employed by or engaged with that company or friendly society in the business of a </w:t>
      </w:r>
      <w:r>
        <w:t>pharmacist</w:t>
      </w:r>
      <w:r>
        <w:rPr>
          <w:snapToGrid w:val="0"/>
        </w:rPr>
        <w:t xml:space="preserve"> and may be used by him for the benefit of that company or friendly society.</w:t>
      </w:r>
    </w:p>
    <w:p>
      <w:pPr>
        <w:pStyle w:val="Subsection"/>
        <w:spacing w:before="180"/>
        <w:rPr>
          <w:snapToGrid w:val="0"/>
        </w:rPr>
      </w:pPr>
      <w:r>
        <w:rPr>
          <w:snapToGrid w:val="0"/>
        </w:rPr>
        <w:tab/>
        <w:t>(2)</w:t>
      </w:r>
      <w:r>
        <w:rPr>
          <w:snapToGrid w:val="0"/>
        </w:rPr>
        <w:tab/>
        <w:t xml:space="preserve">Where in accordance with the provisions of subsection (1) a licence is used by a </w:t>
      </w:r>
      <w:r>
        <w:t>pharmacist</w:t>
      </w:r>
      <w:r>
        <w:rPr>
          <w:snapToGrid w:val="0"/>
        </w:rPr>
        <w:t xml:space="preserve"> for the benefit of a company or friendly society, that company or friendly society, and the manager or other officers thereof respectively and such </w:t>
      </w:r>
      <w:r>
        <w:t>pharmacist,</w:t>
      </w:r>
      <w:r>
        <w:rPr>
          <w:snapToGrid w:val="0"/>
        </w:rPr>
        <w:t xml:space="preserve">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a company that is a friendly society under the Corporations Act and that —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Footnotesection"/>
      </w:pPr>
      <w:r>
        <w:tab/>
        <w:t>[Section 30 amended by No. 26 of 1999 s. 96; No. 35 of 2010 s. 130.]</w:t>
      </w:r>
    </w:p>
    <w:p>
      <w:pPr>
        <w:pStyle w:val="Heading3"/>
      </w:pPr>
      <w:bookmarkStart w:id="41" w:name="_Toc524065351"/>
      <w:r>
        <w:rPr>
          <w:rStyle w:val="CharDivNo"/>
        </w:rPr>
        <w:t>Division 3</w:t>
      </w:r>
      <w:r>
        <w:rPr>
          <w:snapToGrid w:val="0"/>
        </w:rPr>
        <w:t> — </w:t>
      </w:r>
      <w:r>
        <w:rPr>
          <w:rStyle w:val="CharDivText"/>
        </w:rPr>
        <w:t>General provisions</w:t>
      </w:r>
      <w:bookmarkEnd w:id="41"/>
    </w:p>
    <w:p>
      <w:pPr>
        <w:pStyle w:val="Heading5"/>
        <w:rPr>
          <w:snapToGrid w:val="0"/>
        </w:rPr>
      </w:pPr>
      <w:bookmarkStart w:id="42" w:name="_Toc524065352"/>
      <w:r>
        <w:rPr>
          <w:rStyle w:val="CharSectno"/>
        </w:rPr>
        <w:t>31</w:t>
      </w:r>
      <w:r>
        <w:rPr>
          <w:snapToGrid w:val="0"/>
        </w:rPr>
        <w:t>.</w:t>
      </w:r>
      <w:r>
        <w:rPr>
          <w:snapToGrid w:val="0"/>
        </w:rPr>
        <w:tab/>
        <w:t>Sales of poison to be recorded in a book</w:t>
      </w:r>
      <w:bookmarkEnd w:id="42"/>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8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p>
    <w:p>
      <w:pPr>
        <w:pStyle w:val="Heading5"/>
        <w:spacing w:before="260"/>
        <w:rPr>
          <w:snapToGrid w:val="0"/>
        </w:rPr>
      </w:pPr>
      <w:bookmarkStart w:id="43" w:name="_Toc524065353"/>
      <w:r>
        <w:rPr>
          <w:rStyle w:val="CharSectno"/>
        </w:rPr>
        <w:t>32</w:t>
      </w:r>
      <w:r>
        <w:rPr>
          <w:snapToGrid w:val="0"/>
        </w:rPr>
        <w:t>.</w:t>
      </w:r>
      <w:r>
        <w:rPr>
          <w:snapToGrid w:val="0"/>
        </w:rPr>
        <w:tab/>
        <w:t>Unauthorised sales of poisons</w:t>
      </w:r>
      <w:bookmarkEnd w:id="43"/>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any poison (other than a poison included in Schedule 5) by wholesale unless he is licensed under this Act to do so; or</w:t>
      </w:r>
    </w:p>
    <w:p>
      <w:pPr>
        <w:pStyle w:val="Indenta"/>
        <w:spacing w:before="100"/>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 or</w:t>
      </w:r>
    </w:p>
    <w:p>
      <w:pPr>
        <w:pStyle w:val="Indenta"/>
        <w:spacing w:before="100"/>
        <w:rPr>
          <w:snapToGrid w:val="0"/>
        </w:rPr>
      </w:pPr>
      <w:r>
        <w:rPr>
          <w:snapToGrid w:val="0"/>
        </w:rPr>
        <w:tab/>
        <w:t>(c)</w:t>
      </w:r>
      <w:r>
        <w:rPr>
          <w:snapToGrid w:val="0"/>
        </w:rPr>
        <w:tab/>
        <w:t xml:space="preserve">except as </w:t>
      </w:r>
      <w:r>
        <w:t xml:space="preserve">for the purposes of the </w:t>
      </w:r>
      <w:r>
        <w:rPr>
          <w:i/>
          <w:iCs/>
        </w:rPr>
        <w:t>Biosecurity and Agriculture Management Act 2007</w:t>
      </w:r>
      <w:r>
        <w:t xml:space="preserve"> section 42</w:t>
      </w:r>
      <w:r>
        <w:rPr>
          <w:iCs/>
        </w:rPr>
        <w:t xml:space="preserve">, </w:t>
      </w:r>
      <w:r>
        <w:rPr>
          <w:snapToGrid w:val="0"/>
        </w:rPr>
        <w:t>sell or supply any poison (other than a poison included in Schedule 5) unless he is authorised by or licensed under this Act to do so; or</w:t>
      </w:r>
    </w:p>
    <w:p>
      <w:pPr>
        <w:pStyle w:val="Indenta"/>
        <w:spacing w:before="100"/>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00"/>
        <w:ind w:left="890" w:hanging="890"/>
      </w:pPr>
      <w:r>
        <w:tab/>
        <w:t xml:space="preserve">[Section 32 amended by No. 48 of 1995 s. 16; No. 24 of 2007 s. 93 (as </w:t>
      </w:r>
      <w:r>
        <w:rPr>
          <w:iCs/>
        </w:rPr>
        <w:t xml:space="preserve">amended by No. 46 of 2010 s. 66); </w:t>
      </w:r>
      <w:r>
        <w:t>No. 46 of 2010 s. 71.]</w:t>
      </w:r>
    </w:p>
    <w:p>
      <w:pPr>
        <w:pStyle w:val="Heading5"/>
        <w:keepLines w:val="0"/>
        <w:spacing w:before="200"/>
        <w:rPr>
          <w:snapToGrid w:val="0"/>
        </w:rPr>
      </w:pPr>
      <w:bookmarkStart w:id="44" w:name="_Toc524065354"/>
      <w:r>
        <w:rPr>
          <w:rStyle w:val="CharSectno"/>
        </w:rPr>
        <w:t>33</w:t>
      </w:r>
      <w:r>
        <w:rPr>
          <w:snapToGrid w:val="0"/>
        </w:rPr>
        <w:t>.</w:t>
      </w:r>
      <w:r>
        <w:rPr>
          <w:snapToGrid w:val="0"/>
        </w:rPr>
        <w:tab/>
        <w:t>Wholesaler not to sell by retail</w:t>
      </w:r>
      <w:bookmarkEnd w:id="44"/>
    </w:p>
    <w:p>
      <w:pPr>
        <w:pStyle w:val="Subsection"/>
        <w:spacing w:before="14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100"/>
        <w:ind w:left="890" w:hanging="890"/>
      </w:pPr>
      <w:r>
        <w:tab/>
        <w:t>[Section 33 amended by No. 48 of 1995 s. 17.]</w:t>
      </w:r>
    </w:p>
    <w:p>
      <w:pPr>
        <w:pStyle w:val="Heading5"/>
        <w:spacing w:before="200"/>
        <w:rPr>
          <w:snapToGrid w:val="0"/>
        </w:rPr>
      </w:pPr>
      <w:bookmarkStart w:id="45" w:name="_Toc524065355"/>
      <w:r>
        <w:rPr>
          <w:rStyle w:val="CharSectno"/>
        </w:rPr>
        <w:t>34</w:t>
      </w:r>
      <w:r>
        <w:rPr>
          <w:snapToGrid w:val="0"/>
        </w:rPr>
        <w:t>.</w:t>
      </w:r>
      <w:r>
        <w:rPr>
          <w:snapToGrid w:val="0"/>
        </w:rPr>
        <w:tab/>
        <w:t>Sales to certain persons prohibited</w:t>
      </w:r>
      <w:bookmarkEnd w:id="45"/>
    </w:p>
    <w:p>
      <w:pPr>
        <w:pStyle w:val="Subsection"/>
        <w:spacing w:before="140"/>
        <w:rPr>
          <w:snapToGrid w:val="0"/>
        </w:rPr>
      </w:pPr>
      <w:r>
        <w:rPr>
          <w:snapToGrid w:val="0"/>
        </w:rPr>
        <w:tab/>
        <w:t>(1)</w:t>
      </w:r>
      <w:r>
        <w:rPr>
          <w:snapToGrid w:val="0"/>
        </w:rPr>
        <w:tab/>
        <w:t>A person shall not sell any poison or class of poison prescribed by regulation for the purposes of this section to any person —</w:t>
      </w:r>
    </w:p>
    <w:p>
      <w:pPr>
        <w:pStyle w:val="Indenta"/>
        <w:spacing w:before="60"/>
        <w:rPr>
          <w:snapToGrid w:val="0"/>
        </w:rPr>
      </w:pPr>
      <w:r>
        <w:rPr>
          <w:snapToGrid w:val="0"/>
        </w:rPr>
        <w:tab/>
        <w:t>(a)</w:t>
      </w:r>
      <w:r>
        <w:rPr>
          <w:snapToGrid w:val="0"/>
        </w:rPr>
        <w:tab/>
        <w:t>who is apparently under the age of 18 years; or</w:t>
      </w:r>
    </w:p>
    <w:p>
      <w:pPr>
        <w:pStyle w:val="Indenta"/>
        <w:spacing w:before="60"/>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spacing w:before="140"/>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00"/>
        <w:ind w:left="890" w:hanging="890"/>
      </w:pPr>
      <w:r>
        <w:tab/>
        <w:t>[Section 34 amended by No. 23 of 1966 s. 4.]</w:t>
      </w:r>
    </w:p>
    <w:p>
      <w:pPr>
        <w:pStyle w:val="Heading5"/>
        <w:spacing w:before="200"/>
        <w:rPr>
          <w:snapToGrid w:val="0"/>
        </w:rPr>
      </w:pPr>
      <w:bookmarkStart w:id="46" w:name="_Toc524065356"/>
      <w:r>
        <w:rPr>
          <w:rStyle w:val="CharSectno"/>
        </w:rPr>
        <w:t>35</w:t>
      </w:r>
      <w:r>
        <w:rPr>
          <w:snapToGrid w:val="0"/>
        </w:rPr>
        <w:t>.</w:t>
      </w:r>
      <w:r>
        <w:rPr>
          <w:snapToGrid w:val="0"/>
        </w:rPr>
        <w:tab/>
        <w:t>Making false declarations</w:t>
      </w:r>
      <w:bookmarkEnd w:id="46"/>
    </w:p>
    <w:p>
      <w:pPr>
        <w:pStyle w:val="Subsection"/>
        <w:spacing w:before="140"/>
        <w:rPr>
          <w:snapToGrid w:val="0"/>
        </w:rPr>
      </w:pPr>
      <w:r>
        <w:rPr>
          <w:snapToGrid w:val="0"/>
        </w:rPr>
        <w:tab/>
      </w:r>
      <w:r>
        <w:rPr>
          <w:snapToGrid w:val="0"/>
        </w:rPr>
        <w:tab/>
        <w:t>A person who for the purpose of obtaining for himself or for any other person the grant, issue or renewal of a licence or permit under this Act —</w:t>
      </w:r>
    </w:p>
    <w:p>
      <w:pPr>
        <w:pStyle w:val="Indenta"/>
        <w:spacing w:before="60"/>
        <w:rPr>
          <w:snapToGrid w:val="0"/>
        </w:rPr>
      </w:pPr>
      <w:r>
        <w:rPr>
          <w:snapToGrid w:val="0"/>
        </w:rPr>
        <w:tab/>
        <w:t>(a)</w:t>
      </w:r>
      <w:r>
        <w:rPr>
          <w:snapToGrid w:val="0"/>
        </w:rPr>
        <w:tab/>
        <w:t>makes any declaration or statement that is false in any material particular; or</w:t>
      </w:r>
    </w:p>
    <w:p>
      <w:pPr>
        <w:pStyle w:val="Indenta"/>
        <w:spacing w:before="60"/>
        <w:rPr>
          <w:snapToGrid w:val="0"/>
        </w:rPr>
      </w:pPr>
      <w:r>
        <w:rPr>
          <w:snapToGrid w:val="0"/>
        </w:rPr>
        <w:tab/>
        <w:t>(b)</w:t>
      </w:r>
      <w:r>
        <w:rPr>
          <w:snapToGrid w:val="0"/>
        </w:rPr>
        <w:tab/>
        <w:t>knowingly produces or makes use of any such declaration or statement,</w:t>
      </w:r>
    </w:p>
    <w:p>
      <w:pPr>
        <w:pStyle w:val="Subsection"/>
        <w:spacing w:before="120"/>
        <w:rPr>
          <w:snapToGrid w:val="0"/>
        </w:rPr>
      </w:pPr>
      <w:r>
        <w:rPr>
          <w:snapToGrid w:val="0"/>
        </w:rPr>
        <w:tab/>
      </w:r>
      <w:r>
        <w:rPr>
          <w:snapToGrid w:val="0"/>
        </w:rPr>
        <w:tab/>
        <w:t>commits an offence against this Part.</w:t>
      </w:r>
    </w:p>
    <w:p>
      <w:pPr>
        <w:pStyle w:val="Heading5"/>
        <w:rPr>
          <w:snapToGrid w:val="0"/>
        </w:rPr>
      </w:pPr>
      <w:bookmarkStart w:id="47" w:name="_Toc524065357"/>
      <w:r>
        <w:rPr>
          <w:rStyle w:val="CharSectno"/>
        </w:rPr>
        <w:t>36</w:t>
      </w:r>
      <w:r>
        <w:rPr>
          <w:snapToGrid w:val="0"/>
        </w:rPr>
        <w:t>.</w:t>
      </w:r>
      <w:r>
        <w:rPr>
          <w:snapToGrid w:val="0"/>
        </w:rPr>
        <w:tab/>
        <w:t>Drugs not to be used for self administration</w:t>
      </w:r>
      <w:bookmarkEnd w:id="47"/>
    </w:p>
    <w:p>
      <w:pPr>
        <w:pStyle w:val="Subsection"/>
        <w:spacing w:before="120"/>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spacing w:before="100"/>
        <w:ind w:left="890" w:hanging="890"/>
      </w:pPr>
      <w:r>
        <w:tab/>
        <w:t>[Section 36 amended by No. 12 of 1994 s. 6.]</w:t>
      </w:r>
    </w:p>
    <w:p>
      <w:pPr>
        <w:pStyle w:val="Heading5"/>
        <w:spacing w:before="200"/>
        <w:rPr>
          <w:snapToGrid w:val="0"/>
        </w:rPr>
      </w:pPr>
      <w:bookmarkStart w:id="48" w:name="_Toc524065358"/>
      <w:r>
        <w:rPr>
          <w:rStyle w:val="CharSectno"/>
        </w:rPr>
        <w:t>36A</w:t>
      </w:r>
      <w:r>
        <w:rPr>
          <w:snapToGrid w:val="0"/>
        </w:rPr>
        <w:t>.</w:t>
      </w:r>
      <w:r>
        <w:rPr>
          <w:snapToGrid w:val="0"/>
        </w:rPr>
        <w:tab/>
        <w:t>Defence for persons participating in conduct of needle and syringe programmes</w:t>
      </w:r>
      <w:bookmarkEnd w:id="48"/>
    </w:p>
    <w:p>
      <w:pPr>
        <w:pStyle w:val="Subsection"/>
        <w:spacing w:before="120"/>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p>
    <w:p>
      <w:pPr>
        <w:pStyle w:val="Indenta"/>
        <w:spacing w:before="60"/>
        <w:rPr>
          <w:snapToGrid w:val="0"/>
        </w:rPr>
      </w:pPr>
      <w:r>
        <w:rPr>
          <w:snapToGrid w:val="0"/>
        </w:rPr>
        <w:tab/>
        <w:t>(a)</w:t>
      </w:r>
      <w:r>
        <w:rPr>
          <w:snapToGrid w:val="0"/>
        </w:rPr>
        <w:tab/>
        <w:t>supplying any other person with a sterile hypodermic syringe or a sterile hypodermic needle; or</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spacing w:before="120"/>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spacing w:before="100"/>
        <w:ind w:left="890" w:hanging="890"/>
      </w:pPr>
      <w:r>
        <w:tab/>
        <w:t>[Section 36A inserted by No. 12 of 1994 s. 7; amended by No. 28 of 2006 s. 282.]</w:t>
      </w:r>
    </w:p>
    <w:p>
      <w:pPr>
        <w:pStyle w:val="Ednotesection"/>
        <w:spacing w:before="200"/>
      </w:pPr>
      <w:r>
        <w:t>[</w:t>
      </w:r>
      <w:r>
        <w:rPr>
          <w:b/>
        </w:rPr>
        <w:t>37</w:t>
      </w:r>
      <w:r>
        <w:rPr>
          <w:b/>
        </w:rPr>
        <w:noBreakHyphen/>
        <w:t>39.</w:t>
      </w:r>
      <w:r>
        <w:tab/>
        <w:t>Deleted by No. 48 of 1995 s. 18.]</w:t>
      </w:r>
    </w:p>
    <w:p>
      <w:pPr>
        <w:pStyle w:val="Heading5"/>
        <w:spacing w:before="200"/>
        <w:rPr>
          <w:snapToGrid w:val="0"/>
        </w:rPr>
      </w:pPr>
      <w:bookmarkStart w:id="49" w:name="_Toc524065359"/>
      <w:r>
        <w:rPr>
          <w:rStyle w:val="CharSectno"/>
        </w:rPr>
        <w:t>40</w:t>
      </w:r>
      <w:r>
        <w:rPr>
          <w:snapToGrid w:val="0"/>
        </w:rPr>
        <w:t>.</w:t>
      </w:r>
      <w:r>
        <w:rPr>
          <w:snapToGrid w:val="0"/>
        </w:rPr>
        <w:tab/>
        <w:t>Offences against this Part</w:t>
      </w:r>
      <w:bookmarkEnd w:id="49"/>
    </w:p>
    <w:p>
      <w:pPr>
        <w:pStyle w:val="Subsection"/>
        <w:spacing w:before="120"/>
        <w:rPr>
          <w:snapToGrid w:val="0"/>
        </w:rPr>
      </w:pPr>
      <w:r>
        <w:rPr>
          <w:snapToGrid w:val="0"/>
        </w:rPr>
        <w:tab/>
      </w:r>
      <w:r>
        <w:rPr>
          <w:snapToGrid w:val="0"/>
        </w:rPr>
        <w:tab/>
        <w:t>Except where by this Act it is expressly enacted otherwise, every person who —</w:t>
      </w:r>
    </w:p>
    <w:p>
      <w:pPr>
        <w:pStyle w:val="Indenta"/>
        <w:spacing w:before="60"/>
        <w:rPr>
          <w:snapToGrid w:val="0"/>
        </w:rPr>
      </w:pPr>
      <w:r>
        <w:rPr>
          <w:snapToGrid w:val="0"/>
        </w:rPr>
        <w:tab/>
        <w:t>(a)</w:t>
      </w:r>
      <w:r>
        <w:rPr>
          <w:snapToGrid w:val="0"/>
        </w:rPr>
        <w:tab/>
        <w:t>contravenes or fails to comply with any of the provisions of this Part; or</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 or</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 or</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p>
    <w:p>
      <w:pPr>
        <w:pStyle w:val="Heading2"/>
      </w:pPr>
      <w:bookmarkStart w:id="50" w:name="_Toc524065360"/>
      <w:r>
        <w:rPr>
          <w:rStyle w:val="CharPartNo"/>
        </w:rPr>
        <w:t>Part IV</w:t>
      </w:r>
      <w:r>
        <w:rPr>
          <w:rStyle w:val="CharDivNo"/>
        </w:rPr>
        <w:t> </w:t>
      </w:r>
      <w:r>
        <w:t>—</w:t>
      </w:r>
      <w:r>
        <w:rPr>
          <w:rStyle w:val="CharDivText"/>
        </w:rPr>
        <w:t> </w:t>
      </w:r>
      <w:r>
        <w:rPr>
          <w:rStyle w:val="CharPartText"/>
        </w:rPr>
        <w:t>Drugs of addiction</w:t>
      </w:r>
      <w:bookmarkEnd w:id="50"/>
    </w:p>
    <w:p>
      <w:pPr>
        <w:pStyle w:val="Heading5"/>
        <w:spacing w:before="240"/>
        <w:rPr>
          <w:snapToGrid w:val="0"/>
        </w:rPr>
      </w:pPr>
      <w:bookmarkStart w:id="51" w:name="_Toc524065361"/>
      <w:r>
        <w:rPr>
          <w:rStyle w:val="CharSectno"/>
        </w:rPr>
        <w:t>41</w:t>
      </w:r>
      <w:r>
        <w:rPr>
          <w:snapToGrid w:val="0"/>
        </w:rPr>
        <w:t>.</w:t>
      </w:r>
      <w:r>
        <w:rPr>
          <w:snapToGrid w:val="0"/>
        </w:rPr>
        <w:tab/>
        <w:t>Use of Schedule 9 poisons for research etc.</w:t>
      </w:r>
      <w:bookmarkEnd w:id="51"/>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p>
    <w:p>
      <w:pPr>
        <w:pStyle w:val="Heading5"/>
        <w:spacing w:before="240"/>
        <w:rPr>
          <w:snapToGrid w:val="0"/>
        </w:rPr>
      </w:pPr>
      <w:bookmarkStart w:id="52" w:name="_Toc524065362"/>
      <w:r>
        <w:rPr>
          <w:rStyle w:val="CharSectno"/>
        </w:rPr>
        <w:t>41A</w:t>
      </w:r>
      <w:r>
        <w:rPr>
          <w:snapToGrid w:val="0"/>
        </w:rPr>
        <w:t>.</w:t>
      </w:r>
      <w:r>
        <w:rPr>
          <w:snapToGrid w:val="0"/>
        </w:rPr>
        <w:tab/>
        <w:t>Licence to cultivate prohibited plants</w:t>
      </w:r>
      <w:bookmarkEnd w:id="52"/>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p>
    <w:p>
      <w:pPr>
        <w:pStyle w:val="Ednotesection"/>
        <w:spacing w:before="240"/>
        <w:ind w:left="890" w:hanging="890"/>
      </w:pPr>
      <w:r>
        <w:t>[</w:t>
      </w:r>
      <w:r>
        <w:rPr>
          <w:b/>
        </w:rPr>
        <w:t>42.</w:t>
      </w:r>
      <w:r>
        <w:tab/>
        <w:t>Deleted by No. 57 of 1981 s. 18.]</w:t>
      </w:r>
    </w:p>
    <w:p>
      <w:pPr>
        <w:pStyle w:val="Ednotesection"/>
        <w:keepNext/>
      </w:pPr>
      <w:r>
        <w:t>[</w:t>
      </w:r>
      <w:r>
        <w:rPr>
          <w:b/>
        </w:rPr>
        <w:t>43.</w:t>
      </w:r>
      <w:r>
        <w:tab/>
        <w:t>Deleted by No. 57 of 1981 s. 19.]</w:t>
      </w:r>
    </w:p>
    <w:p>
      <w:pPr>
        <w:pStyle w:val="Ednotesection"/>
      </w:pPr>
      <w:r>
        <w:t>[</w:t>
      </w:r>
      <w:r>
        <w:rPr>
          <w:b/>
        </w:rPr>
        <w:t>43A.</w:t>
      </w:r>
      <w:r>
        <w:tab/>
        <w:t>Deleted by No. 43 of 1978 s. 5.]</w:t>
      </w:r>
    </w:p>
    <w:p>
      <w:pPr>
        <w:pStyle w:val="Heading5"/>
        <w:rPr>
          <w:snapToGrid w:val="0"/>
        </w:rPr>
      </w:pPr>
      <w:bookmarkStart w:id="53" w:name="_Toc524065363"/>
      <w:r>
        <w:rPr>
          <w:rStyle w:val="CharSectno"/>
        </w:rPr>
        <w:t>44</w:t>
      </w:r>
      <w:r>
        <w:rPr>
          <w:snapToGrid w:val="0"/>
        </w:rPr>
        <w:t>.</w:t>
      </w:r>
      <w:r>
        <w:rPr>
          <w:snapToGrid w:val="0"/>
        </w:rPr>
        <w:tab/>
        <w:t>Offences generally against this Part</w:t>
      </w:r>
      <w:bookmarkEnd w:id="53"/>
    </w:p>
    <w:p>
      <w:pPr>
        <w:pStyle w:val="Subsection"/>
        <w:keepNext/>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p>
    <w:p>
      <w:pPr>
        <w:pStyle w:val="Heading5"/>
        <w:rPr>
          <w:snapToGrid w:val="0"/>
        </w:rPr>
      </w:pPr>
      <w:bookmarkStart w:id="54" w:name="_Toc524065364"/>
      <w:r>
        <w:rPr>
          <w:rStyle w:val="CharSectno"/>
        </w:rPr>
        <w:t>45</w:t>
      </w:r>
      <w:r>
        <w:rPr>
          <w:snapToGrid w:val="0"/>
        </w:rPr>
        <w:t>.</w:t>
      </w:r>
      <w:r>
        <w:rPr>
          <w:snapToGrid w:val="0"/>
        </w:rPr>
        <w:tab/>
        <w:t>Term used: corresponding law</w:t>
      </w:r>
      <w:bookmarkEnd w:id="54"/>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p>
    <w:p>
      <w:pPr>
        <w:pStyle w:val="Heading2"/>
      </w:pPr>
      <w:bookmarkStart w:id="55" w:name="_Toc524065365"/>
      <w:r>
        <w:rPr>
          <w:rStyle w:val="CharPartNo"/>
        </w:rPr>
        <w:t>Part V</w:t>
      </w:r>
      <w:r>
        <w:rPr>
          <w:rStyle w:val="CharDivNo"/>
        </w:rPr>
        <w:t> </w:t>
      </w:r>
      <w:r>
        <w:t>—</w:t>
      </w:r>
      <w:r>
        <w:rPr>
          <w:rStyle w:val="CharDivText"/>
        </w:rPr>
        <w:t> </w:t>
      </w:r>
      <w:r>
        <w:rPr>
          <w:rStyle w:val="CharPartText"/>
        </w:rPr>
        <w:t>Miscellaneous provisions</w:t>
      </w:r>
      <w:bookmarkEnd w:id="55"/>
    </w:p>
    <w:p>
      <w:pPr>
        <w:pStyle w:val="Heading5"/>
        <w:spacing w:before="240"/>
        <w:rPr>
          <w:snapToGrid w:val="0"/>
        </w:rPr>
      </w:pPr>
      <w:bookmarkStart w:id="56" w:name="_Toc524065366"/>
      <w:r>
        <w:rPr>
          <w:rStyle w:val="CharSectno"/>
        </w:rPr>
        <w:t>46</w:t>
      </w:r>
      <w:r>
        <w:rPr>
          <w:snapToGrid w:val="0"/>
        </w:rPr>
        <w:t>.</w:t>
      </w:r>
      <w:r>
        <w:rPr>
          <w:snapToGrid w:val="0"/>
        </w:rPr>
        <w:tab/>
        <w:t>Containers of poisons to be marked or labelled</w:t>
      </w:r>
      <w:bookmarkEnd w:id="56"/>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p>
    <w:p>
      <w:pPr>
        <w:pStyle w:val="Heading5"/>
        <w:spacing w:before="240"/>
        <w:rPr>
          <w:snapToGrid w:val="0"/>
        </w:rPr>
      </w:pPr>
      <w:bookmarkStart w:id="57" w:name="_Toc524065367"/>
      <w:r>
        <w:rPr>
          <w:rStyle w:val="CharSectno"/>
        </w:rPr>
        <w:t>47</w:t>
      </w:r>
      <w:r>
        <w:rPr>
          <w:snapToGrid w:val="0"/>
        </w:rPr>
        <w:t>.</w:t>
      </w:r>
      <w:r>
        <w:rPr>
          <w:snapToGrid w:val="0"/>
        </w:rPr>
        <w:tab/>
        <w:t>Medicines for internal use not to be sold in certain packages or containers</w:t>
      </w:r>
      <w:bookmarkEnd w:id="57"/>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p>
    <w:p>
      <w:pPr>
        <w:pStyle w:val="Heading5"/>
        <w:spacing w:before="240"/>
        <w:rPr>
          <w:snapToGrid w:val="0"/>
        </w:rPr>
      </w:pPr>
      <w:bookmarkStart w:id="58" w:name="_Toc524065368"/>
      <w:r>
        <w:rPr>
          <w:rStyle w:val="CharSectno"/>
        </w:rPr>
        <w:t>48</w:t>
      </w:r>
      <w:r>
        <w:rPr>
          <w:snapToGrid w:val="0"/>
        </w:rPr>
        <w:t>.</w:t>
      </w:r>
      <w:r>
        <w:rPr>
          <w:snapToGrid w:val="0"/>
        </w:rPr>
        <w:tab/>
        <w:t>Prohibition against hawking etc.</w:t>
      </w:r>
      <w:bookmarkEnd w:id="58"/>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p>
    <w:p>
      <w:pPr>
        <w:pStyle w:val="Heading5"/>
        <w:rPr>
          <w:snapToGrid w:val="0"/>
        </w:rPr>
      </w:pPr>
      <w:bookmarkStart w:id="59" w:name="_Toc524065369"/>
      <w:r>
        <w:rPr>
          <w:rStyle w:val="CharSectno"/>
        </w:rPr>
        <w:t>49</w:t>
      </w:r>
      <w:r>
        <w:rPr>
          <w:snapToGrid w:val="0"/>
        </w:rPr>
        <w:t>.</w:t>
      </w:r>
      <w:r>
        <w:rPr>
          <w:snapToGrid w:val="0"/>
        </w:rPr>
        <w:tab/>
        <w:t>Prohibition against selling by automatic machines</w:t>
      </w:r>
      <w:bookmarkEnd w:id="59"/>
    </w:p>
    <w:p>
      <w:pPr>
        <w:pStyle w:val="Subsection"/>
        <w:keepNext/>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 or</w:t>
      </w:r>
    </w:p>
    <w:p>
      <w:pPr>
        <w:pStyle w:val="Indenta"/>
        <w:rPr>
          <w:snapToGrid w:val="0"/>
        </w:rPr>
      </w:pPr>
      <w:r>
        <w:rPr>
          <w:snapToGrid w:val="0"/>
        </w:rPr>
        <w:tab/>
        <w:t>(b)</w:t>
      </w:r>
      <w:r>
        <w:rPr>
          <w:snapToGrid w:val="0"/>
        </w:rPr>
        <w:tab/>
        <w:t>sell or supply any poison by means of any automatic machine; or</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p>
    <w:p>
      <w:pPr>
        <w:pStyle w:val="Heading5"/>
        <w:rPr>
          <w:snapToGrid w:val="0"/>
        </w:rPr>
      </w:pPr>
      <w:bookmarkStart w:id="60" w:name="_Toc524065370"/>
      <w:r>
        <w:rPr>
          <w:rStyle w:val="CharSectno"/>
        </w:rPr>
        <w:t>50</w:t>
      </w:r>
      <w:r>
        <w:rPr>
          <w:snapToGrid w:val="0"/>
        </w:rPr>
        <w:t>.</w:t>
      </w:r>
      <w:r>
        <w:rPr>
          <w:snapToGrid w:val="0"/>
        </w:rPr>
        <w:tab/>
        <w:t>Leaving poisons unlabelled an offence</w:t>
      </w:r>
      <w:bookmarkEnd w:id="60"/>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 xml:space="preserve">This section does not apply to </w:t>
      </w:r>
      <w:r>
        <w:t>pharmacists</w:t>
      </w:r>
      <w:r>
        <w:rPr>
          <w:snapToGrid w:val="0"/>
        </w:rPr>
        <w:t xml:space="preserve">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 No. 35 of 2010 s. 131.]</w:t>
      </w:r>
    </w:p>
    <w:p>
      <w:pPr>
        <w:pStyle w:val="Ednotesection"/>
      </w:pPr>
      <w:r>
        <w:t>[</w:t>
      </w:r>
      <w:r>
        <w:rPr>
          <w:b/>
        </w:rPr>
        <w:t>51.</w:t>
      </w:r>
      <w:r>
        <w:tab/>
        <w:t>Deleted by No. 48 of 1995 s. 28.]</w:t>
      </w:r>
    </w:p>
    <w:p>
      <w:pPr>
        <w:pStyle w:val="Heading2"/>
      </w:pPr>
      <w:bookmarkStart w:id="61" w:name="_Toc524065371"/>
      <w:r>
        <w:rPr>
          <w:rStyle w:val="CharPartNo"/>
        </w:rPr>
        <w:t>Part VI</w:t>
      </w:r>
      <w:r>
        <w:rPr>
          <w:rStyle w:val="CharDivNo"/>
        </w:rPr>
        <w:t> </w:t>
      </w:r>
      <w:r>
        <w:t>—</w:t>
      </w:r>
      <w:r>
        <w:rPr>
          <w:rStyle w:val="CharDivText"/>
        </w:rPr>
        <w:t> </w:t>
      </w:r>
      <w:r>
        <w:rPr>
          <w:rStyle w:val="CharPartText"/>
        </w:rPr>
        <w:t>Supplementary provisions</w:t>
      </w:r>
      <w:bookmarkEnd w:id="61"/>
    </w:p>
    <w:p>
      <w:pPr>
        <w:pStyle w:val="Heading5"/>
        <w:spacing w:before="180"/>
        <w:rPr>
          <w:snapToGrid w:val="0"/>
        </w:rPr>
      </w:pPr>
      <w:bookmarkStart w:id="62" w:name="_Toc524065372"/>
      <w:r>
        <w:rPr>
          <w:rStyle w:val="CharSectno"/>
        </w:rPr>
        <w:t>52</w:t>
      </w:r>
      <w:r>
        <w:rPr>
          <w:snapToGrid w:val="0"/>
        </w:rPr>
        <w:t>.</w:t>
      </w:r>
      <w:r>
        <w:rPr>
          <w:snapToGrid w:val="0"/>
        </w:rPr>
        <w:tab/>
        <w:t>Orders in Council may be cancelled or amended</w:t>
      </w:r>
      <w:bookmarkEnd w:id="62"/>
    </w:p>
    <w:p>
      <w:pPr>
        <w:pStyle w:val="Subsection"/>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rPr>
          <w:snapToGrid w:val="0"/>
        </w:rPr>
      </w:pPr>
      <w:bookmarkStart w:id="63" w:name="_Toc524065373"/>
      <w:r>
        <w:rPr>
          <w:rStyle w:val="CharSectno"/>
        </w:rPr>
        <w:t>52A</w:t>
      </w:r>
      <w:r>
        <w:rPr>
          <w:snapToGrid w:val="0"/>
        </w:rPr>
        <w:t>.</w:t>
      </w:r>
      <w:r>
        <w:rPr>
          <w:snapToGrid w:val="0"/>
        </w:rPr>
        <w:tab/>
        <w:t>Minister may declare person to be authorised officer</w:t>
      </w:r>
      <w:bookmarkEnd w:id="63"/>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p>
    <w:p>
      <w:pPr>
        <w:pStyle w:val="Heading5"/>
        <w:rPr>
          <w:snapToGrid w:val="0"/>
        </w:rPr>
      </w:pPr>
      <w:bookmarkStart w:id="64" w:name="_Toc524065374"/>
      <w:r>
        <w:rPr>
          <w:rStyle w:val="CharSectno"/>
        </w:rPr>
        <w:t>53</w:t>
      </w:r>
      <w:r>
        <w:rPr>
          <w:snapToGrid w:val="0"/>
        </w:rPr>
        <w:t>.</w:t>
      </w:r>
      <w:r>
        <w:rPr>
          <w:snapToGrid w:val="0"/>
        </w:rPr>
        <w:tab/>
        <w:t>Apprehension of offenders</w:t>
      </w:r>
      <w:bookmarkEnd w:id="64"/>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p>
    <w:p>
      <w:pPr>
        <w:pStyle w:val="Heading5"/>
        <w:rPr>
          <w:snapToGrid w:val="0"/>
        </w:rPr>
      </w:pPr>
      <w:bookmarkStart w:id="65" w:name="_Toc524065375"/>
      <w:r>
        <w:rPr>
          <w:rStyle w:val="CharSectno"/>
        </w:rPr>
        <w:t>54</w:t>
      </w:r>
      <w:r>
        <w:rPr>
          <w:snapToGrid w:val="0"/>
        </w:rPr>
        <w:t>.</w:t>
      </w:r>
      <w:r>
        <w:rPr>
          <w:snapToGrid w:val="0"/>
        </w:rPr>
        <w:tab/>
        <w:t>Routine inspection</w:t>
      </w:r>
      <w:bookmarkEnd w:id="65"/>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p>
    <w:p>
      <w:pPr>
        <w:pStyle w:val="Indenta"/>
        <w:keepNext/>
        <w:spacing w:before="90"/>
        <w:rPr>
          <w:snapToGrid w:val="0"/>
        </w:rPr>
      </w:pPr>
      <w:r>
        <w:rPr>
          <w:snapToGrid w:val="0"/>
        </w:rPr>
        <w:tab/>
        <w:t>(a)</w:t>
      </w:r>
      <w:r>
        <w:rPr>
          <w:snapToGrid w:val="0"/>
        </w:rPr>
        <w:tab/>
        <w:t>enter upon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 or</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p>
    <w:p>
      <w:pPr>
        <w:pStyle w:val="Heading5"/>
        <w:rPr>
          <w:snapToGrid w:val="0"/>
        </w:rPr>
      </w:pPr>
      <w:bookmarkStart w:id="66" w:name="_Toc524065376"/>
      <w:r>
        <w:rPr>
          <w:rStyle w:val="CharSectno"/>
        </w:rPr>
        <w:t>55</w:t>
      </w:r>
      <w:r>
        <w:rPr>
          <w:snapToGrid w:val="0"/>
        </w:rPr>
        <w:t>.</w:t>
      </w:r>
      <w:r>
        <w:rPr>
          <w:snapToGrid w:val="0"/>
        </w:rPr>
        <w:tab/>
        <w:t>Powers in respect of premises, vehicles or vessels if offence suspected of being committed</w:t>
      </w:r>
      <w:bookmarkEnd w:id="66"/>
    </w:p>
    <w:p>
      <w:pPr>
        <w:pStyle w:val="Subsection"/>
        <w:keepNext/>
        <w:keepLines/>
        <w:rPr>
          <w:snapToGrid w:val="0"/>
        </w:rPr>
      </w:pPr>
      <w:r>
        <w:rPr>
          <w:snapToGrid w:val="0"/>
        </w:rPr>
        <w:tab/>
        <w:t>(1)</w:t>
      </w:r>
      <w:r>
        <w:rPr>
          <w:snapToGrid w:val="0"/>
        </w:rPr>
        <w:tab/>
        <w:t>If an authorised officer has reasonable grounds to suspect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p>
    <w:p>
      <w:pPr>
        <w:pStyle w:val="Indenta"/>
        <w:keepNext/>
        <w:rPr>
          <w:snapToGrid w:val="0"/>
        </w:rPr>
      </w:pPr>
      <w:r>
        <w:rPr>
          <w:snapToGrid w:val="0"/>
        </w:rPr>
        <w:tab/>
        <w:t>(a)</w:t>
      </w:r>
      <w:r>
        <w:rPr>
          <w:snapToGrid w:val="0"/>
        </w:rPr>
        <w:tab/>
        <w:t>signal or direct the person in control of the vehicle or vessel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p>
    <w:p>
      <w:pPr>
        <w:pStyle w:val="Heading5"/>
        <w:rPr>
          <w:snapToGrid w:val="0"/>
        </w:rPr>
      </w:pPr>
      <w:bookmarkStart w:id="67" w:name="_Toc524065377"/>
      <w:r>
        <w:rPr>
          <w:rStyle w:val="CharSectno"/>
        </w:rPr>
        <w:t>55A</w:t>
      </w:r>
      <w:r>
        <w:rPr>
          <w:snapToGrid w:val="0"/>
        </w:rPr>
        <w:t>.</w:t>
      </w:r>
      <w:r>
        <w:rPr>
          <w:snapToGrid w:val="0"/>
        </w:rPr>
        <w:tab/>
        <w:t>Warrants</w:t>
      </w:r>
      <w:bookmarkEnd w:id="67"/>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p>
    <w:p>
      <w:pPr>
        <w:pStyle w:val="Heading5"/>
        <w:rPr>
          <w:snapToGrid w:val="0"/>
        </w:rPr>
      </w:pPr>
      <w:bookmarkStart w:id="68" w:name="_Toc524065378"/>
      <w:r>
        <w:rPr>
          <w:rStyle w:val="CharSectno"/>
        </w:rPr>
        <w:t>55B</w:t>
      </w:r>
      <w:r>
        <w:rPr>
          <w:snapToGrid w:val="0"/>
        </w:rPr>
        <w:t>.</w:t>
      </w:r>
      <w:r>
        <w:rPr>
          <w:snapToGrid w:val="0"/>
        </w:rPr>
        <w:tab/>
        <w:t>Person not to hinder or obstruct authorised officer</w:t>
      </w:r>
      <w:bookmarkEnd w:id="68"/>
    </w:p>
    <w:p>
      <w:pPr>
        <w:pStyle w:val="Subsection"/>
        <w:keepNext/>
        <w:rPr>
          <w:snapToGrid w:val="0"/>
        </w:rPr>
      </w:pPr>
      <w:r>
        <w:rPr>
          <w:snapToGrid w:val="0"/>
        </w:rPr>
        <w:tab/>
      </w:r>
      <w:r>
        <w:rPr>
          <w:snapToGrid w:val="0"/>
        </w:rPr>
        <w:tab/>
        <w:t>A person must not without reasonable excuse —</w:t>
      </w:r>
    </w:p>
    <w:p>
      <w:pPr>
        <w:pStyle w:val="Indenta"/>
        <w:rPr>
          <w:snapToGrid w:val="0"/>
        </w:rPr>
      </w:pPr>
      <w:r>
        <w:rPr>
          <w:snapToGrid w:val="0"/>
        </w:rPr>
        <w:tab/>
        <w:t>(a)</w:t>
      </w:r>
      <w:r>
        <w:rPr>
          <w:snapToGrid w:val="0"/>
        </w:rPr>
        <w:tab/>
        <w:t>refuse or fail to comply with a signal or direction given under section 55(2)(a); or</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p>
    <w:p>
      <w:pPr>
        <w:pStyle w:val="Heading5"/>
        <w:rPr>
          <w:snapToGrid w:val="0"/>
        </w:rPr>
      </w:pPr>
      <w:bookmarkStart w:id="69" w:name="_Toc524065379"/>
      <w:r>
        <w:rPr>
          <w:rStyle w:val="CharSectno"/>
        </w:rPr>
        <w:t>55C</w:t>
      </w:r>
      <w:r>
        <w:rPr>
          <w:snapToGrid w:val="0"/>
        </w:rPr>
        <w:t>.</w:t>
      </w:r>
      <w:r>
        <w:rPr>
          <w:snapToGrid w:val="0"/>
        </w:rPr>
        <w:tab/>
      </w:r>
      <w:r>
        <w:rPr>
          <w:iCs/>
          <w:snapToGrid w:val="0"/>
        </w:rPr>
        <w:t xml:space="preserve">Sections 54 to 55A do not derogate from </w:t>
      </w:r>
      <w:r>
        <w:rPr>
          <w:i/>
          <w:snapToGrid w:val="0"/>
        </w:rPr>
        <w:t>Health Practitioner Regulation National Law (</w:t>
      </w:r>
      <w:smartTag w:uri="urn:schemas-microsoft-com:office:smarttags" w:element="place">
        <w:smartTag w:uri="urn:schemas-microsoft-com:office:smarttags" w:element="State">
          <w:r>
            <w:rPr>
              <w:i/>
              <w:snapToGrid w:val="0"/>
            </w:rPr>
            <w:t>Western Australia</w:t>
          </w:r>
        </w:smartTag>
      </w:smartTag>
      <w:r>
        <w:rPr>
          <w:i/>
          <w:snapToGrid w:val="0"/>
        </w:rPr>
        <w:t>)</w:t>
      </w:r>
      <w:r>
        <w:rPr>
          <w:iCs/>
          <w:snapToGrid w:val="0"/>
        </w:rPr>
        <w:t xml:space="preserve"> or </w:t>
      </w:r>
      <w:r>
        <w:rPr>
          <w:i/>
          <w:snapToGrid w:val="0"/>
        </w:rPr>
        <w:t>Misuse of Drugs Act 1981</w:t>
      </w:r>
      <w:bookmarkEnd w:id="69"/>
    </w:p>
    <w:p>
      <w:pPr>
        <w:pStyle w:val="Subsection"/>
        <w:rPr>
          <w:snapToGrid w:val="0"/>
        </w:rPr>
      </w:pPr>
      <w:r>
        <w:rPr>
          <w:snapToGrid w:val="0"/>
        </w:rPr>
        <w:tab/>
      </w:r>
      <w:r>
        <w:rPr>
          <w:snapToGrid w:val="0"/>
        </w:rPr>
        <w:tab/>
        <w:t xml:space="preserve">Sections 54, 55 and 55A are in addition to, and do not derogate from, the provisions of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or the</w:t>
      </w:r>
      <w:r>
        <w:rPr>
          <w:i/>
          <w:snapToGrid w:val="0"/>
        </w:rPr>
        <w:t xml:space="preserve"> Misuse of Drugs Act 1981</w:t>
      </w:r>
      <w:r>
        <w:rPr>
          <w:snapToGrid w:val="0"/>
        </w:rPr>
        <w:t>.</w:t>
      </w:r>
    </w:p>
    <w:p>
      <w:pPr>
        <w:pStyle w:val="Footnotesection"/>
      </w:pPr>
      <w:r>
        <w:tab/>
        <w:t>[Section 55C inserted by No. 48 of 1995 s. 31; amended by No. 35 of 2010 s. 132.]</w:t>
      </w:r>
    </w:p>
    <w:p>
      <w:pPr>
        <w:pStyle w:val="Heading5"/>
        <w:rPr>
          <w:snapToGrid w:val="0"/>
        </w:rPr>
      </w:pPr>
      <w:bookmarkStart w:id="70" w:name="_Toc524065380"/>
      <w:r>
        <w:rPr>
          <w:rStyle w:val="CharSectno"/>
        </w:rPr>
        <w:t>55D</w:t>
      </w:r>
      <w:r>
        <w:rPr>
          <w:snapToGrid w:val="0"/>
        </w:rPr>
        <w:t>.</w:t>
      </w:r>
      <w:r>
        <w:rPr>
          <w:snapToGrid w:val="0"/>
        </w:rPr>
        <w:tab/>
        <w:t>Order for forfeiture</w:t>
      </w:r>
      <w:bookmarkEnd w:id="70"/>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p>
    <w:p>
      <w:pPr>
        <w:pStyle w:val="Heading5"/>
        <w:rPr>
          <w:snapToGrid w:val="0"/>
        </w:rPr>
      </w:pPr>
      <w:bookmarkStart w:id="71" w:name="_Toc524065381"/>
      <w:r>
        <w:rPr>
          <w:rStyle w:val="CharSectno"/>
        </w:rPr>
        <w:t>55E</w:t>
      </w:r>
      <w:r>
        <w:rPr>
          <w:snapToGrid w:val="0"/>
        </w:rPr>
        <w:t>.</w:t>
      </w:r>
      <w:r>
        <w:rPr>
          <w:snapToGrid w:val="0"/>
        </w:rPr>
        <w:tab/>
        <w:t>Powers to quarantine or destroy poisons in certain circumstances</w:t>
      </w:r>
      <w:bookmarkEnd w:id="71"/>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 or</w:t>
      </w:r>
    </w:p>
    <w:p>
      <w:pPr>
        <w:pStyle w:val="Indenta"/>
        <w:rPr>
          <w:snapToGrid w:val="0"/>
        </w:rPr>
      </w:pPr>
      <w:r>
        <w:rPr>
          <w:snapToGrid w:val="0"/>
        </w:rPr>
        <w:tab/>
        <w:t>(b)</w:t>
      </w:r>
      <w:r>
        <w:rPr>
          <w:snapToGrid w:val="0"/>
        </w:rPr>
        <w:tab/>
        <w:t>to destroy, or otherwise dispose of, the poison in a specified way; or</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p>
    <w:p>
      <w:pPr>
        <w:pStyle w:val="Heading5"/>
        <w:rPr>
          <w:snapToGrid w:val="0"/>
        </w:rPr>
      </w:pPr>
      <w:bookmarkStart w:id="72" w:name="_Toc524065382"/>
      <w:r>
        <w:rPr>
          <w:rStyle w:val="CharSectno"/>
        </w:rPr>
        <w:t>56</w:t>
      </w:r>
      <w:r>
        <w:rPr>
          <w:snapToGrid w:val="0"/>
        </w:rPr>
        <w:t>.</w:t>
      </w:r>
      <w:r>
        <w:rPr>
          <w:snapToGrid w:val="0"/>
        </w:rPr>
        <w:tab/>
        <w:t>Sales by employees etc.</w:t>
      </w:r>
      <w:bookmarkEnd w:id="72"/>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73" w:name="_Toc524065383"/>
      <w:r>
        <w:rPr>
          <w:rStyle w:val="CharSectno"/>
        </w:rPr>
        <w:t>57</w:t>
      </w:r>
      <w:r>
        <w:rPr>
          <w:snapToGrid w:val="0"/>
        </w:rPr>
        <w:t>.</w:t>
      </w:r>
      <w:r>
        <w:rPr>
          <w:snapToGrid w:val="0"/>
        </w:rPr>
        <w:tab/>
        <w:t>Persons deemed to have sold poisons</w:t>
      </w:r>
      <w:bookmarkEnd w:id="73"/>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 or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p>
    <w:p>
      <w:pPr>
        <w:pStyle w:val="Heading5"/>
        <w:spacing w:before="260"/>
        <w:rPr>
          <w:snapToGrid w:val="0"/>
        </w:rPr>
      </w:pPr>
      <w:bookmarkStart w:id="74" w:name="_Toc524065384"/>
      <w:r>
        <w:rPr>
          <w:rStyle w:val="CharSectno"/>
        </w:rPr>
        <w:t>58</w:t>
      </w:r>
      <w:r>
        <w:rPr>
          <w:snapToGrid w:val="0"/>
        </w:rPr>
        <w:t>.</w:t>
      </w:r>
      <w:r>
        <w:rPr>
          <w:snapToGrid w:val="0"/>
        </w:rPr>
        <w:tab/>
        <w:t>Evidence on prosecutions</w:t>
      </w:r>
      <w:bookmarkEnd w:id="74"/>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p>
    <w:p>
      <w:pPr>
        <w:pStyle w:val="Indenta"/>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p>
    <w:p>
      <w:pPr>
        <w:pStyle w:val="Heading5"/>
        <w:rPr>
          <w:snapToGrid w:val="0"/>
        </w:rPr>
      </w:pPr>
      <w:bookmarkStart w:id="75" w:name="_Toc524065385"/>
      <w:r>
        <w:rPr>
          <w:rStyle w:val="CharSectno"/>
        </w:rPr>
        <w:t>59</w:t>
      </w:r>
      <w:r>
        <w:rPr>
          <w:snapToGrid w:val="0"/>
        </w:rPr>
        <w:t>.</w:t>
      </w:r>
      <w:r>
        <w:rPr>
          <w:snapToGrid w:val="0"/>
        </w:rPr>
        <w:tab/>
        <w:t>Publication of list of licensed persons</w:t>
      </w:r>
      <w:bookmarkEnd w:id="75"/>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p>
    <w:p>
      <w:pPr>
        <w:pStyle w:val="Heading5"/>
        <w:rPr>
          <w:snapToGrid w:val="0"/>
        </w:rPr>
      </w:pPr>
      <w:bookmarkStart w:id="76" w:name="_Toc524065386"/>
      <w:r>
        <w:rPr>
          <w:rStyle w:val="CharSectno"/>
        </w:rPr>
        <w:t>60</w:t>
      </w:r>
      <w:r>
        <w:rPr>
          <w:snapToGrid w:val="0"/>
        </w:rPr>
        <w:t>.</w:t>
      </w:r>
      <w:r>
        <w:rPr>
          <w:snapToGrid w:val="0"/>
        </w:rPr>
        <w:tab/>
        <w:t>Proof of certificate of analysts</w:t>
      </w:r>
      <w:bookmarkEnd w:id="76"/>
    </w:p>
    <w:p>
      <w:pPr>
        <w:pStyle w:val="Subsection"/>
        <w:keepNext/>
        <w:rPr>
          <w:snapToGrid w:val="0"/>
        </w:rPr>
      </w:pPr>
      <w:r>
        <w:rPr>
          <w:snapToGrid w:val="0"/>
        </w:rPr>
        <w:tab/>
        <w:t>(1)</w:t>
      </w:r>
      <w:r>
        <w:rPr>
          <w:snapToGrid w:val="0"/>
        </w:rPr>
        <w:tab/>
        <w:t>In any legal proceedings for offences against this Act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p>
    <w:p>
      <w:pPr>
        <w:pStyle w:val="Indenti"/>
        <w:rPr>
          <w:snapToGrid w:val="0"/>
        </w:rPr>
      </w:pPr>
      <w:r>
        <w:rPr>
          <w:snapToGrid w:val="0"/>
        </w:rPr>
        <w:tab/>
        <w:t>(i)</w:t>
      </w:r>
      <w:r>
        <w:rPr>
          <w:snapToGrid w:val="0"/>
        </w:rPr>
        <w:tab/>
        <w:t>of the identity of the thing analysed; and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[Section 60 amended by No. 84 of 2004 s. 80 and 82.]</w:t>
      </w:r>
    </w:p>
    <w:p>
      <w:pPr>
        <w:pStyle w:val="Heading5"/>
      </w:pPr>
      <w:bookmarkStart w:id="77" w:name="_Toc524065387"/>
      <w:r>
        <w:rPr>
          <w:rStyle w:val="CharSectno"/>
        </w:rPr>
        <w:t>61</w:t>
      </w:r>
      <w:r>
        <w:t>.</w:t>
      </w:r>
      <w:r>
        <w:tab/>
        <w:t>Evidence of qualifications</w:t>
      </w:r>
      <w:bookmarkEnd w:id="77"/>
    </w:p>
    <w:p>
      <w:pPr>
        <w:pStyle w:val="Subsection"/>
      </w:pPr>
      <w:r>
        <w:tab/>
      </w:r>
      <w:r>
        <w:tab/>
        <w:t xml:space="preserve">In all courts and before all persons and bodies authorised to receive evidence, in the absence of evidence to the contrary — </w:t>
      </w:r>
    </w:p>
    <w:p>
      <w:pPr>
        <w:pStyle w:val="Indenta"/>
      </w:pPr>
      <w:r>
        <w:tab/>
        <w:t>(a)</w:t>
      </w:r>
      <w:r>
        <w:tab/>
        <w:t xml:space="preserve">a certificate purporting to be issued by the CEO and stating that a person is or is not, or was or was not, on a certain date or for a certain period the holder of a licence, permit or authority under this Act is evidence of that matter; and </w:t>
      </w:r>
    </w:p>
    <w:p>
      <w:pPr>
        <w:pStyle w:val="Indenta"/>
      </w:pPr>
      <w:r>
        <w:tab/>
        <w:t>(b)</w:t>
      </w:r>
      <w:r>
        <w:tab/>
        <w:t xml:space="preserve">the production of a copy of the </w:t>
      </w:r>
      <w:r>
        <w:rPr>
          <w:i/>
          <w:iCs/>
        </w:rPr>
        <w:t>Gazette</w:t>
      </w:r>
      <w:r>
        <w:t xml:space="preserve"> containing the list as last published under section 59 in relation to the time in question of persons holding licences or permits under this Act is, if the name of the accused does not appear in the list, prima facie proof that he or she is not a person who holds a licence or permit under this Act; and</w:t>
      </w:r>
    </w:p>
    <w:p>
      <w:pPr>
        <w:pStyle w:val="Indenta"/>
      </w:pPr>
      <w:r>
        <w:tab/>
        <w:t>(c)</w:t>
      </w:r>
      <w:r>
        <w:tab/>
        <w:t xml:space="preserve">a certificate purporting to be issued by the Registrar as defined in the </w:t>
      </w:r>
      <w:r>
        <w:rPr>
          <w:i/>
        </w:rPr>
        <w:t>Veterinary Surgeons Act </w:t>
      </w:r>
      <w:r>
        <w:rPr>
          <w:i/>
          <w:iCs/>
        </w:rPr>
        <w:t>1960</w:t>
      </w:r>
      <w:r>
        <w:t xml:space="preserve"> section 2 that any person is or is not, or was or was not, on a certain date or for a certain period a registered veterinary surgeon is evidence of that matter.</w:t>
      </w:r>
    </w:p>
    <w:p>
      <w:pPr>
        <w:pStyle w:val="Footnotesection"/>
      </w:pPr>
      <w:r>
        <w:tab/>
        <w:t>[Section 61 inserted by No. 35 of 2010 s. 133.]</w:t>
      </w:r>
    </w:p>
    <w:p>
      <w:pPr>
        <w:pStyle w:val="Heading5"/>
        <w:rPr>
          <w:snapToGrid w:val="0"/>
        </w:rPr>
      </w:pPr>
      <w:bookmarkStart w:id="78" w:name="_Toc524065388"/>
      <w:r>
        <w:rPr>
          <w:rStyle w:val="CharSectno"/>
        </w:rPr>
        <w:t>61A</w:t>
      </w:r>
      <w:r>
        <w:rPr>
          <w:snapToGrid w:val="0"/>
        </w:rPr>
        <w:t>.</w:t>
      </w:r>
      <w:r>
        <w:rPr>
          <w:snapToGrid w:val="0"/>
        </w:rPr>
        <w:tab/>
        <w:t>Evidence of approval</w:t>
      </w:r>
      <w:bookmarkEnd w:id="78"/>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p>
    <w:p>
      <w:pPr>
        <w:pStyle w:val="Heading5"/>
        <w:rPr>
          <w:snapToGrid w:val="0"/>
        </w:rPr>
      </w:pPr>
      <w:bookmarkStart w:id="79" w:name="_Toc524065389"/>
      <w:r>
        <w:rPr>
          <w:rStyle w:val="CharSectno"/>
        </w:rPr>
        <w:t>61B</w:t>
      </w:r>
      <w:r>
        <w:rPr>
          <w:snapToGrid w:val="0"/>
        </w:rPr>
        <w:t>.</w:t>
      </w:r>
      <w:r>
        <w:rPr>
          <w:snapToGrid w:val="0"/>
        </w:rPr>
        <w:tab/>
        <w:t>Evidence of contents of standard</w:t>
      </w:r>
      <w:bookmarkEnd w:id="79"/>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p>
    <w:p>
      <w:pPr>
        <w:pStyle w:val="Heading5"/>
        <w:rPr>
          <w:snapToGrid w:val="0"/>
        </w:rPr>
      </w:pPr>
      <w:bookmarkStart w:id="80" w:name="_Toc524065390"/>
      <w:r>
        <w:rPr>
          <w:rStyle w:val="CharSectno"/>
        </w:rPr>
        <w:t>62</w:t>
      </w:r>
      <w:r>
        <w:rPr>
          <w:snapToGrid w:val="0"/>
        </w:rPr>
        <w:t>.</w:t>
      </w:r>
      <w:r>
        <w:rPr>
          <w:snapToGrid w:val="0"/>
        </w:rPr>
        <w:tab/>
        <w:t>General penalty</w:t>
      </w:r>
      <w:bookmarkEnd w:id="80"/>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p>
    <w:p>
      <w:pPr>
        <w:pStyle w:val="Heading5"/>
        <w:rPr>
          <w:snapToGrid w:val="0"/>
        </w:rPr>
      </w:pPr>
      <w:bookmarkStart w:id="81" w:name="_Toc524065391"/>
      <w:r>
        <w:rPr>
          <w:rStyle w:val="CharSectno"/>
        </w:rPr>
        <w:t>63</w:t>
      </w:r>
      <w:r>
        <w:rPr>
          <w:snapToGrid w:val="0"/>
        </w:rPr>
        <w:t>.</w:t>
      </w:r>
      <w:r>
        <w:rPr>
          <w:snapToGrid w:val="0"/>
        </w:rPr>
        <w:tab/>
        <w:t>Protection from liability</w:t>
      </w:r>
      <w:bookmarkEnd w:id="81"/>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deleted]</w:t>
      </w:r>
    </w:p>
    <w:p>
      <w:pPr>
        <w:pStyle w:val="Footnotesection"/>
      </w:pPr>
      <w:r>
        <w:tab/>
        <w:t>[Section 63 amended by No. 28 of 1984 s. 92; No. 12 of 1994 s. 10; No. 48 of 1995 s. 36; No. 28 of 2006 s. 282.]</w:t>
      </w:r>
    </w:p>
    <w:p>
      <w:pPr>
        <w:pStyle w:val="Heading5"/>
        <w:rPr>
          <w:snapToGrid w:val="0"/>
        </w:rPr>
      </w:pPr>
      <w:bookmarkStart w:id="82" w:name="_Toc524065392"/>
      <w:r>
        <w:rPr>
          <w:rStyle w:val="CharSectno"/>
        </w:rPr>
        <w:t>64</w:t>
      </w:r>
      <w:r>
        <w:rPr>
          <w:snapToGrid w:val="0"/>
        </w:rPr>
        <w:t>.</w:t>
      </w:r>
      <w:r>
        <w:rPr>
          <w:snapToGrid w:val="0"/>
        </w:rPr>
        <w:tab/>
        <w:t>Regulations</w:t>
      </w:r>
      <w:bookmarkEnd w:id="82"/>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w:t>
      </w:r>
      <w:r>
        <w:t xml:space="preserve"> section 23(2) or (4B) in relation to a poison or medicine;</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 and</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 xml:space="preserve">exempting from all or any of the provisions of this Act and the regulations, substances containing any poison that by their nature are not capable of being used in evasion of this Act and the regulations, or that are supplied or sold by a </w:t>
      </w:r>
      <w:r>
        <w:t>pharmacist</w:t>
      </w:r>
      <w:r>
        <w:rPr>
          <w:snapToGrid w:val="0"/>
        </w:rPr>
        <w:t xml:space="preserve">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 xml:space="preserve">authorising medical practitioners, and </w:t>
      </w:r>
      <w:r>
        <w:t>pharmacist</w:t>
      </w:r>
      <w:r>
        <w:rPr>
          <w:snapToGrid w:val="0"/>
        </w:rPr>
        <w: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 No. 35 of 2010 s. 134.]</w:t>
      </w:r>
    </w:p>
    <w:p>
      <w:pPr>
        <w:pStyle w:val="Heading5"/>
        <w:rPr>
          <w:snapToGrid w:val="0"/>
        </w:rPr>
      </w:pPr>
      <w:bookmarkStart w:id="83" w:name="_Toc524065393"/>
      <w:r>
        <w:rPr>
          <w:rStyle w:val="CharSectno"/>
        </w:rPr>
        <w:t>64A</w:t>
      </w:r>
      <w:r>
        <w:rPr>
          <w:snapToGrid w:val="0"/>
        </w:rPr>
        <w:t>.</w:t>
      </w:r>
      <w:r>
        <w:rPr>
          <w:snapToGrid w:val="0"/>
        </w:rPr>
        <w:tab/>
        <w:t>Regulations may adopt standards</w:t>
      </w:r>
      <w:bookmarkEnd w:id="83"/>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p>
    <w:p>
      <w:pPr>
        <w:pStyle w:val="Heading5"/>
        <w:rPr>
          <w:snapToGrid w:val="0"/>
        </w:rPr>
      </w:pPr>
      <w:bookmarkStart w:id="84" w:name="_Toc524065394"/>
      <w:r>
        <w:rPr>
          <w:rStyle w:val="CharSectno"/>
        </w:rPr>
        <w:t>64B</w:t>
      </w:r>
      <w:r>
        <w:rPr>
          <w:snapToGrid w:val="0"/>
        </w:rPr>
        <w:t>.</w:t>
      </w:r>
      <w:r>
        <w:rPr>
          <w:snapToGrid w:val="0"/>
        </w:rPr>
        <w:tab/>
        <w:t>Copies of standards to be kept and made available to public</w:t>
      </w:r>
      <w:bookmarkEnd w:id="84"/>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p>
    <w:p>
      <w:pPr>
        <w:sectPr>
          <w:headerReference w:type="even" r:id="rId21"/>
          <w:headerReference w:type="default" r:id="rId22"/>
          <w:footerReference w:type="even" r:id="rId23"/>
          <w:footerReference w:type="default" r:id="rId24"/>
          <w:headerReference w:type="first" r:id="rId25"/>
          <w:footerReference w:type="first" r:id="rId26"/>
          <w:pgSz w:w="11906" w:h="16838" w:code="9"/>
          <w:pgMar w:top="2376" w:right="2405" w:bottom="3542" w:left="2405" w:header="706" w:footer="3380" w:gutter="0"/>
          <w:pgNumType w:start="1"/>
          <w:cols w:space="720"/>
          <w:noEndnote/>
          <w:titlePg/>
          <w:docGrid w:linePitch="326"/>
        </w:sectPr>
      </w:pPr>
    </w:p>
    <w:p>
      <w:pPr>
        <w:pStyle w:val="yScheduleHeading"/>
      </w:pPr>
      <w:bookmarkStart w:id="85" w:name="_Toc524065395"/>
      <w:r>
        <w:rPr>
          <w:rStyle w:val="CharSchNo"/>
        </w:rPr>
        <w:t>Appendix A</w:t>
      </w:r>
      <w:bookmarkEnd w:id="85"/>
      <w:r>
        <w:rPr>
          <w:rStyle w:val="CharSchText"/>
        </w:rPr>
        <w:t xml:space="preserve"> </w:t>
      </w:r>
    </w:p>
    <w:p>
      <w:pPr>
        <w:pStyle w:val="yFootnotesection"/>
        <w:ind w:firstLine="0"/>
      </w:pPr>
      <w:r>
        <w:t>[Heading inserted by No. 48 of 1995 s. 40.]</w:t>
      </w:r>
    </w:p>
    <w:p>
      <w:pPr>
        <w:pStyle w:val="yHeading5"/>
        <w:outlineLvl w:val="9"/>
        <w:rPr>
          <w:snapToGrid w:val="0"/>
        </w:rPr>
      </w:pPr>
      <w:bookmarkStart w:id="86" w:name="_Toc524065396"/>
      <w:r>
        <w:rPr>
          <w:rStyle w:val="CharSClsNo"/>
        </w:rPr>
        <w:t>1</w:t>
      </w:r>
      <w:r>
        <w:rPr>
          <w:snapToGrid w:val="0"/>
        </w:rPr>
        <w:t>.</w:t>
      </w:r>
      <w:r>
        <w:rPr>
          <w:snapToGrid w:val="0"/>
        </w:rPr>
        <w:tab/>
        <w:t>Term used: SUSMP</w:t>
      </w:r>
      <w:bookmarkEnd w:id="86"/>
    </w:p>
    <w:p>
      <w:pPr>
        <w:pStyle w:val="ySubsection"/>
      </w:pPr>
      <w:r>
        <w:tab/>
        <w:t>(1)</w:t>
      </w:r>
      <w:r>
        <w:tab/>
        <w:t xml:space="preserve">In this Appendix — </w:t>
      </w:r>
    </w:p>
    <w:p>
      <w:pPr>
        <w:pStyle w:val="yDefstart"/>
      </w:pPr>
      <w:r>
        <w:tab/>
      </w:r>
      <w:r>
        <w:rPr>
          <w:rStyle w:val="CharDefText"/>
        </w:rPr>
        <w:t>SUSMP</w:t>
      </w:r>
      <w:r>
        <w:t xml:space="preserve"> means the current Poisons Standard as defined in the </w:t>
      </w:r>
      <w:r>
        <w:rPr>
          <w:i/>
          <w:iCs/>
        </w:rPr>
        <w:t>Therapeutic Goods Act 1989</w:t>
      </w:r>
      <w:r>
        <w:t xml:space="preserve"> (Commonwealth) section 52A.</w:t>
      </w:r>
    </w:p>
    <w:p>
      <w:pPr>
        <w:pStyle w:val="ySubsection"/>
        <w:spacing w:before="200"/>
        <w:rPr>
          <w:snapToGrid w:val="0"/>
        </w:rPr>
      </w:pPr>
      <w:r>
        <w:rPr>
          <w:snapToGrid w:val="0"/>
        </w:rPr>
        <w:tab/>
        <w:t>(2)</w:t>
      </w:r>
      <w:r>
        <w:rPr>
          <w:snapToGrid w:val="0"/>
        </w:rPr>
        <w:tab/>
        <w:t xml:space="preserve">If for the purposes of this Appendix it is necessary to interpret a Schedule to the </w:t>
      </w:r>
      <w:r>
        <w:t xml:space="preserve">SUSMP, </w:t>
      </w:r>
      <w:r>
        <w:rPr>
          <w:snapToGrid w:val="0"/>
        </w:rPr>
        <w:t xml:space="preserve">the definitions and interpretation provisions in the </w:t>
      </w:r>
      <w:r>
        <w:t xml:space="preserve">SUSMP </w:t>
      </w:r>
      <w:r>
        <w:rPr>
          <w:snapToGrid w:val="0"/>
        </w:rPr>
        <w:t>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 22 Oct 2010 p. 5216</w:t>
      </w:r>
      <w:r>
        <w:noBreakHyphen/>
        <w:t>17.]</w:t>
      </w:r>
    </w:p>
    <w:p>
      <w:pPr>
        <w:pStyle w:val="yScheduleHeading"/>
        <w:pageBreakBefore w:val="0"/>
        <w:spacing w:before="400"/>
      </w:pPr>
      <w:bookmarkStart w:id="87" w:name="_Toc524065397"/>
      <w:r>
        <w:t>Schedule 1</w:t>
      </w:r>
      <w:bookmarkEnd w:id="87"/>
    </w:p>
    <w:p>
      <w:pPr>
        <w:pStyle w:val="yMiscellaneousBody"/>
        <w:rPr>
          <w:snapToGrid w:val="0"/>
        </w:rPr>
      </w:pPr>
      <w:r>
        <w:rPr>
          <w:snapToGrid w:val="0"/>
        </w:rPr>
        <w:t xml:space="preserve">All substances listed in Schedule 1 to the </w:t>
      </w:r>
      <w:r>
        <w:t>SUSMP</w:t>
      </w:r>
      <w:r>
        <w:rPr>
          <w:snapToGrid w:val="0"/>
        </w:rPr>
        <w:t>.</w:t>
      </w:r>
    </w:p>
    <w:p>
      <w:pPr>
        <w:pStyle w:val="yFootnotesection"/>
      </w:pPr>
      <w:r>
        <w:tab/>
        <w:t>[Schedule 1 inserted by No. 48 of 1995 s. 40; amended in Gazette 22 Oct 2010 p. 5217.]</w:t>
      </w:r>
    </w:p>
    <w:p>
      <w:pPr>
        <w:pStyle w:val="yScheduleHeading"/>
        <w:pageBreakBefore w:val="0"/>
        <w:spacing w:before="400"/>
      </w:pPr>
      <w:bookmarkStart w:id="88" w:name="_Toc524065398"/>
      <w:r>
        <w:t>Schedule 2</w:t>
      </w:r>
      <w:bookmarkEnd w:id="88"/>
    </w:p>
    <w:p>
      <w:pPr>
        <w:pStyle w:val="yMiscellaneousBody"/>
        <w:rPr>
          <w:snapToGrid w:val="0"/>
        </w:rPr>
      </w:pPr>
      <w:r>
        <w:rPr>
          <w:snapToGrid w:val="0"/>
        </w:rPr>
        <w:t xml:space="preserve">All substances listed in Schedule 2 to the </w:t>
      </w:r>
      <w:r>
        <w:t>SUSMP</w:t>
      </w:r>
      <w:r>
        <w:rPr>
          <w:snapToGrid w:val="0"/>
        </w:rPr>
        <w:t>.</w:t>
      </w:r>
    </w:p>
    <w:p>
      <w:pPr>
        <w:pStyle w:val="yFootnotesection"/>
      </w:pPr>
      <w:r>
        <w:tab/>
        <w:t>[Schedule 2 inserted by No. 48 of 1995 s. 40; amended in Gazette 22 Oct 2010 p. 5217.]</w:t>
      </w:r>
    </w:p>
    <w:p>
      <w:pPr>
        <w:pStyle w:val="yScheduleHeading"/>
        <w:pageBreakBefore w:val="0"/>
        <w:spacing w:before="400"/>
      </w:pPr>
      <w:bookmarkStart w:id="89" w:name="_Toc524065399"/>
      <w:r>
        <w:t>Schedule 3</w:t>
      </w:r>
      <w:bookmarkEnd w:id="89"/>
    </w:p>
    <w:p>
      <w:pPr>
        <w:pStyle w:val="yMiscellaneousBody"/>
        <w:rPr>
          <w:snapToGrid w:val="0"/>
        </w:rPr>
      </w:pPr>
      <w:r>
        <w:rPr>
          <w:snapToGrid w:val="0"/>
        </w:rPr>
        <w:t>All substances listed in Schedule 3 to the</w:t>
      </w:r>
      <w:r>
        <w:t xml:space="preserve"> SUSMP</w:t>
      </w:r>
      <w:r>
        <w:rPr>
          <w:snapToGrid w:val="0"/>
        </w:rPr>
        <w:t>.</w:t>
      </w:r>
    </w:p>
    <w:p>
      <w:pPr>
        <w:pStyle w:val="yFootnotesection"/>
      </w:pPr>
      <w:r>
        <w:tab/>
        <w:t>[Schedule 3 inserted by No. 48 of 1995 s. 40; amended in Gazette 22 Oct 2010 p. 5217.]</w:t>
      </w:r>
    </w:p>
    <w:p>
      <w:pPr>
        <w:pStyle w:val="yScheduleHeading"/>
        <w:pageBreakBefore w:val="0"/>
        <w:spacing w:before="400"/>
      </w:pPr>
      <w:bookmarkStart w:id="90" w:name="_Toc524065400"/>
      <w:r>
        <w:t>Schedule 4</w:t>
      </w:r>
      <w:bookmarkEnd w:id="90"/>
    </w:p>
    <w:p>
      <w:pPr>
        <w:pStyle w:val="yMiscellaneousBody"/>
        <w:keepNext/>
        <w:keepLines/>
        <w:rPr>
          <w:snapToGrid w:val="0"/>
        </w:rPr>
      </w:pPr>
      <w:r>
        <w:rPr>
          <w:snapToGrid w:val="0"/>
        </w:rPr>
        <w:t>All substances listed in Schedule 4 to the</w:t>
      </w:r>
      <w:r>
        <w:t xml:space="preserve"> SUSMP</w:t>
      </w:r>
      <w:r>
        <w:rPr>
          <w:snapToGrid w:val="0"/>
        </w:rPr>
        <w:t>, subject to the following modification —</w:t>
      </w:r>
    </w:p>
    <w:p>
      <w:pPr>
        <w:pStyle w:val="yMiscellaneousBody"/>
        <w:keepNext/>
        <w:keepLines/>
        <w:rPr>
          <w:snapToGrid w:val="0"/>
          <w:u w:val="single"/>
        </w:rPr>
      </w:pPr>
      <w:r>
        <w:rPr>
          <w:snapToGrid w:val="0"/>
          <w:u w:val="single"/>
        </w:rPr>
        <w:t>The following substance is added to Schedule 4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 22 Oct 2010 p. 5217.]</w:t>
      </w:r>
    </w:p>
    <w:p>
      <w:pPr>
        <w:pStyle w:val="yScheduleHeading"/>
        <w:pageBreakBefore w:val="0"/>
        <w:spacing w:before="400"/>
      </w:pPr>
      <w:bookmarkStart w:id="91" w:name="_Toc524065401"/>
      <w:r>
        <w:t>Schedule 5</w:t>
      </w:r>
      <w:bookmarkEnd w:id="91"/>
    </w:p>
    <w:p>
      <w:pPr>
        <w:pStyle w:val="yMiscellaneousBody"/>
        <w:rPr>
          <w:snapToGrid w:val="0"/>
        </w:rPr>
      </w:pPr>
      <w:r>
        <w:rPr>
          <w:snapToGrid w:val="0"/>
        </w:rPr>
        <w:t>All substances listed in Schedule 5 to the</w:t>
      </w:r>
      <w:r>
        <w:t xml:space="preserve"> SUSMP</w:t>
      </w:r>
      <w:r>
        <w:rPr>
          <w:snapToGrid w:val="0"/>
        </w:rPr>
        <w:t>.</w:t>
      </w:r>
    </w:p>
    <w:p>
      <w:pPr>
        <w:pStyle w:val="yFootnotesection"/>
      </w:pPr>
      <w:r>
        <w:tab/>
        <w:t>[Schedule 5 inserted by No. 48 of 1995 s. 40; amended in Gazette 10 Oct 2003 p. 4404 and p. 4405; 22 Oct 2010 p. 5217.]</w:t>
      </w:r>
    </w:p>
    <w:p>
      <w:pPr>
        <w:pStyle w:val="yScheduleHeading"/>
        <w:pageBreakBefore w:val="0"/>
        <w:spacing w:before="400"/>
      </w:pPr>
      <w:bookmarkStart w:id="92" w:name="_Toc524065402"/>
      <w:r>
        <w:t>Schedule 6</w:t>
      </w:r>
      <w:bookmarkEnd w:id="92"/>
    </w:p>
    <w:p>
      <w:pPr>
        <w:pStyle w:val="yMiscellaneousBody"/>
      </w:pPr>
      <w:r>
        <w:rPr>
          <w:snapToGrid w:val="0"/>
        </w:rPr>
        <w:t>All substances listed in Schedule 6 to the</w:t>
      </w:r>
      <w:r>
        <w:t xml:space="preserve"> SUSMP</w:t>
      </w:r>
      <w:r>
        <w:rPr>
          <w:snapToGrid w:val="0"/>
        </w:rPr>
        <w:t xml:space="preserve">, subject to the following </w:t>
      </w:r>
      <w:r>
        <w:t>modification —</w:t>
      </w:r>
    </w:p>
    <w:p>
      <w:pPr>
        <w:pStyle w:val="yMiscellaneousBody"/>
        <w:rPr>
          <w:snapToGrid w:val="0"/>
          <w:u w:val="single"/>
        </w:rPr>
      </w:pPr>
      <w:r>
        <w:rPr>
          <w:snapToGrid w:val="0"/>
          <w:u w:val="single"/>
        </w:rPr>
        <w:t>The following substance is deleted from Schedule 6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 22 Oct 2010 p. 5217.]</w:t>
      </w:r>
    </w:p>
    <w:p>
      <w:pPr>
        <w:pStyle w:val="yScheduleHeading"/>
        <w:pageBreakBefore w:val="0"/>
        <w:spacing w:before="400"/>
      </w:pPr>
      <w:bookmarkStart w:id="93" w:name="_Toc524065403"/>
      <w:r>
        <w:t>Schedule 7</w:t>
      </w:r>
      <w:bookmarkEnd w:id="93"/>
    </w:p>
    <w:p>
      <w:pPr>
        <w:pStyle w:val="yMiscellaneousBody"/>
        <w:rPr>
          <w:snapToGrid w:val="0"/>
        </w:rPr>
      </w:pPr>
      <w:r>
        <w:rPr>
          <w:snapToGrid w:val="0"/>
        </w:rPr>
        <w:t>All substances listed in Schedule 7 to the</w:t>
      </w:r>
      <w:r>
        <w:t xml:space="preserve"> SUSMP</w:t>
      </w:r>
      <w:r>
        <w:rPr>
          <w:snapToGrid w:val="0"/>
        </w:rPr>
        <w:t>, subject to the following modifications —</w:t>
      </w:r>
    </w:p>
    <w:p>
      <w:pPr>
        <w:pStyle w:val="yMiscellaneousBody"/>
        <w:rPr>
          <w:snapToGrid w:val="0"/>
          <w:u w:val="single"/>
        </w:rPr>
      </w:pPr>
      <w:r>
        <w:rPr>
          <w:snapToGrid w:val="0"/>
          <w:u w:val="single"/>
        </w:rPr>
        <w:t xml:space="preserve">The description of the following substance in Schedule 7 to the </w:t>
      </w:r>
      <w:r>
        <w:rPr>
          <w:u w:val="single"/>
        </w:rPr>
        <w:t>SUSMP</w:t>
      </w:r>
      <w:r>
        <w:rPr>
          <w:snapToGrid w:val="0"/>
          <w:u w:val="single"/>
        </w:rPr>
        <w:t xml:space="preserve"> is modified in the following manner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w:t>
      </w:r>
      <w:r>
        <w:rPr>
          <w:u w:val="single"/>
        </w:rPr>
        <w:t xml:space="preserve"> SUSMP</w:t>
      </w:r>
      <w:r>
        <w:rPr>
          <w:snapToGrid w:val="0"/>
          <w:u w:val="single"/>
        </w:rPr>
        <w:t>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 22 Oct 2010 p. 5217.]</w:t>
      </w:r>
    </w:p>
    <w:p>
      <w:pPr>
        <w:pStyle w:val="yScheduleHeading"/>
        <w:pageBreakBefore w:val="0"/>
        <w:spacing w:before="400"/>
      </w:pPr>
      <w:bookmarkStart w:id="94" w:name="_Toc524065404"/>
      <w:r>
        <w:t>Schedule 8</w:t>
      </w:r>
      <w:bookmarkEnd w:id="94"/>
    </w:p>
    <w:p>
      <w:pPr>
        <w:pStyle w:val="yMiscellaneousBody"/>
        <w:rPr>
          <w:snapToGrid w:val="0"/>
        </w:rPr>
      </w:pPr>
      <w:r>
        <w:rPr>
          <w:snapToGrid w:val="0"/>
        </w:rPr>
        <w:t>All substances listed in Schedule 8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 is added to Schedule 8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 22 Oct 2010 p. 5217.]</w:t>
      </w:r>
    </w:p>
    <w:p>
      <w:pPr>
        <w:pStyle w:val="yScheduleHeading"/>
      </w:pPr>
      <w:bookmarkStart w:id="95" w:name="_Toc524065405"/>
      <w:r>
        <w:t>Schedule 9</w:t>
      </w:r>
      <w:bookmarkEnd w:id="95"/>
    </w:p>
    <w:p>
      <w:pPr>
        <w:pStyle w:val="yMiscellaneousBody"/>
        <w:rPr>
          <w:snapToGrid w:val="0"/>
        </w:rPr>
      </w:pPr>
      <w:r>
        <w:rPr>
          <w:snapToGrid w:val="0"/>
        </w:rPr>
        <w:t>All substances listed in Schedule 9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substances are added to Schedule 9 to the</w:t>
      </w:r>
      <w:r>
        <w:rPr>
          <w:u w:val="single"/>
        </w:rPr>
        <w:t xml:space="preserve"> SUSMP</w:t>
      </w:r>
      <w:r>
        <w:rPr>
          <w:snapToGrid w:val="0"/>
          <w:u w:val="single"/>
        </w:rPr>
        <w:t> —</w:t>
      </w:r>
    </w:p>
    <w:p>
      <w:pPr>
        <w:pStyle w:val="yMiscellaneousBody"/>
        <w:tabs>
          <w:tab w:val="left" w:pos="567"/>
        </w:tabs>
        <w:spacing w:before="120" w:after="20"/>
        <w:ind w:left="567" w:hanging="567"/>
        <w:rPr>
          <w:snapToGrid w:val="0"/>
        </w:rPr>
      </w:pPr>
      <w:r>
        <w:rPr>
          <w:snapToGrid w:val="0"/>
        </w:rPr>
        <w:t>*</w:t>
      </w:r>
      <w:r>
        <w:rPr>
          <w:snapToGrid w:val="0"/>
        </w:rPr>
        <w:tab/>
      </w:r>
      <w:r>
        <w:rPr>
          <w:caps/>
          <w:snapToGrid w:val="0"/>
        </w:rPr>
        <w:t>N-(adamantan-1-yl)-1-(5-fluoropentyl)-1H-indole-3-carboxamide (STS-135).</w:t>
      </w:r>
    </w:p>
    <w:p>
      <w:pPr>
        <w:pStyle w:val="yMiscellaneousBody"/>
        <w:tabs>
          <w:tab w:val="left" w:pos="567"/>
        </w:tabs>
        <w:spacing w:before="0" w:after="20"/>
        <w:ind w:left="567" w:hanging="567"/>
        <w:rPr>
          <w:snapToGrid w:val="0"/>
        </w:rPr>
      </w:pPr>
      <w:r>
        <w:rPr>
          <w:snapToGrid w:val="0"/>
        </w:rPr>
        <w:t>*</w:t>
      </w:r>
      <w:r>
        <w:rPr>
          <w:snapToGrid w:val="0"/>
        </w:rPr>
        <w:tab/>
      </w:r>
      <w:r>
        <w:rPr>
          <w:caps/>
          <w:snapToGrid w:val="0"/>
        </w:rPr>
        <w:t>N-((3s,5s,7s)-adamantan-1-yl)-1-(5-fluoropentyl)-1H-indazole-3-carboxamide (5-F AKB48 or 5-F APINACA).</w:t>
      </w:r>
    </w:p>
    <w:p>
      <w:pPr>
        <w:pStyle w:val="yMiscellaneousBody"/>
        <w:tabs>
          <w:tab w:val="left" w:pos="567"/>
        </w:tabs>
        <w:spacing w:before="0" w:after="20"/>
        <w:ind w:left="567" w:hanging="567"/>
        <w:rPr>
          <w:snapToGrid w:val="0"/>
        </w:rPr>
      </w:pPr>
      <w:r>
        <w:rPr>
          <w:snapToGrid w:val="0"/>
        </w:rPr>
        <w:t>*</w:t>
      </w:r>
      <w:r>
        <w:rPr>
          <w:snapToGrid w:val="0"/>
        </w:rPr>
        <w:tab/>
      </w:r>
      <w:r>
        <w:rPr>
          <w:caps/>
          <w:snapToGrid w:val="0"/>
        </w:rPr>
        <w:t>N-(1-adamantyl)-1-pentyl-1H-indole-3-carboxamide (2NE1 or SDB-001).</w:t>
      </w:r>
    </w:p>
    <w:p>
      <w:pPr>
        <w:pStyle w:val="yMiscellaneousBody"/>
        <w:tabs>
          <w:tab w:val="left" w:pos="567"/>
        </w:tabs>
        <w:spacing w:before="0" w:after="20"/>
        <w:ind w:left="567" w:hanging="567"/>
        <w:rPr>
          <w:snapToGrid w:val="0"/>
        </w:rPr>
      </w:pPr>
      <w:r>
        <w:rPr>
          <w:snapToGrid w:val="0"/>
        </w:rPr>
        <w:t>*</w:t>
      </w:r>
      <w:r>
        <w:rPr>
          <w:snapToGrid w:val="0"/>
        </w:rPr>
        <w:tab/>
      </w:r>
      <w:r>
        <w:rPr>
          <w:caps/>
          <w:snapToGrid w:val="0"/>
        </w:rPr>
        <w:t>N-(1-adamantyl)-1-pentyl-1H-indazole-3-carboxamide (AKB48 or APINACA).</w:t>
      </w:r>
    </w:p>
    <w:p>
      <w:pPr>
        <w:pStyle w:val="yMiscellaneousBody"/>
        <w:tabs>
          <w:tab w:val="left" w:pos="567"/>
        </w:tabs>
        <w:spacing w:before="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0" w:after="20"/>
        <w:ind w:left="567" w:hanging="567"/>
        <w:rPr>
          <w:snapToGrid w:val="0"/>
        </w:rPr>
      </w:pPr>
      <w:r>
        <w:rPr>
          <w:snapToGrid w:val="0"/>
        </w:rPr>
        <w:t>*</w:t>
      </w:r>
      <w:r>
        <w:rPr>
          <w:snapToGrid w:val="0"/>
        </w:rPr>
        <w:tab/>
        <w:t>ALPHA</w:t>
      </w:r>
      <w:r>
        <w:rPr>
          <w:caps/>
          <w:snapToGrid w:val="0"/>
        </w:rPr>
        <w:t>-pyrrolidinovalerophenone (Alpha-PVP).</w:t>
      </w:r>
    </w:p>
    <w:p>
      <w:pPr>
        <w:pStyle w:val="yMiscellaneousBody"/>
        <w:tabs>
          <w:tab w:val="left" w:pos="567"/>
        </w:tabs>
        <w:spacing w:before="0" w:after="20"/>
        <w:ind w:left="567" w:hanging="567"/>
        <w:rPr>
          <w:caps/>
          <w:snapToGrid w:val="0"/>
        </w:rPr>
      </w:pPr>
      <w:r>
        <w:rPr>
          <w:snapToGrid w:val="0"/>
        </w:rPr>
        <w:t>*</w:t>
      </w:r>
      <w:r>
        <w:rPr>
          <w:snapToGrid w:val="0"/>
        </w:rPr>
        <w:tab/>
      </w:r>
      <w:r>
        <w:rPr>
          <w:caps/>
          <w:snapToGrid w:val="0"/>
        </w:rPr>
        <w:t>N-[(</w:t>
      </w:r>
      <w:r>
        <w:rPr>
          <w:snapToGrid w:val="0"/>
        </w:rPr>
        <w:t>1S</w:t>
      </w:r>
      <w:r>
        <w:rPr>
          <w:caps/>
          <w:snapToGrid w:val="0"/>
        </w:rPr>
        <w:t>)-1-(aminocarbonyl)-2-methylpropyl]-1-[(4-fluorophenyl)methyl]-1H-indazole-3-carboxamide (AB-FUBINACA).</w:t>
      </w:r>
    </w:p>
    <w:p>
      <w:pPr>
        <w:pStyle w:val="yMiscellaneousBody"/>
        <w:tabs>
          <w:tab w:val="left" w:pos="567"/>
        </w:tabs>
        <w:spacing w:before="0" w:after="20"/>
        <w:ind w:left="567" w:hanging="567"/>
        <w:rPr>
          <w:snapToGrid w:val="0"/>
        </w:rPr>
      </w:pPr>
      <w:r>
        <w:rPr>
          <w:snapToGrid w:val="0"/>
        </w:rPr>
        <w:t>*</w:t>
      </w:r>
      <w:r>
        <w:rPr>
          <w:snapToGrid w:val="0"/>
        </w:rPr>
        <w:tab/>
      </w:r>
      <w:r>
        <w:rPr>
          <w:caps/>
          <w:snapToGrid w:val="0"/>
        </w:rPr>
        <w:t>N-[(</w:t>
      </w:r>
      <w:r>
        <w:rPr>
          <w:snapToGrid w:val="0"/>
        </w:rPr>
        <w:t>1S</w:t>
      </w:r>
      <w:r>
        <w:rPr>
          <w:caps/>
          <w:snapToGrid w:val="0"/>
        </w:rPr>
        <w:t>)-1-(aminocarbonyl)-2-methylpropyl]-1-pentyl-1H-indazole-3-carboxamide (AB PINACA).</w:t>
      </w:r>
    </w:p>
    <w:p>
      <w:pPr>
        <w:pStyle w:val="yMiscellaneousBody"/>
        <w:tabs>
          <w:tab w:val="left" w:pos="567"/>
        </w:tabs>
        <w:spacing w:before="0" w:after="20"/>
        <w:ind w:left="567" w:hanging="567"/>
        <w:rPr>
          <w:caps/>
          <w:snapToGrid w:val="0"/>
        </w:rPr>
      </w:pPr>
      <w:r>
        <w:rPr>
          <w:snapToGrid w:val="0"/>
        </w:rPr>
        <w:t>*</w:t>
      </w:r>
      <w:r>
        <w:rPr>
          <w:snapToGrid w:val="0"/>
        </w:rPr>
        <w:tab/>
      </w:r>
      <w:r>
        <w:rPr>
          <w:caps/>
          <w:snapToGrid w:val="0"/>
        </w:rPr>
        <w:t>6-(2-</w:t>
      </w:r>
      <w:r>
        <w:rPr>
          <w:snapToGrid w:val="0"/>
        </w:rPr>
        <w:t>AMINOPROPYL</w:t>
      </w:r>
      <w:r>
        <w:rPr>
          <w:caps/>
          <w:snapToGrid w:val="0"/>
        </w:rPr>
        <w:t>)benzofuran (6-APB).</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BUTYL</w:t>
      </w:r>
      <w:r>
        <w:rPr>
          <w:snapToGrid w:val="0"/>
        </w:rPr>
        <w:noBreakHyphen/>
        <w:t>3</w:t>
      </w:r>
      <w:r>
        <w:rPr>
          <w:snapToGrid w:val="0"/>
        </w:rPr>
        <w:noBreakHyphen/>
        <w:t>(1</w:t>
      </w:r>
      <w:r>
        <w:rPr>
          <w:snapToGrid w:val="0"/>
        </w:rPr>
        <w:noBreakHyphen/>
        <w:t>NAPHTHOYL)INDOLE *(JWH</w:t>
      </w:r>
      <w:r>
        <w:rPr>
          <w:snapToGrid w:val="0"/>
        </w:rPr>
        <w:noBreakHyphen/>
        <w:t>073).</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0" w:after="20"/>
        <w:ind w:left="567" w:hanging="567"/>
        <w:rPr>
          <w:caps/>
          <w:snapToGrid w:val="0"/>
        </w:rPr>
      </w:pPr>
      <w:r>
        <w:rPr>
          <w:caps/>
          <w:snapToGrid w:val="0"/>
        </w:rPr>
        <w:t>*</w:t>
      </w:r>
      <w:r>
        <w:rPr>
          <w:caps/>
          <w:snapToGrid w:val="0"/>
        </w:rPr>
        <w:tab/>
        <w:t>[3-(3-carbamoylphenyl)phenyl]N-cyclohexylcarbamate (URB-597).</w:t>
      </w:r>
    </w:p>
    <w:p>
      <w:pPr>
        <w:pStyle w:val="yMiscellaneousBody"/>
        <w:tabs>
          <w:tab w:val="left" w:pos="567"/>
        </w:tabs>
        <w:spacing w:before="0" w:after="20"/>
        <w:ind w:left="567" w:hanging="567"/>
        <w:rPr>
          <w:caps/>
          <w:snapToGrid w:val="0"/>
        </w:rPr>
      </w:pPr>
      <w:r>
        <w:rPr>
          <w:caps/>
          <w:snapToGrid w:val="0"/>
        </w:rPr>
        <w:t>*</w:t>
      </w:r>
      <w:r>
        <w:rPr>
          <w:caps/>
          <w:snapToGrid w:val="0"/>
        </w:rPr>
        <w:tab/>
        <w:t>(1R,2S,3S,5S)-3-(4-chlorophenyl)-8-methyl-2-[3-(4-methylphenyl)-5-isoxazolyl]-8-azabicyclo[3.2.1]octane (RTI-336).</w:t>
      </w:r>
    </w:p>
    <w:p>
      <w:pPr>
        <w:pStyle w:val="yMiscellaneousBody"/>
        <w:tabs>
          <w:tab w:val="left" w:pos="567"/>
        </w:tabs>
        <w:spacing w:before="0" w:after="20"/>
        <w:ind w:left="567" w:hanging="567"/>
        <w:rPr>
          <w:caps/>
          <w:snapToGrid w:val="0"/>
        </w:rPr>
      </w:pPr>
      <w:r>
        <w:rPr>
          <w:caps/>
          <w:snapToGrid w:val="0"/>
        </w:rPr>
        <w:t>*</w:t>
      </w:r>
      <w:r>
        <w:rPr>
          <w:caps/>
          <w:snapToGrid w:val="0"/>
        </w:rPr>
        <w:tab/>
        <w:t>Cyclohexyl-[1,1-biphenyl]-3-ylcarbamate (URB-602).</w:t>
      </w:r>
    </w:p>
    <w:p>
      <w:pPr>
        <w:pStyle w:val="yMiscellaneousBody"/>
        <w:tabs>
          <w:tab w:val="left" w:pos="567"/>
        </w:tabs>
        <w:spacing w:before="0" w:after="20"/>
        <w:ind w:left="567" w:hanging="567"/>
        <w:rPr>
          <w:caps/>
          <w:snapToGrid w:val="0"/>
        </w:rPr>
      </w:pPr>
      <w:r>
        <w:rPr>
          <w:caps/>
          <w:snapToGrid w:val="0"/>
        </w:rPr>
        <w:t>*</w:t>
      </w:r>
      <w:r>
        <w:rPr>
          <w:caps/>
          <w:snapToGrid w:val="0"/>
        </w:rPr>
        <w:tab/>
        <w:t>1-(cyclohexylmethyl)-1H-indole-3-carboxylic acid 8-quinolinyl ester (BB-22).</w:t>
      </w:r>
    </w:p>
    <w:p>
      <w:pPr>
        <w:pStyle w:val="yMiscellaneousBody"/>
        <w:tabs>
          <w:tab w:val="left" w:pos="567"/>
        </w:tabs>
        <w:spacing w:before="20" w:after="20"/>
        <w:ind w:left="567" w:hanging="567"/>
        <w:rPr>
          <w:snapToGrid w:val="0"/>
        </w:rPr>
      </w:pPr>
      <w:r>
        <w:rPr>
          <w:snapToGrid w:val="0"/>
        </w:rPr>
        <w:t>*</w:t>
      </w:r>
      <w:r>
        <w:rPr>
          <w:snapToGrid w:val="0"/>
        </w:rPr>
        <w:tab/>
        <w:t>1-CYCLOHEXYLETHYL-3-(2-METHOXYPHENYLACETYL)INDOLE (RCS-8).</w:t>
      </w:r>
    </w:p>
    <w:p>
      <w:pPr>
        <w:pStyle w:val="yMiscellaneousBody"/>
        <w:tabs>
          <w:tab w:val="left" w:pos="567"/>
        </w:tabs>
        <w:spacing w:before="0" w:after="20"/>
        <w:ind w:left="567" w:hanging="567"/>
        <w:rPr>
          <w:caps/>
          <w:snapToGrid w:val="0"/>
        </w:rPr>
      </w:pPr>
      <w:r>
        <w:rPr>
          <w:caps/>
          <w:snapToGrid w:val="0"/>
        </w:rPr>
        <w:t>*</w:t>
      </w:r>
      <w:r>
        <w:rPr>
          <w:caps/>
          <w:snapToGrid w:val="0"/>
        </w:rPr>
        <w:tab/>
        <w:t>Desoxypipradrol (2-DPMP).</w:t>
      </w:r>
    </w:p>
    <w:p>
      <w:pPr>
        <w:pStyle w:val="yMiscellaneousBody"/>
        <w:tabs>
          <w:tab w:val="left" w:pos="567"/>
        </w:tabs>
        <w:spacing w:before="0" w:after="20"/>
        <w:ind w:left="567" w:hanging="567"/>
        <w:rPr>
          <w:caps/>
          <w:snapToGrid w:val="0"/>
        </w:rPr>
      </w:pPr>
      <w:r>
        <w:rPr>
          <w:caps/>
          <w:snapToGrid w:val="0"/>
        </w:rPr>
        <w:t>*</w:t>
      </w:r>
      <w:r>
        <w:rPr>
          <w:caps/>
          <w:snapToGrid w:val="0"/>
        </w:rPr>
        <w:tab/>
        <w:t>3,4-dichloro-N-[(1-dimethylamino) cyclohexylmethyl] benzamide (AH-7921).</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1,3</w:t>
      </w:r>
      <w:r>
        <w:rPr>
          <w:snapToGrid w:val="0"/>
        </w:rPr>
        <w:noBreakHyphen/>
        <w:t>DIMETHYLAMYLAMINE (DMAA).</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DIMETHYLHEPTYL)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PHENOL *(CP 47, 497).</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DIMETHYLOCTYL)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PHENOL *(CANNABICYCLOHEXANOL or CP 47, 497 C8 HOMOLOGUE).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0" w:after="20"/>
        <w:ind w:left="567" w:hanging="567"/>
        <w:rPr>
          <w:caps/>
          <w:snapToGrid w:val="0"/>
        </w:rPr>
      </w:pPr>
      <w:r>
        <w:rPr>
          <w:caps/>
          <w:snapToGrid w:val="0"/>
        </w:rPr>
        <w:t>*</w:t>
      </w:r>
      <w:r>
        <w:rPr>
          <w:caps/>
          <w:snapToGrid w:val="0"/>
        </w:rPr>
        <w:tab/>
        <w:t>1-(5-fluoropentyl)-1H-indole-3-carboxylic acid 8-quinolinyl ester (5F-PB22).</w:t>
      </w:r>
    </w:p>
    <w:p>
      <w:pPr>
        <w:pStyle w:val="yMiscellaneousBody"/>
        <w:tabs>
          <w:tab w:val="left" w:pos="567"/>
        </w:tabs>
        <w:spacing w:before="0" w:after="20"/>
        <w:ind w:left="567" w:hanging="567"/>
        <w:rPr>
          <w:caps/>
          <w:snapToGrid w:val="0"/>
        </w:rPr>
      </w:pPr>
      <w:r>
        <w:rPr>
          <w:caps/>
          <w:snapToGrid w:val="0"/>
        </w:rPr>
        <w:t>*</w:t>
      </w:r>
      <w:r>
        <w:rPr>
          <w:caps/>
          <w:snapToGrid w:val="0"/>
        </w:rPr>
        <w:tab/>
        <w:t>[1-(5-fluoropentyl)-1H-indol-3-yl]-(2,2,3,3-tetramethylcyclopropyl)methanone (XLR11 or 5-fluoro UR144).</w:t>
      </w:r>
    </w:p>
    <w:p>
      <w:pPr>
        <w:pStyle w:val="yMiscellaneousBody"/>
        <w:tabs>
          <w:tab w:val="left" w:pos="567"/>
        </w:tabs>
        <w:spacing w:before="0" w:after="20"/>
        <w:ind w:left="567" w:hanging="567"/>
        <w:rPr>
          <w:caps/>
          <w:snapToGrid w:val="0"/>
        </w:rPr>
      </w:pPr>
      <w:r>
        <w:rPr>
          <w:caps/>
          <w:snapToGrid w:val="0"/>
        </w:rPr>
        <w:t>*</w:t>
      </w:r>
      <w:r>
        <w:rPr>
          <w:caps/>
          <w:snapToGrid w:val="0"/>
        </w:rPr>
        <w:tab/>
        <w:t>1-(5-fluoropentyl)-3-(4-methyl-1-naphthoyl)indole (MAM-2201).</w:t>
      </w:r>
    </w:p>
    <w:p>
      <w:pPr>
        <w:pStyle w:val="yMiscellaneousBody"/>
        <w:tabs>
          <w:tab w:val="left" w:pos="567"/>
        </w:tabs>
        <w:spacing w:before="20" w:after="20"/>
        <w:ind w:left="567" w:hanging="567"/>
        <w:rPr>
          <w:snapToGrid w:val="0"/>
        </w:rPr>
      </w:pPr>
      <w:r>
        <w:rPr>
          <w:snapToGrid w:val="0"/>
        </w:rPr>
        <w:t>*</w:t>
      </w:r>
      <w:r>
        <w:rPr>
          <w:snapToGrid w:val="0"/>
        </w:rPr>
        <w:tab/>
        <w:t>1-(5-FLUOROPENTYL)-3-(1-NAPHTHOYL)INDOLE (AM-2201).</w:t>
      </w:r>
    </w:p>
    <w:p>
      <w:pPr>
        <w:pStyle w:val="yMiscellaneousBody"/>
        <w:tabs>
          <w:tab w:val="left" w:pos="567"/>
        </w:tabs>
        <w:spacing w:before="20" w:after="20"/>
        <w:ind w:left="567" w:hanging="567"/>
        <w:rPr>
          <w:snapToGrid w:val="0"/>
        </w:rPr>
      </w:pPr>
      <w:r>
        <w:rPr>
          <w:snapToGrid w:val="0"/>
        </w:rPr>
        <w:t>*</w:t>
      </w:r>
      <w:r>
        <w:rPr>
          <w:snapToGrid w:val="0"/>
        </w:rPr>
        <w:tab/>
        <w:t>1-HEXYL-3-(1-NAPHTHOYL)INDOLE (JWH-019).</w:t>
      </w:r>
    </w:p>
    <w:p>
      <w:pPr>
        <w:pStyle w:val="yMiscellaneousBody"/>
        <w:tabs>
          <w:tab w:val="left" w:pos="567"/>
        </w:tabs>
        <w:spacing w:before="20" w:after="20"/>
        <w:ind w:left="567" w:hanging="567"/>
        <w:rPr>
          <w:snapToGrid w:val="0"/>
        </w:rPr>
      </w:pPr>
      <w:r>
        <w:rPr>
          <w:snapToGrid w:val="0"/>
        </w:rPr>
        <w:t>*</w:t>
      </w:r>
      <w:r>
        <w:rPr>
          <w:snapToGrid w:val="0"/>
        </w:rPr>
        <w:tab/>
        <w:t>9-(HYDROXYMETHYL)-6,6-DIMETHYL-3-(2-METHYLOCTAN-2-YL)-6A,7,10,10A-TETRAHYDROBENZO[C]CHROMEN-1-OL (HU</w:t>
      </w:r>
      <w:r>
        <w:rPr>
          <w:snapToGrid w:val="0"/>
        </w:rPr>
        <w:noBreakHyphen/>
        <w:t>210).</w:t>
      </w:r>
    </w:p>
    <w:p>
      <w:pPr>
        <w:pStyle w:val="yMiscellaneousBody"/>
        <w:tabs>
          <w:tab w:val="left" w:pos="567"/>
        </w:tabs>
        <w:spacing w:before="0" w:after="20"/>
        <w:ind w:left="567" w:hanging="567"/>
        <w:rPr>
          <w:caps/>
          <w:snapToGrid w:val="0"/>
        </w:rPr>
      </w:pPr>
      <w:r>
        <w:rPr>
          <w:caps/>
          <w:snapToGrid w:val="0"/>
        </w:rPr>
        <w:t>*</w:t>
      </w:r>
      <w:r>
        <w:rPr>
          <w:caps/>
          <w:snapToGrid w:val="0"/>
        </w:rPr>
        <w:tab/>
        <w:t>N-(2-methoxylbenzyl)-2,5-dimethoxy-4-bromophenethylamine (25B-NBOMe).</w:t>
      </w:r>
    </w:p>
    <w:p>
      <w:pPr>
        <w:pStyle w:val="yMiscellaneousBody"/>
        <w:tabs>
          <w:tab w:val="left" w:pos="567"/>
        </w:tabs>
        <w:spacing w:before="0" w:after="20"/>
        <w:ind w:left="567" w:hanging="567"/>
        <w:rPr>
          <w:caps/>
          <w:snapToGrid w:val="0"/>
        </w:rPr>
      </w:pPr>
      <w:r>
        <w:rPr>
          <w:caps/>
          <w:snapToGrid w:val="0"/>
        </w:rPr>
        <w:t>*</w:t>
      </w:r>
      <w:r>
        <w:rPr>
          <w:caps/>
          <w:snapToGrid w:val="0"/>
        </w:rPr>
        <w:tab/>
        <w:t>N-(2-methoxylbenzyl)-2,5-dimethoxy-4-chlorophenethylamine (25C-NBOMe).</w:t>
      </w:r>
    </w:p>
    <w:p>
      <w:pPr>
        <w:pStyle w:val="yMiscellaneousBody"/>
        <w:tabs>
          <w:tab w:val="left" w:pos="567"/>
        </w:tabs>
        <w:spacing w:before="0" w:after="20"/>
        <w:ind w:left="567" w:hanging="567"/>
        <w:rPr>
          <w:caps/>
          <w:snapToGrid w:val="0"/>
        </w:rPr>
      </w:pPr>
      <w:r>
        <w:rPr>
          <w:caps/>
          <w:snapToGrid w:val="0"/>
        </w:rPr>
        <w:t>*</w:t>
      </w:r>
      <w:r>
        <w:rPr>
          <w:caps/>
          <w:snapToGrid w:val="0"/>
        </w:rPr>
        <w:tab/>
        <w:t>N-(2-methoxylbenzyl)-2,5-dimethoxy-4-iodophenethylamine (25I-NBOMe).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4-METHOXYPHENYL(1-BUTYL-1H-INDOL-3-YL)-METHANONE (RCS-4 (C4)).</w:t>
      </w:r>
    </w:p>
    <w:p>
      <w:pPr>
        <w:pStyle w:val="yMiscellaneousBody"/>
        <w:tabs>
          <w:tab w:val="left" w:pos="567"/>
        </w:tabs>
        <w:spacing w:before="20" w:after="20"/>
        <w:ind w:left="567" w:hanging="567"/>
        <w:rPr>
          <w:snapToGrid w:val="0"/>
        </w:rPr>
      </w:pPr>
      <w:r>
        <w:rPr>
          <w:snapToGrid w:val="0"/>
        </w:rPr>
        <w:t>*</w:t>
      </w:r>
      <w:r>
        <w:rPr>
          <w:snapToGrid w:val="0"/>
        </w:rPr>
        <w:tab/>
        <w:t>2-(4-METHOXYPHENYL)-1-(1-PENTYL-1H-INDOL-3-YL)-ETHANONE (JWH-201).</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(2</w:t>
      </w:r>
      <w:r>
        <w:rPr>
          <w:snapToGrid w:val="0"/>
        </w:rPr>
        <w:noBreakHyphen/>
        <w:t>METHOXYPHENYL)</w:t>
      </w:r>
      <w:r>
        <w:rPr>
          <w:snapToGrid w:val="0"/>
        </w:rPr>
        <w:noBreakHyphen/>
        <w:t>1</w:t>
      </w:r>
      <w:r>
        <w:rPr>
          <w:snapToGrid w:val="0"/>
        </w:rPr>
        <w:noBreakHyphen/>
        <w:t>(1</w:t>
      </w:r>
      <w:r>
        <w:rPr>
          <w:snapToGrid w:val="0"/>
        </w:rPr>
        <w:noBreakHyphen/>
        <w:t>PENTYLINDOL</w:t>
      </w:r>
      <w:r>
        <w:rPr>
          <w:snapToGrid w:val="0"/>
        </w:rPr>
        <w:noBreakHyphen/>
        <w:t>3</w:t>
      </w:r>
      <w:r>
        <w:rPr>
          <w:snapToGrid w:val="0"/>
        </w:rPr>
        <w:noBreakHyphen/>
        <w:t>YL) ETHANONE *(JWH</w:t>
      </w:r>
      <w:r>
        <w:rPr>
          <w:snapToGrid w:val="0"/>
        </w:rPr>
        <w:noBreakHyphen/>
        <w:t>250).</w:t>
      </w:r>
    </w:p>
    <w:p>
      <w:pPr>
        <w:pStyle w:val="yMiscellaneousBody"/>
        <w:tabs>
          <w:tab w:val="left" w:pos="567"/>
        </w:tabs>
        <w:spacing w:before="20" w:after="20"/>
        <w:ind w:left="567" w:hanging="567"/>
        <w:rPr>
          <w:snapToGrid w:val="0"/>
        </w:rPr>
      </w:pPr>
      <w:r>
        <w:rPr>
          <w:snapToGrid w:val="0"/>
        </w:rPr>
        <w:t>*</w:t>
      </w:r>
      <w:r>
        <w:rPr>
          <w:snapToGrid w:val="0"/>
        </w:rPr>
        <w:tab/>
        <w:t>2-(3-METHOXYPHENYL)-1-(1-PENTYLINDOL-3-YL)ETHANONE (JWH-302).</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0" w:after="20"/>
        <w:ind w:left="567" w:hanging="567"/>
        <w:rPr>
          <w:caps/>
          <w:snapToGrid w:val="0"/>
        </w:rPr>
      </w:pPr>
      <w:r>
        <w:rPr>
          <w:caps/>
          <w:snapToGrid w:val="0"/>
        </w:rPr>
        <w:t>*</w:t>
      </w:r>
      <w:r>
        <w:rPr>
          <w:caps/>
          <w:snapToGrid w:val="0"/>
        </w:rPr>
        <w:tab/>
        <w:t>5,6-methylenedioxy-2aminoindane (MDAI).</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METHYLENEDIOXYPYROVALERONE (MDPV).</w:t>
      </w:r>
    </w:p>
    <w:p>
      <w:pPr>
        <w:pStyle w:val="yMiscellaneousBody"/>
        <w:tabs>
          <w:tab w:val="left" w:pos="567"/>
        </w:tabs>
        <w:spacing w:before="0" w:after="20"/>
        <w:ind w:left="567" w:hanging="567"/>
        <w:rPr>
          <w:rFonts w:ascii="Arial" w:hAnsi="Arial" w:cs="Arial"/>
        </w:rPr>
      </w:pPr>
      <w:r>
        <w:rPr>
          <w:snapToGrid w:val="0"/>
        </w:rPr>
        <w:t>*</w:t>
      </w:r>
      <w:r>
        <w:rPr>
          <w:snapToGrid w:val="0"/>
        </w:rPr>
        <w:tab/>
      </w:r>
      <w:r>
        <w:rPr>
          <w:caps/>
          <w:snapToGrid w:val="0"/>
        </w:rPr>
        <w:t>4-methylethylcathinone (4-MEC).</w:t>
      </w:r>
    </w:p>
    <w:p>
      <w:pPr>
        <w:pStyle w:val="yMiscellaneousBody"/>
        <w:tabs>
          <w:tab w:val="left" w:pos="567"/>
        </w:tabs>
        <w:spacing w:before="0" w:after="20"/>
        <w:ind w:left="567" w:hanging="567"/>
        <w:rPr>
          <w:caps/>
          <w:snapToGrid w:val="0"/>
        </w:rPr>
      </w:pPr>
      <w:r>
        <w:rPr>
          <w:caps/>
          <w:snapToGrid w:val="0"/>
        </w:rPr>
        <w:t>*</w:t>
      </w:r>
      <w:r>
        <w:rPr>
          <w:caps/>
          <w:snapToGrid w:val="0"/>
        </w:rPr>
        <w:tab/>
        <w:t>1-[(N-methylpiperidin-2-yl)methyl]-3-(1-adamantoyl)indole (AM-1248).</w:t>
      </w:r>
    </w:p>
    <w:p>
      <w:pPr>
        <w:pStyle w:val="yMiscellaneousBody"/>
        <w:tabs>
          <w:tab w:val="left" w:pos="567"/>
        </w:tabs>
        <w:spacing w:before="0" w:after="20"/>
        <w:ind w:left="567" w:hanging="567"/>
        <w:rPr>
          <w:caps/>
          <w:snapToGrid w:val="0"/>
        </w:rPr>
      </w:pPr>
      <w:r>
        <w:rPr>
          <w:caps/>
          <w:snapToGrid w:val="0"/>
        </w:rPr>
        <w:t>*</w:t>
      </w:r>
      <w:r>
        <w:rPr>
          <w:caps/>
          <w:snapToGrid w:val="0"/>
        </w:rPr>
        <w:tab/>
        <w:t>1-[(N-methylpiperidin-2-yl)methyl]3-(2-iodobenzoyl)indole (AM-2233).</w:t>
      </w:r>
    </w:p>
    <w:p>
      <w:pPr>
        <w:pStyle w:val="yMiscellaneousBody"/>
        <w:tabs>
          <w:tab w:val="left" w:pos="567"/>
        </w:tabs>
        <w:spacing w:before="0" w:after="20"/>
        <w:ind w:left="567" w:hanging="567"/>
        <w:rPr>
          <w:caps/>
          <w:snapToGrid w:val="0"/>
        </w:rPr>
      </w:pPr>
      <w:r>
        <w:rPr>
          <w:caps/>
          <w:snapToGrid w:val="0"/>
        </w:rPr>
        <w:t>*</w:t>
      </w:r>
      <w:r>
        <w:rPr>
          <w:caps/>
          <w:snapToGrid w:val="0"/>
        </w:rPr>
        <w:tab/>
        <w:t>1-[(N-methylpiperidin-2-yl)methyl]3-(4-methyl-1-naphthoyl)indole (MAM-1220).</w:t>
      </w:r>
    </w:p>
    <w:p>
      <w:pPr>
        <w:pStyle w:val="yMiscellaneousBody"/>
        <w:tabs>
          <w:tab w:val="left" w:pos="567"/>
        </w:tabs>
        <w:spacing w:before="0" w:after="20"/>
        <w:ind w:left="567" w:hanging="567"/>
        <w:rPr>
          <w:caps/>
          <w:snapToGrid w:val="0"/>
        </w:rPr>
      </w:pPr>
      <w:r>
        <w:rPr>
          <w:caps/>
          <w:snapToGrid w:val="0"/>
        </w:rPr>
        <w:t>*</w:t>
      </w:r>
      <w:r>
        <w:rPr>
          <w:caps/>
          <w:snapToGrid w:val="0"/>
        </w:rPr>
        <w:tab/>
        <w:t>1-[(N-methylpiperidin-2-yl)methyl]3-(1-naphthoyl)indole (AM-1220).</w:t>
      </w:r>
    </w:p>
    <w:p>
      <w:pPr>
        <w:pStyle w:val="yMiscellaneousBody"/>
        <w:tabs>
          <w:tab w:val="left" w:pos="567"/>
        </w:tabs>
        <w:spacing w:before="0" w:after="20"/>
        <w:ind w:left="567" w:hanging="567"/>
        <w:rPr>
          <w:caps/>
          <w:snapToGrid w:val="0"/>
        </w:rPr>
      </w:pPr>
      <w:r>
        <w:rPr>
          <w:caps/>
          <w:snapToGrid w:val="0"/>
        </w:rPr>
        <w:t>*</w:t>
      </w:r>
      <w:r>
        <w:rPr>
          <w:caps/>
          <w:snapToGrid w:val="0"/>
        </w:rPr>
        <w:tab/>
        <w:t>[1-(2-morpholin-4-ylethyl)-1H-indol-3-yl]-(2,2,3,3-tetramethylcyclopropyl)methanone (A796,260).</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[2</w:t>
      </w:r>
      <w:r>
        <w:rPr>
          <w:snapToGrid w:val="0"/>
        </w:rPr>
        <w:noBreakHyphen/>
        <w:t>(4</w:t>
      </w:r>
      <w:r>
        <w:rPr>
          <w:snapToGrid w:val="0"/>
        </w:rPr>
        <w:noBreakHyphen/>
        <w:t>MORPHOLINYL)ETHYL]</w:t>
      </w:r>
      <w:r>
        <w:rPr>
          <w:snapToGrid w:val="0"/>
        </w:rPr>
        <w:noBreakHyphen/>
        <w:t>3</w:t>
      </w:r>
      <w:r>
        <w:rPr>
          <w:snapToGrid w:val="0"/>
        </w:rPr>
        <w:noBreakHyphen/>
        <w:t>(1</w:t>
      </w:r>
      <w:r>
        <w:rPr>
          <w:snapToGrid w:val="0"/>
        </w:rPr>
        <w:noBreakHyphen/>
        <w:t>NAPHTHOYL)INDOLE *(JWH</w:t>
      </w:r>
      <w:r>
        <w:rPr>
          <w:snapToGrid w:val="0"/>
        </w:rPr>
        <w:noBreakHyphen/>
        <w:t>200).</w:t>
      </w:r>
    </w:p>
    <w:p>
      <w:pPr>
        <w:pStyle w:val="yMiscellaneousBody"/>
        <w:tabs>
          <w:tab w:val="left" w:pos="567"/>
        </w:tabs>
        <w:spacing w:before="0" w:after="20"/>
        <w:ind w:left="567" w:hanging="567"/>
        <w:rPr>
          <w:caps/>
          <w:snapToGrid w:val="0"/>
        </w:rPr>
      </w:pPr>
      <w:r>
        <w:rPr>
          <w:caps/>
          <w:snapToGrid w:val="0"/>
        </w:rPr>
        <w:t>*</w:t>
      </w:r>
      <w:r>
        <w:rPr>
          <w:caps/>
          <w:snapToGrid w:val="0"/>
        </w:rPr>
        <w:tab/>
        <w:t>N-(1-naphthyl)-1-pentyl-1H-indole-3-carboxamide (NNEI).</w:t>
      </w:r>
    </w:p>
    <w:p>
      <w:pPr>
        <w:pStyle w:val="yMiscellaneousBody"/>
        <w:tabs>
          <w:tab w:val="left" w:pos="567"/>
        </w:tabs>
        <w:spacing w:before="0" w:after="20"/>
        <w:ind w:left="567" w:hanging="567"/>
        <w:rPr>
          <w:caps/>
          <w:snapToGrid w:val="0"/>
        </w:rPr>
      </w:pPr>
      <w:r>
        <w:rPr>
          <w:caps/>
          <w:snapToGrid w:val="0"/>
        </w:rPr>
        <w:t>*</w:t>
      </w:r>
      <w:r>
        <w:rPr>
          <w:caps/>
          <w:snapToGrid w:val="0"/>
        </w:rPr>
        <w:tab/>
        <w:t>1-pentyl-3-(1-adamantoyl)indole (AB-001).</w:t>
      </w:r>
    </w:p>
    <w:p>
      <w:pPr>
        <w:pStyle w:val="yMiscellaneousBody"/>
        <w:tabs>
          <w:tab w:val="left" w:pos="567"/>
        </w:tabs>
        <w:spacing w:before="20" w:after="20"/>
        <w:ind w:left="567" w:hanging="567"/>
        <w:rPr>
          <w:snapToGrid w:val="0"/>
        </w:rPr>
      </w:pPr>
      <w:r>
        <w:rPr>
          <w:snapToGrid w:val="0"/>
        </w:rPr>
        <w:t>*</w:t>
      </w:r>
      <w:r>
        <w:rPr>
          <w:snapToGrid w:val="0"/>
        </w:rPr>
        <w:tab/>
        <w:t>1-PENTYL-3-(4-CHLORO-1-NAPHTHOYL)INDOLE (JWH-398).</w:t>
      </w:r>
    </w:p>
    <w:p>
      <w:pPr>
        <w:pStyle w:val="yMiscellaneousBody"/>
        <w:tabs>
          <w:tab w:val="left" w:pos="567"/>
        </w:tabs>
        <w:spacing w:before="20" w:after="20"/>
        <w:ind w:left="567" w:hanging="567"/>
        <w:rPr>
          <w:snapToGrid w:val="0"/>
        </w:rPr>
      </w:pPr>
      <w:r>
        <w:rPr>
          <w:snapToGrid w:val="0"/>
        </w:rPr>
        <w:t>*</w:t>
      </w:r>
      <w:r>
        <w:rPr>
          <w:snapToGrid w:val="0"/>
        </w:rPr>
        <w:tab/>
        <w:t>1-PENTYL-3-(2-CHLOROPHENYLACETYL)INDOLE (JWH-203).</w:t>
      </w:r>
    </w:p>
    <w:p>
      <w:pPr>
        <w:pStyle w:val="yMiscellaneousBody"/>
        <w:tabs>
          <w:tab w:val="left" w:pos="567"/>
        </w:tabs>
        <w:spacing w:before="20" w:after="20"/>
        <w:ind w:left="567" w:hanging="567"/>
        <w:rPr>
          <w:snapToGrid w:val="0"/>
        </w:rPr>
      </w:pPr>
      <w:r>
        <w:rPr>
          <w:snapToGrid w:val="0"/>
        </w:rPr>
        <w:t>*</w:t>
      </w:r>
      <w:r>
        <w:rPr>
          <w:snapToGrid w:val="0"/>
        </w:rPr>
        <w:tab/>
        <w:t>1-PENTYL-3-(4-ETHYL-1-NAPHTHOYL)INDOLE (JWH-210).</w:t>
      </w:r>
    </w:p>
    <w:p>
      <w:pPr>
        <w:pStyle w:val="yMiscellaneousBody"/>
        <w:tabs>
          <w:tab w:val="left" w:pos="567"/>
        </w:tabs>
        <w:spacing w:before="0" w:after="20"/>
        <w:ind w:left="567" w:hanging="567"/>
        <w:rPr>
          <w:caps/>
          <w:snapToGrid w:val="0"/>
        </w:rPr>
      </w:pPr>
      <w:r>
        <w:rPr>
          <w:caps/>
          <w:snapToGrid w:val="0"/>
        </w:rPr>
        <w:t>*</w:t>
      </w:r>
      <w:r>
        <w:rPr>
          <w:caps/>
          <w:snapToGrid w:val="0"/>
        </w:rPr>
        <w:tab/>
        <w:t>1-pentyl-1H-indole-3-carboxylic acid 8-quinolinyl ester (PB22).</w:t>
      </w:r>
    </w:p>
    <w:p>
      <w:pPr>
        <w:pStyle w:val="yMiscellaneousBody"/>
        <w:tabs>
          <w:tab w:val="left" w:pos="567"/>
        </w:tabs>
        <w:spacing w:before="20" w:after="20"/>
        <w:ind w:left="567" w:hanging="567"/>
        <w:rPr>
          <w:snapToGrid w:val="0"/>
        </w:rPr>
      </w:pPr>
      <w:r>
        <w:rPr>
          <w:snapToGrid w:val="0"/>
        </w:rPr>
        <w:t>*</w:t>
      </w:r>
      <w:r>
        <w:rPr>
          <w:snapToGrid w:val="0"/>
        </w:rPr>
        <w:tab/>
        <w:t>1-PENTYL-3-[(4-METHOXY)-BENZOYL]INDOLE (RCS-4).</w:t>
      </w:r>
    </w:p>
    <w:p>
      <w:pPr>
        <w:pStyle w:val="yMiscellaneousBody"/>
        <w:tabs>
          <w:tab w:val="left" w:pos="567"/>
        </w:tabs>
        <w:spacing w:before="0" w:after="20"/>
        <w:ind w:left="567" w:hanging="567"/>
        <w:rPr>
          <w:caps/>
          <w:snapToGrid w:val="0"/>
        </w:rPr>
      </w:pPr>
      <w:r>
        <w:rPr>
          <w:caps/>
          <w:snapToGrid w:val="0"/>
        </w:rPr>
        <w:t>*</w:t>
      </w:r>
      <w:r>
        <w:rPr>
          <w:caps/>
          <w:snapToGrid w:val="0"/>
        </w:rPr>
        <w:tab/>
        <w:t>1-pentyl-3-(2-methoxybenzoyl)indole (RCS-4 (2-methoxy isomer)).</w:t>
      </w:r>
    </w:p>
    <w:p>
      <w:pPr>
        <w:pStyle w:val="yMiscellaneousBody"/>
        <w:tabs>
          <w:tab w:val="left" w:pos="567"/>
        </w:tabs>
        <w:spacing w:before="20" w:after="20"/>
        <w:ind w:left="567" w:hanging="567"/>
        <w:rPr>
          <w:snapToGrid w:val="0"/>
        </w:rPr>
      </w:pPr>
      <w:r>
        <w:rPr>
          <w:snapToGrid w:val="0"/>
        </w:rPr>
        <w:t>*</w:t>
      </w:r>
      <w:r>
        <w:rPr>
          <w:snapToGrid w:val="0"/>
        </w:rPr>
        <w:tab/>
        <w:t>1-PENTYL-3-(4-METHOXY-1-NAPHTHOYL)INDOLE (JWH-081).</w:t>
      </w:r>
    </w:p>
    <w:p>
      <w:pPr>
        <w:pStyle w:val="yMiscellaneousBody"/>
        <w:tabs>
          <w:tab w:val="left" w:pos="567"/>
        </w:tabs>
        <w:spacing w:before="20" w:after="20"/>
        <w:ind w:left="567" w:hanging="567"/>
        <w:rPr>
          <w:snapToGrid w:val="0"/>
        </w:rPr>
      </w:pPr>
      <w:r>
        <w:rPr>
          <w:snapToGrid w:val="0"/>
        </w:rPr>
        <w:tab/>
        <w:t>1</w:t>
      </w:r>
      <w:r>
        <w:rPr>
          <w:snapToGrid w:val="0"/>
        </w:rPr>
        <w:noBreakHyphen/>
        <w:t>PENTYL</w:t>
      </w:r>
      <w:r>
        <w:rPr>
          <w:snapToGrid w:val="0"/>
        </w:rPr>
        <w:noBreakHyphen/>
        <w:t>3</w:t>
      </w:r>
      <w:r>
        <w:rPr>
          <w:snapToGrid w:val="0"/>
        </w:rPr>
        <w:noBreakHyphen/>
        <w:t>(4</w:t>
      </w:r>
      <w:r>
        <w:rPr>
          <w:snapToGrid w:val="0"/>
        </w:rPr>
        <w:noBreakHyphen/>
        <w:t>METHYL</w:t>
      </w:r>
      <w:r>
        <w:rPr>
          <w:snapToGrid w:val="0"/>
        </w:rPr>
        <w:noBreakHyphen/>
        <w:t>1</w:t>
      </w:r>
      <w:r>
        <w:rPr>
          <w:snapToGrid w:val="0"/>
        </w:rPr>
        <w:noBreakHyphen/>
        <w:t>NAPHTHOYL)INDOLE *(JWH</w:t>
      </w:r>
      <w:r>
        <w:rPr>
          <w:snapToGrid w:val="0"/>
        </w:rPr>
        <w:noBreakHyphen/>
        <w:t>122).</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PENTYL</w:t>
      </w:r>
      <w:r>
        <w:rPr>
          <w:snapToGrid w:val="0"/>
        </w:rPr>
        <w:noBreakHyphen/>
        <w:t>3</w:t>
      </w:r>
      <w:r>
        <w:rPr>
          <w:snapToGrid w:val="0"/>
        </w:rPr>
        <w:noBreakHyphen/>
        <w:t>(1</w:t>
      </w:r>
      <w:r>
        <w:rPr>
          <w:snapToGrid w:val="0"/>
        </w:rPr>
        <w:noBreakHyphen/>
        <w:t>NAPHTHOYL)INDOLE *(JWH</w:t>
      </w:r>
      <w:r>
        <w:rPr>
          <w:snapToGrid w:val="0"/>
        </w:rPr>
        <w:noBreakHyphen/>
        <w:t>018).</w:t>
      </w:r>
    </w:p>
    <w:p>
      <w:pPr>
        <w:pStyle w:val="yMiscellaneousBody"/>
        <w:tabs>
          <w:tab w:val="left" w:pos="567"/>
        </w:tabs>
        <w:spacing w:before="0" w:after="20"/>
        <w:ind w:left="567" w:hanging="567"/>
        <w:rPr>
          <w:caps/>
          <w:snapToGrid w:val="0"/>
        </w:rPr>
      </w:pPr>
      <w:r>
        <w:rPr>
          <w:caps/>
          <w:snapToGrid w:val="0"/>
        </w:rPr>
        <w:t>*</w:t>
      </w:r>
      <w:r>
        <w:rPr>
          <w:caps/>
          <w:snapToGrid w:val="0"/>
        </w:rPr>
        <w:tab/>
        <w:t>(1-pentylindol-3-yl)-(2,2,3,3-tetramethylcyclopropyl)methanone (UR144).</w:t>
      </w:r>
    </w:p>
    <w:p>
      <w:pPr>
        <w:pStyle w:val="yMiscellaneousBody"/>
        <w:tabs>
          <w:tab w:val="left" w:pos="567"/>
        </w:tabs>
        <w:spacing w:before="20" w:after="20"/>
        <w:ind w:left="567" w:hanging="567"/>
        <w:rPr>
          <w:snapToGrid w:val="0"/>
        </w:rPr>
      </w:pPr>
      <w:r>
        <w:rPr>
          <w:snapToGrid w:val="0"/>
        </w:rPr>
        <w:t>*</w:t>
      </w:r>
      <w:r>
        <w:rPr>
          <w:snapToGrid w:val="0"/>
        </w:rPr>
        <w:tab/>
        <w:t>PRAVADOLINE (WIN 48098).</w:t>
      </w:r>
    </w:p>
    <w:p>
      <w:pPr>
        <w:pStyle w:val="yMiscellaneousBody"/>
        <w:tabs>
          <w:tab w:val="left" w:pos="567"/>
        </w:tabs>
        <w:spacing w:before="20" w:after="20"/>
        <w:ind w:left="567" w:hanging="567"/>
        <w:rPr>
          <w:snapToGrid w:val="0"/>
        </w:rPr>
      </w:pPr>
      <w:r>
        <w:rPr>
          <w:snapToGrid w:val="0"/>
        </w:rPr>
        <w:t>*</w:t>
      </w:r>
      <w:r>
        <w:rPr>
          <w:snapToGrid w:val="0"/>
        </w:rPr>
        <w:tab/>
        <w:t>1-PROPYL-2-METHYL-3-(1-NAPHTHOYL)INDOLE (JWH-015).</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0" w:after="20"/>
        <w:ind w:left="567" w:hanging="567"/>
        <w:rPr>
          <w:caps/>
          <w:snapToGrid w:val="0"/>
        </w:rPr>
      </w:pPr>
      <w:r>
        <w:rPr>
          <w:caps/>
          <w:snapToGrid w:val="0"/>
        </w:rPr>
        <w:t>*</w:t>
      </w:r>
      <w:r>
        <w:rPr>
          <w:caps/>
          <w:snapToGrid w:val="0"/>
        </w:rPr>
        <w:tab/>
        <w:t>2,3,5-trimethoxyamphetamine (TMA-4).</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 22 Oct 2010 p. 5217; 17 Jun 2011 p. 2152; 5 Aug 2011 p. 3182</w:t>
      </w:r>
      <w:r>
        <w:noBreakHyphen/>
        <w:t>3; 10 Feb 2012 p. 651; 31 Aug 2012 p. 4209; 27 Jun 2014 p. 2329-30.]</w:t>
      </w:r>
    </w:p>
    <w:p>
      <w:pPr>
        <w:pStyle w:val="yScheduleHeading"/>
      </w:pPr>
      <w:bookmarkStart w:id="96" w:name="_Toc524065406"/>
      <w:r>
        <w:rPr>
          <w:rStyle w:val="CharSchNo"/>
        </w:rPr>
        <w:t>Appendix B</w:t>
      </w:r>
      <w:bookmarkEnd w:id="96"/>
    </w:p>
    <w:p>
      <w:pPr>
        <w:pStyle w:val="yShoulderClause"/>
        <w:rPr>
          <w:snapToGrid w:val="0"/>
        </w:rPr>
      </w:pPr>
      <w:r>
        <w:rPr>
          <w:snapToGrid w:val="0"/>
        </w:rPr>
        <w:t>[Section 45]</w:t>
      </w:r>
    </w:p>
    <w:p>
      <w:pPr>
        <w:pStyle w:val="yFootnotesection"/>
      </w:pPr>
      <w:r>
        <w:tab/>
        <w:t>[Heading inserted by No. 48 of 1995 s. 41.]</w:t>
      </w:r>
    </w:p>
    <w:p>
      <w:pPr>
        <w:pStyle w:val="yHeading2"/>
        <w:outlineLvl w:val="9"/>
      </w:pPr>
      <w:bookmarkStart w:id="97" w:name="_Toc524065407"/>
      <w:r>
        <w:rPr>
          <w:rStyle w:val="CharSchText"/>
        </w:rPr>
        <w:t>Conventions</w:t>
      </w:r>
      <w:bookmarkEnd w:id="97"/>
    </w:p>
    <w:p>
      <w:pPr>
        <w:pStyle w:val="yFootnotesection"/>
      </w:pPr>
      <w:r>
        <w:tab/>
        <w:t>[Heading inserted by No. 48 of 1995 s. 41.]</w:t>
      </w:r>
    </w:p>
    <w:p>
      <w:pPr>
        <w:pStyle w:val="yNumberedItem"/>
        <w:rPr>
          <w:snapToGrid w:val="0"/>
        </w:rPr>
      </w:pPr>
      <w:r>
        <w:rPr>
          <w:snapToGrid w:val="0"/>
        </w:rPr>
        <w:tab/>
        <w:t xml:space="preserve">The Single Convention on Narcotic Drugs, signed at </w:t>
      </w:r>
      <w:smartTag w:uri="urn:schemas-microsoft-com:office:smarttags" w:element="place">
        <w:smartTag w:uri="urn:schemas-microsoft-com:office:smarttags" w:element="State">
          <w:r>
            <w:rPr>
              <w:snapToGrid w:val="0"/>
            </w:rPr>
            <w:t>New York</w:t>
          </w:r>
        </w:smartTag>
      </w:smartTag>
      <w:r>
        <w:rPr>
          <w:snapToGrid w:val="0"/>
        </w:rPr>
        <w:t xml:space="preserve"> on 30 March 1961.</w:t>
      </w:r>
    </w:p>
    <w:p>
      <w:pPr>
        <w:pStyle w:val="yNumberedItem"/>
        <w:rPr>
          <w:snapToGrid w:val="0"/>
        </w:rPr>
      </w:pPr>
      <w:r>
        <w:rPr>
          <w:snapToGrid w:val="0"/>
        </w:rPr>
        <w:tab/>
        <w:t xml:space="preserve">The 1972 protocol amending the Single Convention on Narcotic Drugs, signed at </w:t>
      </w:r>
      <w:smartTag w:uri="urn:schemas-microsoft-com:office:smarttags" w:element="place">
        <w:smartTag w:uri="urn:schemas-microsoft-com:office:smarttags" w:element="City">
          <w:r>
            <w:rPr>
              <w:snapToGrid w:val="0"/>
            </w:rPr>
            <w:t>Geneva</w:t>
          </w:r>
        </w:smartTag>
      </w:smartTag>
      <w:r>
        <w:rPr>
          <w:snapToGrid w:val="0"/>
        </w:rPr>
        <w:t xml:space="preserve"> on 25 March 1972.</w:t>
      </w:r>
    </w:p>
    <w:p>
      <w:pPr>
        <w:pStyle w:val="yNumberedItem"/>
        <w:rPr>
          <w:snapToGrid w:val="0"/>
        </w:rPr>
      </w:pPr>
      <w:r>
        <w:rPr>
          <w:snapToGrid w:val="0"/>
        </w:rPr>
        <w:tab/>
        <w:t xml:space="preserve">The Convention on Psychotropic Substances, signed at </w:t>
      </w:r>
      <w:smartTag w:uri="urn:schemas-microsoft-com:office:smarttags" w:element="place">
        <w:smartTag w:uri="urn:schemas-microsoft-com:office:smarttags" w:element="City">
          <w:r>
            <w:rPr>
              <w:snapToGrid w:val="0"/>
            </w:rPr>
            <w:t>Vienna</w:t>
          </w:r>
        </w:smartTag>
      </w:smartTag>
      <w:r>
        <w:rPr>
          <w:snapToGrid w:val="0"/>
        </w:rPr>
        <w:t xml:space="preserve">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p>
    <w:p>
      <w:pPr>
        <w:pStyle w:val="yEdnoteschedule"/>
      </w:pPr>
      <w:r>
        <w:t>[Appendix C deleted by No. 48 of 1995 s. 42.]</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8"/>
          <w:headerReference w:type="default" r:id="rId29"/>
          <w:pgSz w:w="11906" w:h="16838" w:code="9"/>
          <w:pgMar w:top="2376" w:right="2405" w:bottom="3542" w:left="2405" w:header="706" w:footer="3380" w:gutter="0"/>
          <w:cols w:space="720"/>
          <w:noEndnote/>
          <w:docGrid w:linePitch="326"/>
        </w:sectPr>
      </w:pPr>
    </w:p>
    <w:p>
      <w:pPr>
        <w:pStyle w:val="nHeading2"/>
      </w:pPr>
      <w:bookmarkStart w:id="98" w:name="_Toc524065408"/>
      <w:r>
        <w:t>Notes</w:t>
      </w:r>
      <w:bookmarkEnd w:id="98"/>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99" w:name="_Toc524065409"/>
      <w:r>
        <w:rPr>
          <w:snapToGrid w:val="0"/>
        </w:rPr>
        <w:t>Compilation table</w:t>
      </w:r>
      <w:bookmarkEnd w:id="99"/>
    </w:p>
    <w:tbl>
      <w:tblPr>
        <w:tblW w:w="7087" w:type="dxa"/>
        <w:tblInd w:w="28" w:type="dxa"/>
        <w:tblLayout w:type="fixed"/>
        <w:tblCellMar>
          <w:left w:w="56" w:type="dxa"/>
          <w:right w:w="56" w:type="dxa"/>
        </w:tblCellMar>
        <w:tblLook w:val="0000" w:firstRow="0" w:lastRow="0" w:firstColumn="0" w:lastColumn="0" w:noHBand="0" w:noVBand="0"/>
      </w:tblPr>
      <w:tblGrid>
        <w:gridCol w:w="2266"/>
        <w:gridCol w:w="1134"/>
        <w:gridCol w:w="1134"/>
        <w:gridCol w:w="2553"/>
      </w:tblGrid>
      <w:tr>
        <w:trPr>
          <w:cantSplit/>
          <w:tblHeader/>
        </w:trPr>
        <w:tc>
          <w:tcPr>
            <w:tcW w:w="2266" w:type="dxa"/>
            <w:tcBorders>
              <w:top w:val="single" w:sz="8" w:space="0" w:color="auto"/>
              <w:bottom w:val="single" w:sz="8" w:space="0" w:color="auto"/>
            </w:tcBorders>
            <w:shd w:val="clear" w:color="auto" w:fill="auto"/>
          </w:tcPr>
          <w:p>
            <w:pPr>
              <w:pStyle w:val="nTable"/>
              <w:spacing w:after="40"/>
              <w:rPr>
                <w:b/>
                <w:sz w:val="19"/>
              </w:rPr>
            </w:pPr>
            <w:r>
              <w:rPr>
                <w:b/>
                <w:sz w:val="19"/>
              </w:rPr>
              <w:t>Short title</w:t>
            </w:r>
          </w:p>
        </w:tc>
        <w:tc>
          <w:tcPr>
            <w:tcW w:w="1134" w:type="dxa"/>
            <w:tcBorders>
              <w:top w:val="single" w:sz="8" w:space="0" w:color="auto"/>
              <w:bottom w:val="single" w:sz="8" w:space="0" w:color="auto"/>
            </w:tcBorders>
            <w:shd w:val="clear" w:color="auto" w:fill="auto"/>
          </w:tcPr>
          <w:p>
            <w:pPr>
              <w:pStyle w:val="nTable"/>
              <w:spacing w:after="40"/>
              <w:rPr>
                <w:b/>
                <w:sz w:val="19"/>
              </w:rPr>
            </w:pPr>
            <w:r>
              <w:rPr>
                <w:b/>
                <w:sz w:val="19"/>
              </w:rPr>
              <w:t>Number and year</w:t>
            </w:r>
          </w:p>
        </w:tc>
        <w:tc>
          <w:tcPr>
            <w:tcW w:w="1134" w:type="dxa"/>
            <w:tcBorders>
              <w:top w:val="single" w:sz="8" w:space="0" w:color="auto"/>
              <w:bottom w:val="single" w:sz="8" w:space="0" w:color="auto"/>
            </w:tcBorders>
            <w:shd w:val="clear" w:color="auto" w:fill="auto"/>
          </w:tcPr>
          <w:p>
            <w:pPr>
              <w:pStyle w:val="nTable"/>
              <w:spacing w:after="40"/>
              <w:rPr>
                <w:b/>
                <w:sz w:val="19"/>
              </w:rPr>
            </w:pPr>
            <w:r>
              <w:rPr>
                <w:b/>
                <w:sz w:val="19"/>
              </w:rPr>
              <w:t>Assent</w:t>
            </w:r>
          </w:p>
        </w:tc>
        <w:tc>
          <w:tcPr>
            <w:tcW w:w="2553" w:type="dxa"/>
            <w:tcBorders>
              <w:top w:val="single" w:sz="8" w:space="0" w:color="auto"/>
              <w:bottom w:val="single" w:sz="8" w:space="0" w:color="auto"/>
            </w:tcBorders>
            <w:shd w:val="clear" w:color="auto" w:fill="auto"/>
          </w:tcPr>
          <w:p>
            <w:pPr>
              <w:pStyle w:val="nTable"/>
              <w:spacing w:after="40"/>
              <w:rPr>
                <w:b/>
                <w:sz w:val="19"/>
              </w:rPr>
            </w:pPr>
            <w:r>
              <w:rPr>
                <w:b/>
                <w:sz w:val="19"/>
              </w:rPr>
              <w:t>Commencement</w:t>
            </w:r>
          </w:p>
        </w:tc>
      </w:tr>
      <w:tr>
        <w:trPr>
          <w:cantSplit/>
        </w:trPr>
        <w:tc>
          <w:tcPr>
            <w:tcW w:w="2266" w:type="dxa"/>
            <w:tcBorders>
              <w:top w:val="single" w:sz="8" w:space="0" w:color="auto"/>
            </w:tcBorders>
          </w:tcPr>
          <w:p>
            <w:pPr>
              <w:pStyle w:val="nTable"/>
              <w:spacing w:after="40"/>
              <w:rPr>
                <w:sz w:val="19"/>
              </w:rPr>
            </w:pPr>
            <w:r>
              <w:rPr>
                <w:i/>
                <w:sz w:val="19"/>
              </w:rPr>
              <w:t>Poisons Act 1964</w:t>
            </w:r>
          </w:p>
        </w:tc>
        <w:tc>
          <w:tcPr>
            <w:tcW w:w="1134" w:type="dxa"/>
            <w:tcBorders>
              <w:top w:val="single" w:sz="8" w:space="0" w:color="auto"/>
            </w:tcBorders>
          </w:tcPr>
          <w:p>
            <w:pPr>
              <w:pStyle w:val="nTable"/>
              <w:spacing w:after="40"/>
              <w:rPr>
                <w:sz w:val="19"/>
              </w:rPr>
            </w:pPr>
            <w:r>
              <w:rPr>
                <w:sz w:val="19"/>
              </w:rPr>
              <w:t>70 of 1964 (13 Eliz. II No. 70)</w:t>
            </w:r>
          </w:p>
        </w:tc>
        <w:tc>
          <w:tcPr>
            <w:tcW w:w="1134" w:type="dxa"/>
            <w:tcBorders>
              <w:top w:val="single" w:sz="8" w:space="0" w:color="auto"/>
            </w:tcBorders>
          </w:tcPr>
          <w:p>
            <w:pPr>
              <w:pStyle w:val="nTable"/>
              <w:spacing w:after="40"/>
              <w:rPr>
                <w:sz w:val="19"/>
              </w:rPr>
            </w:pPr>
            <w:r>
              <w:rPr>
                <w:sz w:val="19"/>
              </w:rPr>
              <w:t>11 Dec 1964</w:t>
            </w:r>
          </w:p>
        </w:tc>
        <w:tc>
          <w:tcPr>
            <w:tcW w:w="2553" w:type="dxa"/>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28 Jan 1966 p. 197</w:t>
            </w:r>
            <w:r>
              <w:rPr>
                <w:color w:val="000000"/>
                <w:sz w:val="19"/>
              </w:rPr>
              <w:noBreakHyphen/>
              <w:t>9</w:t>
            </w:r>
          </w:p>
        </w:tc>
        <w:tc>
          <w:tcPr>
            <w:tcW w:w="2553" w:type="dxa"/>
          </w:tcPr>
          <w:p>
            <w:pPr>
              <w:pStyle w:val="nTable"/>
              <w:spacing w:after="40"/>
              <w:rPr>
                <w:color w:val="000000"/>
                <w:sz w:val="19"/>
              </w:rPr>
            </w:pPr>
            <w:r>
              <w:rPr>
                <w:color w:val="000000"/>
                <w:sz w:val="19"/>
              </w:rPr>
              <w:t>28 Jan 1966</w:t>
            </w:r>
          </w:p>
        </w:tc>
      </w:tr>
      <w:tr>
        <w:trPr>
          <w:cantSplit/>
        </w:trPr>
        <w:tc>
          <w:tcPr>
            <w:tcW w:w="2266" w:type="dxa"/>
          </w:tcPr>
          <w:p>
            <w:pPr>
              <w:pStyle w:val="nTable"/>
              <w:spacing w:after="40"/>
              <w:rPr>
                <w:sz w:val="19"/>
              </w:rPr>
            </w:pPr>
            <w:r>
              <w:rPr>
                <w:i/>
                <w:sz w:val="19"/>
              </w:rPr>
              <w:t>Poisons Act Amendment Act 1966</w:t>
            </w:r>
          </w:p>
        </w:tc>
        <w:tc>
          <w:tcPr>
            <w:tcW w:w="1134" w:type="dxa"/>
          </w:tcPr>
          <w:p>
            <w:pPr>
              <w:pStyle w:val="nTable"/>
              <w:spacing w:after="40"/>
              <w:rPr>
                <w:sz w:val="19"/>
              </w:rPr>
            </w:pPr>
            <w:r>
              <w:rPr>
                <w:sz w:val="19"/>
              </w:rPr>
              <w:t>23 of 1966</w:t>
            </w:r>
          </w:p>
        </w:tc>
        <w:tc>
          <w:tcPr>
            <w:tcW w:w="1134" w:type="dxa"/>
          </w:tcPr>
          <w:p>
            <w:pPr>
              <w:pStyle w:val="nTable"/>
              <w:spacing w:after="40"/>
              <w:rPr>
                <w:sz w:val="19"/>
              </w:rPr>
            </w:pPr>
            <w:r>
              <w:rPr>
                <w:sz w:val="19"/>
              </w:rPr>
              <w:t>27 Oct 1966</w:t>
            </w:r>
          </w:p>
        </w:tc>
        <w:tc>
          <w:tcPr>
            <w:tcW w:w="2553" w:type="dxa"/>
          </w:tcPr>
          <w:p>
            <w:pPr>
              <w:pStyle w:val="nTable"/>
              <w:spacing w:after="40"/>
              <w:rPr>
                <w:sz w:val="19"/>
              </w:rPr>
            </w:pPr>
            <w:r>
              <w:rPr>
                <w:sz w:val="19"/>
              </w:rPr>
              <w:t>27 Oct 1966</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26 Apr 1967 p. 1039</w:t>
            </w:r>
            <w:r>
              <w:rPr>
                <w:color w:val="000000"/>
                <w:sz w:val="19"/>
              </w:rPr>
              <w:noBreakHyphen/>
              <w:t>54</w:t>
            </w:r>
          </w:p>
        </w:tc>
        <w:tc>
          <w:tcPr>
            <w:tcW w:w="2553" w:type="dxa"/>
          </w:tcPr>
          <w:p>
            <w:pPr>
              <w:pStyle w:val="nTable"/>
              <w:spacing w:after="40"/>
              <w:rPr>
                <w:color w:val="000000"/>
                <w:sz w:val="19"/>
              </w:rPr>
            </w:pPr>
            <w:r>
              <w:rPr>
                <w:color w:val="000000"/>
                <w:sz w:val="19"/>
              </w:rPr>
              <w:t>26 Apr 1967</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Jun 1967 p. 1490</w:t>
            </w:r>
          </w:p>
        </w:tc>
        <w:tc>
          <w:tcPr>
            <w:tcW w:w="2553" w:type="dxa"/>
          </w:tcPr>
          <w:p>
            <w:pPr>
              <w:pStyle w:val="nTable"/>
              <w:spacing w:after="40"/>
              <w:rPr>
                <w:color w:val="000000"/>
                <w:sz w:val="19"/>
              </w:rPr>
            </w:pPr>
            <w:r>
              <w:rPr>
                <w:color w:val="000000"/>
                <w:sz w:val="19"/>
              </w:rPr>
              <w:t>2 Jun 1967</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Nov 1967 p. 3016</w:t>
            </w:r>
            <w:r>
              <w:rPr>
                <w:color w:val="000000"/>
                <w:sz w:val="19"/>
              </w:rPr>
              <w:noBreakHyphen/>
              <w:t>20</w:t>
            </w:r>
          </w:p>
        </w:tc>
        <w:tc>
          <w:tcPr>
            <w:tcW w:w="2553" w:type="dxa"/>
          </w:tcPr>
          <w:p>
            <w:pPr>
              <w:pStyle w:val="nTable"/>
              <w:spacing w:after="40"/>
              <w:rPr>
                <w:color w:val="000000"/>
                <w:sz w:val="19"/>
              </w:rPr>
            </w:pPr>
            <w:r>
              <w:rPr>
                <w:color w:val="000000"/>
                <w:sz w:val="19"/>
              </w:rPr>
              <w:t>3 Nov 1967</w:t>
            </w:r>
          </w:p>
        </w:tc>
      </w:tr>
      <w:tr>
        <w:trPr>
          <w:cantSplit/>
        </w:trPr>
        <w:tc>
          <w:tcPr>
            <w:tcW w:w="2266" w:type="dxa"/>
          </w:tcPr>
          <w:p>
            <w:pPr>
              <w:pStyle w:val="nTable"/>
              <w:spacing w:after="40"/>
              <w:rPr>
                <w:sz w:val="19"/>
              </w:rPr>
            </w:pPr>
            <w:r>
              <w:rPr>
                <w:i/>
                <w:sz w:val="19"/>
              </w:rPr>
              <w:t>Poisons Act Amendment Act 1967</w:t>
            </w:r>
          </w:p>
        </w:tc>
        <w:tc>
          <w:tcPr>
            <w:tcW w:w="1134" w:type="dxa"/>
          </w:tcPr>
          <w:p>
            <w:pPr>
              <w:pStyle w:val="nTable"/>
              <w:spacing w:after="40"/>
              <w:rPr>
                <w:sz w:val="19"/>
              </w:rPr>
            </w:pPr>
            <w:r>
              <w:rPr>
                <w:sz w:val="19"/>
              </w:rPr>
              <w:t>28 of 1967</w:t>
            </w:r>
          </w:p>
        </w:tc>
        <w:tc>
          <w:tcPr>
            <w:tcW w:w="1134" w:type="dxa"/>
          </w:tcPr>
          <w:p>
            <w:pPr>
              <w:pStyle w:val="nTable"/>
              <w:spacing w:after="40"/>
              <w:rPr>
                <w:sz w:val="19"/>
              </w:rPr>
            </w:pPr>
            <w:r>
              <w:rPr>
                <w:sz w:val="19"/>
              </w:rPr>
              <w:t>17 Nov 1967</w:t>
            </w:r>
          </w:p>
        </w:tc>
        <w:tc>
          <w:tcPr>
            <w:tcW w:w="2553" w:type="dxa"/>
          </w:tcPr>
          <w:p>
            <w:pPr>
              <w:pStyle w:val="nTable"/>
              <w:spacing w:after="40"/>
              <w:rPr>
                <w:sz w:val="19"/>
              </w:rPr>
            </w:pPr>
            <w:r>
              <w:rPr>
                <w:sz w:val="19"/>
              </w:rPr>
              <w:t>17 Nov 1967</w:t>
            </w:r>
          </w:p>
        </w:tc>
      </w:tr>
      <w:tr>
        <w:trPr>
          <w:cantSplit/>
        </w:trPr>
        <w:tc>
          <w:tcPr>
            <w:tcW w:w="2266" w:type="dxa"/>
          </w:tcPr>
          <w:p>
            <w:pPr>
              <w:pStyle w:val="nTable"/>
              <w:spacing w:after="40"/>
              <w:rPr>
                <w:sz w:val="19"/>
              </w:rPr>
            </w:pPr>
            <w:r>
              <w:rPr>
                <w:i/>
                <w:sz w:val="19"/>
              </w:rPr>
              <w:t>Poisons Act Amendment Act (No. 2) 1967</w:t>
            </w:r>
          </w:p>
        </w:tc>
        <w:tc>
          <w:tcPr>
            <w:tcW w:w="1134" w:type="dxa"/>
          </w:tcPr>
          <w:p>
            <w:pPr>
              <w:pStyle w:val="nTable"/>
              <w:spacing w:after="40"/>
              <w:rPr>
                <w:sz w:val="19"/>
              </w:rPr>
            </w:pPr>
            <w:r>
              <w:rPr>
                <w:sz w:val="19"/>
              </w:rPr>
              <w:t>51 of 1967</w:t>
            </w:r>
          </w:p>
        </w:tc>
        <w:tc>
          <w:tcPr>
            <w:tcW w:w="1134" w:type="dxa"/>
          </w:tcPr>
          <w:p>
            <w:pPr>
              <w:pStyle w:val="nTable"/>
              <w:spacing w:after="40"/>
              <w:rPr>
                <w:sz w:val="19"/>
              </w:rPr>
            </w:pPr>
            <w:r>
              <w:rPr>
                <w:sz w:val="19"/>
              </w:rPr>
              <w:t>5 Dec 1967</w:t>
            </w:r>
          </w:p>
        </w:tc>
        <w:tc>
          <w:tcPr>
            <w:tcW w:w="2553" w:type="dxa"/>
          </w:tcPr>
          <w:p>
            <w:pPr>
              <w:pStyle w:val="nTable"/>
              <w:spacing w:after="40"/>
              <w:rPr>
                <w:sz w:val="19"/>
              </w:rPr>
            </w:pPr>
            <w:r>
              <w:rPr>
                <w:sz w:val="19"/>
              </w:rPr>
              <w:t>5 Dec 1967</w:t>
            </w:r>
          </w:p>
        </w:tc>
      </w:tr>
      <w:tr>
        <w:trPr>
          <w:cantSplit/>
        </w:trPr>
        <w:tc>
          <w:tcPr>
            <w:tcW w:w="2266" w:type="dxa"/>
          </w:tcPr>
          <w:p>
            <w:pPr>
              <w:pStyle w:val="nTable"/>
              <w:spacing w:after="40"/>
              <w:rPr>
                <w:sz w:val="19"/>
              </w:rPr>
            </w:pPr>
            <w:r>
              <w:rPr>
                <w:i/>
                <w:sz w:val="19"/>
              </w:rPr>
              <w:t>Poisons Act Amendment Act 1969</w:t>
            </w:r>
          </w:p>
        </w:tc>
        <w:tc>
          <w:tcPr>
            <w:tcW w:w="1134" w:type="dxa"/>
          </w:tcPr>
          <w:p>
            <w:pPr>
              <w:pStyle w:val="nTable"/>
              <w:spacing w:after="40"/>
              <w:rPr>
                <w:sz w:val="19"/>
              </w:rPr>
            </w:pPr>
            <w:r>
              <w:rPr>
                <w:sz w:val="19"/>
              </w:rPr>
              <w:t>6 of 1969</w:t>
            </w:r>
          </w:p>
        </w:tc>
        <w:tc>
          <w:tcPr>
            <w:tcW w:w="1134" w:type="dxa"/>
          </w:tcPr>
          <w:p>
            <w:pPr>
              <w:pStyle w:val="nTable"/>
              <w:spacing w:after="40"/>
              <w:rPr>
                <w:sz w:val="19"/>
              </w:rPr>
            </w:pPr>
            <w:r>
              <w:rPr>
                <w:sz w:val="19"/>
              </w:rPr>
              <w:t>21 Apr 1969</w:t>
            </w:r>
          </w:p>
        </w:tc>
        <w:tc>
          <w:tcPr>
            <w:tcW w:w="2553" w:type="dxa"/>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30 Dec 1969 p. 4343</w:t>
            </w:r>
            <w:r>
              <w:rPr>
                <w:color w:val="000000"/>
                <w:sz w:val="19"/>
              </w:rPr>
              <w:noBreakHyphen/>
              <w:t>61</w:t>
            </w:r>
          </w:p>
        </w:tc>
        <w:tc>
          <w:tcPr>
            <w:tcW w:w="2553" w:type="dxa"/>
          </w:tcPr>
          <w:p>
            <w:pPr>
              <w:pStyle w:val="nTable"/>
              <w:spacing w:after="40"/>
              <w:rPr>
                <w:color w:val="000000"/>
                <w:sz w:val="19"/>
              </w:rPr>
            </w:pPr>
            <w:r>
              <w:rPr>
                <w:color w:val="000000"/>
                <w:sz w:val="19"/>
              </w:rPr>
              <w:t>30 Dec 1969</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Aug 1970 p. 2464</w:t>
            </w:r>
          </w:p>
        </w:tc>
        <w:tc>
          <w:tcPr>
            <w:tcW w:w="2553" w:type="dxa"/>
          </w:tcPr>
          <w:p>
            <w:pPr>
              <w:pStyle w:val="nTable"/>
              <w:spacing w:after="40"/>
              <w:rPr>
                <w:color w:val="000000"/>
                <w:sz w:val="19"/>
              </w:rPr>
            </w:pPr>
            <w:r>
              <w:rPr>
                <w:color w:val="000000"/>
                <w:sz w:val="19"/>
              </w:rPr>
              <w:t>7 Aug 1970</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16 Oct 1970 p. 3184</w:t>
            </w:r>
          </w:p>
        </w:tc>
        <w:tc>
          <w:tcPr>
            <w:tcW w:w="2553" w:type="dxa"/>
          </w:tcPr>
          <w:p>
            <w:pPr>
              <w:pStyle w:val="nTable"/>
              <w:spacing w:after="40"/>
              <w:rPr>
                <w:color w:val="000000"/>
                <w:sz w:val="19"/>
              </w:rPr>
            </w:pPr>
            <w:r>
              <w:rPr>
                <w:color w:val="000000"/>
                <w:sz w:val="19"/>
              </w:rPr>
              <w:t>16 Oct 1970</w:t>
            </w:r>
          </w:p>
        </w:tc>
      </w:tr>
      <w:tr>
        <w:trPr>
          <w:cantSplit/>
        </w:trPr>
        <w:tc>
          <w:tcPr>
            <w:tcW w:w="2266" w:type="dxa"/>
          </w:tcPr>
          <w:p>
            <w:pPr>
              <w:pStyle w:val="nTable"/>
              <w:spacing w:after="40"/>
              <w:rPr>
                <w:sz w:val="19"/>
              </w:rPr>
            </w:pPr>
            <w:r>
              <w:rPr>
                <w:i/>
                <w:sz w:val="19"/>
              </w:rPr>
              <w:t>Poisons Act Amendment Act 1970</w:t>
            </w:r>
          </w:p>
        </w:tc>
        <w:tc>
          <w:tcPr>
            <w:tcW w:w="1134" w:type="dxa"/>
          </w:tcPr>
          <w:p>
            <w:pPr>
              <w:pStyle w:val="nTable"/>
              <w:spacing w:after="40"/>
              <w:rPr>
                <w:sz w:val="19"/>
              </w:rPr>
            </w:pPr>
            <w:r>
              <w:rPr>
                <w:sz w:val="19"/>
              </w:rPr>
              <w:t>87 of 1970</w:t>
            </w:r>
          </w:p>
        </w:tc>
        <w:tc>
          <w:tcPr>
            <w:tcW w:w="1134" w:type="dxa"/>
          </w:tcPr>
          <w:p>
            <w:pPr>
              <w:pStyle w:val="nTable"/>
              <w:spacing w:after="40"/>
              <w:rPr>
                <w:sz w:val="19"/>
              </w:rPr>
            </w:pPr>
            <w:r>
              <w:rPr>
                <w:sz w:val="19"/>
              </w:rPr>
              <w:t>30 Nov 1970</w:t>
            </w:r>
          </w:p>
        </w:tc>
        <w:tc>
          <w:tcPr>
            <w:tcW w:w="2553" w:type="dxa"/>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24 Nov 1971 p. 4841</w:t>
            </w:r>
            <w:r>
              <w:rPr>
                <w:color w:val="000000"/>
                <w:sz w:val="19"/>
              </w:rPr>
              <w:noBreakHyphen/>
              <w:t>70</w:t>
            </w:r>
          </w:p>
        </w:tc>
        <w:tc>
          <w:tcPr>
            <w:tcW w:w="2553" w:type="dxa"/>
          </w:tcPr>
          <w:p>
            <w:pPr>
              <w:pStyle w:val="nTable"/>
              <w:spacing w:after="40"/>
              <w:rPr>
                <w:color w:val="000000"/>
                <w:sz w:val="19"/>
              </w:rPr>
            </w:pPr>
            <w:r>
              <w:rPr>
                <w:color w:val="000000"/>
                <w:sz w:val="19"/>
              </w:rPr>
              <w:t>24 Nov 1971</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Sep 1972 p. 3585</w:t>
            </w:r>
            <w:r>
              <w:rPr>
                <w:color w:val="000000"/>
                <w:sz w:val="19"/>
              </w:rPr>
              <w:noBreakHyphen/>
              <w:t>6</w:t>
            </w:r>
          </w:p>
        </w:tc>
        <w:tc>
          <w:tcPr>
            <w:tcW w:w="2553" w:type="dxa"/>
          </w:tcPr>
          <w:p>
            <w:pPr>
              <w:pStyle w:val="nTable"/>
              <w:spacing w:after="40"/>
              <w:rPr>
                <w:color w:val="000000"/>
                <w:sz w:val="19"/>
              </w:rPr>
            </w:pPr>
            <w:r>
              <w:rPr>
                <w:color w:val="000000"/>
                <w:sz w:val="19"/>
              </w:rPr>
              <w:t>15 Sep 1972</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11 May 1973 p. 1157</w:t>
            </w:r>
            <w:r>
              <w:rPr>
                <w:color w:val="000000"/>
                <w:sz w:val="19"/>
              </w:rPr>
              <w:noBreakHyphen/>
              <w:t>8</w:t>
            </w:r>
          </w:p>
        </w:tc>
        <w:tc>
          <w:tcPr>
            <w:tcW w:w="2553" w:type="dxa"/>
          </w:tcPr>
          <w:p>
            <w:pPr>
              <w:pStyle w:val="nTable"/>
              <w:spacing w:after="40"/>
              <w:rPr>
                <w:color w:val="000000"/>
                <w:sz w:val="19"/>
              </w:rPr>
            </w:pPr>
            <w:r>
              <w:rPr>
                <w:color w:val="000000"/>
                <w:sz w:val="19"/>
              </w:rPr>
              <w:t>11 May 1973</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Apr 1974 p. 1131</w:t>
            </w:r>
            <w:r>
              <w:rPr>
                <w:color w:val="000000"/>
                <w:sz w:val="19"/>
              </w:rPr>
              <w:noBreakHyphen/>
              <w:t>62</w:t>
            </w:r>
          </w:p>
        </w:tc>
        <w:tc>
          <w:tcPr>
            <w:tcW w:w="2553" w:type="dxa"/>
          </w:tcPr>
          <w:p>
            <w:pPr>
              <w:pStyle w:val="nTable"/>
              <w:spacing w:after="40"/>
              <w:rPr>
                <w:color w:val="000000"/>
                <w:sz w:val="19"/>
              </w:rPr>
            </w:pPr>
            <w:r>
              <w:rPr>
                <w:color w:val="000000"/>
                <w:sz w:val="19"/>
              </w:rPr>
              <w:t>2 Apr 1974</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23 Aug 1974 p. 3116</w:t>
            </w:r>
          </w:p>
        </w:tc>
        <w:tc>
          <w:tcPr>
            <w:tcW w:w="2553" w:type="dxa"/>
          </w:tcPr>
          <w:p>
            <w:pPr>
              <w:pStyle w:val="nTable"/>
              <w:spacing w:after="40"/>
              <w:rPr>
                <w:color w:val="000000"/>
                <w:sz w:val="19"/>
              </w:rPr>
            </w:pPr>
            <w:r>
              <w:rPr>
                <w:color w:val="000000"/>
                <w:sz w:val="19"/>
              </w:rPr>
              <w:t>23 Aug 1974</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8 Aug 1975 p. 2856</w:t>
            </w:r>
          </w:p>
        </w:tc>
        <w:tc>
          <w:tcPr>
            <w:tcW w:w="2553" w:type="dxa"/>
          </w:tcPr>
          <w:p>
            <w:pPr>
              <w:pStyle w:val="nTable"/>
              <w:spacing w:after="40"/>
              <w:rPr>
                <w:color w:val="000000"/>
                <w:sz w:val="19"/>
              </w:rPr>
            </w:pPr>
            <w:r>
              <w:rPr>
                <w:color w:val="000000"/>
                <w:sz w:val="19"/>
              </w:rPr>
              <w:t>8 Aug 1975</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Jun 1976 p. 1993</w:t>
            </w:r>
            <w:r>
              <w:rPr>
                <w:color w:val="000000"/>
                <w:sz w:val="19"/>
              </w:rPr>
              <w:noBreakHyphen/>
              <w:t>2028</w:t>
            </w:r>
          </w:p>
        </w:tc>
        <w:tc>
          <w:tcPr>
            <w:tcW w:w="2553" w:type="dxa"/>
          </w:tcPr>
          <w:p>
            <w:pPr>
              <w:pStyle w:val="nTable"/>
              <w:spacing w:after="40"/>
              <w:rPr>
                <w:color w:val="000000"/>
                <w:sz w:val="19"/>
              </w:rPr>
            </w:pPr>
            <w:r>
              <w:rPr>
                <w:color w:val="000000"/>
                <w:sz w:val="19"/>
              </w:rPr>
              <w:t>15 Jun 1976</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Feb 1978 p. 320</w:t>
            </w:r>
          </w:p>
        </w:tc>
        <w:tc>
          <w:tcPr>
            <w:tcW w:w="2553" w:type="dxa"/>
          </w:tcPr>
          <w:p>
            <w:pPr>
              <w:pStyle w:val="nTable"/>
              <w:spacing w:after="40"/>
              <w:rPr>
                <w:color w:val="000000"/>
                <w:sz w:val="19"/>
              </w:rPr>
            </w:pPr>
            <w:r>
              <w:rPr>
                <w:color w:val="000000"/>
                <w:sz w:val="19"/>
              </w:rPr>
              <w:t>3 Feb 1978</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21 Apr 1978 p. 1202</w:t>
            </w:r>
            <w:r>
              <w:rPr>
                <w:color w:val="000000"/>
                <w:sz w:val="19"/>
              </w:rPr>
              <w:noBreakHyphen/>
              <w:t>5</w:t>
            </w:r>
          </w:p>
        </w:tc>
        <w:tc>
          <w:tcPr>
            <w:tcW w:w="2553" w:type="dxa"/>
          </w:tcPr>
          <w:p>
            <w:pPr>
              <w:pStyle w:val="nTable"/>
              <w:spacing w:after="40"/>
              <w:rPr>
                <w:color w:val="000000"/>
                <w:sz w:val="19"/>
              </w:rPr>
            </w:pPr>
            <w:r>
              <w:rPr>
                <w:color w:val="000000"/>
                <w:sz w:val="19"/>
              </w:rPr>
              <w:t>21 Apr 1978</w:t>
            </w:r>
          </w:p>
        </w:tc>
      </w:tr>
      <w:tr>
        <w:trPr>
          <w:cantSplit/>
        </w:trPr>
        <w:tc>
          <w:tcPr>
            <w:tcW w:w="2266" w:type="dxa"/>
          </w:tcPr>
          <w:p>
            <w:pPr>
              <w:pStyle w:val="nTable"/>
              <w:spacing w:after="40"/>
              <w:rPr>
                <w:sz w:val="19"/>
              </w:rPr>
            </w:pPr>
            <w:r>
              <w:rPr>
                <w:i/>
                <w:sz w:val="19"/>
              </w:rPr>
              <w:t>Poisons Act Amendment Act 1978</w:t>
            </w:r>
          </w:p>
        </w:tc>
        <w:tc>
          <w:tcPr>
            <w:tcW w:w="1134" w:type="dxa"/>
          </w:tcPr>
          <w:p>
            <w:pPr>
              <w:pStyle w:val="nTable"/>
              <w:spacing w:after="40"/>
              <w:rPr>
                <w:sz w:val="19"/>
              </w:rPr>
            </w:pPr>
            <w:r>
              <w:rPr>
                <w:sz w:val="19"/>
              </w:rPr>
              <w:t>43 of 1978</w:t>
            </w:r>
          </w:p>
        </w:tc>
        <w:tc>
          <w:tcPr>
            <w:tcW w:w="1134" w:type="dxa"/>
          </w:tcPr>
          <w:p>
            <w:pPr>
              <w:pStyle w:val="nTable"/>
              <w:spacing w:after="40"/>
              <w:rPr>
                <w:sz w:val="19"/>
              </w:rPr>
            </w:pPr>
            <w:r>
              <w:rPr>
                <w:sz w:val="19"/>
              </w:rPr>
              <w:t>29 Aug 1978</w:t>
            </w:r>
          </w:p>
        </w:tc>
        <w:tc>
          <w:tcPr>
            <w:tcW w:w="2553" w:type="dxa"/>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14 Jun 1979 p. 1549</w:t>
            </w:r>
            <w:r>
              <w:rPr>
                <w:color w:val="000000"/>
                <w:sz w:val="19"/>
              </w:rPr>
              <w:noBreakHyphen/>
              <w:t>88</w:t>
            </w:r>
          </w:p>
        </w:tc>
        <w:tc>
          <w:tcPr>
            <w:tcW w:w="2553" w:type="dxa"/>
          </w:tcPr>
          <w:p>
            <w:pPr>
              <w:pStyle w:val="nTable"/>
              <w:spacing w:after="40"/>
              <w:rPr>
                <w:color w:val="000000"/>
                <w:sz w:val="19"/>
              </w:rPr>
            </w:pPr>
            <w:r>
              <w:rPr>
                <w:color w:val="000000"/>
                <w:sz w:val="19"/>
              </w:rPr>
              <w:t>14 Jun 1979</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b/>
                <w:bCs/>
                <w:color w:val="000000"/>
                <w:sz w:val="19"/>
              </w:rPr>
              <w:t xml:space="preserve"> </w:t>
            </w:r>
            <w:r>
              <w:rPr>
                <w:color w:val="000000"/>
                <w:sz w:val="19"/>
              </w:rPr>
              <w:t>19 Oct 1979 p. 3247</w:t>
            </w:r>
            <w:r>
              <w:rPr>
                <w:color w:val="000000"/>
                <w:sz w:val="19"/>
              </w:rPr>
              <w:noBreakHyphen/>
              <w:t>57</w:t>
            </w:r>
          </w:p>
        </w:tc>
        <w:tc>
          <w:tcPr>
            <w:tcW w:w="2553" w:type="dxa"/>
          </w:tcPr>
          <w:p>
            <w:pPr>
              <w:pStyle w:val="nTable"/>
              <w:spacing w:after="40"/>
              <w:rPr>
                <w:color w:val="000000"/>
                <w:sz w:val="19"/>
              </w:rPr>
            </w:pPr>
            <w:r>
              <w:rPr>
                <w:color w:val="000000"/>
                <w:sz w:val="19"/>
              </w:rPr>
              <w:t>18 Dec 1979</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Dec 1979 p. 3772</w:t>
            </w:r>
            <w:r>
              <w:rPr>
                <w:color w:val="000000"/>
                <w:sz w:val="19"/>
              </w:rPr>
              <w:noBreakHyphen/>
              <w:t>4</w:t>
            </w:r>
          </w:p>
        </w:tc>
        <w:tc>
          <w:tcPr>
            <w:tcW w:w="2553" w:type="dxa"/>
          </w:tcPr>
          <w:p>
            <w:pPr>
              <w:pStyle w:val="nTable"/>
              <w:spacing w:after="40"/>
              <w:rPr>
                <w:color w:val="000000"/>
                <w:sz w:val="19"/>
              </w:rPr>
            </w:pPr>
            <w:r>
              <w:rPr>
                <w:color w:val="000000"/>
                <w:sz w:val="19"/>
              </w:rPr>
              <w:t>7 Dec 1979</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18 Jul 1980 p. 2377</w:t>
            </w:r>
            <w:r>
              <w:rPr>
                <w:color w:val="000000"/>
                <w:sz w:val="19"/>
              </w:rPr>
              <w:noBreakHyphen/>
              <w:t>80</w:t>
            </w:r>
          </w:p>
        </w:tc>
        <w:tc>
          <w:tcPr>
            <w:tcW w:w="2553" w:type="dxa"/>
          </w:tcPr>
          <w:p>
            <w:pPr>
              <w:pStyle w:val="nTable"/>
              <w:spacing w:after="40"/>
              <w:rPr>
                <w:color w:val="000000"/>
                <w:sz w:val="19"/>
              </w:rPr>
            </w:pPr>
            <w:r>
              <w:rPr>
                <w:color w:val="000000"/>
                <w:sz w:val="19"/>
              </w:rPr>
              <w:t>18 Jul 1980</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1981</w:t>
            </w:r>
            <w:r>
              <w:rPr>
                <w:color w:val="000000"/>
                <w:sz w:val="19"/>
              </w:rPr>
              <w:t xml:space="preserve"> published in </w:t>
            </w:r>
            <w:r>
              <w:rPr>
                <w:i/>
                <w:iCs/>
                <w:color w:val="000000"/>
                <w:sz w:val="19"/>
              </w:rPr>
              <w:t>Gazette</w:t>
            </w:r>
            <w:r>
              <w:rPr>
                <w:color w:val="000000"/>
                <w:sz w:val="19"/>
              </w:rPr>
              <w:t xml:space="preserve"> 9 Jul 1981 p. 2723</w:t>
            </w:r>
            <w:r>
              <w:rPr>
                <w:color w:val="000000"/>
                <w:sz w:val="19"/>
              </w:rPr>
              <w:noBreakHyphen/>
              <w:t>68</w:t>
            </w:r>
          </w:p>
        </w:tc>
        <w:tc>
          <w:tcPr>
            <w:tcW w:w="2553" w:type="dxa"/>
          </w:tcPr>
          <w:p>
            <w:pPr>
              <w:pStyle w:val="nTable"/>
              <w:spacing w:after="40"/>
              <w:rPr>
                <w:color w:val="000000"/>
                <w:sz w:val="19"/>
              </w:rPr>
            </w:pPr>
            <w:r>
              <w:rPr>
                <w:color w:val="000000"/>
                <w:sz w:val="19"/>
              </w:rPr>
              <w:t>9 Jul 1981</w:t>
            </w:r>
          </w:p>
        </w:tc>
      </w:tr>
      <w:tr>
        <w:trPr>
          <w:cantSplit/>
        </w:trPr>
        <w:tc>
          <w:tcPr>
            <w:tcW w:w="2266" w:type="dxa"/>
          </w:tcPr>
          <w:p>
            <w:pPr>
              <w:pStyle w:val="nTable"/>
              <w:spacing w:after="40"/>
              <w:rPr>
                <w:sz w:val="19"/>
              </w:rPr>
            </w:pPr>
            <w:r>
              <w:rPr>
                <w:i/>
                <w:sz w:val="19"/>
              </w:rPr>
              <w:t>Acts Amendment (Misuse of Drugs) Act 1981</w:t>
            </w:r>
            <w:r>
              <w:rPr>
                <w:sz w:val="19"/>
              </w:rPr>
              <w:t xml:space="preserve"> Pt. IV</w:t>
            </w:r>
          </w:p>
        </w:tc>
        <w:tc>
          <w:tcPr>
            <w:tcW w:w="1134" w:type="dxa"/>
          </w:tcPr>
          <w:p>
            <w:pPr>
              <w:pStyle w:val="nTable"/>
              <w:keepNext/>
              <w:spacing w:after="40"/>
              <w:rPr>
                <w:sz w:val="19"/>
              </w:rPr>
            </w:pPr>
            <w:r>
              <w:rPr>
                <w:sz w:val="19"/>
              </w:rPr>
              <w:t>57 of 1981</w:t>
            </w:r>
          </w:p>
        </w:tc>
        <w:tc>
          <w:tcPr>
            <w:tcW w:w="1134" w:type="dxa"/>
          </w:tcPr>
          <w:p>
            <w:pPr>
              <w:pStyle w:val="nTable"/>
              <w:spacing w:after="40"/>
              <w:rPr>
                <w:sz w:val="19"/>
              </w:rPr>
            </w:pPr>
            <w:r>
              <w:rPr>
                <w:sz w:val="19"/>
              </w:rPr>
              <w:t>13 Oct 1981</w:t>
            </w:r>
          </w:p>
        </w:tc>
        <w:tc>
          <w:tcPr>
            <w:tcW w:w="2553" w:type="dxa"/>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cantSplit/>
        </w:trPr>
        <w:tc>
          <w:tcPr>
            <w:tcW w:w="2266" w:type="dxa"/>
          </w:tcPr>
          <w:p>
            <w:pPr>
              <w:pStyle w:val="nTable"/>
              <w:spacing w:after="40"/>
              <w:rPr>
                <w:sz w:val="19"/>
              </w:rPr>
            </w:pPr>
            <w:r>
              <w:rPr>
                <w:i/>
                <w:sz w:val="19"/>
              </w:rPr>
              <w:t>Acts Amendment (Statutory Designations) and Validation Act 1981</w:t>
            </w:r>
            <w:r>
              <w:rPr>
                <w:sz w:val="19"/>
              </w:rPr>
              <w:t xml:space="preserve"> s. 4</w:t>
            </w:r>
          </w:p>
        </w:tc>
        <w:tc>
          <w:tcPr>
            <w:tcW w:w="1134" w:type="dxa"/>
          </w:tcPr>
          <w:p>
            <w:pPr>
              <w:pStyle w:val="nTable"/>
              <w:keepNext/>
              <w:keepLines/>
              <w:spacing w:after="40"/>
              <w:rPr>
                <w:sz w:val="19"/>
              </w:rPr>
            </w:pPr>
            <w:r>
              <w:rPr>
                <w:sz w:val="19"/>
              </w:rPr>
              <w:t>63 of 1981</w:t>
            </w:r>
          </w:p>
        </w:tc>
        <w:tc>
          <w:tcPr>
            <w:tcW w:w="1134" w:type="dxa"/>
          </w:tcPr>
          <w:p>
            <w:pPr>
              <w:pStyle w:val="nTable"/>
              <w:spacing w:after="40"/>
              <w:rPr>
                <w:sz w:val="19"/>
              </w:rPr>
            </w:pPr>
            <w:r>
              <w:rPr>
                <w:sz w:val="19"/>
              </w:rPr>
              <w:t>13 Oct 1981</w:t>
            </w:r>
          </w:p>
        </w:tc>
        <w:tc>
          <w:tcPr>
            <w:tcW w:w="2553" w:type="dxa"/>
          </w:tcPr>
          <w:p>
            <w:pPr>
              <w:pStyle w:val="nTable"/>
              <w:spacing w:after="40"/>
              <w:rPr>
                <w:sz w:val="19"/>
              </w:rPr>
            </w:pPr>
            <w:r>
              <w:rPr>
                <w:sz w:val="19"/>
              </w:rPr>
              <w:t>13 Oct 1981</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2) 1981 </w:t>
            </w:r>
            <w:r>
              <w:rPr>
                <w:color w:val="000000"/>
                <w:sz w:val="19"/>
              </w:rPr>
              <w:t xml:space="preserve">published in </w:t>
            </w:r>
            <w:r>
              <w:rPr>
                <w:i/>
                <w:iCs/>
                <w:color w:val="000000"/>
                <w:sz w:val="19"/>
              </w:rPr>
              <w:t>Gazette</w:t>
            </w:r>
            <w:r>
              <w:rPr>
                <w:color w:val="000000"/>
                <w:sz w:val="19"/>
              </w:rPr>
              <w:t xml:space="preserve"> 18 Dec 1981 p. 5190</w:t>
            </w:r>
            <w:r>
              <w:rPr>
                <w:color w:val="000000"/>
                <w:sz w:val="19"/>
              </w:rPr>
              <w:noBreakHyphen/>
              <w:t>2</w:t>
            </w:r>
          </w:p>
        </w:tc>
        <w:tc>
          <w:tcPr>
            <w:tcW w:w="2553" w:type="dxa"/>
          </w:tcPr>
          <w:p>
            <w:pPr>
              <w:pStyle w:val="nTable"/>
              <w:spacing w:after="40"/>
              <w:rPr>
                <w:color w:val="000000"/>
                <w:sz w:val="19"/>
              </w:rPr>
            </w:pPr>
            <w:r>
              <w:rPr>
                <w:color w:val="000000"/>
                <w:sz w:val="19"/>
              </w:rPr>
              <w:t>1 Feb 1982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1982 </w:t>
            </w:r>
            <w:r>
              <w:rPr>
                <w:color w:val="000000"/>
                <w:sz w:val="19"/>
              </w:rPr>
              <w:t xml:space="preserve">published in </w:t>
            </w:r>
            <w:r>
              <w:rPr>
                <w:i/>
                <w:iCs/>
                <w:color w:val="000000"/>
                <w:sz w:val="19"/>
              </w:rPr>
              <w:t>Gazette</w:t>
            </w:r>
            <w:r>
              <w:rPr>
                <w:color w:val="000000"/>
                <w:sz w:val="19"/>
              </w:rPr>
              <w:t xml:space="preserve"> 16 Jul 1982 p. 2721</w:t>
            </w:r>
            <w:r>
              <w:rPr>
                <w:color w:val="000000"/>
                <w:sz w:val="19"/>
              </w:rPr>
              <w:noBreakHyphen/>
              <w:t>3</w:t>
            </w:r>
          </w:p>
        </w:tc>
        <w:tc>
          <w:tcPr>
            <w:tcW w:w="2553" w:type="dxa"/>
          </w:tcPr>
          <w:p>
            <w:pPr>
              <w:pStyle w:val="nTable"/>
              <w:spacing w:after="40"/>
              <w:rPr>
                <w:color w:val="000000"/>
                <w:sz w:val="19"/>
              </w:rPr>
            </w:pPr>
            <w:r>
              <w:rPr>
                <w:color w:val="000000"/>
                <w:sz w:val="19"/>
              </w:rPr>
              <w:t>16 Jul 1982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2) 1982 </w:t>
            </w:r>
            <w:r>
              <w:rPr>
                <w:color w:val="000000"/>
                <w:sz w:val="19"/>
              </w:rPr>
              <w:t xml:space="preserve">published in </w:t>
            </w:r>
            <w:r>
              <w:rPr>
                <w:i/>
                <w:iCs/>
                <w:color w:val="000000"/>
                <w:sz w:val="19"/>
              </w:rPr>
              <w:t>Gazette</w:t>
            </w:r>
            <w:r>
              <w:rPr>
                <w:color w:val="000000"/>
                <w:sz w:val="19"/>
              </w:rPr>
              <w:t xml:space="preserve"> 13 Aug 1982 p. 3112</w:t>
            </w:r>
            <w:r>
              <w:rPr>
                <w:color w:val="000000"/>
                <w:sz w:val="19"/>
              </w:rPr>
              <w:noBreakHyphen/>
              <w:t>3</w:t>
            </w:r>
          </w:p>
        </w:tc>
        <w:tc>
          <w:tcPr>
            <w:tcW w:w="2553" w:type="dxa"/>
          </w:tcPr>
          <w:p>
            <w:pPr>
              <w:pStyle w:val="nTable"/>
              <w:spacing w:after="40"/>
              <w:rPr>
                <w:color w:val="000000"/>
                <w:sz w:val="19"/>
              </w:rPr>
            </w:pPr>
            <w:r>
              <w:rPr>
                <w:color w:val="000000"/>
                <w:sz w:val="19"/>
              </w:rPr>
              <w:t>13 Aug 1982</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1983 </w:t>
            </w:r>
            <w:r>
              <w:rPr>
                <w:color w:val="000000"/>
                <w:sz w:val="19"/>
              </w:rPr>
              <w:t xml:space="preserve">published in </w:t>
            </w:r>
            <w:r>
              <w:rPr>
                <w:i/>
                <w:iCs/>
                <w:color w:val="000000"/>
                <w:sz w:val="19"/>
              </w:rPr>
              <w:t>Gazette</w:t>
            </w:r>
            <w:r>
              <w:rPr>
                <w:color w:val="000000"/>
                <w:sz w:val="19"/>
              </w:rPr>
              <w:t xml:space="preserve"> 14 Jan 1983 p. 210</w:t>
            </w:r>
            <w:r>
              <w:rPr>
                <w:color w:val="000000"/>
                <w:sz w:val="19"/>
              </w:rPr>
              <w:noBreakHyphen/>
              <w:t>13</w:t>
            </w:r>
          </w:p>
        </w:tc>
        <w:tc>
          <w:tcPr>
            <w:tcW w:w="2553" w:type="dxa"/>
          </w:tcPr>
          <w:p>
            <w:pPr>
              <w:pStyle w:val="nTable"/>
              <w:spacing w:after="40"/>
              <w:rPr>
                <w:color w:val="000000"/>
                <w:sz w:val="19"/>
              </w:rPr>
            </w:pPr>
            <w:r>
              <w:rPr>
                <w:color w:val="000000"/>
                <w:sz w:val="19"/>
              </w:rPr>
              <w:t>14 Jan 1983</w:t>
            </w:r>
          </w:p>
        </w:tc>
      </w:tr>
      <w:tr>
        <w:trPr>
          <w:cantSplit/>
        </w:trPr>
        <w:tc>
          <w:tcPr>
            <w:tcW w:w="2266" w:type="dxa"/>
          </w:tcPr>
          <w:p>
            <w:pPr>
              <w:pStyle w:val="nTable"/>
              <w:spacing w:after="40"/>
              <w:rPr>
                <w:sz w:val="19"/>
              </w:rPr>
            </w:pPr>
            <w:r>
              <w:rPr>
                <w:i/>
                <w:sz w:val="19"/>
              </w:rPr>
              <w:t>Health Legislation Amendment Act 1984</w:t>
            </w:r>
            <w:r>
              <w:rPr>
                <w:sz w:val="19"/>
              </w:rPr>
              <w:t xml:space="preserve"> Pt. XX</w:t>
            </w:r>
          </w:p>
        </w:tc>
        <w:tc>
          <w:tcPr>
            <w:tcW w:w="1134" w:type="dxa"/>
          </w:tcPr>
          <w:p>
            <w:pPr>
              <w:pStyle w:val="nTable"/>
              <w:spacing w:after="40"/>
              <w:rPr>
                <w:sz w:val="19"/>
              </w:rPr>
            </w:pPr>
            <w:r>
              <w:rPr>
                <w:sz w:val="19"/>
              </w:rPr>
              <w:t>28 of 1984</w:t>
            </w:r>
          </w:p>
        </w:tc>
        <w:tc>
          <w:tcPr>
            <w:tcW w:w="1134" w:type="dxa"/>
          </w:tcPr>
          <w:p>
            <w:pPr>
              <w:pStyle w:val="nTable"/>
              <w:spacing w:after="40"/>
              <w:rPr>
                <w:sz w:val="19"/>
              </w:rPr>
            </w:pPr>
            <w:r>
              <w:rPr>
                <w:sz w:val="19"/>
              </w:rPr>
              <w:t>31 May 1984</w:t>
            </w:r>
          </w:p>
        </w:tc>
        <w:tc>
          <w:tcPr>
            <w:tcW w:w="2553" w:type="dxa"/>
          </w:tcPr>
          <w:p>
            <w:pPr>
              <w:pStyle w:val="nTable"/>
              <w:spacing w:after="40"/>
              <w:rPr>
                <w:sz w:val="19"/>
              </w:rPr>
            </w:pPr>
            <w:r>
              <w:rPr>
                <w:sz w:val="19"/>
              </w:rPr>
              <w:t xml:space="preserve">1 Jul 1984 (see s. 2 and </w:t>
            </w:r>
            <w:r>
              <w:rPr>
                <w:i/>
                <w:sz w:val="19"/>
              </w:rPr>
              <w:t>Gazette</w:t>
            </w:r>
            <w:r>
              <w:rPr>
                <w:sz w:val="19"/>
              </w:rPr>
              <w:t> 15 Jun 1984 p. 1629)</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1984 </w:t>
            </w:r>
            <w:r>
              <w:rPr>
                <w:color w:val="000000"/>
                <w:sz w:val="19"/>
              </w:rPr>
              <w:t xml:space="preserve">published in </w:t>
            </w:r>
            <w:r>
              <w:rPr>
                <w:i/>
                <w:iCs/>
                <w:color w:val="000000"/>
                <w:sz w:val="19"/>
              </w:rPr>
              <w:t>Gazette</w:t>
            </w:r>
            <w:r>
              <w:rPr>
                <w:color w:val="000000"/>
                <w:sz w:val="19"/>
              </w:rPr>
              <w:t xml:space="preserve"> 24 Aug 1984 p. 2503</w:t>
            </w:r>
            <w:r>
              <w:rPr>
                <w:color w:val="000000"/>
                <w:sz w:val="19"/>
              </w:rPr>
              <w:noBreakHyphen/>
              <w:t>66</w:t>
            </w:r>
          </w:p>
        </w:tc>
        <w:tc>
          <w:tcPr>
            <w:tcW w:w="2553" w:type="dxa"/>
          </w:tcPr>
          <w:p>
            <w:pPr>
              <w:pStyle w:val="nTable"/>
              <w:spacing w:after="40"/>
              <w:rPr>
                <w:color w:val="000000"/>
                <w:sz w:val="19"/>
              </w:rPr>
            </w:pPr>
            <w:r>
              <w:rPr>
                <w:color w:val="000000"/>
                <w:sz w:val="19"/>
              </w:rPr>
              <w:t>24 Sep 1984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1985</w:t>
            </w:r>
            <w:r>
              <w:rPr>
                <w:color w:val="000000"/>
                <w:sz w:val="19"/>
              </w:rPr>
              <w:t xml:space="preserve"> published in </w:t>
            </w:r>
            <w:r>
              <w:rPr>
                <w:i/>
                <w:iCs/>
                <w:color w:val="000000"/>
                <w:sz w:val="19"/>
              </w:rPr>
              <w:t>Gazette</w:t>
            </w:r>
            <w:r>
              <w:rPr>
                <w:color w:val="000000"/>
                <w:sz w:val="19"/>
              </w:rPr>
              <w:t xml:space="preserve"> 8 Feb 1985 p. 517</w:t>
            </w:r>
          </w:p>
        </w:tc>
        <w:tc>
          <w:tcPr>
            <w:tcW w:w="2553" w:type="dxa"/>
          </w:tcPr>
          <w:p>
            <w:pPr>
              <w:pStyle w:val="nTable"/>
              <w:spacing w:after="40"/>
              <w:rPr>
                <w:color w:val="000000"/>
                <w:sz w:val="19"/>
              </w:rPr>
            </w:pPr>
            <w:r>
              <w:rPr>
                <w:color w:val="000000"/>
                <w:sz w:val="19"/>
              </w:rPr>
              <w:t>8 Feb 1985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2) 1985 </w:t>
            </w:r>
            <w:r>
              <w:rPr>
                <w:color w:val="000000"/>
                <w:sz w:val="19"/>
              </w:rPr>
              <w:t xml:space="preserve">published in </w:t>
            </w:r>
            <w:r>
              <w:rPr>
                <w:i/>
                <w:iCs/>
                <w:color w:val="000000"/>
                <w:sz w:val="19"/>
              </w:rPr>
              <w:t>Gazette</w:t>
            </w:r>
            <w:r>
              <w:rPr>
                <w:color w:val="000000"/>
                <w:sz w:val="19"/>
              </w:rPr>
              <w:t xml:space="preserve"> 15 Mar 1985 p. 936</w:t>
            </w:r>
            <w:r>
              <w:rPr>
                <w:color w:val="000000"/>
                <w:sz w:val="19"/>
              </w:rPr>
              <w:noBreakHyphen/>
              <w:t>41</w:t>
            </w:r>
          </w:p>
        </w:tc>
        <w:tc>
          <w:tcPr>
            <w:tcW w:w="2553" w:type="dxa"/>
          </w:tcPr>
          <w:p>
            <w:pPr>
              <w:pStyle w:val="nTable"/>
              <w:spacing w:after="40"/>
              <w:rPr>
                <w:color w:val="000000"/>
                <w:sz w:val="19"/>
              </w:rPr>
            </w:pPr>
            <w:r>
              <w:rPr>
                <w:color w:val="000000"/>
                <w:sz w:val="19"/>
              </w:rPr>
              <w:t>15 Mar 1985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3) 1985 </w:t>
            </w:r>
            <w:r>
              <w:rPr>
                <w:color w:val="000000"/>
                <w:sz w:val="19"/>
              </w:rPr>
              <w:t xml:space="preserve">published in </w:t>
            </w:r>
            <w:r>
              <w:rPr>
                <w:i/>
                <w:iCs/>
                <w:color w:val="000000"/>
                <w:sz w:val="19"/>
              </w:rPr>
              <w:t>Gazette</w:t>
            </w:r>
            <w:r>
              <w:rPr>
                <w:color w:val="000000"/>
                <w:sz w:val="19"/>
              </w:rPr>
              <w:t xml:space="preserve"> 29 Mar 1985 p. 1110</w:t>
            </w:r>
          </w:p>
        </w:tc>
        <w:tc>
          <w:tcPr>
            <w:tcW w:w="2553" w:type="dxa"/>
          </w:tcPr>
          <w:p>
            <w:pPr>
              <w:pStyle w:val="nTable"/>
              <w:spacing w:after="40"/>
              <w:rPr>
                <w:color w:val="000000"/>
                <w:sz w:val="19"/>
              </w:rPr>
            </w:pPr>
            <w:r>
              <w:rPr>
                <w:color w:val="000000"/>
                <w:sz w:val="19"/>
              </w:rPr>
              <w:t>29 Mar 1985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4) 1985 </w:t>
            </w:r>
            <w:r>
              <w:rPr>
                <w:color w:val="000000"/>
                <w:sz w:val="19"/>
              </w:rPr>
              <w:t xml:space="preserve">published in </w:t>
            </w:r>
            <w:r>
              <w:rPr>
                <w:i/>
                <w:iCs/>
                <w:color w:val="000000"/>
                <w:sz w:val="19"/>
              </w:rPr>
              <w:t>Gazette</w:t>
            </w:r>
            <w:r>
              <w:rPr>
                <w:color w:val="000000"/>
                <w:sz w:val="19"/>
              </w:rPr>
              <w:t xml:space="preserve"> 31 May 1985 p. 1883</w:t>
            </w:r>
          </w:p>
        </w:tc>
        <w:tc>
          <w:tcPr>
            <w:tcW w:w="2553" w:type="dxa"/>
          </w:tcPr>
          <w:p>
            <w:pPr>
              <w:pStyle w:val="nTable"/>
              <w:spacing w:after="40"/>
              <w:rPr>
                <w:color w:val="000000"/>
                <w:sz w:val="19"/>
              </w:rPr>
            </w:pPr>
            <w:r>
              <w:rPr>
                <w:color w:val="000000"/>
                <w:sz w:val="19"/>
              </w:rPr>
              <w:t>31 May 1985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5) 1985 </w:t>
            </w:r>
            <w:r>
              <w:rPr>
                <w:color w:val="000000"/>
                <w:sz w:val="19"/>
              </w:rPr>
              <w:t xml:space="preserve">published in </w:t>
            </w:r>
            <w:r>
              <w:rPr>
                <w:i/>
                <w:iCs/>
                <w:color w:val="000000"/>
                <w:sz w:val="19"/>
              </w:rPr>
              <w:t>Gazette</w:t>
            </w:r>
            <w:r>
              <w:rPr>
                <w:color w:val="000000"/>
                <w:sz w:val="19"/>
              </w:rPr>
              <w:t xml:space="preserve"> 16 Aug 1985 p. 2921</w:t>
            </w:r>
            <w:r>
              <w:rPr>
                <w:color w:val="000000"/>
                <w:sz w:val="19"/>
              </w:rPr>
              <w:noBreakHyphen/>
              <w:t>6</w:t>
            </w:r>
          </w:p>
        </w:tc>
        <w:tc>
          <w:tcPr>
            <w:tcW w:w="2553" w:type="dxa"/>
          </w:tcPr>
          <w:p>
            <w:pPr>
              <w:pStyle w:val="nTable"/>
              <w:spacing w:after="40"/>
              <w:rPr>
                <w:color w:val="000000"/>
                <w:sz w:val="19"/>
              </w:rPr>
            </w:pPr>
            <w:r>
              <w:rPr>
                <w:color w:val="000000"/>
                <w:sz w:val="19"/>
              </w:rPr>
              <w:t>16 Aug 1985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6) 1985</w:t>
            </w:r>
            <w:r>
              <w:rPr>
                <w:color w:val="000000"/>
                <w:sz w:val="19"/>
              </w:rPr>
              <w:t xml:space="preserve"> published in </w:t>
            </w:r>
            <w:r>
              <w:rPr>
                <w:i/>
                <w:iCs/>
                <w:color w:val="000000"/>
                <w:sz w:val="19"/>
              </w:rPr>
              <w:t>Gazette</w:t>
            </w:r>
            <w:r>
              <w:rPr>
                <w:sz w:val="19"/>
              </w:rPr>
              <w:t xml:space="preserve"> 18 Oct 1985 p. 3989</w:t>
            </w:r>
            <w:r>
              <w:rPr>
                <w:sz w:val="19"/>
              </w:rPr>
              <w:noBreakHyphen/>
              <w:t>95</w:t>
            </w:r>
          </w:p>
        </w:tc>
        <w:tc>
          <w:tcPr>
            <w:tcW w:w="2553" w:type="dxa"/>
          </w:tcPr>
          <w:p>
            <w:pPr>
              <w:pStyle w:val="nTable"/>
              <w:spacing w:after="40"/>
              <w:rPr>
                <w:color w:val="000000"/>
                <w:sz w:val="19"/>
              </w:rPr>
            </w:pPr>
            <w:r>
              <w:rPr>
                <w:color w:val="000000"/>
                <w:sz w:val="19"/>
              </w:rPr>
              <w:t>1 Dec 1985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7) 1985</w:t>
            </w:r>
            <w:r>
              <w:rPr>
                <w:color w:val="000000"/>
                <w:sz w:val="19"/>
              </w:rPr>
              <w:t xml:space="preserve"> published in </w:t>
            </w:r>
            <w:r>
              <w:rPr>
                <w:i/>
                <w:iCs/>
                <w:color w:val="000000"/>
                <w:sz w:val="19"/>
              </w:rPr>
              <w:t>Gazette</w:t>
            </w:r>
            <w:r>
              <w:rPr>
                <w:color w:val="000000"/>
                <w:sz w:val="19"/>
              </w:rPr>
              <w:t xml:space="preserve"> 20 Dec 1985 p. 4833</w:t>
            </w:r>
          </w:p>
        </w:tc>
        <w:tc>
          <w:tcPr>
            <w:tcW w:w="2553" w:type="dxa"/>
          </w:tcPr>
          <w:p>
            <w:pPr>
              <w:pStyle w:val="nTable"/>
              <w:spacing w:after="40"/>
              <w:rPr>
                <w:color w:val="000000"/>
                <w:sz w:val="19"/>
              </w:rPr>
            </w:pPr>
            <w:r>
              <w:rPr>
                <w:color w:val="000000"/>
                <w:sz w:val="19"/>
              </w:rPr>
              <w:t>20 Dec 1985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1986</w:t>
            </w:r>
            <w:r>
              <w:rPr>
                <w:color w:val="000000"/>
                <w:sz w:val="19"/>
              </w:rPr>
              <w:t xml:space="preserve"> published in </w:t>
            </w:r>
            <w:r>
              <w:rPr>
                <w:i/>
                <w:iCs/>
                <w:color w:val="000000"/>
                <w:sz w:val="19"/>
              </w:rPr>
              <w:t>Gazette</w:t>
            </w:r>
            <w:r>
              <w:rPr>
                <w:color w:val="000000"/>
                <w:sz w:val="19"/>
              </w:rPr>
              <w:t xml:space="preserve"> 11 Jul 1986 p. 2338</w:t>
            </w:r>
          </w:p>
        </w:tc>
        <w:tc>
          <w:tcPr>
            <w:tcW w:w="2553" w:type="dxa"/>
          </w:tcPr>
          <w:p>
            <w:pPr>
              <w:pStyle w:val="nTable"/>
              <w:spacing w:after="40"/>
              <w:rPr>
                <w:color w:val="000000"/>
                <w:sz w:val="19"/>
              </w:rPr>
            </w:pPr>
            <w:r>
              <w:rPr>
                <w:color w:val="000000"/>
                <w:sz w:val="19"/>
              </w:rPr>
              <w:t>11 Jul 1986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1986</w:t>
            </w:r>
            <w:r>
              <w:rPr>
                <w:color w:val="000000"/>
                <w:sz w:val="19"/>
              </w:rPr>
              <w:t xml:space="preserve"> published in </w:t>
            </w:r>
            <w:r>
              <w:rPr>
                <w:i/>
                <w:iCs/>
                <w:color w:val="000000"/>
                <w:sz w:val="19"/>
              </w:rPr>
              <w:t>Gazette</w:t>
            </w:r>
            <w:r>
              <w:rPr>
                <w:color w:val="000000"/>
                <w:sz w:val="19"/>
              </w:rPr>
              <w:t xml:space="preserve"> 1 Aug 1986 p. 2730</w:t>
            </w:r>
            <w:r>
              <w:rPr>
                <w:color w:val="000000"/>
                <w:sz w:val="19"/>
              </w:rPr>
              <w:noBreakHyphen/>
              <w:t>9</w:t>
            </w:r>
          </w:p>
        </w:tc>
        <w:tc>
          <w:tcPr>
            <w:tcW w:w="2553" w:type="dxa"/>
          </w:tcPr>
          <w:p>
            <w:pPr>
              <w:pStyle w:val="nTable"/>
              <w:spacing w:after="40"/>
              <w:rPr>
                <w:color w:val="000000"/>
                <w:sz w:val="19"/>
              </w:rPr>
            </w:pPr>
            <w:r>
              <w:rPr>
                <w:color w:val="000000"/>
                <w:sz w:val="19"/>
              </w:rPr>
              <w:t>1 Sep 1986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1986</w:t>
            </w:r>
            <w:r>
              <w:rPr>
                <w:color w:val="000000"/>
                <w:sz w:val="19"/>
              </w:rPr>
              <w:t xml:space="preserve"> published in </w:t>
            </w:r>
            <w:r>
              <w:rPr>
                <w:i/>
                <w:iCs/>
                <w:color w:val="000000"/>
                <w:sz w:val="19"/>
              </w:rPr>
              <w:t>Gazette</w:t>
            </w:r>
            <w:r>
              <w:rPr>
                <w:color w:val="000000"/>
                <w:sz w:val="19"/>
              </w:rPr>
              <w:t xml:space="preserve"> 14 Nov 1986 p. 4193</w:t>
            </w:r>
            <w:r>
              <w:rPr>
                <w:color w:val="000000"/>
                <w:sz w:val="19"/>
              </w:rPr>
              <w:noBreakHyphen/>
              <w:t>4</w:t>
            </w:r>
          </w:p>
        </w:tc>
        <w:tc>
          <w:tcPr>
            <w:tcW w:w="2553" w:type="dxa"/>
          </w:tcPr>
          <w:p>
            <w:pPr>
              <w:pStyle w:val="nTable"/>
              <w:spacing w:after="40"/>
              <w:rPr>
                <w:color w:val="000000"/>
                <w:sz w:val="19"/>
              </w:rPr>
            </w:pPr>
            <w:r>
              <w:rPr>
                <w:color w:val="000000"/>
                <w:sz w:val="19"/>
              </w:rPr>
              <w:t>14 Nov 1986</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1986</w:t>
            </w:r>
            <w:r>
              <w:rPr>
                <w:color w:val="000000"/>
                <w:sz w:val="19"/>
              </w:rPr>
              <w:t xml:space="preserve"> published in </w:t>
            </w:r>
            <w:r>
              <w:rPr>
                <w:i/>
                <w:iCs/>
                <w:color w:val="000000"/>
                <w:sz w:val="19"/>
              </w:rPr>
              <w:t>Gazette</w:t>
            </w:r>
            <w:r>
              <w:rPr>
                <w:color w:val="000000"/>
                <w:sz w:val="19"/>
              </w:rPr>
              <w:t xml:space="preserve"> 24 Dec 1986 p. 4974</w:t>
            </w:r>
          </w:p>
        </w:tc>
        <w:tc>
          <w:tcPr>
            <w:tcW w:w="2553" w:type="dxa"/>
          </w:tcPr>
          <w:p>
            <w:pPr>
              <w:pStyle w:val="nTable"/>
              <w:spacing w:after="40"/>
              <w:rPr>
                <w:color w:val="000000"/>
                <w:sz w:val="19"/>
              </w:rPr>
            </w:pPr>
            <w:r>
              <w:rPr>
                <w:color w:val="000000"/>
                <w:sz w:val="19"/>
              </w:rPr>
              <w:t>31 Dec 1986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1987</w:t>
            </w:r>
            <w:r>
              <w:rPr>
                <w:color w:val="000000"/>
                <w:sz w:val="19"/>
              </w:rPr>
              <w:t xml:space="preserve"> published in </w:t>
            </w:r>
            <w:r>
              <w:rPr>
                <w:i/>
                <w:iCs/>
                <w:color w:val="000000"/>
                <w:sz w:val="19"/>
              </w:rPr>
              <w:t>Gazette</w:t>
            </w:r>
            <w:r>
              <w:rPr>
                <w:color w:val="000000"/>
                <w:sz w:val="19"/>
              </w:rPr>
              <w:t xml:space="preserve"> 10 Apr 1987 p. 1302</w:t>
            </w:r>
            <w:r>
              <w:rPr>
                <w:color w:val="000000"/>
                <w:sz w:val="19"/>
              </w:rPr>
              <w:noBreakHyphen/>
              <w:t>9</w:t>
            </w:r>
          </w:p>
        </w:tc>
        <w:tc>
          <w:tcPr>
            <w:tcW w:w="2553" w:type="dxa"/>
          </w:tcPr>
          <w:p>
            <w:pPr>
              <w:pStyle w:val="nTable"/>
              <w:spacing w:after="40"/>
              <w:rPr>
                <w:color w:val="000000"/>
                <w:sz w:val="19"/>
              </w:rPr>
            </w:pPr>
            <w:r>
              <w:rPr>
                <w:color w:val="000000"/>
                <w:sz w:val="19"/>
              </w:rPr>
              <w:t>10 Apr 1987</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1987</w:t>
            </w:r>
            <w:r>
              <w:rPr>
                <w:color w:val="000000"/>
                <w:sz w:val="19"/>
              </w:rPr>
              <w:t xml:space="preserve"> published in </w:t>
            </w:r>
            <w:r>
              <w:rPr>
                <w:i/>
                <w:iCs/>
                <w:color w:val="000000"/>
                <w:sz w:val="19"/>
              </w:rPr>
              <w:t>Gazette</w:t>
            </w:r>
            <w:r>
              <w:rPr>
                <w:color w:val="000000"/>
                <w:sz w:val="19"/>
              </w:rPr>
              <w:t xml:space="preserve"> 26 Jun 1987 p. 2492</w:t>
            </w:r>
          </w:p>
        </w:tc>
        <w:tc>
          <w:tcPr>
            <w:tcW w:w="2553" w:type="dxa"/>
          </w:tcPr>
          <w:p>
            <w:pPr>
              <w:pStyle w:val="nTable"/>
              <w:spacing w:after="40"/>
              <w:rPr>
                <w:color w:val="000000"/>
                <w:sz w:val="19"/>
              </w:rPr>
            </w:pPr>
            <w:r>
              <w:rPr>
                <w:color w:val="000000"/>
                <w:sz w:val="19"/>
              </w:rPr>
              <w:t>26 Jun 1987</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1987</w:t>
            </w:r>
            <w:r>
              <w:rPr>
                <w:color w:val="000000"/>
                <w:sz w:val="19"/>
              </w:rPr>
              <w:t xml:space="preserve"> published in </w:t>
            </w:r>
            <w:r>
              <w:rPr>
                <w:i/>
                <w:iCs/>
                <w:color w:val="000000"/>
                <w:sz w:val="19"/>
              </w:rPr>
              <w:t>Gazette</w:t>
            </w:r>
            <w:r>
              <w:rPr>
                <w:color w:val="000000"/>
                <w:sz w:val="19"/>
              </w:rPr>
              <w:t xml:space="preserve"> 18 Sep 1987 p. 3597</w:t>
            </w:r>
            <w:r>
              <w:rPr>
                <w:color w:val="000000"/>
                <w:sz w:val="19"/>
              </w:rPr>
              <w:noBreakHyphen/>
              <w:t>600</w:t>
            </w:r>
          </w:p>
        </w:tc>
        <w:tc>
          <w:tcPr>
            <w:tcW w:w="2553" w:type="dxa"/>
          </w:tcPr>
          <w:p>
            <w:pPr>
              <w:pStyle w:val="nTable"/>
              <w:spacing w:after="40"/>
              <w:rPr>
                <w:color w:val="000000"/>
                <w:sz w:val="19"/>
              </w:rPr>
            </w:pPr>
            <w:r>
              <w:rPr>
                <w:color w:val="000000"/>
                <w:sz w:val="19"/>
              </w:rPr>
              <w:t>18 Sep 1987</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1988 </w:t>
            </w:r>
            <w:r>
              <w:rPr>
                <w:color w:val="000000"/>
                <w:sz w:val="19"/>
              </w:rPr>
              <w:t xml:space="preserve">published in </w:t>
            </w:r>
            <w:r>
              <w:rPr>
                <w:i/>
                <w:iCs/>
                <w:color w:val="000000"/>
                <w:sz w:val="19"/>
              </w:rPr>
              <w:t>Gazette</w:t>
            </w:r>
            <w:r>
              <w:rPr>
                <w:color w:val="000000"/>
                <w:sz w:val="19"/>
              </w:rPr>
              <w:t xml:space="preserve"> 5 Feb 1988 p. 333</w:t>
            </w:r>
            <w:r>
              <w:rPr>
                <w:color w:val="000000"/>
                <w:sz w:val="19"/>
              </w:rPr>
              <w:noBreakHyphen/>
              <w:t>48</w:t>
            </w:r>
          </w:p>
        </w:tc>
        <w:tc>
          <w:tcPr>
            <w:tcW w:w="2553" w:type="dxa"/>
          </w:tcPr>
          <w:p>
            <w:pPr>
              <w:pStyle w:val="nTable"/>
              <w:spacing w:after="40"/>
              <w:rPr>
                <w:color w:val="000000"/>
                <w:sz w:val="19"/>
              </w:rPr>
            </w:pPr>
            <w:r>
              <w:rPr>
                <w:color w:val="000000"/>
                <w:sz w:val="19"/>
              </w:rPr>
              <w:t>5 Feb 1988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1988</w:t>
            </w:r>
            <w:r>
              <w:rPr>
                <w:color w:val="000000"/>
                <w:sz w:val="19"/>
              </w:rPr>
              <w:t xml:space="preserve"> published in </w:t>
            </w:r>
            <w:r>
              <w:rPr>
                <w:i/>
                <w:iCs/>
                <w:color w:val="000000"/>
                <w:sz w:val="19"/>
              </w:rPr>
              <w:t>Gazette</w:t>
            </w:r>
            <w:r>
              <w:rPr>
                <w:color w:val="000000"/>
                <w:sz w:val="19"/>
              </w:rPr>
              <w:t xml:space="preserve"> 2 Sep 1988 p. 3397</w:t>
            </w:r>
            <w:r>
              <w:rPr>
                <w:color w:val="000000"/>
                <w:sz w:val="19"/>
              </w:rPr>
              <w:noBreakHyphen/>
              <w:t>402</w:t>
            </w:r>
          </w:p>
        </w:tc>
        <w:tc>
          <w:tcPr>
            <w:tcW w:w="2553" w:type="dxa"/>
          </w:tcPr>
          <w:p>
            <w:pPr>
              <w:pStyle w:val="nTable"/>
              <w:spacing w:after="40"/>
              <w:rPr>
                <w:color w:val="000000"/>
                <w:sz w:val="19"/>
              </w:rPr>
            </w:pPr>
            <w:r>
              <w:rPr>
                <w:color w:val="000000"/>
                <w:sz w:val="19"/>
              </w:rPr>
              <w:t>2 Sep 1988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1988</w:t>
            </w:r>
            <w:r>
              <w:rPr>
                <w:color w:val="000000"/>
                <w:sz w:val="19"/>
              </w:rPr>
              <w:t xml:space="preserve"> published in </w:t>
            </w:r>
            <w:r>
              <w:rPr>
                <w:i/>
                <w:iCs/>
                <w:color w:val="000000"/>
                <w:sz w:val="19"/>
              </w:rPr>
              <w:t>Gazette</w:t>
            </w:r>
            <w:r>
              <w:rPr>
                <w:color w:val="000000"/>
                <w:sz w:val="19"/>
              </w:rPr>
              <w:t xml:space="preserve"> 9 Dec 1988 p. 4822</w:t>
            </w:r>
          </w:p>
        </w:tc>
        <w:tc>
          <w:tcPr>
            <w:tcW w:w="2553" w:type="dxa"/>
          </w:tcPr>
          <w:p>
            <w:pPr>
              <w:pStyle w:val="nTable"/>
              <w:spacing w:after="40"/>
              <w:rPr>
                <w:color w:val="000000"/>
                <w:sz w:val="19"/>
              </w:rPr>
            </w:pPr>
            <w:r>
              <w:rPr>
                <w:color w:val="000000"/>
                <w:sz w:val="19"/>
              </w:rPr>
              <w:t>9 Dec 1988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1988</w:t>
            </w:r>
            <w:r>
              <w:rPr>
                <w:color w:val="000000"/>
                <w:sz w:val="19"/>
              </w:rPr>
              <w:t xml:space="preserve"> published in </w:t>
            </w:r>
            <w:r>
              <w:rPr>
                <w:i/>
                <w:iCs/>
                <w:color w:val="000000"/>
                <w:sz w:val="19"/>
              </w:rPr>
              <w:t>Gazette</w:t>
            </w:r>
            <w:r>
              <w:rPr>
                <w:color w:val="000000"/>
                <w:sz w:val="19"/>
              </w:rPr>
              <w:t xml:space="preserve"> 13 Jan 1989 p. 67</w:t>
            </w:r>
            <w:r>
              <w:rPr>
                <w:color w:val="000000"/>
                <w:sz w:val="19"/>
              </w:rPr>
              <w:noBreakHyphen/>
              <w:t xml:space="preserve">72 </w:t>
            </w:r>
            <w:r>
              <w:rPr>
                <w:iCs/>
                <w:color w:val="000000"/>
                <w:sz w:val="19"/>
              </w:rPr>
              <w:t>(erratum</w:t>
            </w:r>
            <w:r>
              <w:rPr>
                <w:i/>
                <w:iCs/>
                <w:color w:val="000000"/>
                <w:sz w:val="19"/>
              </w:rPr>
              <w:t xml:space="preserve"> </w:t>
            </w:r>
            <w:r>
              <w:rPr>
                <w:color w:val="000000"/>
                <w:sz w:val="19"/>
              </w:rPr>
              <w:t>21 Apr 1989 p. 1160)</w:t>
            </w:r>
          </w:p>
        </w:tc>
        <w:tc>
          <w:tcPr>
            <w:tcW w:w="2553" w:type="dxa"/>
          </w:tcPr>
          <w:p>
            <w:pPr>
              <w:pStyle w:val="nTable"/>
              <w:spacing w:after="40"/>
              <w:rPr>
                <w:color w:val="000000"/>
                <w:sz w:val="19"/>
              </w:rPr>
            </w:pPr>
            <w:r>
              <w:rPr>
                <w:color w:val="000000"/>
                <w:sz w:val="19"/>
              </w:rPr>
              <w:t>13 Jan 1989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1989</w:t>
            </w:r>
            <w:r>
              <w:rPr>
                <w:color w:val="000000"/>
                <w:sz w:val="19"/>
              </w:rPr>
              <w:t xml:space="preserve"> published in </w:t>
            </w:r>
            <w:r>
              <w:rPr>
                <w:i/>
                <w:iCs/>
                <w:color w:val="000000"/>
                <w:sz w:val="19"/>
              </w:rPr>
              <w:t>Gazette</w:t>
            </w:r>
            <w:r>
              <w:rPr>
                <w:color w:val="000000"/>
                <w:sz w:val="19"/>
              </w:rPr>
              <w:t xml:space="preserve"> 14 Apr 1989 p. 1098</w:t>
            </w:r>
            <w:r>
              <w:rPr>
                <w:color w:val="000000"/>
                <w:sz w:val="19"/>
              </w:rPr>
              <w:noBreakHyphen/>
              <w:t>103</w:t>
            </w:r>
          </w:p>
        </w:tc>
        <w:tc>
          <w:tcPr>
            <w:tcW w:w="2553" w:type="dxa"/>
          </w:tcPr>
          <w:p>
            <w:pPr>
              <w:pStyle w:val="nTable"/>
              <w:spacing w:after="40"/>
              <w:rPr>
                <w:color w:val="000000"/>
                <w:sz w:val="19"/>
              </w:rPr>
            </w:pPr>
            <w:r>
              <w:rPr>
                <w:color w:val="000000"/>
                <w:sz w:val="19"/>
              </w:rPr>
              <w:t>14 Apr 1989</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1989</w:t>
            </w:r>
            <w:r>
              <w:rPr>
                <w:color w:val="000000"/>
                <w:sz w:val="19"/>
              </w:rPr>
              <w:t xml:space="preserve"> published in </w:t>
            </w:r>
            <w:r>
              <w:rPr>
                <w:i/>
                <w:iCs/>
                <w:color w:val="000000"/>
                <w:sz w:val="19"/>
              </w:rPr>
              <w:t>Gazette</w:t>
            </w:r>
            <w:r>
              <w:rPr>
                <w:sz w:val="19"/>
              </w:rPr>
              <w:t xml:space="preserve"> 16 Jun 1989 p. 1740</w:t>
            </w:r>
            <w:r>
              <w:rPr>
                <w:sz w:val="19"/>
              </w:rPr>
              <w:noBreakHyphen/>
              <w:t>1</w:t>
            </w:r>
          </w:p>
        </w:tc>
        <w:tc>
          <w:tcPr>
            <w:tcW w:w="2553" w:type="dxa"/>
          </w:tcPr>
          <w:p>
            <w:pPr>
              <w:pStyle w:val="nTable"/>
              <w:spacing w:after="40"/>
              <w:rPr>
                <w:color w:val="000000"/>
                <w:sz w:val="19"/>
              </w:rPr>
            </w:pPr>
            <w:r>
              <w:rPr>
                <w:color w:val="000000"/>
                <w:sz w:val="19"/>
              </w:rPr>
              <w:t>16 Jun 1989</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1989</w:t>
            </w:r>
            <w:r>
              <w:rPr>
                <w:color w:val="000000"/>
                <w:sz w:val="19"/>
              </w:rPr>
              <w:t xml:space="preserve"> published in </w:t>
            </w:r>
            <w:r>
              <w:rPr>
                <w:i/>
                <w:iCs/>
                <w:color w:val="000000"/>
                <w:sz w:val="19"/>
              </w:rPr>
              <w:t>Gazette</w:t>
            </w:r>
            <w:r>
              <w:rPr>
                <w:sz w:val="19"/>
              </w:rPr>
              <w:t xml:space="preserve"> 14 Jul 1989 p. 2154</w:t>
            </w:r>
          </w:p>
        </w:tc>
        <w:tc>
          <w:tcPr>
            <w:tcW w:w="2553" w:type="dxa"/>
          </w:tcPr>
          <w:p>
            <w:pPr>
              <w:pStyle w:val="nTable"/>
              <w:spacing w:after="40"/>
              <w:rPr>
                <w:color w:val="000000"/>
                <w:sz w:val="19"/>
              </w:rPr>
            </w:pPr>
            <w:r>
              <w:rPr>
                <w:color w:val="000000"/>
                <w:sz w:val="19"/>
              </w:rPr>
              <w:t>21 Jul 1989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1990</w:t>
            </w:r>
            <w:r>
              <w:rPr>
                <w:color w:val="000000"/>
                <w:sz w:val="19"/>
              </w:rPr>
              <w:t xml:space="preserve"> published in </w:t>
            </w:r>
            <w:r>
              <w:rPr>
                <w:i/>
                <w:iCs/>
                <w:color w:val="000000"/>
                <w:sz w:val="19"/>
              </w:rPr>
              <w:t>Gazette</w:t>
            </w:r>
            <w:r>
              <w:rPr>
                <w:color w:val="000000"/>
                <w:sz w:val="19"/>
              </w:rPr>
              <w:t xml:space="preserve"> 25 May 1990 p. 2397</w:t>
            </w:r>
          </w:p>
        </w:tc>
        <w:tc>
          <w:tcPr>
            <w:tcW w:w="2553" w:type="dxa"/>
          </w:tcPr>
          <w:p>
            <w:pPr>
              <w:pStyle w:val="nTable"/>
              <w:spacing w:after="40"/>
              <w:rPr>
                <w:color w:val="000000"/>
                <w:sz w:val="19"/>
              </w:rPr>
            </w:pPr>
            <w:r>
              <w:rPr>
                <w:color w:val="000000"/>
                <w:sz w:val="19"/>
              </w:rPr>
              <w:t>25 May 1990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1990</w:t>
            </w:r>
            <w:r>
              <w:rPr>
                <w:color w:val="000000"/>
                <w:sz w:val="19"/>
              </w:rPr>
              <w:t xml:space="preserve"> published in </w:t>
            </w:r>
            <w:r>
              <w:rPr>
                <w:i/>
                <w:iCs/>
                <w:color w:val="000000"/>
                <w:sz w:val="19"/>
              </w:rPr>
              <w:t>Gazette</w:t>
            </w:r>
            <w:r>
              <w:rPr>
                <w:color w:val="000000"/>
                <w:sz w:val="19"/>
              </w:rPr>
              <w:t xml:space="preserve"> 20 Jul 1990 p. 3469</w:t>
            </w:r>
            <w:r>
              <w:rPr>
                <w:color w:val="000000"/>
                <w:sz w:val="19"/>
              </w:rPr>
              <w:noBreakHyphen/>
              <w:t>81</w:t>
            </w:r>
          </w:p>
        </w:tc>
        <w:tc>
          <w:tcPr>
            <w:tcW w:w="2553" w:type="dxa"/>
          </w:tcPr>
          <w:p>
            <w:pPr>
              <w:pStyle w:val="nTable"/>
              <w:spacing w:after="40"/>
              <w:rPr>
                <w:color w:val="000000"/>
                <w:sz w:val="19"/>
              </w:rPr>
            </w:pPr>
            <w:r>
              <w:rPr>
                <w:color w:val="000000"/>
                <w:sz w:val="19"/>
              </w:rPr>
              <w:t>20 Jul 1990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1990</w:t>
            </w:r>
            <w:r>
              <w:rPr>
                <w:color w:val="000000"/>
                <w:sz w:val="19"/>
              </w:rPr>
              <w:t xml:space="preserve"> published in </w:t>
            </w:r>
            <w:r>
              <w:rPr>
                <w:i/>
                <w:iCs/>
                <w:color w:val="000000"/>
                <w:sz w:val="19"/>
              </w:rPr>
              <w:t>Gazette</w:t>
            </w:r>
            <w:r>
              <w:rPr>
                <w:color w:val="000000"/>
                <w:sz w:val="19"/>
              </w:rPr>
              <w:t xml:space="preserve"> 14 Sep 1990 p. 4769</w:t>
            </w:r>
            <w:r>
              <w:rPr>
                <w:color w:val="000000"/>
                <w:sz w:val="19"/>
              </w:rPr>
              <w:noBreakHyphen/>
              <w:t>71</w:t>
            </w:r>
          </w:p>
        </w:tc>
        <w:tc>
          <w:tcPr>
            <w:tcW w:w="2553" w:type="dxa"/>
          </w:tcPr>
          <w:p>
            <w:pPr>
              <w:pStyle w:val="nTable"/>
              <w:spacing w:after="40"/>
              <w:rPr>
                <w:color w:val="000000"/>
                <w:sz w:val="19"/>
              </w:rPr>
            </w:pPr>
            <w:r>
              <w:rPr>
                <w:color w:val="000000"/>
                <w:sz w:val="19"/>
              </w:rPr>
              <w:t>14 Sep 1990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1990</w:t>
            </w:r>
            <w:r>
              <w:rPr>
                <w:color w:val="000000"/>
                <w:sz w:val="19"/>
              </w:rPr>
              <w:t xml:space="preserve"> published in </w:t>
            </w:r>
            <w:r>
              <w:rPr>
                <w:i/>
                <w:iCs/>
                <w:color w:val="000000"/>
                <w:sz w:val="19"/>
              </w:rPr>
              <w:t>Gazette</w:t>
            </w:r>
            <w:r>
              <w:rPr>
                <w:color w:val="000000"/>
                <w:sz w:val="19"/>
              </w:rPr>
              <w:t xml:space="preserve"> 30 Nov 1990 p. 5903</w:t>
            </w:r>
            <w:r>
              <w:rPr>
                <w:color w:val="000000"/>
                <w:sz w:val="19"/>
              </w:rPr>
              <w:noBreakHyphen/>
              <w:t>8</w:t>
            </w:r>
          </w:p>
        </w:tc>
        <w:tc>
          <w:tcPr>
            <w:tcW w:w="2553" w:type="dxa"/>
          </w:tcPr>
          <w:p>
            <w:pPr>
              <w:pStyle w:val="nTable"/>
              <w:spacing w:after="40"/>
              <w:rPr>
                <w:color w:val="000000"/>
                <w:sz w:val="19"/>
              </w:rPr>
            </w:pPr>
            <w:r>
              <w:rPr>
                <w:color w:val="000000"/>
                <w:sz w:val="19"/>
              </w:rPr>
              <w:t>30 Nov 1990</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1991</w:t>
            </w:r>
            <w:r>
              <w:rPr>
                <w:color w:val="000000"/>
                <w:sz w:val="19"/>
              </w:rPr>
              <w:t xml:space="preserve"> published in </w:t>
            </w:r>
            <w:r>
              <w:rPr>
                <w:i/>
                <w:iCs/>
                <w:color w:val="000000"/>
                <w:sz w:val="19"/>
              </w:rPr>
              <w:t>Gazette</w:t>
            </w:r>
            <w:r>
              <w:rPr>
                <w:color w:val="000000"/>
                <w:sz w:val="19"/>
              </w:rPr>
              <w:t xml:space="preserve"> 5 Apr 1991 p. 1405</w:t>
            </w:r>
            <w:r>
              <w:rPr>
                <w:color w:val="000000"/>
                <w:sz w:val="19"/>
              </w:rPr>
              <w:noBreakHyphen/>
              <w:t>12</w:t>
            </w:r>
          </w:p>
        </w:tc>
        <w:tc>
          <w:tcPr>
            <w:tcW w:w="2553" w:type="dxa"/>
          </w:tcPr>
          <w:p>
            <w:pPr>
              <w:pStyle w:val="nTable"/>
              <w:spacing w:after="40"/>
              <w:rPr>
                <w:color w:val="000000"/>
                <w:sz w:val="19"/>
              </w:rPr>
            </w:pPr>
            <w:r>
              <w:rPr>
                <w:color w:val="000000"/>
                <w:sz w:val="19"/>
              </w:rPr>
              <w:t>5 Apr 1991</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1991</w:t>
            </w:r>
            <w:r>
              <w:rPr>
                <w:color w:val="000000"/>
                <w:sz w:val="19"/>
              </w:rPr>
              <w:t xml:space="preserve"> published in </w:t>
            </w:r>
            <w:r>
              <w:rPr>
                <w:i/>
                <w:iCs/>
                <w:color w:val="000000"/>
                <w:sz w:val="19"/>
              </w:rPr>
              <w:t>Gazette</w:t>
            </w:r>
            <w:r>
              <w:rPr>
                <w:color w:val="000000"/>
                <w:sz w:val="19"/>
              </w:rPr>
              <w:t xml:space="preserve"> 12 Jul 1991 p. 3438</w:t>
            </w:r>
            <w:r>
              <w:rPr>
                <w:color w:val="000000"/>
                <w:sz w:val="19"/>
              </w:rPr>
              <w:noBreakHyphen/>
              <w:t>9</w:t>
            </w:r>
          </w:p>
        </w:tc>
        <w:tc>
          <w:tcPr>
            <w:tcW w:w="2553" w:type="dxa"/>
          </w:tcPr>
          <w:p>
            <w:pPr>
              <w:pStyle w:val="nTable"/>
              <w:spacing w:after="40"/>
              <w:rPr>
                <w:color w:val="000000"/>
                <w:sz w:val="19"/>
              </w:rPr>
            </w:pPr>
            <w:r>
              <w:rPr>
                <w:color w:val="000000"/>
                <w:sz w:val="19"/>
              </w:rPr>
              <w:t>12 Jul 1991</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1991</w:t>
            </w:r>
            <w:r>
              <w:rPr>
                <w:color w:val="000000"/>
                <w:sz w:val="19"/>
              </w:rPr>
              <w:t xml:space="preserve"> published in </w:t>
            </w:r>
            <w:r>
              <w:rPr>
                <w:i/>
                <w:iCs/>
                <w:color w:val="000000"/>
                <w:sz w:val="19"/>
              </w:rPr>
              <w:t>Gazette</w:t>
            </w:r>
            <w:r>
              <w:rPr>
                <w:color w:val="000000"/>
                <w:sz w:val="19"/>
              </w:rPr>
              <w:t xml:space="preserve"> 18 Oct 1991 p. 5333</w:t>
            </w:r>
            <w:r>
              <w:rPr>
                <w:color w:val="000000"/>
                <w:sz w:val="19"/>
              </w:rPr>
              <w:noBreakHyphen/>
              <w:t>43</w:t>
            </w:r>
          </w:p>
        </w:tc>
        <w:tc>
          <w:tcPr>
            <w:tcW w:w="2553" w:type="dxa"/>
          </w:tcPr>
          <w:p>
            <w:pPr>
              <w:pStyle w:val="nTable"/>
              <w:spacing w:after="40"/>
              <w:rPr>
                <w:color w:val="000000"/>
                <w:sz w:val="19"/>
              </w:rPr>
            </w:pPr>
            <w:r>
              <w:rPr>
                <w:color w:val="000000"/>
                <w:sz w:val="19"/>
              </w:rPr>
              <w:t>18 Oct 1991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1991</w:t>
            </w:r>
            <w:r>
              <w:rPr>
                <w:color w:val="000000"/>
                <w:sz w:val="19"/>
              </w:rPr>
              <w:t xml:space="preserve"> published in </w:t>
            </w:r>
            <w:r>
              <w:rPr>
                <w:i/>
                <w:iCs/>
                <w:color w:val="000000"/>
                <w:sz w:val="19"/>
              </w:rPr>
              <w:t>Gazette</w:t>
            </w:r>
            <w:r>
              <w:rPr>
                <w:color w:val="000000"/>
                <w:sz w:val="19"/>
              </w:rPr>
              <w:t xml:space="preserve"> 18 Oct 1991 p. 5343</w:t>
            </w:r>
            <w:r>
              <w:rPr>
                <w:color w:val="000000"/>
                <w:sz w:val="19"/>
              </w:rPr>
              <w:noBreakHyphen/>
              <w:t>4</w:t>
            </w:r>
          </w:p>
        </w:tc>
        <w:tc>
          <w:tcPr>
            <w:tcW w:w="2553" w:type="dxa"/>
          </w:tcPr>
          <w:p>
            <w:pPr>
              <w:pStyle w:val="nTable"/>
              <w:spacing w:after="40"/>
              <w:rPr>
                <w:color w:val="000000"/>
                <w:sz w:val="19"/>
              </w:rPr>
            </w:pPr>
            <w:r>
              <w:rPr>
                <w:color w:val="000000"/>
                <w:sz w:val="19"/>
              </w:rPr>
              <w:t>31 Dec 1991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5) 1991</w:t>
            </w:r>
            <w:r>
              <w:rPr>
                <w:color w:val="000000"/>
                <w:sz w:val="19"/>
              </w:rPr>
              <w:t xml:space="preserve"> published in </w:t>
            </w:r>
            <w:r>
              <w:rPr>
                <w:i/>
                <w:iCs/>
                <w:color w:val="000000"/>
                <w:sz w:val="19"/>
              </w:rPr>
              <w:t>Gazette</w:t>
            </w:r>
            <w:r>
              <w:rPr>
                <w:color w:val="000000"/>
                <w:sz w:val="19"/>
              </w:rPr>
              <w:t xml:space="preserve"> 18 Oct 1991 p. 5349</w:t>
            </w:r>
          </w:p>
        </w:tc>
        <w:tc>
          <w:tcPr>
            <w:tcW w:w="2553" w:type="dxa"/>
          </w:tcPr>
          <w:p>
            <w:pPr>
              <w:pStyle w:val="nTable"/>
              <w:spacing w:after="40"/>
              <w:rPr>
                <w:color w:val="000000"/>
                <w:sz w:val="19"/>
              </w:rPr>
            </w:pPr>
            <w:r>
              <w:rPr>
                <w:color w:val="000000"/>
                <w:sz w:val="19"/>
              </w:rPr>
              <w:t>18 Oct 1991</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6) 1991</w:t>
            </w:r>
            <w:r>
              <w:rPr>
                <w:color w:val="000000"/>
                <w:sz w:val="19"/>
              </w:rPr>
              <w:t xml:space="preserve"> published in </w:t>
            </w:r>
            <w:r>
              <w:rPr>
                <w:i/>
                <w:iCs/>
                <w:color w:val="000000"/>
                <w:sz w:val="19"/>
              </w:rPr>
              <w:t>Gazette</w:t>
            </w:r>
            <w:r>
              <w:rPr>
                <w:color w:val="000000"/>
                <w:sz w:val="19"/>
              </w:rPr>
              <w:t xml:space="preserve"> 29 Nov 1991 p. 5990</w:t>
            </w:r>
            <w:r>
              <w:rPr>
                <w:color w:val="000000"/>
                <w:sz w:val="19"/>
              </w:rPr>
              <w:noBreakHyphen/>
              <w:t>1</w:t>
            </w:r>
          </w:p>
        </w:tc>
        <w:tc>
          <w:tcPr>
            <w:tcW w:w="2553" w:type="dxa"/>
          </w:tcPr>
          <w:p>
            <w:pPr>
              <w:pStyle w:val="nTable"/>
              <w:spacing w:after="40"/>
              <w:rPr>
                <w:color w:val="000000"/>
                <w:sz w:val="19"/>
              </w:rPr>
            </w:pPr>
            <w:r>
              <w:rPr>
                <w:color w:val="000000"/>
                <w:sz w:val="19"/>
              </w:rPr>
              <w:t>29 Nov 1991</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1992</w:t>
            </w:r>
            <w:r>
              <w:rPr>
                <w:color w:val="000000"/>
                <w:sz w:val="19"/>
              </w:rPr>
              <w:t xml:space="preserve"> published in </w:t>
            </w:r>
            <w:r>
              <w:rPr>
                <w:i/>
                <w:iCs/>
                <w:color w:val="000000"/>
                <w:sz w:val="19"/>
              </w:rPr>
              <w:t>Gazette</w:t>
            </w:r>
            <w:r>
              <w:rPr>
                <w:color w:val="000000"/>
                <w:sz w:val="19"/>
              </w:rPr>
              <w:t xml:space="preserve"> 16 Apr 1992 p. 1630</w:t>
            </w:r>
            <w:r>
              <w:rPr>
                <w:color w:val="000000"/>
                <w:sz w:val="19"/>
              </w:rPr>
              <w:noBreakHyphen/>
              <w:t>4</w:t>
            </w:r>
          </w:p>
        </w:tc>
        <w:tc>
          <w:tcPr>
            <w:tcW w:w="2553" w:type="dxa"/>
          </w:tcPr>
          <w:p>
            <w:pPr>
              <w:pStyle w:val="nTable"/>
              <w:spacing w:after="40"/>
              <w:rPr>
                <w:color w:val="000000"/>
                <w:sz w:val="19"/>
              </w:rPr>
            </w:pPr>
            <w:r>
              <w:rPr>
                <w:color w:val="000000"/>
                <w:sz w:val="19"/>
              </w:rPr>
              <w:t>16 Apr 1992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1992</w:t>
            </w:r>
            <w:r>
              <w:rPr>
                <w:color w:val="000000"/>
                <w:sz w:val="19"/>
              </w:rPr>
              <w:t xml:space="preserve"> published in </w:t>
            </w:r>
            <w:r>
              <w:rPr>
                <w:i/>
                <w:iCs/>
                <w:color w:val="000000"/>
                <w:sz w:val="19"/>
              </w:rPr>
              <w:t>Gazette</w:t>
            </w:r>
            <w:r>
              <w:rPr>
                <w:color w:val="000000"/>
                <w:sz w:val="19"/>
              </w:rPr>
              <w:t xml:space="preserve"> 7 Aug 1992 p. 3849</w:t>
            </w:r>
            <w:r>
              <w:rPr>
                <w:color w:val="000000"/>
                <w:sz w:val="19"/>
              </w:rPr>
              <w:noBreakHyphen/>
              <w:t>56</w:t>
            </w:r>
          </w:p>
        </w:tc>
        <w:tc>
          <w:tcPr>
            <w:tcW w:w="2553" w:type="dxa"/>
          </w:tcPr>
          <w:p>
            <w:pPr>
              <w:pStyle w:val="nTable"/>
              <w:spacing w:after="40"/>
              <w:rPr>
                <w:color w:val="000000"/>
                <w:sz w:val="19"/>
              </w:rPr>
            </w:pPr>
            <w:r>
              <w:rPr>
                <w:color w:val="000000"/>
                <w:sz w:val="19"/>
              </w:rPr>
              <w:t>7 Aug 1992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1992</w:t>
            </w:r>
            <w:r>
              <w:rPr>
                <w:color w:val="000000"/>
                <w:sz w:val="19"/>
              </w:rPr>
              <w:t xml:space="preserve"> published in </w:t>
            </w:r>
            <w:r>
              <w:rPr>
                <w:i/>
                <w:iCs/>
                <w:color w:val="000000"/>
                <w:sz w:val="19"/>
              </w:rPr>
              <w:t>Gazette</w:t>
            </w:r>
            <w:r>
              <w:rPr>
                <w:color w:val="000000"/>
                <w:sz w:val="19"/>
              </w:rPr>
              <w:t xml:space="preserve"> 7 Aug 1992 p. 3866</w:t>
            </w:r>
            <w:r>
              <w:rPr>
                <w:color w:val="000000"/>
                <w:sz w:val="19"/>
              </w:rPr>
              <w:noBreakHyphen/>
              <w:t>7</w:t>
            </w:r>
          </w:p>
        </w:tc>
        <w:tc>
          <w:tcPr>
            <w:tcW w:w="2553" w:type="dxa"/>
          </w:tcPr>
          <w:p>
            <w:pPr>
              <w:pStyle w:val="nTable"/>
              <w:spacing w:after="40"/>
              <w:rPr>
                <w:color w:val="000000"/>
                <w:sz w:val="19"/>
              </w:rPr>
            </w:pPr>
            <w:r>
              <w:rPr>
                <w:color w:val="000000"/>
                <w:sz w:val="19"/>
              </w:rPr>
              <w:t>7 Aug 1992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1993</w:t>
            </w:r>
            <w:r>
              <w:rPr>
                <w:color w:val="000000"/>
                <w:sz w:val="19"/>
              </w:rPr>
              <w:t xml:space="preserve"> published in </w:t>
            </w:r>
            <w:r>
              <w:rPr>
                <w:i/>
                <w:iCs/>
                <w:color w:val="000000"/>
                <w:sz w:val="19"/>
              </w:rPr>
              <w:t>Gazette</w:t>
            </w:r>
            <w:r>
              <w:rPr>
                <w:color w:val="000000"/>
                <w:sz w:val="19"/>
              </w:rPr>
              <w:t xml:space="preserve"> 28 May 1993 p. 2597</w:t>
            </w:r>
            <w:r>
              <w:rPr>
                <w:color w:val="000000"/>
                <w:sz w:val="19"/>
              </w:rPr>
              <w:noBreakHyphen/>
              <w:t>605</w:t>
            </w:r>
          </w:p>
        </w:tc>
        <w:tc>
          <w:tcPr>
            <w:tcW w:w="2553" w:type="dxa"/>
          </w:tcPr>
          <w:p>
            <w:pPr>
              <w:pStyle w:val="nTable"/>
              <w:spacing w:after="40"/>
              <w:rPr>
                <w:color w:val="000000"/>
                <w:sz w:val="19"/>
              </w:rPr>
            </w:pPr>
            <w:r>
              <w:rPr>
                <w:color w:val="000000"/>
                <w:sz w:val="19"/>
              </w:rPr>
              <w:t>28 May 1993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1993</w:t>
            </w:r>
            <w:r>
              <w:rPr>
                <w:color w:val="000000"/>
                <w:sz w:val="19"/>
              </w:rPr>
              <w:t xml:space="preserve"> published in </w:t>
            </w:r>
            <w:r>
              <w:rPr>
                <w:i/>
                <w:iCs/>
                <w:color w:val="000000"/>
                <w:sz w:val="19"/>
              </w:rPr>
              <w:t>Gazette</w:t>
            </w:r>
            <w:r>
              <w:rPr>
                <w:color w:val="000000"/>
                <w:sz w:val="19"/>
              </w:rPr>
              <w:t xml:space="preserve"> 25 Jun 1993 p. 3086</w:t>
            </w:r>
            <w:r>
              <w:rPr>
                <w:color w:val="000000"/>
                <w:sz w:val="19"/>
              </w:rPr>
              <w:noBreakHyphen/>
              <w:t>90</w:t>
            </w:r>
          </w:p>
        </w:tc>
        <w:tc>
          <w:tcPr>
            <w:tcW w:w="2553" w:type="dxa"/>
          </w:tcPr>
          <w:p>
            <w:pPr>
              <w:pStyle w:val="nTable"/>
              <w:spacing w:after="40"/>
              <w:rPr>
                <w:color w:val="000000"/>
                <w:sz w:val="19"/>
              </w:rPr>
            </w:pPr>
            <w:r>
              <w:rPr>
                <w:color w:val="000000"/>
                <w:sz w:val="19"/>
              </w:rPr>
              <w:t>25 Jun 1993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1993</w:t>
            </w:r>
            <w:r>
              <w:rPr>
                <w:color w:val="000000"/>
                <w:sz w:val="19"/>
              </w:rPr>
              <w:t xml:space="preserve"> published in </w:t>
            </w:r>
            <w:r>
              <w:rPr>
                <w:i/>
                <w:iCs/>
                <w:color w:val="000000"/>
                <w:sz w:val="19"/>
              </w:rPr>
              <w:t>Gazette</w:t>
            </w:r>
            <w:r>
              <w:rPr>
                <w:color w:val="000000"/>
                <w:sz w:val="19"/>
              </w:rPr>
              <w:t xml:space="preserve"> 17 Sep 1993 p. 5065</w:t>
            </w:r>
            <w:r>
              <w:rPr>
                <w:color w:val="000000"/>
                <w:sz w:val="19"/>
              </w:rPr>
              <w:noBreakHyphen/>
              <w:t>8</w:t>
            </w:r>
          </w:p>
        </w:tc>
        <w:tc>
          <w:tcPr>
            <w:tcW w:w="2553" w:type="dxa"/>
          </w:tcPr>
          <w:p>
            <w:pPr>
              <w:pStyle w:val="nTable"/>
              <w:spacing w:after="40"/>
              <w:rPr>
                <w:color w:val="000000"/>
                <w:sz w:val="19"/>
              </w:rPr>
            </w:pPr>
            <w:r>
              <w:rPr>
                <w:color w:val="000000"/>
                <w:sz w:val="19"/>
              </w:rPr>
              <w:t>17 Sep 1993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1993</w:t>
            </w:r>
            <w:r>
              <w:rPr>
                <w:color w:val="000000"/>
                <w:sz w:val="19"/>
              </w:rPr>
              <w:t xml:space="preserve"> published in </w:t>
            </w:r>
            <w:r>
              <w:rPr>
                <w:i/>
                <w:iCs/>
                <w:color w:val="000000"/>
                <w:sz w:val="19"/>
              </w:rPr>
              <w:t>Gazette</w:t>
            </w:r>
            <w:r>
              <w:rPr>
                <w:color w:val="000000"/>
                <w:sz w:val="19"/>
              </w:rPr>
              <w:t xml:space="preserve"> 17 Sep 1993 p. 5068</w:t>
            </w:r>
            <w:r>
              <w:rPr>
                <w:color w:val="000000"/>
                <w:sz w:val="19"/>
              </w:rPr>
              <w:noBreakHyphen/>
              <w:t>9</w:t>
            </w:r>
          </w:p>
        </w:tc>
        <w:tc>
          <w:tcPr>
            <w:tcW w:w="2553" w:type="dxa"/>
          </w:tcPr>
          <w:p>
            <w:pPr>
              <w:pStyle w:val="nTable"/>
              <w:spacing w:after="40"/>
              <w:rPr>
                <w:color w:val="000000"/>
                <w:sz w:val="19"/>
              </w:rPr>
            </w:pPr>
            <w:r>
              <w:rPr>
                <w:color w:val="000000"/>
                <w:sz w:val="19"/>
              </w:rPr>
              <w:t>14 Dec 1993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5) 1993</w:t>
            </w:r>
            <w:r>
              <w:rPr>
                <w:color w:val="000000"/>
                <w:sz w:val="19"/>
              </w:rPr>
              <w:t xml:space="preserve"> published in </w:t>
            </w:r>
            <w:r>
              <w:rPr>
                <w:i/>
                <w:iCs/>
                <w:color w:val="000000"/>
                <w:sz w:val="19"/>
              </w:rPr>
              <w:t>Gazette</w:t>
            </w:r>
            <w:r>
              <w:rPr>
                <w:color w:val="000000"/>
                <w:sz w:val="19"/>
              </w:rPr>
              <w:t xml:space="preserve"> 12 Nov 1993 p. 6146</w:t>
            </w:r>
          </w:p>
        </w:tc>
        <w:tc>
          <w:tcPr>
            <w:tcW w:w="2553" w:type="dxa"/>
          </w:tcPr>
          <w:p>
            <w:pPr>
              <w:pStyle w:val="nTable"/>
              <w:spacing w:after="40"/>
              <w:rPr>
                <w:color w:val="000000"/>
                <w:sz w:val="19"/>
              </w:rPr>
            </w:pPr>
            <w:r>
              <w:rPr>
                <w:color w:val="000000"/>
                <w:sz w:val="19"/>
              </w:rPr>
              <w:t>12 Nov 1993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1994</w:t>
            </w:r>
            <w:r>
              <w:rPr>
                <w:color w:val="000000"/>
                <w:sz w:val="19"/>
              </w:rPr>
              <w:t xml:space="preserve"> published in </w:t>
            </w:r>
            <w:r>
              <w:rPr>
                <w:i/>
                <w:iCs/>
                <w:color w:val="000000"/>
                <w:sz w:val="19"/>
              </w:rPr>
              <w:t>Gazette</w:t>
            </w:r>
            <w:r>
              <w:rPr>
                <w:color w:val="000000"/>
                <w:sz w:val="19"/>
              </w:rPr>
              <w:t xml:space="preserve"> 4 Mar 1994 p. 841</w:t>
            </w:r>
            <w:r>
              <w:rPr>
                <w:color w:val="000000"/>
                <w:sz w:val="19"/>
              </w:rPr>
              <w:noBreakHyphen/>
              <w:t>7</w:t>
            </w:r>
          </w:p>
        </w:tc>
        <w:tc>
          <w:tcPr>
            <w:tcW w:w="2553" w:type="dxa"/>
          </w:tcPr>
          <w:p>
            <w:pPr>
              <w:pStyle w:val="nTable"/>
              <w:spacing w:after="40"/>
              <w:rPr>
                <w:color w:val="000000"/>
                <w:sz w:val="19"/>
              </w:rPr>
            </w:pPr>
            <w:r>
              <w:rPr>
                <w:color w:val="000000"/>
                <w:sz w:val="19"/>
              </w:rPr>
              <w:t>4 Mar 1994 (see cl. 2)</w:t>
            </w:r>
          </w:p>
        </w:tc>
      </w:tr>
      <w:tr>
        <w:trPr>
          <w:cantSplit/>
        </w:trPr>
        <w:tc>
          <w:tcPr>
            <w:tcW w:w="2266" w:type="dxa"/>
          </w:tcPr>
          <w:p>
            <w:pPr>
              <w:pStyle w:val="nTable"/>
              <w:spacing w:after="40"/>
              <w:rPr>
                <w:sz w:val="19"/>
              </w:rPr>
            </w:pPr>
            <w:r>
              <w:rPr>
                <w:i/>
                <w:sz w:val="19"/>
              </w:rPr>
              <w:t>Poisons Amendment Act 1994</w:t>
            </w:r>
          </w:p>
        </w:tc>
        <w:tc>
          <w:tcPr>
            <w:tcW w:w="1134" w:type="dxa"/>
          </w:tcPr>
          <w:p>
            <w:pPr>
              <w:pStyle w:val="nTable"/>
              <w:spacing w:after="40"/>
              <w:rPr>
                <w:sz w:val="19"/>
              </w:rPr>
            </w:pPr>
            <w:r>
              <w:rPr>
                <w:sz w:val="19"/>
              </w:rPr>
              <w:t>12 of 1994</w:t>
            </w:r>
          </w:p>
        </w:tc>
        <w:tc>
          <w:tcPr>
            <w:tcW w:w="1134" w:type="dxa"/>
          </w:tcPr>
          <w:p>
            <w:pPr>
              <w:pStyle w:val="nTable"/>
              <w:spacing w:after="40"/>
              <w:rPr>
                <w:sz w:val="19"/>
              </w:rPr>
            </w:pPr>
            <w:r>
              <w:rPr>
                <w:sz w:val="19"/>
              </w:rPr>
              <w:t>15 Apr 1994</w:t>
            </w:r>
          </w:p>
        </w:tc>
        <w:tc>
          <w:tcPr>
            <w:tcW w:w="2553" w:type="dxa"/>
          </w:tcPr>
          <w:p>
            <w:pPr>
              <w:pStyle w:val="nTable"/>
              <w:spacing w:after="40"/>
              <w:rPr>
                <w:sz w:val="19"/>
              </w:rPr>
            </w:pPr>
            <w:r>
              <w:rPr>
                <w:sz w:val="19"/>
              </w:rPr>
              <w:t>s. 1 and 2: 15 Apr 1994;</w:t>
            </w:r>
            <w:r>
              <w:rPr>
                <w:sz w:val="19"/>
              </w:rPr>
              <w:br/>
              <w:t xml:space="preserve">Act other than s. 1 and 2: 27 May 1994 (see s. 2 and </w:t>
            </w:r>
            <w:r>
              <w:rPr>
                <w:i/>
                <w:sz w:val="19"/>
              </w:rPr>
              <w:t>Gazette</w:t>
            </w:r>
            <w:r>
              <w:rPr>
                <w:sz w:val="19"/>
              </w:rPr>
              <w:t xml:space="preserve"> 27 May 1994 p. 2205)</w:t>
            </w:r>
          </w:p>
        </w:tc>
      </w:tr>
      <w:tr>
        <w:trPr>
          <w:cantSplit/>
        </w:trPr>
        <w:tc>
          <w:tcPr>
            <w:tcW w:w="2266" w:type="dxa"/>
          </w:tcPr>
          <w:p>
            <w:pPr>
              <w:pStyle w:val="nTable"/>
              <w:spacing w:after="40"/>
              <w:rPr>
                <w:sz w:val="19"/>
              </w:rPr>
            </w:pPr>
            <w:r>
              <w:rPr>
                <w:i/>
                <w:sz w:val="19"/>
              </w:rPr>
              <w:t>Acts Amendment (Public Sector Management) Act 1994</w:t>
            </w:r>
            <w:r>
              <w:rPr>
                <w:sz w:val="19"/>
              </w:rPr>
              <w:t xml:space="preserve"> s. 3(2)</w:t>
            </w:r>
          </w:p>
        </w:tc>
        <w:tc>
          <w:tcPr>
            <w:tcW w:w="1134" w:type="dxa"/>
          </w:tcPr>
          <w:p>
            <w:pPr>
              <w:pStyle w:val="nTable"/>
              <w:spacing w:after="40"/>
              <w:rPr>
                <w:sz w:val="19"/>
              </w:rPr>
            </w:pPr>
            <w:r>
              <w:rPr>
                <w:sz w:val="19"/>
              </w:rPr>
              <w:t>32 of 1994</w:t>
            </w:r>
          </w:p>
        </w:tc>
        <w:tc>
          <w:tcPr>
            <w:tcW w:w="1134" w:type="dxa"/>
          </w:tcPr>
          <w:p>
            <w:pPr>
              <w:pStyle w:val="nTable"/>
              <w:spacing w:after="40"/>
              <w:rPr>
                <w:sz w:val="19"/>
              </w:rPr>
            </w:pPr>
            <w:r>
              <w:rPr>
                <w:sz w:val="19"/>
              </w:rPr>
              <w:t>29 Jun 1994</w:t>
            </w:r>
          </w:p>
        </w:tc>
        <w:tc>
          <w:tcPr>
            <w:tcW w:w="2553"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1994</w:t>
            </w:r>
            <w:r>
              <w:rPr>
                <w:color w:val="000000"/>
                <w:sz w:val="19"/>
              </w:rPr>
              <w:t xml:space="preserve"> published in </w:t>
            </w:r>
            <w:r>
              <w:rPr>
                <w:i/>
                <w:iCs/>
                <w:color w:val="000000"/>
                <w:sz w:val="19"/>
              </w:rPr>
              <w:t>Gazette</w:t>
            </w:r>
            <w:r>
              <w:rPr>
                <w:color w:val="000000"/>
                <w:sz w:val="19"/>
              </w:rPr>
              <w:t xml:space="preserve"> 2 Sep 1994 p. 4529</w:t>
            </w:r>
            <w:r>
              <w:rPr>
                <w:color w:val="000000"/>
                <w:sz w:val="19"/>
              </w:rPr>
              <w:noBreakHyphen/>
              <w:t>32</w:t>
            </w:r>
          </w:p>
        </w:tc>
        <w:tc>
          <w:tcPr>
            <w:tcW w:w="2553" w:type="dxa"/>
          </w:tcPr>
          <w:p>
            <w:pPr>
              <w:pStyle w:val="nTable"/>
              <w:spacing w:after="40"/>
              <w:rPr>
                <w:color w:val="000000"/>
                <w:sz w:val="19"/>
              </w:rPr>
            </w:pPr>
            <w:r>
              <w:rPr>
                <w:color w:val="000000"/>
                <w:sz w:val="19"/>
              </w:rPr>
              <w:t>2 Sep 1994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1994</w:t>
            </w:r>
            <w:r>
              <w:rPr>
                <w:color w:val="000000"/>
                <w:sz w:val="19"/>
              </w:rPr>
              <w:t xml:space="preserve"> published in </w:t>
            </w:r>
            <w:r>
              <w:rPr>
                <w:i/>
                <w:iCs/>
                <w:color w:val="000000"/>
                <w:sz w:val="19"/>
              </w:rPr>
              <w:t>Gazette</w:t>
            </w:r>
            <w:r>
              <w:rPr>
                <w:color w:val="000000"/>
                <w:sz w:val="19"/>
              </w:rPr>
              <w:t xml:space="preserve"> 23 Dec 1994 p. 7076</w:t>
            </w:r>
            <w:r>
              <w:rPr>
                <w:color w:val="000000"/>
                <w:sz w:val="19"/>
              </w:rPr>
              <w:noBreakHyphen/>
              <w:t>81</w:t>
            </w:r>
          </w:p>
        </w:tc>
        <w:tc>
          <w:tcPr>
            <w:tcW w:w="2553" w:type="dxa"/>
          </w:tcPr>
          <w:p>
            <w:pPr>
              <w:pStyle w:val="nTable"/>
              <w:spacing w:after="40"/>
              <w:rPr>
                <w:color w:val="000000"/>
                <w:sz w:val="19"/>
              </w:rPr>
            </w:pPr>
            <w:r>
              <w:rPr>
                <w:color w:val="000000"/>
                <w:sz w:val="19"/>
              </w:rPr>
              <w:t>23 Dec 1994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1995</w:t>
            </w:r>
            <w:r>
              <w:rPr>
                <w:color w:val="000000"/>
                <w:sz w:val="19"/>
              </w:rPr>
              <w:t xml:space="preserve"> published in </w:t>
            </w:r>
            <w:r>
              <w:rPr>
                <w:i/>
                <w:iCs/>
                <w:color w:val="000000"/>
                <w:sz w:val="19"/>
              </w:rPr>
              <w:t>Gazette</w:t>
            </w:r>
            <w:r>
              <w:rPr>
                <w:color w:val="000000"/>
                <w:sz w:val="19"/>
              </w:rPr>
              <w:t xml:space="preserve"> 28 Apr 1995 p. 1467</w:t>
            </w:r>
            <w:r>
              <w:rPr>
                <w:color w:val="000000"/>
                <w:sz w:val="19"/>
              </w:rPr>
              <w:noBreakHyphen/>
              <w:t>78</w:t>
            </w:r>
          </w:p>
        </w:tc>
        <w:tc>
          <w:tcPr>
            <w:tcW w:w="2553" w:type="dxa"/>
          </w:tcPr>
          <w:p>
            <w:pPr>
              <w:pStyle w:val="nTable"/>
              <w:spacing w:after="40"/>
              <w:rPr>
                <w:color w:val="000000"/>
                <w:sz w:val="19"/>
              </w:rPr>
            </w:pPr>
            <w:r>
              <w:rPr>
                <w:color w:val="000000"/>
                <w:sz w:val="19"/>
              </w:rPr>
              <w:t>28 Apr 1995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1995</w:t>
            </w:r>
            <w:r>
              <w:rPr>
                <w:color w:val="000000"/>
                <w:sz w:val="19"/>
              </w:rPr>
              <w:t xml:space="preserve"> published in </w:t>
            </w:r>
            <w:r>
              <w:rPr>
                <w:i/>
                <w:iCs/>
                <w:color w:val="000000"/>
                <w:sz w:val="19"/>
              </w:rPr>
              <w:t>Gazette</w:t>
            </w:r>
            <w:r>
              <w:rPr>
                <w:color w:val="000000"/>
                <w:sz w:val="19"/>
              </w:rPr>
              <w:t xml:space="preserve"> 28 Apr 1995 p. 1478</w:t>
            </w:r>
            <w:r>
              <w:rPr>
                <w:color w:val="000000"/>
                <w:sz w:val="19"/>
              </w:rPr>
              <w:noBreakHyphen/>
              <w:t>81</w:t>
            </w:r>
          </w:p>
        </w:tc>
        <w:tc>
          <w:tcPr>
            <w:tcW w:w="2553" w:type="dxa"/>
          </w:tcPr>
          <w:p>
            <w:pPr>
              <w:pStyle w:val="nTable"/>
              <w:spacing w:after="40"/>
              <w:rPr>
                <w:color w:val="000000"/>
                <w:sz w:val="19"/>
              </w:rPr>
            </w:pPr>
            <w:r>
              <w:rPr>
                <w:color w:val="000000"/>
                <w:sz w:val="19"/>
              </w:rPr>
              <w:t>1 Jun 1995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1995</w:t>
            </w:r>
            <w:r>
              <w:rPr>
                <w:color w:val="000000"/>
                <w:sz w:val="19"/>
              </w:rPr>
              <w:t xml:space="preserve"> published in </w:t>
            </w:r>
            <w:r>
              <w:rPr>
                <w:i/>
                <w:iCs/>
                <w:color w:val="000000"/>
                <w:sz w:val="19"/>
              </w:rPr>
              <w:t>Gazette</w:t>
            </w:r>
            <w:r>
              <w:rPr>
                <w:color w:val="000000"/>
                <w:sz w:val="19"/>
              </w:rPr>
              <w:t xml:space="preserve"> 5 Sep 1995 p. 4163</w:t>
            </w:r>
            <w:r>
              <w:rPr>
                <w:color w:val="000000"/>
                <w:sz w:val="19"/>
              </w:rPr>
              <w:noBreakHyphen/>
              <w:t>8</w:t>
            </w:r>
          </w:p>
        </w:tc>
        <w:tc>
          <w:tcPr>
            <w:tcW w:w="2553" w:type="dxa"/>
          </w:tcPr>
          <w:p>
            <w:pPr>
              <w:pStyle w:val="nTable"/>
              <w:spacing w:after="40"/>
              <w:rPr>
                <w:color w:val="000000"/>
                <w:sz w:val="19"/>
              </w:rPr>
            </w:pPr>
            <w:r>
              <w:rPr>
                <w:color w:val="000000"/>
                <w:sz w:val="19"/>
              </w:rPr>
              <w:t>5 Sep 1995 (see cl. 2)</w:t>
            </w:r>
          </w:p>
        </w:tc>
      </w:tr>
      <w:tr>
        <w:trPr>
          <w:cantSplit/>
        </w:trPr>
        <w:tc>
          <w:tcPr>
            <w:tcW w:w="2266" w:type="dxa"/>
          </w:tcPr>
          <w:p>
            <w:pPr>
              <w:pStyle w:val="nTable"/>
              <w:spacing w:after="40"/>
              <w:rPr>
                <w:sz w:val="19"/>
              </w:rPr>
            </w:pPr>
            <w:r>
              <w:rPr>
                <w:i/>
                <w:sz w:val="19"/>
              </w:rPr>
              <w:t>Poisons Amendment Act 1995</w:t>
            </w:r>
          </w:p>
        </w:tc>
        <w:tc>
          <w:tcPr>
            <w:tcW w:w="1134" w:type="dxa"/>
          </w:tcPr>
          <w:p>
            <w:pPr>
              <w:pStyle w:val="nTable"/>
              <w:spacing w:after="40"/>
              <w:rPr>
                <w:sz w:val="19"/>
              </w:rPr>
            </w:pPr>
            <w:r>
              <w:rPr>
                <w:sz w:val="19"/>
              </w:rPr>
              <w:t>48 of 1995</w:t>
            </w:r>
          </w:p>
        </w:tc>
        <w:tc>
          <w:tcPr>
            <w:tcW w:w="1134" w:type="dxa"/>
          </w:tcPr>
          <w:p>
            <w:pPr>
              <w:pStyle w:val="nTable"/>
              <w:spacing w:after="40"/>
              <w:rPr>
                <w:sz w:val="19"/>
              </w:rPr>
            </w:pPr>
            <w:r>
              <w:rPr>
                <w:sz w:val="19"/>
              </w:rPr>
              <w:t>6 Nov 1995</w:t>
            </w:r>
          </w:p>
        </w:tc>
        <w:tc>
          <w:tcPr>
            <w:tcW w:w="2553" w:type="dxa"/>
          </w:tcPr>
          <w:p>
            <w:pPr>
              <w:pStyle w:val="nTable"/>
              <w:spacing w:after="40"/>
              <w:rPr>
                <w:sz w:val="19"/>
              </w:rPr>
            </w:pPr>
            <w:r>
              <w:rPr>
                <w:sz w:val="19"/>
              </w:rPr>
              <w:t>s. 1 and 2: 6 Nov 1995;</w:t>
            </w:r>
            <w:r>
              <w:rPr>
                <w:sz w:val="19"/>
              </w:rPr>
              <w:br/>
              <w:t xml:space="preserve">Act other than s. 1 and 2: 20 Mar 1996 (see s. 2 and </w:t>
            </w:r>
            <w:r>
              <w:rPr>
                <w:i/>
                <w:sz w:val="19"/>
              </w:rPr>
              <w:t>Gazette</w:t>
            </w:r>
            <w:r>
              <w:rPr>
                <w:sz w:val="19"/>
              </w:rPr>
              <w:t xml:space="preserve"> 19 Mar 1996 p. 1203)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1996</w:t>
            </w:r>
            <w:r>
              <w:rPr>
                <w:color w:val="000000"/>
                <w:sz w:val="19"/>
              </w:rPr>
              <w:t xml:space="preserve"> published in </w:t>
            </w:r>
            <w:r>
              <w:rPr>
                <w:i/>
                <w:iCs/>
                <w:color w:val="000000"/>
                <w:sz w:val="19"/>
              </w:rPr>
              <w:t>Gazette</w:t>
            </w:r>
            <w:r>
              <w:rPr>
                <w:color w:val="000000"/>
                <w:sz w:val="19"/>
              </w:rPr>
              <w:t xml:space="preserve"> 19 Jan 1996 p. 263</w:t>
            </w:r>
            <w:r>
              <w:rPr>
                <w:color w:val="000000"/>
                <w:sz w:val="19"/>
              </w:rPr>
              <w:noBreakHyphen/>
              <w:t>7</w:t>
            </w:r>
          </w:p>
        </w:tc>
        <w:tc>
          <w:tcPr>
            <w:tcW w:w="2553" w:type="dxa"/>
          </w:tcPr>
          <w:p>
            <w:pPr>
              <w:pStyle w:val="nTable"/>
              <w:spacing w:after="40"/>
              <w:rPr>
                <w:color w:val="000000"/>
                <w:sz w:val="19"/>
              </w:rPr>
            </w:pPr>
            <w:r>
              <w:rPr>
                <w:color w:val="000000"/>
                <w:sz w:val="19"/>
              </w:rPr>
              <w:t>19 Jan 1996 (see cl. 2)</w:t>
            </w:r>
          </w:p>
        </w:tc>
      </w:tr>
      <w:tr>
        <w:trPr>
          <w:cantSplit/>
        </w:trPr>
        <w:tc>
          <w:tcPr>
            <w:tcW w:w="4534" w:type="dxa"/>
            <w:gridSpan w:val="3"/>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53" w:type="dxa"/>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cantSplit/>
        </w:trPr>
        <w:tc>
          <w:tcPr>
            <w:tcW w:w="2266" w:type="dxa"/>
          </w:tcPr>
          <w:p>
            <w:pPr>
              <w:pStyle w:val="nTable"/>
              <w:spacing w:after="40"/>
              <w:rPr>
                <w:sz w:val="19"/>
              </w:rPr>
            </w:pPr>
            <w:r>
              <w:rPr>
                <w:i/>
                <w:sz w:val="19"/>
              </w:rPr>
              <w:t>Local Government (Consequential Amendments) Act 1996</w:t>
            </w:r>
            <w:r>
              <w:rPr>
                <w:sz w:val="19"/>
              </w:rPr>
              <w:t xml:space="preserve"> s. 4</w:t>
            </w:r>
          </w:p>
        </w:tc>
        <w:tc>
          <w:tcPr>
            <w:tcW w:w="1134" w:type="dxa"/>
          </w:tcPr>
          <w:p>
            <w:pPr>
              <w:pStyle w:val="nTable"/>
              <w:keepNext/>
              <w:spacing w:after="40"/>
              <w:rPr>
                <w:sz w:val="19"/>
              </w:rPr>
            </w:pPr>
            <w:r>
              <w:rPr>
                <w:sz w:val="19"/>
              </w:rPr>
              <w:t>14 of 1996</w:t>
            </w:r>
          </w:p>
        </w:tc>
        <w:tc>
          <w:tcPr>
            <w:tcW w:w="1134" w:type="dxa"/>
          </w:tcPr>
          <w:p>
            <w:pPr>
              <w:pStyle w:val="nTable"/>
              <w:spacing w:after="40"/>
              <w:rPr>
                <w:sz w:val="19"/>
              </w:rPr>
            </w:pPr>
            <w:r>
              <w:rPr>
                <w:sz w:val="19"/>
              </w:rPr>
              <w:t>28 Jun 1996</w:t>
            </w:r>
          </w:p>
        </w:tc>
        <w:tc>
          <w:tcPr>
            <w:tcW w:w="2553" w:type="dxa"/>
          </w:tcPr>
          <w:p>
            <w:pPr>
              <w:pStyle w:val="nTable"/>
              <w:spacing w:after="40"/>
              <w:rPr>
                <w:sz w:val="19"/>
              </w:rPr>
            </w:pPr>
            <w:r>
              <w:rPr>
                <w:sz w:val="19"/>
              </w:rPr>
              <w:t>1 Jul 1996 (see s. 2)</w:t>
            </w:r>
          </w:p>
        </w:tc>
      </w:tr>
      <w:tr>
        <w:trPr>
          <w:cantSplit/>
        </w:trPr>
        <w:tc>
          <w:tcPr>
            <w:tcW w:w="4534" w:type="dxa"/>
            <w:gridSpan w:val="3"/>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53" w:type="dxa"/>
          </w:tcPr>
          <w:p>
            <w:pPr>
              <w:pStyle w:val="nTable"/>
              <w:spacing w:after="40"/>
              <w:rPr>
                <w:sz w:val="19"/>
              </w:rPr>
            </w:pPr>
            <w:r>
              <w:rPr>
                <w:sz w:val="19"/>
              </w:rPr>
              <w:t>24 Sep 1996 (see cl. 2)</w:t>
            </w:r>
          </w:p>
        </w:tc>
      </w:tr>
      <w:tr>
        <w:trPr>
          <w:cantSplit/>
        </w:trPr>
        <w:tc>
          <w:tcPr>
            <w:tcW w:w="4534" w:type="dxa"/>
            <w:gridSpan w:val="3"/>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53" w:type="dxa"/>
          </w:tcPr>
          <w:p>
            <w:pPr>
              <w:pStyle w:val="nTable"/>
              <w:spacing w:after="40"/>
              <w:rPr>
                <w:sz w:val="19"/>
              </w:rPr>
            </w:pPr>
            <w:r>
              <w:rPr>
                <w:sz w:val="19"/>
              </w:rPr>
              <w:t>10 Feb 1998 (see cl. 2)</w:t>
            </w:r>
          </w:p>
        </w:tc>
      </w:tr>
      <w:tr>
        <w:trPr>
          <w:cantSplit/>
        </w:trPr>
        <w:tc>
          <w:tcPr>
            <w:tcW w:w="2266" w:type="dxa"/>
          </w:tcPr>
          <w:p>
            <w:pPr>
              <w:pStyle w:val="nTable"/>
              <w:spacing w:after="40"/>
              <w:rPr>
                <w:sz w:val="19"/>
              </w:rPr>
            </w:pPr>
            <w:r>
              <w:rPr>
                <w:i/>
                <w:sz w:val="19"/>
              </w:rPr>
              <w:t>Statutes (Repeals and Minor Amendments) Act (No. 2) 1998</w:t>
            </w:r>
            <w:r>
              <w:rPr>
                <w:sz w:val="19"/>
              </w:rPr>
              <w:t xml:space="preserve"> s. 76</w:t>
            </w:r>
          </w:p>
        </w:tc>
        <w:tc>
          <w:tcPr>
            <w:tcW w:w="1134" w:type="dxa"/>
          </w:tcPr>
          <w:p>
            <w:pPr>
              <w:pStyle w:val="nTable"/>
              <w:keepNext/>
              <w:spacing w:after="40"/>
              <w:rPr>
                <w:sz w:val="19"/>
              </w:rPr>
            </w:pPr>
            <w:r>
              <w:rPr>
                <w:sz w:val="19"/>
              </w:rPr>
              <w:t>10 of 1998</w:t>
            </w:r>
          </w:p>
        </w:tc>
        <w:tc>
          <w:tcPr>
            <w:tcW w:w="1134" w:type="dxa"/>
          </w:tcPr>
          <w:p>
            <w:pPr>
              <w:pStyle w:val="nTable"/>
              <w:spacing w:after="40"/>
              <w:rPr>
                <w:sz w:val="19"/>
              </w:rPr>
            </w:pPr>
            <w:r>
              <w:rPr>
                <w:sz w:val="19"/>
              </w:rPr>
              <w:t>30 Apr 1998</w:t>
            </w:r>
          </w:p>
        </w:tc>
        <w:tc>
          <w:tcPr>
            <w:tcW w:w="2553" w:type="dxa"/>
          </w:tcPr>
          <w:p>
            <w:pPr>
              <w:pStyle w:val="nTable"/>
              <w:spacing w:after="40"/>
              <w:rPr>
                <w:sz w:val="19"/>
              </w:rPr>
            </w:pPr>
            <w:r>
              <w:rPr>
                <w:sz w:val="19"/>
              </w:rPr>
              <w:t>30 Apr 1998 (see s. 2(1))</w:t>
            </w:r>
          </w:p>
        </w:tc>
      </w:tr>
      <w:tr>
        <w:trPr>
          <w:cantSplit/>
        </w:trPr>
        <w:tc>
          <w:tcPr>
            <w:tcW w:w="4534" w:type="dxa"/>
            <w:gridSpan w:val="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53" w:type="dxa"/>
          </w:tcPr>
          <w:p>
            <w:pPr>
              <w:pStyle w:val="nTable"/>
              <w:spacing w:after="40"/>
              <w:rPr>
                <w:sz w:val="19"/>
              </w:rPr>
            </w:pPr>
            <w:r>
              <w:rPr>
                <w:sz w:val="19"/>
              </w:rPr>
              <w:t>22 Sep 1998 (see cl. 2)</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cantSplit/>
        </w:trPr>
        <w:tc>
          <w:tcPr>
            <w:tcW w:w="2266" w:type="dxa"/>
          </w:tcPr>
          <w:p>
            <w:pPr>
              <w:pStyle w:val="nTable"/>
              <w:spacing w:after="40"/>
              <w:rPr>
                <w:sz w:val="19"/>
              </w:rPr>
            </w:pPr>
            <w:r>
              <w:rPr>
                <w:i/>
                <w:sz w:val="19"/>
              </w:rPr>
              <w:t>Acts Amendment and Repeal (Financial Sector Reform) Act 1999</w:t>
            </w:r>
            <w:r>
              <w:rPr>
                <w:sz w:val="19"/>
              </w:rPr>
              <w:t xml:space="preserve"> s. 96</w:t>
            </w:r>
          </w:p>
        </w:tc>
        <w:tc>
          <w:tcPr>
            <w:tcW w:w="1134" w:type="dxa"/>
          </w:tcPr>
          <w:p>
            <w:pPr>
              <w:pStyle w:val="nTable"/>
              <w:keepNext/>
              <w:spacing w:after="40"/>
              <w:rPr>
                <w:sz w:val="19"/>
              </w:rPr>
            </w:pPr>
            <w:r>
              <w:rPr>
                <w:sz w:val="19"/>
              </w:rPr>
              <w:t>26 of 1999</w:t>
            </w:r>
          </w:p>
        </w:tc>
        <w:tc>
          <w:tcPr>
            <w:tcW w:w="1134" w:type="dxa"/>
          </w:tcPr>
          <w:p>
            <w:pPr>
              <w:pStyle w:val="nTable"/>
              <w:spacing w:after="40"/>
              <w:rPr>
                <w:sz w:val="19"/>
              </w:rPr>
            </w:pPr>
            <w:r>
              <w:rPr>
                <w:sz w:val="19"/>
              </w:rPr>
              <w:t>29 Jun 1999</w:t>
            </w:r>
          </w:p>
        </w:tc>
        <w:tc>
          <w:tcPr>
            <w:tcW w:w="2553" w:type="dxa"/>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cantSplit/>
        </w:trPr>
        <w:tc>
          <w:tcPr>
            <w:tcW w:w="4534" w:type="dxa"/>
            <w:gridSpan w:val="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53" w:type="dxa"/>
          </w:tcPr>
          <w:p>
            <w:pPr>
              <w:pStyle w:val="nTable"/>
              <w:spacing w:after="40"/>
              <w:rPr>
                <w:sz w:val="19"/>
              </w:rPr>
            </w:pPr>
            <w:r>
              <w:rPr>
                <w:sz w:val="19"/>
              </w:rPr>
              <w:t>8 Oct 1999</w:t>
            </w:r>
          </w:p>
        </w:tc>
      </w:tr>
      <w:tr>
        <w:trPr>
          <w:cantSplit/>
        </w:trPr>
        <w:tc>
          <w:tcPr>
            <w:tcW w:w="4534" w:type="dxa"/>
            <w:gridSpan w:val="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53" w:type="dxa"/>
          </w:tcPr>
          <w:p>
            <w:pPr>
              <w:pStyle w:val="nTable"/>
              <w:spacing w:after="40"/>
              <w:rPr>
                <w:sz w:val="19"/>
              </w:rPr>
            </w:pPr>
            <w:r>
              <w:rPr>
                <w:sz w:val="19"/>
              </w:rPr>
              <w:t>14 Sep 2001</w:t>
            </w:r>
          </w:p>
        </w:tc>
      </w:tr>
      <w:tr>
        <w:trPr>
          <w:cantSplit/>
        </w:trPr>
        <w:tc>
          <w:tcPr>
            <w:tcW w:w="4534" w:type="dxa"/>
            <w:gridSpan w:val="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53" w:type="dxa"/>
          </w:tcPr>
          <w:p>
            <w:pPr>
              <w:pStyle w:val="nTable"/>
              <w:spacing w:after="40"/>
              <w:rPr>
                <w:sz w:val="19"/>
              </w:rPr>
            </w:pPr>
            <w:r>
              <w:rPr>
                <w:sz w:val="19"/>
              </w:rPr>
              <w:t>8 Nov 2002 (see cl. 2)</w:t>
            </w:r>
          </w:p>
        </w:tc>
      </w:tr>
      <w:tr>
        <w:trPr>
          <w:cantSplit/>
        </w:trPr>
        <w:tc>
          <w:tcPr>
            <w:tcW w:w="2266" w:type="dxa"/>
          </w:tcPr>
          <w:p>
            <w:pPr>
              <w:pStyle w:val="nTable"/>
              <w:spacing w:after="40"/>
              <w:rPr>
                <w:i/>
                <w:sz w:val="19"/>
              </w:rPr>
            </w:pPr>
            <w:r>
              <w:rPr>
                <w:i/>
                <w:sz w:val="19"/>
              </w:rPr>
              <w:t>Nurses Amendment Act 2003</w:t>
            </w:r>
            <w:r>
              <w:rPr>
                <w:sz w:val="19"/>
              </w:rPr>
              <w:t xml:space="preserve"> Pt. 3 Div. 4</w:t>
            </w:r>
          </w:p>
        </w:tc>
        <w:tc>
          <w:tcPr>
            <w:tcW w:w="1134" w:type="dxa"/>
          </w:tcPr>
          <w:p>
            <w:pPr>
              <w:pStyle w:val="nTable"/>
              <w:keepNext/>
              <w:spacing w:after="40"/>
              <w:rPr>
                <w:sz w:val="19"/>
              </w:rPr>
            </w:pPr>
            <w:r>
              <w:rPr>
                <w:sz w:val="19"/>
              </w:rPr>
              <w:t>9 of 2003</w:t>
            </w:r>
          </w:p>
        </w:tc>
        <w:tc>
          <w:tcPr>
            <w:tcW w:w="1134" w:type="dxa"/>
          </w:tcPr>
          <w:p>
            <w:pPr>
              <w:pStyle w:val="nTable"/>
              <w:spacing w:after="40"/>
              <w:rPr>
                <w:sz w:val="19"/>
              </w:rPr>
            </w:pPr>
            <w:r>
              <w:rPr>
                <w:sz w:val="19"/>
              </w:rPr>
              <w:t>9 Apr 2003</w:t>
            </w:r>
          </w:p>
        </w:tc>
        <w:tc>
          <w:tcPr>
            <w:tcW w:w="2553" w:type="dxa"/>
          </w:tcPr>
          <w:p>
            <w:pPr>
              <w:pStyle w:val="nTable"/>
              <w:spacing w:after="40"/>
              <w:rPr>
                <w:sz w:val="19"/>
              </w:rPr>
            </w:pPr>
            <w:r>
              <w:rPr>
                <w:sz w:val="19"/>
              </w:rPr>
              <w:t>9 Apr 2003 (see s. 2)</w:t>
            </w:r>
          </w:p>
        </w:tc>
      </w:tr>
      <w:tr>
        <w:trPr>
          <w:cantSplit/>
        </w:trPr>
        <w:tc>
          <w:tcPr>
            <w:tcW w:w="2266" w:type="dxa"/>
          </w:tcPr>
          <w:p>
            <w:pPr>
              <w:pStyle w:val="nTable"/>
              <w:spacing w:after="40"/>
              <w:rPr>
                <w:i/>
                <w:sz w:val="19"/>
              </w:rPr>
            </w:pPr>
            <w:r>
              <w:rPr>
                <w:i/>
                <w:sz w:val="19"/>
              </w:rPr>
              <w:t xml:space="preserve">Sentencing Legislation Amendment and Repeal Act 2003 </w:t>
            </w:r>
            <w:r>
              <w:rPr>
                <w:sz w:val="19"/>
              </w:rPr>
              <w:t>s. 84</w:t>
            </w:r>
          </w:p>
        </w:tc>
        <w:tc>
          <w:tcPr>
            <w:tcW w:w="1134" w:type="dxa"/>
          </w:tcPr>
          <w:p>
            <w:pPr>
              <w:pStyle w:val="nTable"/>
              <w:keepNext/>
              <w:spacing w:after="40"/>
              <w:rPr>
                <w:sz w:val="19"/>
              </w:rPr>
            </w:pPr>
            <w:r>
              <w:rPr>
                <w:sz w:val="19"/>
              </w:rPr>
              <w:t>50 of 2003</w:t>
            </w:r>
          </w:p>
        </w:tc>
        <w:tc>
          <w:tcPr>
            <w:tcW w:w="1134" w:type="dxa"/>
          </w:tcPr>
          <w:p>
            <w:pPr>
              <w:pStyle w:val="nTable"/>
              <w:spacing w:after="40"/>
              <w:rPr>
                <w:sz w:val="19"/>
              </w:rPr>
            </w:pPr>
            <w:r>
              <w:rPr>
                <w:sz w:val="19"/>
              </w:rPr>
              <w:t>9 Jul 2003</w:t>
            </w:r>
          </w:p>
        </w:tc>
        <w:tc>
          <w:tcPr>
            <w:tcW w:w="2553" w:type="dxa"/>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cantSplit/>
        </w:trPr>
        <w:tc>
          <w:tcPr>
            <w:tcW w:w="4534" w:type="dxa"/>
            <w:gridSpan w:val="3"/>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53" w:type="dxa"/>
          </w:tcPr>
          <w:p>
            <w:pPr>
              <w:pStyle w:val="nTable"/>
              <w:spacing w:after="40"/>
              <w:rPr>
                <w:sz w:val="19"/>
              </w:rPr>
            </w:pPr>
            <w:r>
              <w:rPr>
                <w:sz w:val="19"/>
              </w:rPr>
              <w:t>10 Oct 2003 (see cl. 2)</w:t>
            </w:r>
          </w:p>
        </w:tc>
      </w:tr>
      <w:tr>
        <w:trPr>
          <w:cantSplit/>
        </w:trPr>
        <w:tc>
          <w:tcPr>
            <w:tcW w:w="4534" w:type="dxa"/>
            <w:gridSpan w:val="3"/>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53" w:type="dxa"/>
          </w:tcPr>
          <w:p>
            <w:pPr>
              <w:pStyle w:val="nTable"/>
              <w:spacing w:after="40"/>
              <w:rPr>
                <w:sz w:val="19"/>
              </w:rPr>
            </w:pPr>
            <w:r>
              <w:rPr>
                <w:sz w:val="19"/>
              </w:rPr>
              <w:t>1 Jan 2004 (see cl. 2)</w:t>
            </w:r>
          </w:p>
        </w:tc>
      </w:tr>
      <w:tr>
        <w:trPr>
          <w:cantSplit/>
        </w:trPr>
        <w:tc>
          <w:tcPr>
            <w:tcW w:w="2266" w:type="dxa"/>
          </w:tcPr>
          <w:p>
            <w:pPr>
              <w:pStyle w:val="nTable"/>
              <w:spacing w:after="40"/>
              <w:rPr>
                <w:sz w:val="19"/>
              </w:rPr>
            </w:pPr>
            <w:r>
              <w:rPr>
                <w:i/>
                <w:sz w:val="19"/>
              </w:rPr>
              <w:t>Industrial Hemp Act 2004</w:t>
            </w:r>
            <w:r>
              <w:rPr>
                <w:sz w:val="19"/>
              </w:rPr>
              <w:t xml:space="preserve"> Pt. 8</w:t>
            </w:r>
          </w:p>
        </w:tc>
        <w:tc>
          <w:tcPr>
            <w:tcW w:w="1134" w:type="dxa"/>
          </w:tcPr>
          <w:p>
            <w:pPr>
              <w:pStyle w:val="nTable"/>
              <w:keepNext/>
              <w:spacing w:after="40"/>
              <w:rPr>
                <w:sz w:val="19"/>
              </w:rPr>
            </w:pPr>
            <w:r>
              <w:rPr>
                <w:sz w:val="19"/>
              </w:rPr>
              <w:t>1 of 2004</w:t>
            </w:r>
          </w:p>
        </w:tc>
        <w:tc>
          <w:tcPr>
            <w:tcW w:w="1134" w:type="dxa"/>
          </w:tcPr>
          <w:p>
            <w:pPr>
              <w:pStyle w:val="nTable"/>
              <w:spacing w:after="40"/>
              <w:rPr>
                <w:sz w:val="19"/>
              </w:rPr>
            </w:pPr>
            <w:r>
              <w:rPr>
                <w:sz w:val="19"/>
              </w:rPr>
              <w:t>12 Mar 2004</w:t>
            </w:r>
          </w:p>
        </w:tc>
        <w:tc>
          <w:tcPr>
            <w:tcW w:w="2553" w:type="dxa"/>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cantSplit/>
        </w:trPr>
        <w:tc>
          <w:tcPr>
            <w:tcW w:w="7087" w:type="dxa"/>
            <w:gridSpan w:val="4"/>
          </w:tcPr>
          <w:p>
            <w:pPr>
              <w:pStyle w:val="nTable"/>
              <w:spacing w:after="40"/>
              <w:rPr>
                <w:b/>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snapToGrid w:val="0"/>
                <w:sz w:val="19"/>
                <w:vertAlign w:val="superscript"/>
              </w:rPr>
            </w:pPr>
            <w:r>
              <w:rPr>
                <w:i/>
                <w:snapToGrid w:val="0"/>
                <w:sz w:val="19"/>
              </w:rPr>
              <w:t>Courts Legislation Amendment and Repeal Act 2004</w:t>
            </w:r>
            <w:r>
              <w:rPr>
                <w:snapToGrid w:val="0"/>
                <w:sz w:val="19"/>
              </w:rPr>
              <w:t xml:space="preserve"> s. 141 </w:t>
            </w:r>
            <w:r>
              <w:rPr>
                <w:snapToGrid w:val="0"/>
                <w:sz w:val="19"/>
                <w:vertAlign w:val="superscript"/>
              </w:rPr>
              <w:t>4</w:t>
            </w:r>
          </w:p>
        </w:tc>
        <w:tc>
          <w:tcPr>
            <w:tcW w:w="1134" w:type="dxa"/>
            <w:tcBorders>
              <w:top w:val="nil"/>
              <w:bottom w:val="nil"/>
            </w:tcBorders>
          </w:tcPr>
          <w:p>
            <w:pPr>
              <w:pStyle w:val="nTable"/>
              <w:spacing w:after="40"/>
              <w:rPr>
                <w:snapToGrid w:val="0"/>
                <w:sz w:val="19"/>
              </w:rPr>
            </w:pPr>
            <w:r>
              <w:rPr>
                <w:snapToGrid w:val="0"/>
                <w:sz w:val="19"/>
              </w:rPr>
              <w:t>59 of 2004 (as amended by No. 2 of 2008 s. 77(13))</w:t>
            </w:r>
          </w:p>
        </w:tc>
        <w:tc>
          <w:tcPr>
            <w:tcW w:w="1134" w:type="dxa"/>
            <w:tcBorders>
              <w:top w:val="nil"/>
              <w:bottom w:val="nil"/>
            </w:tcBorders>
          </w:tcPr>
          <w:p>
            <w:pPr>
              <w:pStyle w:val="nTable"/>
              <w:spacing w:after="40"/>
              <w:rPr>
                <w:sz w:val="19"/>
              </w:rPr>
            </w:pPr>
            <w:r>
              <w:rPr>
                <w:sz w:val="19"/>
              </w:rPr>
              <w:t>23 Nov 2004</w:t>
            </w:r>
          </w:p>
        </w:tc>
        <w:tc>
          <w:tcPr>
            <w:tcW w:w="2553" w:type="dxa"/>
            <w:tcBorders>
              <w:top w:val="nil"/>
              <w:bottom w:val="nil"/>
            </w:tcBorders>
          </w:tcPr>
          <w:p>
            <w:pPr>
              <w:pStyle w:val="nTable"/>
              <w:spacing w:after="40"/>
              <w:rPr>
                <w:sz w:val="19"/>
              </w:rPr>
            </w:pPr>
            <w:r>
              <w:rPr>
                <w:snapToGrid w:val="0"/>
                <w:sz w:val="19"/>
              </w:rPr>
              <w:t xml:space="preserve">1 May 2005 (see s. 2 and </w:t>
            </w:r>
            <w:r>
              <w:rPr>
                <w:i/>
                <w:snapToGrid w:val="0"/>
                <w:sz w:val="19"/>
              </w:rPr>
              <w:t>Gazette</w:t>
            </w:r>
            <w:r>
              <w:rPr>
                <w:snapToGrid w:val="0"/>
                <w:sz w:val="19"/>
              </w:rPr>
              <w:t xml:space="preserve"> 31 Dec 2004 p. 7128)</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5</w:t>
            </w:r>
          </w:p>
        </w:tc>
        <w:tc>
          <w:tcPr>
            <w:tcW w:w="1134" w:type="dxa"/>
            <w:tcBorders>
              <w:top w:val="nil"/>
              <w:bottom w:val="nil"/>
            </w:tcBorders>
          </w:tcPr>
          <w:p>
            <w:pPr>
              <w:pStyle w:val="nTable"/>
              <w:spacing w:after="40"/>
              <w:rPr>
                <w:sz w:val="19"/>
              </w:rPr>
            </w:pPr>
            <w:r>
              <w:rPr>
                <w:sz w:val="19"/>
              </w:rPr>
              <w:t>55 of 2004</w:t>
            </w:r>
          </w:p>
        </w:tc>
        <w:tc>
          <w:tcPr>
            <w:tcW w:w="1134" w:type="dxa"/>
            <w:tcBorders>
              <w:top w:val="nil"/>
              <w:bottom w:val="nil"/>
            </w:tcBorders>
          </w:tcPr>
          <w:p>
            <w:pPr>
              <w:pStyle w:val="nTable"/>
              <w:spacing w:after="40"/>
              <w:rPr>
                <w:sz w:val="19"/>
              </w:rPr>
            </w:pPr>
            <w:r>
              <w:rPr>
                <w:sz w:val="19"/>
              </w:rPr>
              <w:t>24 Nov 2004</w:t>
            </w:r>
          </w:p>
        </w:tc>
        <w:tc>
          <w:tcPr>
            <w:tcW w:w="2553" w:type="dxa"/>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i/>
                <w:sz w:val="19"/>
              </w:rPr>
            </w:pPr>
            <w:r>
              <w:rPr>
                <w:i/>
                <w:snapToGrid w:val="0"/>
                <w:sz w:val="19"/>
              </w:rPr>
              <w:t>Criminal Procedure and Appeals (Consequential and Other Provisions) Act 2004</w:t>
            </w:r>
            <w:r>
              <w:rPr>
                <w:snapToGrid w:val="0"/>
                <w:sz w:val="19"/>
              </w:rPr>
              <w:t xml:space="preserve"> s. 80 and 82</w:t>
            </w:r>
          </w:p>
        </w:tc>
        <w:tc>
          <w:tcPr>
            <w:tcW w:w="1134" w:type="dxa"/>
            <w:tcBorders>
              <w:top w:val="nil"/>
              <w:bottom w:val="nil"/>
            </w:tcBorders>
          </w:tcPr>
          <w:p>
            <w:pPr>
              <w:pStyle w:val="nTable"/>
              <w:spacing w:after="40"/>
              <w:rPr>
                <w:sz w:val="19"/>
              </w:rPr>
            </w:pPr>
            <w:r>
              <w:rPr>
                <w:snapToGrid w:val="0"/>
                <w:sz w:val="19"/>
              </w:rPr>
              <w:t>84 of 2004</w:t>
            </w:r>
          </w:p>
        </w:tc>
        <w:tc>
          <w:tcPr>
            <w:tcW w:w="1134" w:type="dxa"/>
            <w:tcBorders>
              <w:top w:val="nil"/>
              <w:bottom w:val="nil"/>
            </w:tcBorders>
          </w:tcPr>
          <w:p>
            <w:pPr>
              <w:pStyle w:val="nTable"/>
              <w:spacing w:after="40"/>
              <w:rPr>
                <w:sz w:val="19"/>
              </w:rPr>
            </w:pPr>
            <w:r>
              <w:rPr>
                <w:sz w:val="19"/>
              </w:rPr>
              <w:t>16 Dec 2004</w:t>
            </w:r>
          </w:p>
        </w:tc>
        <w:tc>
          <w:tcPr>
            <w:tcW w:w="2553" w:type="dxa"/>
            <w:tcBorders>
              <w:top w:val="nil"/>
              <w:bottom w:val="nil"/>
            </w:tcBorders>
          </w:tcPr>
          <w:p>
            <w:pPr>
              <w:pStyle w:val="nTable"/>
              <w:spacing w:after="40"/>
              <w:rPr>
                <w:sz w:val="19"/>
              </w:rPr>
            </w:pPr>
            <w:r>
              <w:rPr>
                <w:snapToGrid w:val="0"/>
                <w:sz w:val="19"/>
              </w:rPr>
              <w:t xml:space="preserve">2 May 2005 (see s. 2 and </w:t>
            </w:r>
            <w:r>
              <w:rPr>
                <w:i/>
                <w:snapToGrid w:val="0"/>
                <w:sz w:val="19"/>
              </w:rPr>
              <w:t>Gazette</w:t>
            </w:r>
            <w:r>
              <w:rPr>
                <w:snapToGrid w:val="0"/>
                <w:sz w:val="19"/>
              </w:rPr>
              <w:t xml:space="preserve"> 31 Dec 2004 p. 7129 (correction in </w:t>
            </w:r>
            <w:r>
              <w:rPr>
                <w:i/>
                <w:snapToGrid w:val="0"/>
                <w:sz w:val="19"/>
              </w:rPr>
              <w:t>Gazette</w:t>
            </w:r>
            <w:r>
              <w:rPr>
                <w:snapToGrid w:val="0"/>
                <w:sz w:val="19"/>
              </w:rPr>
              <w:t xml:space="preserve"> 7 Jan 2005 p. 53))</w:t>
            </w:r>
          </w:p>
        </w:tc>
      </w:tr>
      <w:tr>
        <w:trPr>
          <w:cantSplit/>
        </w:trPr>
        <w:tc>
          <w:tcPr>
            <w:tcW w:w="2266" w:type="dxa"/>
          </w:tcPr>
          <w:p>
            <w:pPr>
              <w:pStyle w:val="nTable"/>
              <w:spacing w:after="40"/>
              <w:ind w:left="-28"/>
              <w:rPr>
                <w:snapToGrid w:val="0"/>
                <w:sz w:val="19"/>
                <w:vertAlign w:val="superscript"/>
              </w:rPr>
            </w:pPr>
            <w:r>
              <w:rPr>
                <w:i/>
                <w:snapToGrid w:val="0"/>
                <w:sz w:val="19"/>
              </w:rPr>
              <w:t>Machinery of Government (Miscellaneous Amendments) Act 2006</w:t>
            </w:r>
            <w:r>
              <w:rPr>
                <w:snapToGrid w:val="0"/>
                <w:sz w:val="19"/>
              </w:rPr>
              <w:t xml:space="preserve"> Pt. 9 Div. 11 </w:t>
            </w:r>
            <w:r>
              <w:rPr>
                <w:snapToGrid w:val="0"/>
                <w:sz w:val="19"/>
                <w:vertAlign w:val="superscript"/>
              </w:rPr>
              <w:t>6, 7</w:t>
            </w:r>
          </w:p>
        </w:tc>
        <w:tc>
          <w:tcPr>
            <w:tcW w:w="1134" w:type="dxa"/>
          </w:tcPr>
          <w:p>
            <w:pPr>
              <w:pStyle w:val="nTable"/>
              <w:spacing w:after="40"/>
              <w:rPr>
                <w:snapToGrid w:val="0"/>
                <w:sz w:val="19"/>
              </w:rPr>
            </w:pPr>
            <w:r>
              <w:rPr>
                <w:snapToGrid w:val="0"/>
                <w:sz w:val="19"/>
              </w:rPr>
              <w:t>28 of 2006</w:t>
            </w:r>
          </w:p>
        </w:tc>
        <w:tc>
          <w:tcPr>
            <w:tcW w:w="1134" w:type="dxa"/>
          </w:tcPr>
          <w:p>
            <w:pPr>
              <w:pStyle w:val="nTable"/>
              <w:spacing w:after="40"/>
              <w:rPr>
                <w:sz w:val="19"/>
              </w:rPr>
            </w:pPr>
            <w:r>
              <w:rPr>
                <w:sz w:val="19"/>
              </w:rPr>
              <w:t>26 Jun 2006</w:t>
            </w:r>
          </w:p>
        </w:tc>
        <w:tc>
          <w:tcPr>
            <w:tcW w:w="2553" w:type="dxa"/>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cantSplit/>
        </w:trPr>
        <w:tc>
          <w:tcPr>
            <w:tcW w:w="7087" w:type="dxa"/>
            <w:gridSpan w:val="4"/>
          </w:tcPr>
          <w:p>
            <w:pPr>
              <w:pStyle w:val="nTable"/>
              <w:spacing w:after="40"/>
              <w:rPr>
                <w:b/>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cantSplit/>
        </w:trPr>
        <w:tc>
          <w:tcPr>
            <w:tcW w:w="2266" w:type="dxa"/>
          </w:tcPr>
          <w:p>
            <w:pPr>
              <w:pStyle w:val="nTable"/>
              <w:spacing w:after="40"/>
              <w:ind w:left="-28"/>
              <w:rPr>
                <w:i/>
                <w:snapToGrid w:val="0"/>
                <w:sz w:val="19"/>
              </w:rPr>
            </w:pPr>
            <w:r>
              <w:rPr>
                <w:i/>
                <w:snapToGrid w:val="0"/>
                <w:sz w:val="19"/>
              </w:rPr>
              <w:t>Nurses and Midwives Act 2006</w:t>
            </w:r>
            <w:r>
              <w:rPr>
                <w:snapToGrid w:val="0"/>
                <w:sz w:val="19"/>
              </w:rPr>
              <w:t xml:space="preserve"> Sch. 3 cl. 17</w:t>
            </w:r>
          </w:p>
        </w:tc>
        <w:tc>
          <w:tcPr>
            <w:tcW w:w="1134" w:type="dxa"/>
          </w:tcPr>
          <w:p>
            <w:pPr>
              <w:pStyle w:val="nTable"/>
              <w:spacing w:after="40"/>
              <w:rPr>
                <w:snapToGrid w:val="0"/>
                <w:sz w:val="19"/>
              </w:rPr>
            </w:pPr>
            <w:r>
              <w:rPr>
                <w:snapToGrid w:val="0"/>
                <w:sz w:val="19"/>
              </w:rPr>
              <w:t>50 of 2006</w:t>
            </w:r>
          </w:p>
        </w:tc>
        <w:tc>
          <w:tcPr>
            <w:tcW w:w="1134" w:type="dxa"/>
          </w:tcPr>
          <w:p>
            <w:pPr>
              <w:pStyle w:val="nTable"/>
              <w:spacing w:after="40"/>
              <w:rPr>
                <w:sz w:val="19"/>
              </w:rPr>
            </w:pPr>
            <w:r>
              <w:rPr>
                <w:sz w:val="19"/>
              </w:rPr>
              <w:t>6 Oct 2006</w:t>
            </w:r>
          </w:p>
        </w:tc>
        <w:tc>
          <w:tcPr>
            <w:tcW w:w="2553" w:type="dxa"/>
          </w:tcPr>
          <w:p>
            <w:pPr>
              <w:pStyle w:val="nTable"/>
              <w:spacing w:after="40"/>
              <w:rPr>
                <w:sz w:val="19"/>
              </w:rPr>
            </w:pPr>
            <w:r>
              <w:rPr>
                <w:snapToGrid w:val="0"/>
                <w:sz w:val="19"/>
              </w:rPr>
              <w:t xml:space="preserve">19 Sep 2007 (see s. 2 and </w:t>
            </w:r>
            <w:r>
              <w:rPr>
                <w:i/>
                <w:iCs/>
                <w:snapToGrid w:val="0"/>
                <w:sz w:val="19"/>
              </w:rPr>
              <w:t>Gazette</w:t>
            </w:r>
            <w:r>
              <w:rPr>
                <w:snapToGrid w:val="0"/>
                <w:sz w:val="19"/>
              </w:rPr>
              <w:t xml:space="preserve"> 18 Sep 2007 p. 4711)</w:t>
            </w:r>
          </w:p>
        </w:tc>
      </w:tr>
      <w:tr>
        <w:trPr>
          <w:cantSplit/>
        </w:trPr>
        <w:tc>
          <w:tcPr>
            <w:tcW w:w="2266" w:type="dxa"/>
          </w:tcPr>
          <w:p>
            <w:pPr>
              <w:pStyle w:val="nTable"/>
              <w:spacing w:after="40"/>
              <w:ind w:left="-28"/>
              <w:rPr>
                <w:snapToGrid w:val="0"/>
                <w:sz w:val="19"/>
                <w:vertAlign w:val="superscript"/>
              </w:rPr>
            </w:pPr>
            <w:r>
              <w:rPr>
                <w:i/>
                <w:snapToGrid w:val="0"/>
                <w:sz w:val="19"/>
              </w:rPr>
              <w:t>Criminal Investigation (Consequential Provisions) Act 2006</w:t>
            </w:r>
            <w:r>
              <w:rPr>
                <w:iCs/>
                <w:snapToGrid w:val="0"/>
                <w:sz w:val="19"/>
              </w:rPr>
              <w:t xml:space="preserve"> s. 73</w:t>
            </w:r>
          </w:p>
        </w:tc>
        <w:tc>
          <w:tcPr>
            <w:tcW w:w="1134" w:type="dxa"/>
          </w:tcPr>
          <w:p>
            <w:pPr>
              <w:pStyle w:val="nTable"/>
              <w:spacing w:after="40"/>
              <w:rPr>
                <w:snapToGrid w:val="0"/>
                <w:sz w:val="19"/>
              </w:rPr>
            </w:pPr>
            <w:r>
              <w:rPr>
                <w:snapToGrid w:val="0"/>
                <w:sz w:val="19"/>
              </w:rPr>
              <w:t>59 of 2006</w:t>
            </w:r>
          </w:p>
        </w:tc>
        <w:tc>
          <w:tcPr>
            <w:tcW w:w="1134" w:type="dxa"/>
          </w:tcPr>
          <w:p>
            <w:pPr>
              <w:pStyle w:val="nTable"/>
              <w:spacing w:after="40"/>
              <w:rPr>
                <w:sz w:val="19"/>
              </w:rPr>
            </w:pPr>
            <w:r>
              <w:rPr>
                <w:sz w:val="19"/>
              </w:rPr>
              <w:t>16 Nov 2006</w:t>
            </w:r>
          </w:p>
        </w:tc>
        <w:tc>
          <w:tcPr>
            <w:tcW w:w="2553" w:type="dxa"/>
          </w:tcPr>
          <w:p>
            <w:pPr>
              <w:pStyle w:val="nTable"/>
              <w:spacing w:after="40"/>
              <w:rPr>
                <w:sz w:val="19"/>
              </w:rPr>
            </w:pPr>
            <w:r>
              <w:rPr>
                <w:snapToGrid w:val="0"/>
                <w:sz w:val="19"/>
              </w:rPr>
              <w:t xml:space="preserve">1 Jul 2007 (see s. 2 and </w:t>
            </w:r>
            <w:r>
              <w:rPr>
                <w:i/>
                <w:iCs/>
                <w:snapToGrid w:val="0"/>
                <w:sz w:val="19"/>
              </w:rPr>
              <w:t>Gazette</w:t>
            </w:r>
            <w:r>
              <w:rPr>
                <w:snapToGrid w:val="0"/>
                <w:sz w:val="19"/>
              </w:rPr>
              <w:t xml:space="preserve"> 22 Jun 2007 p. 2838)</w:t>
            </w:r>
          </w:p>
        </w:tc>
      </w:tr>
      <w:tr>
        <w:trPr>
          <w:cantSplit/>
        </w:trPr>
        <w:tc>
          <w:tcPr>
            <w:tcW w:w="2266" w:type="dxa"/>
          </w:tcPr>
          <w:p>
            <w:pPr>
              <w:pStyle w:val="nTable"/>
              <w:spacing w:after="40"/>
              <w:ind w:left="-28"/>
              <w:rPr>
                <w:iCs/>
                <w:snapToGrid w:val="0"/>
                <w:sz w:val="19"/>
              </w:rPr>
            </w:pPr>
            <w:r>
              <w:rPr>
                <w:i/>
                <w:snapToGrid w:val="0"/>
                <w:sz w:val="19"/>
              </w:rPr>
              <w:t>Chemistry Centre (WA) Act 2007</w:t>
            </w:r>
            <w:r>
              <w:rPr>
                <w:iCs/>
                <w:snapToGrid w:val="0"/>
                <w:sz w:val="19"/>
              </w:rPr>
              <w:t xml:space="preserve"> s. 43</w:t>
            </w:r>
          </w:p>
        </w:tc>
        <w:tc>
          <w:tcPr>
            <w:tcW w:w="1134" w:type="dxa"/>
          </w:tcPr>
          <w:p>
            <w:pPr>
              <w:pStyle w:val="nTable"/>
              <w:spacing w:after="40"/>
              <w:rPr>
                <w:snapToGrid w:val="0"/>
                <w:sz w:val="19"/>
              </w:rPr>
            </w:pPr>
            <w:r>
              <w:rPr>
                <w:snapToGrid w:val="0"/>
                <w:sz w:val="19"/>
              </w:rPr>
              <w:t>10 of 2007</w:t>
            </w:r>
          </w:p>
        </w:tc>
        <w:tc>
          <w:tcPr>
            <w:tcW w:w="1134" w:type="dxa"/>
          </w:tcPr>
          <w:p>
            <w:pPr>
              <w:pStyle w:val="nTable"/>
              <w:spacing w:after="40"/>
              <w:rPr>
                <w:sz w:val="19"/>
              </w:rPr>
            </w:pPr>
            <w:r>
              <w:rPr>
                <w:sz w:val="19"/>
              </w:rPr>
              <w:t>29 Jun 2007</w:t>
            </w:r>
          </w:p>
        </w:tc>
        <w:tc>
          <w:tcPr>
            <w:tcW w:w="2553" w:type="dxa"/>
          </w:tcPr>
          <w:p>
            <w:pPr>
              <w:pStyle w:val="nTable"/>
              <w:spacing w:after="40"/>
              <w:rPr>
                <w:sz w:val="19"/>
              </w:rPr>
            </w:pPr>
            <w:r>
              <w:rPr>
                <w:snapToGrid w:val="0"/>
                <w:sz w:val="19"/>
              </w:rPr>
              <w:t xml:space="preserve">1 Aug 2007 (see s. 2(1) and </w:t>
            </w:r>
            <w:r>
              <w:rPr>
                <w:i/>
                <w:iCs/>
                <w:snapToGrid w:val="0"/>
                <w:sz w:val="19"/>
              </w:rPr>
              <w:t>Gazette</w:t>
            </w:r>
            <w:r>
              <w:rPr>
                <w:snapToGrid w:val="0"/>
                <w:sz w:val="19"/>
              </w:rPr>
              <w:t xml:space="preserve"> 27 Jul 2007 p. 3735)</w:t>
            </w:r>
          </w:p>
        </w:tc>
      </w:tr>
      <w:tr>
        <w:trPr>
          <w:cantSplit/>
        </w:trPr>
        <w:tc>
          <w:tcPr>
            <w:tcW w:w="2266" w:type="dxa"/>
          </w:tcPr>
          <w:p>
            <w:pPr>
              <w:pStyle w:val="nTable"/>
              <w:spacing w:after="40"/>
              <w:ind w:left="-28"/>
              <w:rPr>
                <w:i/>
                <w:snapToGrid w:val="0"/>
                <w:sz w:val="19"/>
              </w:rPr>
            </w:pPr>
            <w:r>
              <w:rPr>
                <w:i/>
                <w:snapToGrid w:val="0"/>
                <w:sz w:val="19"/>
              </w:rPr>
              <w:t>Biosecurity and Agriculture Management (Repeal and Consequential Provisions) Act 2007</w:t>
            </w:r>
            <w:r>
              <w:rPr>
                <w:iCs/>
                <w:snapToGrid w:val="0"/>
                <w:sz w:val="19"/>
              </w:rPr>
              <w:t xml:space="preserve"> s. 93</w:t>
            </w:r>
          </w:p>
        </w:tc>
        <w:tc>
          <w:tcPr>
            <w:tcW w:w="1134" w:type="dxa"/>
          </w:tcPr>
          <w:p>
            <w:pPr>
              <w:pStyle w:val="nTable"/>
              <w:spacing w:after="40"/>
              <w:rPr>
                <w:snapToGrid w:val="0"/>
                <w:sz w:val="19"/>
              </w:rPr>
            </w:pPr>
            <w:r>
              <w:rPr>
                <w:snapToGrid w:val="0"/>
                <w:sz w:val="19"/>
              </w:rPr>
              <w:t>24 of 2007 (as amended by No. 46 of 2010 s. 66)</w:t>
            </w:r>
          </w:p>
        </w:tc>
        <w:tc>
          <w:tcPr>
            <w:tcW w:w="1134" w:type="dxa"/>
          </w:tcPr>
          <w:p>
            <w:pPr>
              <w:pStyle w:val="nTable"/>
              <w:spacing w:after="40"/>
              <w:rPr>
                <w:sz w:val="19"/>
              </w:rPr>
            </w:pPr>
            <w:r>
              <w:rPr>
                <w:snapToGrid w:val="0"/>
                <w:sz w:val="19"/>
              </w:rPr>
              <w:t>12 Oct 2007</w:t>
            </w:r>
          </w:p>
        </w:tc>
        <w:tc>
          <w:tcPr>
            <w:tcW w:w="2553" w:type="dxa"/>
          </w:tcPr>
          <w:p>
            <w:pPr>
              <w:pStyle w:val="nTable"/>
              <w:spacing w:after="40"/>
              <w:rPr>
                <w:snapToGrid w:val="0"/>
                <w:sz w:val="19"/>
              </w:rPr>
            </w:pPr>
            <w:r>
              <w:rPr>
                <w:snapToGrid w:val="0"/>
                <w:sz w:val="19"/>
              </w:rPr>
              <w:t xml:space="preserve">1 May 2013 (see s. 2(2) and </w:t>
            </w:r>
            <w:r>
              <w:rPr>
                <w:i/>
                <w:snapToGrid w:val="0"/>
                <w:sz w:val="19"/>
              </w:rPr>
              <w:t>Gazette</w:t>
            </w:r>
            <w:r>
              <w:rPr>
                <w:snapToGrid w:val="0"/>
                <w:sz w:val="19"/>
              </w:rPr>
              <w:t xml:space="preserve"> 5 Feb 2013 p. 823)</w:t>
            </w:r>
          </w:p>
        </w:tc>
      </w:tr>
      <w:tr>
        <w:tblPrEx>
          <w:tblBorders>
            <w:top w:val="single" w:sz="8" w:space="0" w:color="auto"/>
            <w:bottom w:val="single" w:sz="8" w:space="0" w:color="auto"/>
            <w:insideH w:val="single" w:sz="8" w:space="0" w:color="auto"/>
          </w:tblBorders>
        </w:tblPrEx>
        <w:trPr>
          <w:cantSplit/>
        </w:trPr>
        <w:tc>
          <w:tcPr>
            <w:tcW w:w="2266" w:type="dxa"/>
            <w:tcBorders>
              <w:top w:val="nil"/>
              <w:bottom w:val="nil"/>
            </w:tcBorders>
          </w:tcPr>
          <w:p>
            <w:pPr>
              <w:pStyle w:val="nTable"/>
              <w:spacing w:after="40"/>
              <w:rPr>
                <w:sz w:val="19"/>
              </w:rPr>
            </w:pPr>
            <w:r>
              <w:rPr>
                <w:i/>
                <w:snapToGrid w:val="0"/>
                <w:sz w:val="19"/>
              </w:rPr>
              <w:t>Medical Practitioners Act 2008</w:t>
            </w:r>
            <w:r>
              <w:rPr>
                <w:sz w:val="19"/>
              </w:rPr>
              <w:t xml:space="preserve"> Sch. 3 cl. 46</w:t>
            </w:r>
          </w:p>
        </w:tc>
        <w:tc>
          <w:tcPr>
            <w:tcW w:w="1134" w:type="dxa"/>
            <w:tcBorders>
              <w:top w:val="nil"/>
              <w:bottom w:val="nil"/>
            </w:tcBorders>
          </w:tcPr>
          <w:p>
            <w:pPr>
              <w:pStyle w:val="nTable"/>
              <w:spacing w:after="40"/>
              <w:rPr>
                <w:sz w:val="19"/>
              </w:rPr>
            </w:pPr>
            <w:r>
              <w:rPr>
                <w:sz w:val="19"/>
              </w:rPr>
              <w:t>22 of 2008</w:t>
            </w:r>
          </w:p>
        </w:tc>
        <w:tc>
          <w:tcPr>
            <w:tcW w:w="1134" w:type="dxa"/>
            <w:tcBorders>
              <w:top w:val="nil"/>
              <w:bottom w:val="nil"/>
            </w:tcBorders>
          </w:tcPr>
          <w:p>
            <w:pPr>
              <w:pStyle w:val="nTable"/>
              <w:spacing w:after="40"/>
              <w:rPr>
                <w:sz w:val="19"/>
              </w:rPr>
            </w:pPr>
            <w:r>
              <w:rPr>
                <w:sz w:val="19"/>
              </w:rPr>
              <w:t>27 May 2008</w:t>
            </w:r>
          </w:p>
        </w:tc>
        <w:tc>
          <w:tcPr>
            <w:tcW w:w="2553" w:type="dxa"/>
            <w:tcBorders>
              <w:top w:val="nil"/>
              <w:bottom w:val="nil"/>
            </w:tcBorders>
          </w:tcPr>
          <w:p>
            <w:pPr>
              <w:pStyle w:val="nTable"/>
              <w:spacing w:after="40"/>
              <w:rPr>
                <w:sz w:val="19"/>
              </w:rPr>
            </w:pPr>
            <w:r>
              <w:rPr>
                <w:snapToGrid w:val="0"/>
                <w:sz w:val="19"/>
              </w:rPr>
              <w:t xml:space="preserve">1 Dec 2008 (see s. 2 and </w:t>
            </w:r>
            <w:r>
              <w:rPr>
                <w:i/>
                <w:iCs/>
                <w:snapToGrid w:val="0"/>
                <w:sz w:val="19"/>
              </w:rPr>
              <w:t>Gazette</w:t>
            </w:r>
            <w:r>
              <w:rPr>
                <w:snapToGrid w:val="0"/>
                <w:sz w:val="19"/>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4"/>
            <w:tcBorders>
              <w:top w:val="nil"/>
              <w:bottom w:val="nil"/>
            </w:tcBorders>
          </w:tcPr>
          <w:p>
            <w:pPr>
              <w:pStyle w:val="nTable"/>
              <w:spacing w:after="40"/>
              <w:rPr>
                <w:b/>
                <w:sz w:val="19"/>
              </w:rPr>
            </w:pPr>
            <w:r>
              <w:rPr>
                <w:b/>
                <w:sz w:val="19"/>
              </w:rPr>
              <w:t xml:space="preserve">Reprint 8: The </w:t>
            </w:r>
            <w:r>
              <w:rPr>
                <w:b/>
                <w:i/>
                <w:sz w:val="19"/>
              </w:rPr>
              <w:t>Poisons Act 1964</w:t>
            </w:r>
            <w:r>
              <w:rPr>
                <w:i/>
                <w:sz w:val="19"/>
              </w:rPr>
              <w:t xml:space="preserve"> </w:t>
            </w:r>
            <w:r>
              <w:rPr>
                <w:b/>
                <w:sz w:val="19"/>
              </w:rPr>
              <w:t xml:space="preserve">as at 13 Feb 2009 </w:t>
            </w:r>
            <w:r>
              <w:rPr>
                <w:sz w:val="19"/>
              </w:rPr>
              <w:t xml:space="preserve">(includes amendments listed above except the </w:t>
            </w:r>
            <w:r>
              <w:rPr>
                <w:i/>
                <w:snapToGrid w:val="0"/>
                <w:sz w:val="19"/>
              </w:rPr>
              <w:t>Biosecurity and Agriculture Management (Repeal and Consequential Provisions) Act 2007</w:t>
            </w:r>
            <w:r>
              <w:rPr>
                <w:sz w:val="19"/>
              </w:rPr>
              <w:t>)</w:t>
            </w:r>
          </w:p>
        </w:tc>
      </w:tr>
      <w:tr>
        <w:trPr>
          <w:cantSplit/>
        </w:trPr>
        <w:tc>
          <w:tcPr>
            <w:tcW w:w="2266" w:type="dxa"/>
          </w:tcPr>
          <w:p>
            <w:pPr>
              <w:pStyle w:val="nTable"/>
              <w:spacing w:after="40"/>
              <w:ind w:right="113"/>
              <w:rPr>
                <w:rFonts w:ascii="Times" w:hAnsi="Times"/>
                <w:iCs/>
                <w:sz w:val="19"/>
              </w:rPr>
            </w:pPr>
            <w:r>
              <w:rPr>
                <w:rFonts w:ascii="Times" w:hAnsi="Times"/>
                <w:i/>
                <w:sz w:val="19"/>
              </w:rPr>
              <w:t>Statutes (Repeals and Miscellaneous Amendments) Act 2009</w:t>
            </w:r>
            <w:r>
              <w:rPr>
                <w:rFonts w:ascii="Times" w:hAnsi="Times"/>
                <w:iCs/>
                <w:sz w:val="19"/>
              </w:rPr>
              <w:t xml:space="preserve"> s. 101</w:t>
            </w:r>
          </w:p>
        </w:tc>
        <w:tc>
          <w:tcPr>
            <w:tcW w:w="1134" w:type="dxa"/>
          </w:tcPr>
          <w:p>
            <w:pPr>
              <w:pStyle w:val="nTable"/>
              <w:spacing w:after="40"/>
              <w:rPr>
                <w:rFonts w:ascii="Times" w:hAnsi="Times"/>
                <w:sz w:val="19"/>
              </w:rPr>
            </w:pPr>
            <w:r>
              <w:rPr>
                <w:rFonts w:ascii="Times" w:hAnsi="Times"/>
                <w:sz w:val="19"/>
              </w:rPr>
              <w:t xml:space="preserve">8 of 2009 </w:t>
            </w:r>
          </w:p>
        </w:tc>
        <w:tc>
          <w:tcPr>
            <w:tcW w:w="1134" w:type="dxa"/>
          </w:tcPr>
          <w:p>
            <w:pPr>
              <w:pStyle w:val="nTable"/>
              <w:spacing w:after="40"/>
              <w:rPr>
                <w:rFonts w:ascii="Times" w:hAnsi="Times"/>
                <w:sz w:val="19"/>
              </w:rPr>
            </w:pPr>
            <w:r>
              <w:rPr>
                <w:rFonts w:ascii="Times" w:hAnsi="Times"/>
                <w:sz w:val="19"/>
              </w:rPr>
              <w:t>21 May 2009</w:t>
            </w:r>
          </w:p>
        </w:tc>
        <w:tc>
          <w:tcPr>
            <w:tcW w:w="2553" w:type="dxa"/>
          </w:tcPr>
          <w:p>
            <w:pPr>
              <w:pStyle w:val="nTable"/>
              <w:spacing w:after="40"/>
              <w:rPr>
                <w:rFonts w:ascii="Times" w:hAnsi="Times"/>
                <w:sz w:val="19"/>
              </w:rPr>
            </w:pPr>
            <w:r>
              <w:rPr>
                <w:rFonts w:ascii="Times" w:hAnsi="Times"/>
                <w:sz w:val="19"/>
              </w:rPr>
              <w:t>22 May 2009 (see s. 2(b))</w:t>
            </w:r>
          </w:p>
        </w:tc>
      </w:tr>
      <w:tr>
        <w:trPr>
          <w:cantSplit/>
        </w:trPr>
        <w:tc>
          <w:tcPr>
            <w:tcW w:w="2266" w:type="dxa"/>
          </w:tcPr>
          <w:p>
            <w:pPr>
              <w:pStyle w:val="nTable"/>
              <w:spacing w:after="40"/>
              <w:ind w:right="113"/>
              <w:rPr>
                <w:rFonts w:ascii="Times" w:hAnsi="Times"/>
                <w:iCs/>
                <w:sz w:val="19"/>
              </w:rPr>
            </w:pPr>
            <w:r>
              <w:rPr>
                <w:rFonts w:ascii="Times" w:hAnsi="Times"/>
                <w:i/>
                <w:sz w:val="19"/>
              </w:rPr>
              <w:t>Acts Amendment (Bankruptcy) Act 2009</w:t>
            </w:r>
            <w:r>
              <w:rPr>
                <w:rFonts w:ascii="Times" w:hAnsi="Times"/>
                <w:iCs/>
                <w:sz w:val="19"/>
              </w:rPr>
              <w:t xml:space="preserve"> s. 67</w:t>
            </w:r>
          </w:p>
        </w:tc>
        <w:tc>
          <w:tcPr>
            <w:tcW w:w="1134" w:type="dxa"/>
          </w:tcPr>
          <w:p>
            <w:pPr>
              <w:pStyle w:val="nTable"/>
              <w:spacing w:after="40"/>
              <w:rPr>
                <w:rFonts w:ascii="Times" w:hAnsi="Times"/>
                <w:sz w:val="19"/>
              </w:rPr>
            </w:pPr>
            <w:r>
              <w:rPr>
                <w:rFonts w:ascii="Times" w:hAnsi="Times"/>
                <w:sz w:val="19"/>
              </w:rPr>
              <w:t>18 of 2009</w:t>
            </w:r>
          </w:p>
        </w:tc>
        <w:tc>
          <w:tcPr>
            <w:tcW w:w="1134" w:type="dxa"/>
          </w:tcPr>
          <w:p>
            <w:pPr>
              <w:pStyle w:val="nTable"/>
              <w:spacing w:after="40"/>
              <w:rPr>
                <w:rFonts w:ascii="Times" w:hAnsi="Times"/>
                <w:sz w:val="19"/>
              </w:rPr>
            </w:pPr>
            <w:r>
              <w:rPr>
                <w:rFonts w:ascii="Times" w:hAnsi="Times"/>
                <w:sz w:val="19"/>
              </w:rPr>
              <w:t>16 Sep 2009</w:t>
            </w:r>
          </w:p>
        </w:tc>
        <w:tc>
          <w:tcPr>
            <w:tcW w:w="2553" w:type="dxa"/>
          </w:tcPr>
          <w:p>
            <w:pPr>
              <w:pStyle w:val="nTable"/>
              <w:spacing w:after="40"/>
              <w:rPr>
                <w:rFonts w:ascii="Times" w:hAnsi="Times"/>
                <w:sz w:val="19"/>
              </w:rPr>
            </w:pPr>
            <w:r>
              <w:rPr>
                <w:rFonts w:ascii="Times" w:hAnsi="Times"/>
                <w:sz w:val="19"/>
              </w:rPr>
              <w:t>17 Sep 2009 (see s. 2(b))</w:t>
            </w:r>
          </w:p>
        </w:tc>
      </w:tr>
      <w:tr>
        <w:trPr>
          <w:cantSplit/>
        </w:trPr>
        <w:tc>
          <w:tcPr>
            <w:tcW w:w="2266" w:type="dxa"/>
          </w:tcPr>
          <w:p>
            <w:pPr>
              <w:pStyle w:val="nTable"/>
              <w:spacing w:after="40"/>
              <w:ind w:right="113"/>
              <w:rPr>
                <w:rFonts w:ascii="Times" w:hAnsi="Times"/>
                <w:i/>
                <w:sz w:val="19"/>
              </w:rPr>
            </w:pPr>
            <w:r>
              <w:rPr>
                <w:rFonts w:ascii="Times" w:hAnsi="Times"/>
                <w:i/>
                <w:snapToGrid w:val="0"/>
                <w:sz w:val="19"/>
              </w:rPr>
              <w:t xml:space="preserve">Health Practitioner Regulation National Law (WA) Act 2010 </w:t>
            </w:r>
            <w:r>
              <w:rPr>
                <w:rFonts w:ascii="Times" w:hAnsi="Times"/>
                <w:iCs/>
                <w:snapToGrid w:val="0"/>
                <w:sz w:val="19"/>
              </w:rPr>
              <w:t>Pt. 5 Div. 40</w:t>
            </w:r>
          </w:p>
        </w:tc>
        <w:tc>
          <w:tcPr>
            <w:tcW w:w="1134" w:type="dxa"/>
          </w:tcPr>
          <w:p>
            <w:pPr>
              <w:pStyle w:val="nTable"/>
              <w:spacing w:after="40"/>
              <w:rPr>
                <w:rFonts w:ascii="Times" w:hAnsi="Times"/>
                <w:sz w:val="19"/>
              </w:rPr>
            </w:pPr>
            <w:r>
              <w:rPr>
                <w:rFonts w:ascii="Times" w:hAnsi="Times"/>
                <w:snapToGrid w:val="0"/>
                <w:sz w:val="19"/>
              </w:rPr>
              <w:t>35 of 2010</w:t>
            </w:r>
          </w:p>
        </w:tc>
        <w:tc>
          <w:tcPr>
            <w:tcW w:w="1134" w:type="dxa"/>
          </w:tcPr>
          <w:p>
            <w:pPr>
              <w:pStyle w:val="nTable"/>
              <w:spacing w:after="40"/>
              <w:rPr>
                <w:rFonts w:ascii="Times" w:hAnsi="Times"/>
                <w:sz w:val="19"/>
              </w:rPr>
            </w:pPr>
            <w:r>
              <w:rPr>
                <w:rFonts w:ascii="Times" w:hAnsi="Times"/>
                <w:snapToGrid w:val="0"/>
                <w:sz w:val="19"/>
              </w:rPr>
              <w:t>30 Aug 2010</w:t>
            </w:r>
          </w:p>
        </w:tc>
        <w:tc>
          <w:tcPr>
            <w:tcW w:w="2553" w:type="dxa"/>
          </w:tcPr>
          <w:p>
            <w:pPr>
              <w:pStyle w:val="nTable"/>
              <w:spacing w:after="40"/>
              <w:rPr>
                <w:rFonts w:ascii="Times" w:hAnsi="Times"/>
                <w:sz w:val="19"/>
              </w:rPr>
            </w:pPr>
            <w:r>
              <w:rPr>
                <w:rFonts w:ascii="Times" w:hAnsi="Times"/>
                <w:snapToGrid w:val="0"/>
                <w:sz w:val="19"/>
              </w:rPr>
              <w:t xml:space="preserve">18 Oct 2010 (see s. 2(b) and </w:t>
            </w:r>
            <w:r>
              <w:rPr>
                <w:rFonts w:ascii="Times" w:hAnsi="Times"/>
                <w:i/>
                <w:snapToGrid w:val="0"/>
                <w:sz w:val="19"/>
              </w:rPr>
              <w:t xml:space="preserve">Gazette </w:t>
            </w:r>
            <w:r>
              <w:rPr>
                <w:rFonts w:ascii="Times" w:hAnsi="Times"/>
                <w:iCs/>
                <w:snapToGrid w:val="0"/>
                <w:sz w:val="19"/>
              </w:rPr>
              <w:t>1 Oct 2010 p. 5075</w:t>
            </w:r>
            <w:r>
              <w:rPr>
                <w:rFonts w:ascii="Times" w:hAnsi="Times"/>
                <w:iCs/>
                <w:snapToGrid w:val="0"/>
                <w:sz w:val="19"/>
              </w:rPr>
              <w:noBreakHyphen/>
              <w:t>6</w:t>
            </w:r>
            <w:r>
              <w:rPr>
                <w:rFonts w:ascii="Times" w:hAnsi="Times"/>
                <w:snapToGrid w:val="0"/>
                <w:sz w:val="19"/>
              </w:rPr>
              <w:t>)</w:t>
            </w:r>
          </w:p>
        </w:tc>
      </w:tr>
      <w:tr>
        <w:trPr>
          <w:cantSplit/>
        </w:trPr>
        <w:tc>
          <w:tcPr>
            <w:tcW w:w="4534" w:type="dxa"/>
            <w:gridSpan w:val="3"/>
          </w:tcPr>
          <w:p>
            <w:pPr>
              <w:pStyle w:val="nTable"/>
              <w:spacing w:after="40"/>
              <w:rPr>
                <w:rFonts w:ascii="Times" w:hAnsi="Times"/>
                <w:sz w:val="19"/>
              </w:rPr>
            </w:pPr>
            <w:r>
              <w:rPr>
                <w:rFonts w:ascii="Times" w:hAnsi="Times"/>
                <w:i/>
                <w:sz w:val="19"/>
              </w:rPr>
              <w:t xml:space="preserve">Poisons (Appendix A Amendment) Order 2010 </w:t>
            </w:r>
            <w:r>
              <w:rPr>
                <w:rFonts w:ascii="Times" w:hAnsi="Times"/>
                <w:sz w:val="19"/>
              </w:rPr>
              <w:t xml:space="preserve">published in </w:t>
            </w:r>
            <w:r>
              <w:rPr>
                <w:rFonts w:ascii="Times" w:hAnsi="Times"/>
                <w:i/>
                <w:sz w:val="19"/>
              </w:rPr>
              <w:t xml:space="preserve">Gazette </w:t>
            </w:r>
            <w:r>
              <w:rPr>
                <w:rFonts w:ascii="Times" w:hAnsi="Times"/>
                <w:sz w:val="19"/>
              </w:rPr>
              <w:t>22 Oct 2010 p. 5216</w:t>
            </w:r>
            <w:r>
              <w:rPr>
                <w:rFonts w:ascii="Times" w:hAnsi="Times"/>
                <w:sz w:val="19"/>
              </w:rPr>
              <w:noBreakHyphen/>
              <w:t>17</w:t>
            </w:r>
          </w:p>
        </w:tc>
        <w:tc>
          <w:tcPr>
            <w:tcW w:w="2553" w:type="dxa"/>
          </w:tcPr>
          <w:p>
            <w:pPr>
              <w:pStyle w:val="nTable"/>
              <w:spacing w:after="40"/>
              <w:rPr>
                <w:rFonts w:ascii="Times" w:hAnsi="Times"/>
                <w:sz w:val="19"/>
              </w:rPr>
            </w:pPr>
            <w:r>
              <w:rPr>
                <w:rFonts w:ascii="Times" w:hAnsi="Times"/>
                <w:snapToGrid w:val="0"/>
                <w:sz w:val="19"/>
              </w:rPr>
              <w:t>cl. 1 and 2: 22 Oct 2010 (see cl. 2(a));</w:t>
            </w:r>
            <w:r>
              <w:rPr>
                <w:rFonts w:ascii="Times" w:hAnsi="Times"/>
                <w:snapToGrid w:val="0"/>
                <w:sz w:val="19"/>
              </w:rPr>
              <w:br/>
              <w:t>Order other than cl. 1 and 2: 23 Oct 2010 (see cl. 2(b))</w:t>
            </w:r>
          </w:p>
        </w:tc>
      </w:tr>
      <w:tr>
        <w:trPr>
          <w:cantSplit/>
        </w:trPr>
        <w:tc>
          <w:tcPr>
            <w:tcW w:w="2266" w:type="dxa"/>
          </w:tcPr>
          <w:p>
            <w:pPr>
              <w:pStyle w:val="nTable"/>
              <w:spacing w:after="40"/>
              <w:ind w:right="113"/>
              <w:rPr>
                <w:rFonts w:ascii="Times" w:hAnsi="Times"/>
                <w:i/>
                <w:sz w:val="19"/>
              </w:rPr>
            </w:pPr>
            <w:r>
              <w:rPr>
                <w:rFonts w:ascii="Times" w:hAnsi="Times"/>
                <w:i/>
                <w:snapToGrid w:val="0"/>
                <w:sz w:val="19"/>
              </w:rPr>
              <w:t>Agriculture and Related Resources Protection Amendment Act 2010</w:t>
            </w:r>
            <w:r>
              <w:rPr>
                <w:rFonts w:ascii="Times" w:hAnsi="Times"/>
                <w:iCs/>
                <w:snapToGrid w:val="0"/>
                <w:sz w:val="19"/>
              </w:rPr>
              <w:t> s. 71</w:t>
            </w:r>
          </w:p>
        </w:tc>
        <w:tc>
          <w:tcPr>
            <w:tcW w:w="1134" w:type="dxa"/>
          </w:tcPr>
          <w:p>
            <w:pPr>
              <w:pStyle w:val="nTable"/>
              <w:spacing w:after="40"/>
              <w:rPr>
                <w:rFonts w:ascii="Times" w:hAnsi="Times"/>
                <w:sz w:val="19"/>
              </w:rPr>
            </w:pPr>
            <w:r>
              <w:rPr>
                <w:rFonts w:ascii="Times" w:hAnsi="Times"/>
                <w:snapToGrid w:val="0"/>
                <w:sz w:val="19"/>
              </w:rPr>
              <w:t>46 of 2010</w:t>
            </w:r>
          </w:p>
        </w:tc>
        <w:tc>
          <w:tcPr>
            <w:tcW w:w="1134" w:type="dxa"/>
          </w:tcPr>
          <w:p>
            <w:pPr>
              <w:pStyle w:val="nTable"/>
              <w:spacing w:after="40"/>
              <w:rPr>
                <w:rFonts w:ascii="Times" w:hAnsi="Times"/>
                <w:sz w:val="19"/>
              </w:rPr>
            </w:pPr>
            <w:r>
              <w:rPr>
                <w:rFonts w:ascii="Times" w:hAnsi="Times"/>
                <w:snapToGrid w:val="0"/>
                <w:sz w:val="19"/>
              </w:rPr>
              <w:t>28 Oct 2010</w:t>
            </w:r>
          </w:p>
        </w:tc>
        <w:tc>
          <w:tcPr>
            <w:tcW w:w="2553" w:type="dxa"/>
          </w:tcPr>
          <w:p>
            <w:pPr>
              <w:pStyle w:val="nTable"/>
              <w:spacing w:after="40"/>
              <w:rPr>
                <w:rFonts w:ascii="Times" w:hAnsi="Times"/>
                <w:sz w:val="19"/>
              </w:rPr>
            </w:pPr>
            <w:r>
              <w:rPr>
                <w:rFonts w:ascii="Times" w:hAnsi="Times"/>
                <w:snapToGrid w:val="0"/>
                <w:sz w:val="19"/>
              </w:rPr>
              <w:t xml:space="preserve">18 Dec 2010 (see s. 2(b) and </w:t>
            </w:r>
            <w:r>
              <w:rPr>
                <w:rFonts w:ascii="Times" w:hAnsi="Times"/>
                <w:i/>
                <w:iCs/>
                <w:snapToGrid w:val="0"/>
                <w:sz w:val="19"/>
              </w:rPr>
              <w:t>Gazette</w:t>
            </w:r>
            <w:r>
              <w:rPr>
                <w:rFonts w:ascii="Times" w:hAnsi="Times"/>
                <w:snapToGrid w:val="0"/>
                <w:sz w:val="19"/>
              </w:rPr>
              <w:t xml:space="preserve"> 17 Dec 2010 p. 6349)</w:t>
            </w:r>
          </w:p>
        </w:tc>
      </w:tr>
      <w:tr>
        <w:trPr>
          <w:cantSplit/>
        </w:trPr>
        <w:tc>
          <w:tcPr>
            <w:tcW w:w="4534" w:type="dxa"/>
            <w:gridSpan w:val="3"/>
            <w:shd w:val="clear" w:color="auto" w:fill="auto"/>
          </w:tcPr>
          <w:p>
            <w:pPr>
              <w:pStyle w:val="nTable"/>
              <w:spacing w:after="40"/>
              <w:rPr>
                <w:rFonts w:ascii="Times" w:hAnsi="Times"/>
                <w:snapToGrid w:val="0"/>
                <w:sz w:val="19"/>
              </w:rPr>
            </w:pPr>
            <w:r>
              <w:rPr>
                <w:rFonts w:ascii="Times" w:hAnsi="Times"/>
                <w:i/>
                <w:snapToGrid w:val="0"/>
                <w:sz w:val="19"/>
              </w:rPr>
              <w:t>Poisons (Appendix A Amendment) Order 2011</w:t>
            </w:r>
            <w:r>
              <w:rPr>
                <w:rFonts w:ascii="Times" w:hAnsi="Times"/>
                <w:snapToGrid w:val="0"/>
                <w:sz w:val="19"/>
              </w:rPr>
              <w:t xml:space="preserve"> published in </w:t>
            </w:r>
            <w:r>
              <w:rPr>
                <w:rFonts w:ascii="Times" w:hAnsi="Times"/>
                <w:i/>
                <w:snapToGrid w:val="0"/>
                <w:sz w:val="19"/>
              </w:rPr>
              <w:t>Gazette</w:t>
            </w:r>
            <w:r>
              <w:rPr>
                <w:rFonts w:ascii="Times" w:hAnsi="Times"/>
                <w:snapToGrid w:val="0"/>
                <w:sz w:val="19"/>
              </w:rPr>
              <w:t xml:space="preserve"> 17 Jun 2011 p. 2152</w:t>
            </w:r>
          </w:p>
        </w:tc>
        <w:tc>
          <w:tcPr>
            <w:tcW w:w="2553" w:type="dxa"/>
            <w:shd w:val="clear" w:color="auto" w:fill="auto"/>
          </w:tcPr>
          <w:p>
            <w:pPr>
              <w:pStyle w:val="nTable"/>
              <w:spacing w:after="40"/>
              <w:rPr>
                <w:rFonts w:ascii="Times" w:hAnsi="Times"/>
                <w:snapToGrid w:val="0"/>
                <w:sz w:val="19"/>
              </w:rPr>
            </w:pPr>
            <w:r>
              <w:rPr>
                <w:rFonts w:ascii="Times" w:hAnsi="Times"/>
                <w:snapToGrid w:val="0"/>
                <w:sz w:val="19"/>
              </w:rPr>
              <w:t>cl. 1 and 2: 17 Jun 2011 (see cl. 2(a));</w:t>
            </w:r>
            <w:r>
              <w:rPr>
                <w:rFonts w:ascii="Times" w:hAnsi="Times"/>
                <w:snapToGrid w:val="0"/>
                <w:sz w:val="19"/>
              </w:rPr>
              <w:br/>
              <w:t>Order other than cl. 1 and 2: 18 Jun 2011 (see cl. 2(b))</w:t>
            </w:r>
          </w:p>
        </w:tc>
      </w:tr>
      <w:tr>
        <w:trPr>
          <w:cantSplit/>
        </w:trPr>
        <w:tc>
          <w:tcPr>
            <w:tcW w:w="4534" w:type="dxa"/>
            <w:gridSpan w:val="3"/>
            <w:shd w:val="clear" w:color="auto" w:fill="auto"/>
          </w:tcPr>
          <w:p>
            <w:pPr>
              <w:pStyle w:val="nTable"/>
              <w:spacing w:after="40"/>
              <w:rPr>
                <w:rFonts w:ascii="Times" w:hAnsi="Times"/>
                <w:i/>
                <w:snapToGrid w:val="0"/>
                <w:sz w:val="19"/>
              </w:rPr>
            </w:pPr>
            <w:r>
              <w:rPr>
                <w:rFonts w:ascii="Times" w:hAnsi="Times"/>
                <w:i/>
                <w:snapToGrid w:val="0"/>
                <w:sz w:val="19"/>
              </w:rPr>
              <w:t>Poisons (Appendix A Amendment) Order (No. 2) 2011</w:t>
            </w:r>
            <w:r>
              <w:rPr>
                <w:rFonts w:ascii="Times" w:hAnsi="Times"/>
                <w:snapToGrid w:val="0"/>
                <w:sz w:val="19"/>
              </w:rPr>
              <w:t xml:space="preserve"> published in </w:t>
            </w:r>
            <w:r>
              <w:rPr>
                <w:rFonts w:ascii="Times" w:hAnsi="Times"/>
                <w:i/>
                <w:snapToGrid w:val="0"/>
                <w:sz w:val="19"/>
              </w:rPr>
              <w:t>Gazette</w:t>
            </w:r>
            <w:r>
              <w:rPr>
                <w:rFonts w:ascii="Times" w:hAnsi="Times"/>
                <w:snapToGrid w:val="0"/>
                <w:sz w:val="19"/>
              </w:rPr>
              <w:t xml:space="preserve"> 5 Aug 2011 p. 3182</w:t>
            </w:r>
            <w:r>
              <w:rPr>
                <w:rFonts w:ascii="Times" w:hAnsi="Times"/>
                <w:snapToGrid w:val="0"/>
                <w:sz w:val="19"/>
              </w:rPr>
              <w:noBreakHyphen/>
              <w:t>3</w:t>
            </w:r>
          </w:p>
        </w:tc>
        <w:tc>
          <w:tcPr>
            <w:tcW w:w="2553" w:type="dxa"/>
            <w:shd w:val="clear" w:color="auto" w:fill="auto"/>
          </w:tcPr>
          <w:p>
            <w:pPr>
              <w:pStyle w:val="nTable"/>
              <w:spacing w:after="40"/>
              <w:rPr>
                <w:rFonts w:ascii="Times" w:hAnsi="Times"/>
                <w:snapToGrid w:val="0"/>
                <w:sz w:val="19"/>
              </w:rPr>
            </w:pPr>
            <w:r>
              <w:rPr>
                <w:rFonts w:ascii="Times" w:hAnsi="Times"/>
                <w:snapToGrid w:val="0"/>
                <w:sz w:val="19"/>
              </w:rPr>
              <w:t>cl. 1 and 2: 5 Aug 2011 (see cl. 2(a));</w:t>
            </w:r>
            <w:r>
              <w:rPr>
                <w:rFonts w:ascii="Times" w:hAnsi="Times"/>
                <w:snapToGrid w:val="0"/>
                <w:sz w:val="19"/>
              </w:rPr>
              <w:br/>
              <w:t>Order other than cl. 1 and 2: 6 Aug 2011 (see cl. 2(b))</w:t>
            </w:r>
          </w:p>
        </w:tc>
      </w:tr>
      <w:tr>
        <w:trPr>
          <w:cantSplit/>
        </w:trPr>
        <w:tc>
          <w:tcPr>
            <w:tcW w:w="7087" w:type="dxa"/>
            <w:gridSpan w:val="4"/>
            <w:shd w:val="clear" w:color="auto" w:fill="auto"/>
          </w:tcPr>
          <w:p>
            <w:pPr>
              <w:pStyle w:val="nTable"/>
              <w:spacing w:after="40"/>
              <w:rPr>
                <w:snapToGrid w:val="0"/>
                <w:spacing w:val="-2"/>
                <w:sz w:val="19"/>
              </w:rPr>
            </w:pPr>
            <w:r>
              <w:rPr>
                <w:b/>
                <w:sz w:val="19"/>
              </w:rPr>
              <w:t xml:space="preserve">Reprint 9: The </w:t>
            </w:r>
            <w:r>
              <w:rPr>
                <w:b/>
                <w:i/>
                <w:sz w:val="19"/>
              </w:rPr>
              <w:t>Poisons Act 1964</w:t>
            </w:r>
            <w:r>
              <w:rPr>
                <w:i/>
                <w:sz w:val="19"/>
              </w:rPr>
              <w:t xml:space="preserve"> </w:t>
            </w:r>
            <w:r>
              <w:rPr>
                <w:b/>
                <w:sz w:val="19"/>
              </w:rPr>
              <w:t xml:space="preserve">as at 19 Aug 2011 </w:t>
            </w:r>
            <w:r>
              <w:rPr>
                <w:sz w:val="19"/>
              </w:rPr>
              <w:t xml:space="preserve">(includes amendments listed above except the </w:t>
            </w:r>
            <w:r>
              <w:rPr>
                <w:i/>
                <w:snapToGrid w:val="0"/>
                <w:sz w:val="19"/>
              </w:rPr>
              <w:t>Biosecurity and Agriculture Management (Repeal and Consequential Provisions) Act 2007</w:t>
            </w:r>
            <w:r>
              <w:rPr>
                <w:sz w:val="19"/>
              </w:rPr>
              <w:t>)</w:t>
            </w:r>
          </w:p>
        </w:tc>
      </w:tr>
      <w:tr>
        <w:trPr>
          <w:cantSplit/>
        </w:trPr>
        <w:tc>
          <w:tcPr>
            <w:tcW w:w="4534" w:type="dxa"/>
            <w:gridSpan w:val="3"/>
            <w:shd w:val="clear" w:color="auto" w:fill="auto"/>
          </w:tcPr>
          <w:p>
            <w:pPr>
              <w:pStyle w:val="nTable"/>
              <w:spacing w:after="40"/>
              <w:rPr>
                <w:rFonts w:ascii="Times" w:hAnsi="Times"/>
                <w:i/>
                <w:snapToGrid w:val="0"/>
                <w:sz w:val="19"/>
              </w:rPr>
            </w:pPr>
            <w:r>
              <w:rPr>
                <w:rFonts w:ascii="Times" w:hAnsi="Times"/>
                <w:i/>
                <w:snapToGrid w:val="0"/>
                <w:sz w:val="19"/>
              </w:rPr>
              <w:t>Poisons (Appendix A Amendment) Order 2012</w:t>
            </w:r>
            <w:r>
              <w:rPr>
                <w:rFonts w:ascii="Times" w:hAnsi="Times"/>
                <w:snapToGrid w:val="0"/>
                <w:sz w:val="19"/>
              </w:rPr>
              <w:t xml:space="preserve"> published in </w:t>
            </w:r>
            <w:r>
              <w:rPr>
                <w:rFonts w:ascii="Times" w:hAnsi="Times"/>
                <w:i/>
                <w:snapToGrid w:val="0"/>
                <w:sz w:val="19"/>
              </w:rPr>
              <w:t>Gazette</w:t>
            </w:r>
            <w:r>
              <w:rPr>
                <w:rFonts w:ascii="Times" w:hAnsi="Times"/>
                <w:snapToGrid w:val="0"/>
                <w:sz w:val="19"/>
              </w:rPr>
              <w:t xml:space="preserve"> 10 Feb 2012 p. 651</w:t>
            </w:r>
          </w:p>
        </w:tc>
        <w:tc>
          <w:tcPr>
            <w:tcW w:w="2553" w:type="dxa"/>
            <w:shd w:val="clear" w:color="auto" w:fill="auto"/>
          </w:tcPr>
          <w:p>
            <w:pPr>
              <w:pStyle w:val="nTable"/>
              <w:spacing w:after="40"/>
              <w:rPr>
                <w:rFonts w:ascii="Times" w:hAnsi="Times"/>
                <w:snapToGrid w:val="0"/>
                <w:sz w:val="19"/>
              </w:rPr>
            </w:pPr>
            <w:r>
              <w:rPr>
                <w:rFonts w:ascii="Times" w:hAnsi="Times"/>
                <w:snapToGrid w:val="0"/>
                <w:sz w:val="19"/>
              </w:rPr>
              <w:t>cl. 1 and 2: 10 Feb 2012 (see cl. 2(a));</w:t>
            </w:r>
            <w:r>
              <w:rPr>
                <w:rFonts w:ascii="Times" w:hAnsi="Times"/>
                <w:snapToGrid w:val="0"/>
                <w:sz w:val="19"/>
              </w:rPr>
              <w:br/>
              <w:t>Order other than cl. 1 and 2: 11 Feb 2012 (see cl. 2(b))</w:t>
            </w:r>
          </w:p>
        </w:tc>
      </w:tr>
      <w:tr>
        <w:trPr>
          <w:cantSplit/>
        </w:trPr>
        <w:tc>
          <w:tcPr>
            <w:tcW w:w="4534" w:type="dxa"/>
            <w:gridSpan w:val="3"/>
            <w:shd w:val="clear" w:color="auto" w:fill="auto"/>
          </w:tcPr>
          <w:p>
            <w:pPr>
              <w:pStyle w:val="nTable"/>
              <w:spacing w:after="40"/>
              <w:rPr>
                <w:rFonts w:ascii="Times" w:hAnsi="Times"/>
                <w:snapToGrid w:val="0"/>
                <w:sz w:val="19"/>
              </w:rPr>
            </w:pPr>
            <w:r>
              <w:rPr>
                <w:rFonts w:ascii="Times" w:hAnsi="Times"/>
                <w:i/>
                <w:snapToGrid w:val="0"/>
                <w:sz w:val="19"/>
              </w:rPr>
              <w:t>Poisons (Appendix A Amendment) Order (No. 2) 2012</w:t>
            </w:r>
            <w:r>
              <w:rPr>
                <w:rFonts w:ascii="Times" w:hAnsi="Times"/>
                <w:snapToGrid w:val="0"/>
                <w:sz w:val="19"/>
              </w:rPr>
              <w:t xml:space="preserve"> published in </w:t>
            </w:r>
            <w:r>
              <w:rPr>
                <w:rFonts w:ascii="Times" w:hAnsi="Times"/>
                <w:i/>
                <w:snapToGrid w:val="0"/>
                <w:sz w:val="19"/>
              </w:rPr>
              <w:t>Gazette</w:t>
            </w:r>
            <w:r>
              <w:rPr>
                <w:rFonts w:ascii="Times" w:hAnsi="Times"/>
                <w:snapToGrid w:val="0"/>
                <w:sz w:val="19"/>
              </w:rPr>
              <w:t xml:space="preserve"> 31 Aug 2012 p. 4209</w:t>
            </w:r>
          </w:p>
        </w:tc>
        <w:tc>
          <w:tcPr>
            <w:tcW w:w="2553" w:type="dxa"/>
            <w:shd w:val="clear" w:color="auto" w:fill="auto"/>
          </w:tcPr>
          <w:p>
            <w:pPr>
              <w:pStyle w:val="nTable"/>
              <w:spacing w:after="40"/>
              <w:rPr>
                <w:rFonts w:ascii="Times" w:hAnsi="Times"/>
                <w:snapToGrid w:val="0"/>
                <w:sz w:val="19"/>
              </w:rPr>
            </w:pPr>
            <w:r>
              <w:rPr>
                <w:rFonts w:ascii="Times" w:hAnsi="Times"/>
                <w:snapToGrid w:val="0"/>
                <w:sz w:val="19"/>
              </w:rPr>
              <w:t>cl. 1 and 2: 31 Aug 2012 (see cl. 2(a));</w:t>
            </w:r>
            <w:r>
              <w:rPr>
                <w:rFonts w:ascii="Times" w:hAnsi="Times"/>
                <w:snapToGrid w:val="0"/>
                <w:sz w:val="19"/>
              </w:rPr>
              <w:br/>
              <w:t>Order other than cl. 1 and 2: 1 Sep 2012 (see cl. 2(b))</w:t>
            </w:r>
          </w:p>
        </w:tc>
      </w:tr>
      <w:tr>
        <w:trPr>
          <w:cantSplit/>
        </w:trPr>
        <w:tc>
          <w:tcPr>
            <w:tcW w:w="4534" w:type="dxa"/>
            <w:gridSpan w:val="3"/>
            <w:tcBorders>
              <w:bottom w:val="single" w:sz="4" w:space="0" w:color="auto"/>
            </w:tcBorders>
            <w:shd w:val="clear" w:color="auto" w:fill="auto"/>
          </w:tcPr>
          <w:p>
            <w:pPr>
              <w:pStyle w:val="nTable"/>
              <w:spacing w:after="40"/>
              <w:rPr>
                <w:rFonts w:ascii="Times" w:hAnsi="Times"/>
                <w:i/>
                <w:snapToGrid w:val="0"/>
                <w:sz w:val="19"/>
              </w:rPr>
            </w:pPr>
            <w:r>
              <w:rPr>
                <w:rFonts w:ascii="Times" w:hAnsi="Times"/>
                <w:i/>
                <w:snapToGrid w:val="0"/>
                <w:sz w:val="19"/>
              </w:rPr>
              <w:t>Poisons (Appendix A Amendment) Order 2014</w:t>
            </w:r>
            <w:r>
              <w:rPr>
                <w:rFonts w:ascii="Times" w:hAnsi="Times"/>
                <w:snapToGrid w:val="0"/>
                <w:sz w:val="19"/>
              </w:rPr>
              <w:t xml:space="preserve"> published in </w:t>
            </w:r>
            <w:r>
              <w:rPr>
                <w:rFonts w:ascii="Times" w:hAnsi="Times"/>
                <w:i/>
                <w:snapToGrid w:val="0"/>
                <w:sz w:val="19"/>
              </w:rPr>
              <w:t>Gazette</w:t>
            </w:r>
            <w:r>
              <w:rPr>
                <w:rFonts w:ascii="Times" w:hAnsi="Times"/>
                <w:snapToGrid w:val="0"/>
                <w:sz w:val="19"/>
              </w:rPr>
              <w:t xml:space="preserve"> 27 Jun 2014 p. 2328-30</w:t>
            </w:r>
          </w:p>
        </w:tc>
        <w:tc>
          <w:tcPr>
            <w:tcW w:w="2553" w:type="dxa"/>
            <w:tcBorders>
              <w:bottom w:val="single" w:sz="4" w:space="0" w:color="auto"/>
            </w:tcBorders>
            <w:shd w:val="clear" w:color="auto" w:fill="auto"/>
          </w:tcPr>
          <w:p>
            <w:pPr>
              <w:pStyle w:val="nTable"/>
              <w:spacing w:after="40"/>
              <w:rPr>
                <w:rFonts w:ascii="Times" w:hAnsi="Times"/>
                <w:snapToGrid w:val="0"/>
                <w:sz w:val="19"/>
              </w:rPr>
            </w:pPr>
            <w:r>
              <w:rPr>
                <w:rFonts w:ascii="Times" w:hAnsi="Times"/>
                <w:snapToGrid w:val="0"/>
                <w:sz w:val="19"/>
              </w:rPr>
              <w:t>cl. 1 and 2: 27 Jun 2014 (see cl. 2(a));</w:t>
            </w:r>
            <w:r>
              <w:rPr>
                <w:rFonts w:ascii="Times" w:hAnsi="Times"/>
                <w:snapToGrid w:val="0"/>
                <w:sz w:val="19"/>
              </w:rPr>
              <w:br/>
              <w:t>Order other than cl. 1 and 2: 28 Jun 2014 (see cl. 2(b))</w:t>
            </w:r>
          </w:p>
        </w:tc>
      </w:tr>
    </w:tbl>
    <w:p>
      <w:pPr>
        <w:pStyle w:val="nSubsection"/>
        <w:spacing w:before="120"/>
        <w:rPr>
          <w:snapToGrid w:val="0"/>
        </w:rPr>
      </w:pPr>
      <w:r>
        <w:rPr>
          <w:snapToGrid w:val="0"/>
          <w:vertAlign w:val="superscript"/>
        </w:rPr>
        <w:t>2</w:t>
      </w:r>
      <w:r>
        <w:rPr>
          <w:snapToGrid w:val="0"/>
        </w:rPr>
        <w:tab/>
        <w:t xml:space="preserve">Under the </w:t>
      </w:r>
      <w:r>
        <w:rPr>
          <w:i/>
          <w:iCs/>
          <w:snapToGrid w:val="0"/>
        </w:rPr>
        <w:t>Alteration of Statutory Designations Order 2006</w:t>
      </w:r>
      <w:r>
        <w:rPr>
          <w:snapToGrid w:val="0"/>
        </w:rPr>
        <w:t xml:space="preserve"> a reference in any law to the Department of Agriculture is read and construed as a reference to the Department of Agriculture and Food.</w:t>
      </w:r>
    </w:p>
    <w:p>
      <w:pPr>
        <w:pStyle w:val="nSubsection"/>
        <w:spacing w:before="120"/>
      </w:pPr>
      <w:r>
        <w:rPr>
          <w:vertAlign w:val="superscript"/>
        </w:rPr>
        <w:t>3</w:t>
      </w:r>
      <w:r>
        <w:tab/>
        <w:t xml:space="preserve">The designation of Ministers may be altered by the Governor under the </w:t>
      </w:r>
      <w:r>
        <w:rPr>
          <w:i/>
        </w:rPr>
        <w:t>Alteration of Statutory Designations Act 1974</w:t>
      </w:r>
      <w:r>
        <w:t>.  As at the date of this compilation the former Minister for Agriculture is known as the Minister for</w:t>
      </w:r>
      <w:r>
        <w:rPr>
          <w:snapToGrid w:val="0"/>
        </w:rPr>
        <w:t xml:space="preserve"> Agriculture and Food</w:t>
      </w:r>
      <w:r>
        <w:t>.</w:t>
      </w:r>
    </w:p>
    <w:p>
      <w:pPr>
        <w:pStyle w:val="nSubsection"/>
        <w:keepNext/>
        <w:spacing w:before="120"/>
        <w:rPr>
          <w:snapToGrid w:val="0"/>
        </w:rPr>
      </w:pPr>
      <w:r>
        <w:rPr>
          <w:snapToGrid w:val="0"/>
          <w:vertAlign w:val="superscript"/>
        </w:rPr>
        <w:t>4</w:t>
      </w:r>
      <w:r>
        <w:rPr>
          <w:snapToGrid w:val="0"/>
        </w:rPr>
        <w:tab/>
        <w:t xml:space="preserve">The </w:t>
      </w:r>
      <w:r>
        <w:rPr>
          <w:i/>
          <w:snapToGrid w:val="0"/>
        </w:rPr>
        <w:t>Courts Legislation Amendment and Repeal Act 2004</w:t>
      </w:r>
      <w:r>
        <w:rPr>
          <w:snapToGrid w:val="0"/>
        </w:rPr>
        <w:t xml:space="preserve"> Sch. 2 cl. 40 was repealed by the </w:t>
      </w:r>
      <w:r>
        <w:rPr>
          <w:i/>
          <w:iCs/>
          <w:snapToGrid w:val="0"/>
        </w:rPr>
        <w:t>Criminal Law and Evidence Amendment Act 2008</w:t>
      </w:r>
      <w:r>
        <w:rPr>
          <w:snapToGrid w:val="0"/>
        </w:rPr>
        <w:t xml:space="preserve"> s. 77(13).</w:t>
      </w:r>
    </w:p>
    <w:p>
      <w:pPr>
        <w:pStyle w:val="nSubsection"/>
        <w:keepLines/>
        <w:spacing w:before="120"/>
        <w:rPr>
          <w:snapToGrid w:val="0"/>
        </w:rPr>
      </w:pPr>
      <w:r>
        <w:rPr>
          <w:vertAlign w:val="superscript"/>
        </w:rPr>
        <w:t>5</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6</w:t>
      </w:r>
      <w:r>
        <w:tab/>
        <w:t>The</w:t>
      </w:r>
      <w:r>
        <w:rPr>
          <w:i/>
          <w:snapToGrid w:val="0"/>
          <w:sz w:val="19"/>
        </w:rPr>
        <w:t xml:space="preserve"> Machinery of Government (Miscellaneous Amendments) Act 2006</w:t>
      </w:r>
      <w:r>
        <w:rPr>
          <w:snapToGrid w:val="0"/>
          <w:sz w:val="19"/>
        </w:rPr>
        <w:t xml:space="preserve"> Pt. 9 Div. 13 reads as follows:</w:t>
      </w:r>
    </w:p>
    <w:p>
      <w:pPr>
        <w:pStyle w:val="BlankOpen"/>
      </w:pP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BlankClose"/>
      </w:pPr>
    </w:p>
    <w:p>
      <w:pPr>
        <w:pStyle w:val="nSubsection"/>
      </w:pPr>
      <w:r>
        <w:rPr>
          <w:snapToGrid w:val="0"/>
          <w:vertAlign w:val="superscript"/>
        </w:rPr>
        <w:t>7</w:t>
      </w:r>
      <w:r>
        <w:rPr>
          <w:snapToGrid w:val="0"/>
        </w:rPr>
        <w:tab/>
      </w:r>
      <w:r>
        <w:t xml:space="preserve">The </w:t>
      </w:r>
      <w:r>
        <w:rPr>
          <w:i/>
        </w:rPr>
        <w:t>Machinery of Government (Miscellaneous Amendments) Act 2006</w:t>
      </w:r>
      <w:r>
        <w:t xml:space="preserve"> section 454 provides a general transitional provision for references to a chief executive officer by a title that was given by a provision of an Act where the provision was amended to remove that title, or repealed, by the </w:t>
      </w:r>
      <w:r>
        <w:rPr>
          <w:i/>
        </w:rPr>
        <w:t>Machinery of Government (Miscellaneous Amendments) Act 2006</w:t>
      </w:r>
      <w:r>
        <w:t>.</w:t>
      </w:r>
    </w:p>
    <w:p>
      <w:pPr>
        <w:pStyle w:val="BlankClose"/>
      </w:pPr>
      <w:bookmarkStart w:id="100" w:name="AutoSch"/>
      <w:bookmarkEnd w:id="100"/>
    </w:p>
    <w:p/>
    <w:p>
      <w:pPr>
        <w:sectPr>
          <w:headerReference w:type="even" r:id="rId30"/>
          <w:headerReference w:type="default" r:id="rId31"/>
          <w:headerReference w:type="first" r:id="rId32"/>
          <w:pgSz w:w="11906" w:h="16838" w:code="9"/>
          <w:pgMar w:top="2376" w:right="2405" w:bottom="3542" w:left="2405" w:header="706" w:footer="3380" w:gutter="0"/>
          <w:cols w:space="720"/>
          <w:noEndnote/>
          <w:docGrid w:linePitch="326"/>
        </w:sectPr>
      </w:pPr>
    </w:p>
    <w:p>
      <w:pPr>
        <w:pStyle w:val="nHeading2"/>
        <w:rPr>
          <w:sz w:val="28"/>
        </w:rPr>
      </w:pPr>
      <w:bookmarkStart w:id="101" w:name="_Toc524065410"/>
      <w:r>
        <w:rPr>
          <w:sz w:val="28"/>
        </w:rPr>
        <w:t>Defined Terms</w:t>
      </w:r>
      <w:bookmarkEnd w:id="101"/>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102" w:name="DefinedTerms"/>
      <w:bookmarkEnd w:id="102"/>
      <w:r>
        <w:t>Advisory Committee</w:t>
      </w:r>
      <w:r>
        <w:tab/>
        <w:t>5(1)</w:t>
      </w:r>
    </w:p>
    <w:p>
      <w:pPr>
        <w:pStyle w:val="DefinedTerms"/>
      </w:pPr>
      <w:r>
        <w:t>analyst</w:t>
      </w:r>
      <w:r>
        <w:tab/>
        <w:t>60(2)</w:t>
      </w:r>
    </w:p>
    <w:p>
      <w:pPr>
        <w:pStyle w:val="DefinedTerms"/>
      </w:pPr>
      <w:r>
        <w:t>authorised officer</w:t>
      </w:r>
      <w:r>
        <w:tab/>
        <w:t>5(1)</w:t>
      </w:r>
    </w:p>
    <w:p>
      <w:pPr>
        <w:pStyle w:val="DefinedTerms"/>
      </w:pPr>
      <w:r>
        <w:t>automatic machine</w:t>
      </w:r>
      <w:r>
        <w:tab/>
        <w:t>5(1)</w:t>
      </w:r>
    </w:p>
    <w:p>
      <w:pPr>
        <w:pStyle w:val="DefinedTerms"/>
      </w:pPr>
      <w:r>
        <w:t>bloodborne infectious disease</w:t>
      </w:r>
      <w:r>
        <w:tab/>
        <w:t>5(1)</w:t>
      </w:r>
    </w:p>
    <w:p>
      <w:pPr>
        <w:pStyle w:val="DefinedTerms"/>
      </w:pPr>
      <w:r>
        <w:t>CEO</w:t>
      </w:r>
      <w:r>
        <w:tab/>
        <w:t>5(1)</w:t>
      </w:r>
    </w:p>
    <w:p>
      <w:pPr>
        <w:pStyle w:val="DefinedTerms"/>
      </w:pPr>
      <w:r>
        <w:t>container</w:t>
      </w:r>
      <w:r>
        <w:tab/>
        <w:t>5(1)</w:t>
      </w:r>
    </w:p>
    <w:p>
      <w:pPr>
        <w:pStyle w:val="DefinedTerms"/>
      </w:pPr>
      <w:r>
        <w:t>corresponding law</w:t>
      </w:r>
      <w:r>
        <w:tab/>
        <w:t>45(1)</w:t>
      </w:r>
    </w:p>
    <w:p>
      <w:pPr>
        <w:pStyle w:val="DefinedTerms"/>
      </w:pPr>
      <w:r>
        <w:t>dentist</w:t>
      </w:r>
      <w:r>
        <w:tab/>
        <w:t>5(1)</w:t>
      </w:r>
    </w:p>
    <w:p>
      <w:pPr>
        <w:pStyle w:val="DefinedTerms"/>
      </w:pPr>
      <w:r>
        <w:t>department</w:t>
      </w:r>
      <w:r>
        <w:tab/>
        <w:t>5(1)</w:t>
      </w:r>
    </w:p>
    <w:p>
      <w:pPr>
        <w:pStyle w:val="DefinedTerms"/>
      </w:pPr>
      <w:r>
        <w:t>document</w:t>
      </w:r>
      <w:r>
        <w:tab/>
        <w:t>5(1)</w:t>
      </w:r>
    </w:p>
    <w:p>
      <w:pPr>
        <w:pStyle w:val="DefinedTerms"/>
      </w:pPr>
      <w:r>
        <w:t>drug of addiction</w:t>
      </w:r>
      <w:r>
        <w:tab/>
        <w:t>5(1)</w:t>
      </w:r>
    </w:p>
    <w:p>
      <w:pPr>
        <w:pStyle w:val="DefinedTerms"/>
      </w:pPr>
      <w:r>
        <w:t>endorsed health practitioner</w:t>
      </w:r>
      <w:r>
        <w:tab/>
        <w:t>5(1)</w:t>
      </w:r>
    </w:p>
    <w:p>
      <w:pPr>
        <w:pStyle w:val="DefinedTerms"/>
      </w:pPr>
      <w:r>
        <w:t>environmental health officer</w:t>
      </w:r>
      <w:r>
        <w:tab/>
        <w:t>5(1)</w:t>
      </w:r>
    </w:p>
    <w:p>
      <w:pPr>
        <w:pStyle w:val="DefinedTerms"/>
      </w:pPr>
      <w:r>
        <w:t>friendly society</w:t>
      </w:r>
      <w:r>
        <w:tab/>
        <w:t>30(3)</w:t>
      </w:r>
    </w:p>
    <w:p>
      <w:pPr>
        <w:pStyle w:val="DefinedTerms"/>
      </w:pPr>
      <w:r>
        <w:t>internal use</w:t>
      </w:r>
      <w:r>
        <w:tab/>
        <w:t>5(1)</w:t>
      </w:r>
    </w:p>
    <w:p>
      <w:pPr>
        <w:pStyle w:val="DefinedTerms"/>
      </w:pPr>
      <w:r>
        <w:t>label</w:t>
      </w:r>
      <w:r>
        <w:tab/>
        <w:t>5(1)</w:t>
      </w:r>
    </w:p>
    <w:p>
      <w:pPr>
        <w:pStyle w:val="DefinedTerms"/>
      </w:pPr>
      <w:r>
        <w:t>labelled</w:t>
      </w:r>
      <w:r>
        <w:tab/>
        <w:t>5(1)</w:t>
      </w:r>
    </w:p>
    <w:p>
      <w:pPr>
        <w:pStyle w:val="DefinedTerms"/>
      </w:pPr>
      <w:r>
        <w:t>licence</w:t>
      </w:r>
      <w:r>
        <w:tab/>
        <w:t>5(1)</w:t>
      </w:r>
    </w:p>
    <w:p>
      <w:pPr>
        <w:pStyle w:val="DefinedTerms"/>
      </w:pPr>
      <w:r>
        <w:t>licensee</w:t>
      </w:r>
      <w:r>
        <w:tab/>
        <w:t>5(1)</w:t>
      </w:r>
    </w:p>
    <w:p>
      <w:pPr>
        <w:pStyle w:val="DefinedTerms"/>
      </w:pPr>
      <w:r>
        <w:t>medical practitioner</w:t>
      </w:r>
      <w:r>
        <w:tab/>
        <w:t>5(1)</w:t>
      </w:r>
    </w:p>
    <w:p>
      <w:pPr>
        <w:pStyle w:val="DefinedTerms"/>
      </w:pPr>
      <w:r>
        <w:t>medicine</w:t>
      </w:r>
      <w:r>
        <w:tab/>
        <w:t>5(1)</w:t>
      </w:r>
    </w:p>
    <w:p>
      <w:pPr>
        <w:pStyle w:val="DefinedTerms"/>
      </w:pPr>
      <w:r>
        <w:t>member</w:t>
      </w:r>
      <w:r>
        <w:tab/>
        <w:t>5(1)</w:t>
      </w:r>
    </w:p>
    <w:p>
      <w:pPr>
        <w:pStyle w:val="DefinedTerms"/>
      </w:pPr>
      <w:r>
        <w:t>needle and syringe programme</w:t>
      </w:r>
      <w:r>
        <w:tab/>
        <w:t>5(1)</w:t>
      </w:r>
    </w:p>
    <w:p>
      <w:pPr>
        <w:pStyle w:val="DefinedTerms"/>
      </w:pPr>
      <w:r>
        <w:t>nurse practitioner</w:t>
      </w:r>
      <w:r>
        <w:tab/>
        <w:t>5(1)</w:t>
      </w:r>
    </w:p>
    <w:p>
      <w:pPr>
        <w:pStyle w:val="DefinedTerms"/>
      </w:pPr>
      <w:r>
        <w:t>package</w:t>
      </w:r>
      <w:r>
        <w:tab/>
        <w:t>5(1)</w:t>
      </w:r>
    </w:p>
    <w:p>
      <w:pPr>
        <w:pStyle w:val="DefinedTerms"/>
      </w:pPr>
      <w:r>
        <w:t>pharmacist</w:t>
      </w:r>
      <w:r>
        <w:tab/>
        <w:t>5(1)</w:t>
      </w:r>
    </w:p>
    <w:p>
      <w:pPr>
        <w:pStyle w:val="DefinedTerms"/>
      </w:pPr>
      <w:r>
        <w:t>poison</w:t>
      </w:r>
      <w:r>
        <w:tab/>
        <w:t>5(1)</w:t>
      </w:r>
    </w:p>
    <w:p>
      <w:pPr>
        <w:pStyle w:val="DefinedTerms"/>
      </w:pPr>
      <w:r>
        <w:t>prohibited plant</w:t>
      </w:r>
      <w:r>
        <w:tab/>
        <w:t>5(1)</w:t>
      </w:r>
    </w:p>
    <w:p>
      <w:pPr>
        <w:pStyle w:val="DefinedTerms"/>
      </w:pPr>
      <w:r>
        <w:t>sale</w:t>
      </w:r>
      <w:r>
        <w:tab/>
        <w:t>5(1)</w:t>
      </w:r>
    </w:p>
    <w:p>
      <w:pPr>
        <w:pStyle w:val="DefinedTerms"/>
      </w:pPr>
      <w:r>
        <w:t>Schedule</w:t>
      </w:r>
      <w:r>
        <w:tab/>
        <w:t>5(1)</w:t>
      </w:r>
    </w:p>
    <w:p>
      <w:pPr>
        <w:pStyle w:val="DefinedTerms"/>
      </w:pPr>
      <w:r>
        <w:t>specified</w:t>
      </w:r>
      <w:r>
        <w:tab/>
        <w:t>5(1)</w:t>
      </w:r>
    </w:p>
    <w:p>
      <w:pPr>
        <w:pStyle w:val="DefinedTerms"/>
      </w:pPr>
      <w:r>
        <w:t>specified drug</w:t>
      </w:r>
      <w:r>
        <w:tab/>
        <w:t>5(1)</w:t>
      </w:r>
    </w:p>
    <w:p>
      <w:pPr>
        <w:pStyle w:val="DefinedTerms"/>
      </w:pPr>
      <w:r>
        <w:t>standard</w:t>
      </w:r>
      <w:r>
        <w:tab/>
        <w:t>5(1)</w:t>
      </w:r>
    </w:p>
    <w:p>
      <w:pPr>
        <w:pStyle w:val="DefinedTerms"/>
      </w:pPr>
      <w:r>
        <w:t>subsidiary legislation</w:t>
      </w:r>
      <w:r>
        <w:tab/>
        <w:t>21(2)</w:t>
      </w:r>
    </w:p>
    <w:p>
      <w:pPr>
        <w:pStyle w:val="DefinedTerms"/>
      </w:pPr>
      <w:r>
        <w:t>substance</w:t>
      </w:r>
      <w:r>
        <w:tab/>
        <w:t>5(1)</w:t>
      </w:r>
    </w:p>
    <w:p>
      <w:pPr>
        <w:pStyle w:val="DefinedTerms"/>
      </w:pPr>
      <w:r>
        <w:t>SUSMP</w:t>
      </w:r>
      <w:r>
        <w:tab/>
        <w:t>App. A cl. 1(1)</w:t>
      </w:r>
    </w:p>
    <w:p>
      <w:pPr>
        <w:pStyle w:val="DefinedTerms"/>
      </w:pPr>
      <w:r>
        <w:t>to sell</w:t>
      </w:r>
      <w:r>
        <w:tab/>
        <w:t>5(1)</w:t>
      </w:r>
    </w:p>
    <w:p>
      <w:pPr>
        <w:pStyle w:val="DefinedTerms"/>
      </w:pPr>
      <w:r>
        <w:t>veterinary surgeon</w:t>
      </w:r>
      <w:r>
        <w:tab/>
        <w:t>5(1)</w:t>
      </w:r>
    </w:p>
    <w:p>
      <w:pPr>
        <w:pStyle w:val="DefinedTerms"/>
      </w:pPr>
      <w:r>
        <w:t>wholesale dealing</w:t>
      </w:r>
      <w:r>
        <w:tab/>
        <w:t>5(1)</w:t>
      </w:r>
    </w:p>
    <w:p>
      <w:pPr>
        <w:pStyle w:val="DefinedTerms"/>
      </w:pPr>
      <w:r>
        <w:t>wholesale supplier</w:t>
      </w:r>
      <w:r>
        <w:tab/>
        <w:t>5(1)</w:t>
      </w:r>
    </w:p>
    <w:p>
      <w:pPr>
        <w:pStyle w:val="DefinedTerms"/>
      </w:pPr>
    </w:p>
    <w:p/>
    <w:p/>
    <w:p>
      <w:pPr>
        <w:sectPr>
          <w:headerReference w:type="even" r:id="rId33"/>
          <w:headerReference w:type="default" r:id="rId34"/>
          <w:headerReference w:type="first" r:id="rId35"/>
          <w:pgSz w:w="11906" w:h="16838" w:code="9"/>
          <w:pgMar w:top="2376" w:right="2405" w:bottom="3542" w:left="2405" w:header="706" w:footer="3380" w:gutter="0"/>
          <w:cols w:space="720"/>
          <w:noEndnote/>
          <w:docGrid w:linePitch="326"/>
        </w:sectPr>
      </w:pPr>
    </w:p>
    <w:p/>
    <w:sectPr>
      <w:headerReference w:type="even" r:id="rId36"/>
      <w:headerReference w:type="default" r:id="rId37"/>
      <w:headerReference w:type="first" r:id="rId38"/>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09-e0-01</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28 Jun 2014</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28 Jun 2014</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09-e0-01</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28 Jun 2014</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09-e0-01</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09-e0-01</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28 Jun 2014</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28 Jun 2014</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09-e0-01</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28 Jun 2014</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09-e0-01</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CharPageNo"/>
      </w:rPr>
      <w:fldChar w:fldCharType="begin"/>
    </w:r>
    <w:r>
      <w:rPr>
        <w:rStyle w:val="CharPageNo"/>
      </w:rPr>
      <w:instrText xml:space="preserve"> PAGE </w:instrText>
    </w:r>
    <w:r>
      <w:rPr>
        <w:rStyle w:val="CharPageNo"/>
      </w:rPr>
      <w:fldChar w:fldCharType="separate"/>
    </w:r>
    <w:r>
      <w:rPr>
        <w:rStyle w:val="CharPageNo"/>
        <w:noProof/>
      </w:rPr>
      <w:t>72</w:t>
    </w:r>
    <w:r>
      <w:rPr>
        <w:rStyle w:val="CharPageNo"/>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09-e0-01</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28 Jun 2014</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28 Jun 2014</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09-e0-01</w:t>
    </w:r>
    <w:r>
      <w:rPr>
        <w:rFonts w:ascii="Arial" w:hAnsi="Arial" w:cs="Arial"/>
        <w:sz w:val="20"/>
      </w:rPr>
      <w:fldChar w:fldCharType="end"/>
    </w:r>
    <w:r>
      <w:rPr>
        <w:rFonts w:ascii="Arial" w:hAnsi="Arial" w:cs="Arial"/>
        <w:sz w:val="20"/>
      </w:rPr>
      <w:tab/>
      <w:t xml:space="preserve">page </w:t>
    </w:r>
    <w:r>
      <w:rPr>
        <w:rStyle w:val="CharPageNo"/>
      </w:rPr>
      <w:fldChar w:fldCharType="begin"/>
    </w:r>
    <w:r>
      <w:rPr>
        <w:rStyle w:val="CharPageNo"/>
      </w:rPr>
      <w:instrText xml:space="preserve"> PAGE </w:instrText>
    </w:r>
    <w:r>
      <w:rPr>
        <w:rStyle w:val="CharPageNo"/>
      </w:rPr>
      <w:fldChar w:fldCharType="separate"/>
    </w:r>
    <w:r>
      <w:rPr>
        <w:rStyle w:val="CharPageNo"/>
        <w:noProof/>
      </w:rPr>
      <w:t>73</w:t>
    </w:r>
    <w:r>
      <w:rPr>
        <w:rStyle w:val="CharPageNo"/>
      </w:rPr>
      <w:fldChar w:fldCharType="end"/>
    </w:r>
  </w:p>
  <w:p>
    <w:pPr>
      <w:rPr>
        <w:sz w:val="16"/>
      </w:rPr>
    </w:pPr>
    <w:r>
      <w:rPr>
        <w:rFonts w:cs="Arial"/>
        <w:sz w:val="16"/>
        <w:szCs w:val="16"/>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28 Jun 2014</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09-e0-01</w:t>
    </w:r>
    <w:r>
      <w:rPr>
        <w:rFonts w:ascii="Arial" w:hAnsi="Arial" w:cs="Arial"/>
        <w:sz w:val="20"/>
      </w:rPr>
      <w:fldChar w:fldCharType="end"/>
    </w:r>
    <w:r>
      <w:rPr>
        <w:rFonts w:ascii="Arial" w:hAnsi="Arial" w:cs="Arial"/>
        <w:sz w:val="20"/>
      </w:rPr>
      <w:tab/>
      <w:t xml:space="preserve">page </w:t>
    </w:r>
    <w:r>
      <w:rPr>
        <w:rStyle w:val="CharPageNo"/>
      </w:rPr>
      <w:fldChar w:fldCharType="begin"/>
    </w:r>
    <w:r>
      <w:rPr>
        <w:rStyle w:val="CharPageNo"/>
      </w:rPr>
      <w:instrText xml:space="preserve"> PAGE </w:instrText>
    </w:r>
    <w:r>
      <w:rPr>
        <w:rStyle w:val="CharPageNo"/>
      </w:rPr>
      <w:fldChar w:fldCharType="separate"/>
    </w:r>
    <w:r>
      <w:rPr>
        <w:rStyle w:val="CharPageNo"/>
        <w:noProof/>
      </w:rPr>
      <w:t>1</w:t>
    </w:r>
    <w:r>
      <w:rPr>
        <w:rStyle w:val="CharPageNo"/>
      </w:rPr>
      <w:fldChar w:fldCharType="end"/>
    </w:r>
  </w:p>
  <w:p>
    <w:pPr>
      <w:rPr>
        <w:sz w:val="16"/>
      </w:rPr>
    </w:pPr>
    <w:r>
      <w:rPr>
        <w:rFonts w:cs="Arial"/>
        <w:sz w:val="16"/>
        <w:szCs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fldSimple w:instr=" STYLEREF CharPartText ">
            <w:r>
              <w:rPr>
                <w:noProof/>
              </w:rPr>
              <w:t>Introductory provisions</w:t>
            </w:r>
          </w:fldSimple>
        </w:p>
      </w:tc>
      <w:tc>
        <w:tcPr>
          <w:tcW w:w="1521" w:type="dxa"/>
        </w:tcPr>
        <w:p>
          <w:pPr>
            <w:pStyle w:val="HeaderNumberRight"/>
            <w:ind w:right="17"/>
          </w:pPr>
          <w:fldSimple w:instr=" STYLEREF CharPartNo ">
            <w:r>
              <w:rPr>
                <w:noProof/>
              </w:rPr>
              <w:t>Part I</w:t>
            </w:r>
          </w:fldSimple>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10EE66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0DE68D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F10B06A"/>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FE3C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3C38899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A9A7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61C3B8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750C2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56A2E24"/>
    <w:lvl w:ilvl="0">
      <w:start w:val="1"/>
      <w:numFmt w:val="decimal"/>
      <w:pStyle w:val="ListNumber"/>
      <w:lvlText w:val="%1."/>
      <w:lvlJc w:val="left"/>
      <w:pPr>
        <w:tabs>
          <w:tab w:val="num" w:pos="360"/>
        </w:tabs>
        <w:ind w:left="360" w:hanging="360"/>
      </w:pPr>
    </w:lvl>
  </w:abstractNum>
  <w:abstractNum w:abstractNumId="9">
    <w:nsid w:val="FFFFFF89"/>
    <w:multiLevelType w:val="singleLevel"/>
    <w:tmpl w:val="3E1AB83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6D083FC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8B86F5C"/>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3">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4">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5">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6">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7">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8">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7"/>
  </w:num>
  <w:num w:numId="13">
    <w:abstractNumId w:val="19"/>
  </w:num>
  <w:num w:numId="14">
    <w:abstractNumId w:val="20"/>
  </w:num>
  <w:num w:numId="15">
    <w:abstractNumId w:val="28"/>
  </w:num>
  <w:num w:numId="16">
    <w:abstractNumId w:val="14"/>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9"/>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3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57"/>
  <w:drawingGridVerticalSpacing w:val="163"/>
  <w:displayHorizontalDrawingGridEvery w:val="0"/>
  <w:displayVerticalDrawingGridEvery w:val="0"/>
  <w:doNotShadeFormData/>
  <w:noPunctuationKerning/>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0626164052"/>
    <w:docVar w:name="WAFER_20140123145212" w:val="RemoveTocBookmarks,RemoveUnusedBookmarks,RemoveLanguageTags,UsedStyles,ResetPageSize,UpdateArrangement"/>
    <w:docVar w:name="WAFER_20140123145212_GUID" w:val="26a44915-f4d6-46ec-83d6-2dec87a45acf"/>
    <w:docVar w:name="WAFER_20140123152739" w:val="RemoveTocBookmarks,RunningHeaders"/>
    <w:docVar w:name="WAFER_20140123152739_GUID" w:val="e8de6585-dda0-49ea-b21b-7534c36437cd"/>
    <w:docVar w:name="WAFER_20140626164052" w:val="RemoveTocBookmarks,RunningHeaders"/>
    <w:docVar w:name="WAFER_20140626164052_GUID" w:val="495f51f3-94ed-447c-84a0-f8fff7ab5314"/>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State"/>
  <w:shapeDefaults>
    <o:shapedefaults v:ext="edit" spidmax="174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header" Target="header15.xml"/><Relationship Id="rId38" Type="http://schemas.openxmlformats.org/officeDocument/2006/relationships/header" Target="header2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eader" Target="header14.xml"/><Relationship Id="rId37" Type="http://schemas.openxmlformats.org/officeDocument/2006/relationships/header" Target="header19.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0.xml"/><Relationship Id="rId36" Type="http://schemas.openxmlformats.org/officeDocument/2006/relationships/header" Target="header18.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image" Target="media/image2.png"/><Relationship Id="rId30" Type="http://schemas.openxmlformats.org/officeDocument/2006/relationships/header" Target="header12.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79</Pages>
  <Words>19027</Words>
  <Characters>91144</Characters>
  <Application>Microsoft Office Word</Application>
  <DocSecurity>0</DocSecurity>
  <Lines>2604</Lines>
  <Paragraphs>1573</Paragraphs>
  <ScaleCrop>false</ScaleCrop>
  <HeadingPairs>
    <vt:vector size="2" baseType="variant">
      <vt:variant>
        <vt:lpstr>Title</vt:lpstr>
      </vt:variant>
      <vt:variant>
        <vt:i4>1</vt:i4>
      </vt:variant>
    </vt:vector>
  </HeadingPairs>
  <TitlesOfParts>
    <vt:vector size="1" baseType="lpstr">
      <vt:lpstr>Poisons Act 1964</vt:lpstr>
    </vt:vector>
  </TitlesOfParts>
  <Manager/>
  <Company/>
  <LinksUpToDate>false</LinksUpToDate>
  <CharactersWithSpaces>108598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1964 - 09-e0-01</dc:title>
  <dc:subject/>
  <dc:creator/>
  <cp:keywords/>
  <dc:description/>
  <cp:lastModifiedBy>svcMRProcess</cp:lastModifiedBy>
  <cp:revision>4</cp:revision>
  <cp:lastPrinted>2013-04-24T04:39:00Z</cp:lastPrinted>
  <dcterms:created xsi:type="dcterms:W3CDTF">2018-09-06T22:33:00Z</dcterms:created>
  <dcterms:modified xsi:type="dcterms:W3CDTF">2018-09-06T22:33:00Z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20140628</vt:lpwstr>
  </property>
  <property fmtid="{D5CDD505-2E9C-101B-9397-08002B2CF9AE}" pid="4" name="DocumentType">
    <vt:lpwstr>Act</vt:lpwstr>
  </property>
  <property fmtid="{D5CDD505-2E9C-101B-9397-08002B2CF9AE}" pid="5" name="OwlsUID">
    <vt:i4>614</vt:i4>
  </property>
  <property fmtid="{D5CDD505-2E9C-101B-9397-08002B2CF9AE}" pid="6" name="AsAtDate">
    <vt:lpwstr>28 Jun 2014</vt:lpwstr>
  </property>
  <property fmtid="{D5CDD505-2E9C-101B-9397-08002B2CF9AE}" pid="7" name="Suffix">
    <vt:lpwstr>09-e0-01</vt:lpwstr>
  </property>
  <property fmtid="{D5CDD505-2E9C-101B-9397-08002B2CF9AE}" pid="8" name="ReprintNo">
    <vt:lpwstr>9</vt:lpwstr>
  </property>
  <property fmtid="{D5CDD505-2E9C-101B-9397-08002B2CF9AE}" pid="9" name="ReprintedAsAt">
    <vt:filetime>2011-08-18T16:00:00Z</vt:filetime>
  </property>
</Properties>
</file>