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Building Act 2011</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Building Regulations 2012</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_Toc525107899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_Toc525107900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_Toc525107901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_Toc525107903 \h </w:instrText>
      </w:r>
      <w:r>
        <w:fldChar w:fldCharType="separate"/>
      </w:r>
      <w:r>
        <w:t>3</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_Toc525107904 \h </w:instrText>
      </w:r>
      <w:r>
        <w:fldChar w:fldCharType="separate"/>
      </w:r>
      <w:r>
        <w:t>4</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_Toc525107905 \h </w:instrText>
      </w:r>
      <w:r>
        <w:fldChar w:fldCharType="separate"/>
      </w:r>
      <w:r>
        <w:t>4</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_Toc525107906 \h </w:instrText>
      </w:r>
      <w:r>
        <w:fldChar w:fldCharType="separate"/>
      </w:r>
      <w:r>
        <w:t>5</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_Toc525107907 \h </w:instrText>
      </w:r>
      <w:r>
        <w:fldChar w:fldCharType="separate"/>
      </w:r>
      <w:r>
        <w:t>5</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_Toc525107908 \h </w:instrText>
      </w:r>
      <w:r>
        <w:fldChar w:fldCharType="separate"/>
      </w:r>
      <w:r>
        <w:t>6</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_Toc525107909 \h </w:instrText>
      </w:r>
      <w:r>
        <w:fldChar w:fldCharType="separate"/>
      </w:r>
      <w:r>
        <w:t>7</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_Toc525107910 \h </w:instrText>
      </w:r>
      <w:r>
        <w:fldChar w:fldCharType="separate"/>
      </w:r>
      <w:r>
        <w:t>7</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_Toc525107911 \h </w:instrText>
      </w:r>
      <w:r>
        <w:fldChar w:fldCharType="separate"/>
      </w:r>
      <w:r>
        <w:t>8</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_Toc525107912 \h </w:instrText>
      </w:r>
      <w:r>
        <w:fldChar w:fldCharType="separate"/>
      </w:r>
      <w:r>
        <w:t>8</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_Toc525107913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_Toc525107915 \h </w:instrText>
      </w:r>
      <w:r>
        <w:fldChar w:fldCharType="separate"/>
      </w:r>
      <w:r>
        <w:t>10</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_Toc525107916 \h </w:instrText>
      </w:r>
      <w:r>
        <w:fldChar w:fldCharType="separate"/>
      </w:r>
      <w:r>
        <w:t>10</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_Toc525107917 \h </w:instrText>
      </w:r>
      <w:r>
        <w:fldChar w:fldCharType="separate"/>
      </w:r>
      <w:r>
        <w:t>11</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_Toc525107918 \h </w:instrText>
      </w:r>
      <w:r>
        <w:fldChar w:fldCharType="separate"/>
      </w:r>
      <w:r>
        <w:t>12</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_Toc525107919 \h </w:instrText>
      </w:r>
      <w:r>
        <w:fldChar w:fldCharType="separate"/>
      </w:r>
      <w:r>
        <w:t>13</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_Toc525107920 \h </w:instrText>
      </w:r>
      <w:r>
        <w:fldChar w:fldCharType="separate"/>
      </w:r>
      <w:r>
        <w:t>14</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_Toc525107921 \h </w:instrText>
      </w:r>
      <w:r>
        <w:fldChar w:fldCharType="separate"/>
      </w:r>
      <w:r>
        <w:t>14</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_Toc525107922 \h </w:instrText>
      </w:r>
      <w:r>
        <w:fldChar w:fldCharType="separate"/>
      </w:r>
      <w:r>
        <w:t>16</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_Toc525107923 \h </w:instrText>
      </w:r>
      <w:r>
        <w:fldChar w:fldCharType="separate"/>
      </w:r>
      <w:r>
        <w:t>17</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_Toc525107924 \h </w:instrText>
      </w:r>
      <w:r>
        <w:fldChar w:fldCharType="separate"/>
      </w:r>
      <w:r>
        <w:t>18</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_Toc525107925 \h </w:instrText>
      </w:r>
      <w:r>
        <w:fldChar w:fldCharType="separate"/>
      </w:r>
      <w:r>
        <w:t>18</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_Toc525107926 \h </w:instrText>
      </w:r>
      <w:r>
        <w:fldChar w:fldCharType="separate"/>
      </w:r>
      <w:r>
        <w:t>18</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_Toc525107927 \h </w:instrText>
      </w:r>
      <w:r>
        <w:fldChar w:fldCharType="separate"/>
      </w:r>
      <w:r>
        <w:t>20</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_Toc525107928 \h </w:instrText>
      </w:r>
      <w:r>
        <w:fldChar w:fldCharType="separate"/>
      </w:r>
      <w:r>
        <w:t>20</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_Toc525107929 \h </w:instrText>
      </w:r>
      <w:r>
        <w:fldChar w:fldCharType="separate"/>
      </w:r>
      <w:r>
        <w:t>20</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_Toc525107930 \h </w:instrText>
      </w:r>
      <w:r>
        <w:fldChar w:fldCharType="separate"/>
      </w:r>
      <w:r>
        <w:t>21</w:t>
      </w:r>
      <w:r>
        <w:fldChar w:fldCharType="end"/>
      </w:r>
    </w:p>
    <w:p>
      <w:pPr>
        <w:pStyle w:val="TOC8"/>
        <w:rPr>
          <w:rFonts w:asciiTheme="minorHAnsi" w:eastAsiaTheme="minorEastAsia" w:hAnsiTheme="minorHAnsi" w:cstheme="minorBidi"/>
          <w:szCs w:val="22"/>
        </w:rPr>
      </w:pPr>
      <w:r>
        <w:t>28.</w:t>
      </w:r>
      <w:r>
        <w:tab/>
        <w:t>Required inspection: enclosure of private swimming pool (s. 36(2)(a))</w:t>
      </w:r>
      <w:r>
        <w:tab/>
      </w:r>
      <w:r>
        <w:fldChar w:fldCharType="begin"/>
      </w:r>
      <w:r>
        <w:instrText xml:space="preserve"> PAGEREF _Toc525107931 \h </w:instrText>
      </w:r>
      <w:r>
        <w:fldChar w:fldCharType="separate"/>
      </w:r>
      <w:r>
        <w:t>22</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_Toc525107932 \h </w:instrText>
      </w:r>
      <w:r>
        <w:fldChar w:fldCharType="separate"/>
      </w:r>
      <w:r>
        <w:t>22</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_Toc525107933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4 — Building standards</w:t>
      </w:r>
    </w:p>
    <w:p>
      <w:pPr>
        <w:pStyle w:val="TOC4"/>
        <w:tabs>
          <w:tab w:val="right" w:leader="dot" w:pos="7086"/>
        </w:tabs>
        <w:rPr>
          <w:rFonts w:asciiTheme="minorHAnsi" w:eastAsiaTheme="minorEastAsia" w:hAnsiTheme="minorHAnsi" w:cstheme="minorBidi"/>
          <w:b w:val="0"/>
          <w:szCs w:val="22"/>
        </w:rPr>
      </w:pPr>
      <w:r>
        <w:t>Division 1 — Applicable building standards</w:t>
      </w:r>
    </w:p>
    <w:p>
      <w:pPr>
        <w:pStyle w:val="TOC6"/>
        <w:tabs>
          <w:tab w:val="right" w:leader="dot" w:pos="7086"/>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_Toc525107937 \h </w:instrText>
      </w:r>
      <w:r>
        <w:fldChar w:fldCharType="separate"/>
      </w:r>
      <w:r>
        <w:t>24</w:t>
      </w:r>
      <w:r>
        <w:fldChar w:fldCharType="end"/>
      </w:r>
    </w:p>
    <w:p>
      <w:pPr>
        <w:pStyle w:val="TOC8"/>
        <w:rPr>
          <w:rFonts w:asciiTheme="minorHAnsi" w:eastAsiaTheme="minorEastAsia" w:hAnsiTheme="minorHAnsi" w:cstheme="minorBidi"/>
          <w:szCs w:val="22"/>
        </w:rPr>
      </w:pPr>
      <w:r>
        <w:t>31B.</w:t>
      </w:r>
      <w:r>
        <w:tab/>
        <w:t>Applicable building standards for alterations etc. before 1 May 2015 (s. 3, 19(3) and 37(1))</w:t>
      </w:r>
      <w:r>
        <w:tab/>
      </w:r>
      <w:r>
        <w:fldChar w:fldCharType="begin"/>
      </w:r>
      <w:r>
        <w:instrText xml:space="preserve"> PAGEREF _Toc525107938 \h </w:instrText>
      </w:r>
      <w:r>
        <w:fldChar w:fldCharType="separate"/>
      </w:r>
      <w:r>
        <w:t>24</w:t>
      </w:r>
      <w:r>
        <w:fldChar w:fldCharType="end"/>
      </w:r>
    </w:p>
    <w:p>
      <w:pPr>
        <w:pStyle w:val="TOC8"/>
        <w:rPr>
          <w:rFonts w:asciiTheme="minorHAnsi" w:eastAsiaTheme="minorEastAsia" w:hAnsiTheme="minorHAnsi" w:cstheme="minorBidi"/>
          <w:szCs w:val="22"/>
        </w:rPr>
      </w:pPr>
      <w:r>
        <w:t>31C.</w:t>
      </w:r>
      <w:r>
        <w:tab/>
        <w:t>Applicable building standards for private swimming pools (s. 3, 19(3) and 37(1))</w:t>
      </w:r>
      <w:r>
        <w:tab/>
      </w:r>
      <w:r>
        <w:fldChar w:fldCharType="begin"/>
      </w:r>
      <w:r>
        <w:instrText xml:space="preserve"> PAGEREF _Toc525107939 \h </w:instrText>
      </w:r>
      <w:r>
        <w:fldChar w:fldCharType="separate"/>
      </w:r>
      <w:r>
        <w:t>25</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(s. 3, 19(3) and 37(1) and (2))</w:t>
      </w:r>
      <w:r>
        <w:tab/>
      </w:r>
      <w:r>
        <w:fldChar w:fldCharType="begin"/>
      </w:r>
      <w:r>
        <w:instrText xml:space="preserve"> PAGEREF _Toc525107940 \h </w:instrText>
      </w:r>
      <w:r>
        <w:fldChar w:fldCharType="separate"/>
      </w:r>
      <w:r>
        <w:t>26</w:t>
      </w:r>
      <w:r>
        <w:fldChar w:fldCharType="end"/>
      </w:r>
    </w:p>
    <w:p>
      <w:pPr>
        <w:pStyle w:val="TOC8"/>
        <w:rPr>
          <w:rFonts w:asciiTheme="minorHAnsi" w:eastAsiaTheme="minorEastAsia" w:hAnsiTheme="minorHAnsi" w:cstheme="minorBidi"/>
          <w:szCs w:val="22"/>
        </w:rPr>
      </w:pPr>
      <w:r>
        <w:t>31E.</w:t>
      </w:r>
      <w:r>
        <w:tab/>
        <w:t>Applicable building standards for building work done without a permit (s. 3 and 37(2))</w:t>
      </w:r>
      <w:r>
        <w:tab/>
      </w:r>
      <w:r>
        <w:fldChar w:fldCharType="begin"/>
      </w:r>
      <w:r>
        <w:instrText xml:space="preserve"> PAGEREF _Toc525107941 \h </w:instrText>
      </w:r>
      <w:r>
        <w:fldChar w:fldCharType="separate"/>
      </w:r>
      <w:r>
        <w:t>28</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 subdivision (s. 3, 57(3), 49(a), 50(1)(a) and (b) and 50(2)(a) and (b))</w:t>
      </w:r>
      <w:r>
        <w:tab/>
      </w:r>
      <w:r>
        <w:fldChar w:fldCharType="begin"/>
      </w:r>
      <w:r>
        <w:instrText xml:space="preserve"> PAGEREF _Toc525107942 \h </w:instrText>
      </w:r>
      <w:r>
        <w:fldChar w:fldCharType="separate"/>
      </w:r>
      <w:r>
        <w:t>29</w:t>
      </w:r>
      <w:r>
        <w:fldChar w:fldCharType="end"/>
      </w:r>
    </w:p>
    <w:p>
      <w:pPr>
        <w:pStyle w:val="TOC8"/>
        <w:rPr>
          <w:rFonts w:asciiTheme="minorHAnsi" w:eastAsiaTheme="minorEastAsia" w:hAnsiTheme="minorHAnsi" w:cstheme="minorBidi"/>
          <w:szCs w:val="22"/>
        </w:rPr>
      </w:pPr>
      <w:r>
        <w:t>31G.</w:t>
      </w:r>
      <w:r>
        <w:tab/>
        <w:t>Applicable building standards for occupancy permit for unauthorised work to building, or for building approval certificate for unauthorised work to building or incidental structure (s. 3, 57(3) and 51(2) and (3))</w:t>
      </w:r>
      <w:r>
        <w:tab/>
      </w:r>
      <w:r>
        <w:fldChar w:fldCharType="begin"/>
      </w:r>
      <w:r>
        <w:instrText xml:space="preserve"> PAGEREF _Toc525107943 \h </w:instrText>
      </w:r>
      <w:r>
        <w:fldChar w:fldCharType="separate"/>
      </w:r>
      <w:r>
        <w:t>30</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_Toc525107944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_Toc525107946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_Toc525107948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 used: application</w:t>
      </w:r>
      <w:r>
        <w:tab/>
      </w:r>
      <w:r>
        <w:fldChar w:fldCharType="begin"/>
      </w:r>
      <w:r>
        <w:instrText xml:space="preserve"> PAGEREF _Toc525107950 \h </w:instrText>
      </w:r>
      <w:r>
        <w:fldChar w:fldCharType="separate"/>
      </w:r>
      <w:r>
        <w:t>33</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_Toc525107951 \h </w:instrText>
      </w:r>
      <w:r>
        <w:fldChar w:fldCharType="separate"/>
      </w:r>
      <w:r>
        <w:t>33</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_Toc525107952 \h </w:instrText>
      </w:r>
      <w:r>
        <w:fldChar w:fldCharType="separate"/>
      </w:r>
      <w:r>
        <w:t>35</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_Toc525107953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_Toc525107955 \h </w:instrText>
      </w:r>
      <w:r>
        <w:fldChar w:fldCharType="separate"/>
      </w:r>
      <w:r>
        <w:t>36</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_Toc525107956 \h </w:instrText>
      </w:r>
      <w:r>
        <w:fldChar w:fldCharType="separate"/>
      </w:r>
      <w:r>
        <w:t>36</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_Toc525107957 \h </w:instrText>
      </w:r>
      <w:r>
        <w:fldChar w:fldCharType="separate"/>
      </w:r>
      <w:r>
        <w:t>37</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_Toc525107958 \h </w:instrText>
      </w:r>
      <w:r>
        <w:fldChar w:fldCharType="separate"/>
      </w:r>
      <w:r>
        <w:t>37</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_Toc525107959 \h </w:instrText>
      </w:r>
      <w:r>
        <w:fldChar w:fldCharType="separate"/>
      </w:r>
      <w:r>
        <w:t>38</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_Toc525107960 \h </w:instrText>
      </w:r>
      <w:r>
        <w:fldChar w:fldCharType="separate"/>
      </w:r>
      <w:r>
        <w:t>38</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_Toc525107961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is not required (s. 9(b))</w:t>
      </w:r>
      <w:r>
        <w:tab/>
      </w:r>
      <w:r>
        <w:fldChar w:fldCharType="begin"/>
      </w:r>
      <w:r>
        <w:instrText xml:space="preserve"> PAGEREF _Toc525107963 \h </w:instrText>
      </w:r>
      <w:r>
        <w:fldChar w:fldCharType="separate"/>
      </w:r>
      <w:r>
        <w:t>41</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_Toc525107964 \h </w:instrText>
      </w:r>
      <w:r>
        <w:fldChar w:fldCharType="separate"/>
      </w:r>
      <w:r>
        <w:t>42</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_Toc525107965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_Toc525107967 \h </w:instrText>
      </w:r>
      <w:r>
        <w:fldChar w:fldCharType="separate"/>
      </w:r>
      <w:r>
        <w:t>44</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_Toc525107968 \h </w:instrText>
      </w:r>
      <w:r>
        <w:fldChar w:fldCharType="separate"/>
      </w:r>
      <w:r>
        <w:t>44</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_Toc525107969 \h </w:instrText>
      </w:r>
      <w:r>
        <w:fldChar w:fldCharType="separate"/>
      </w:r>
      <w:r>
        <w:t>44</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_Toc525107970 \h </w:instrText>
      </w:r>
      <w:r>
        <w:fldChar w:fldCharType="separate"/>
      </w:r>
      <w:r>
        <w:t>45</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_Toc525107971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8 — Existing buildings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_Toc525107974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_Toc525107976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_Toc525107978 \h </w:instrText>
      </w:r>
      <w:r>
        <w:fldChar w:fldCharType="separate"/>
      </w:r>
      <w:r>
        <w:t>49</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_Toc525107979 \h </w:instrText>
      </w:r>
      <w:r>
        <w:fldChar w:fldCharType="separate"/>
      </w:r>
      <w:r>
        <w:t>50</w:t>
      </w:r>
      <w:r>
        <w:fldChar w:fldCharType="end"/>
      </w:r>
    </w:p>
    <w:p>
      <w:pPr>
        <w:pStyle w:val="TOC8"/>
        <w:rPr>
          <w:rFonts w:asciiTheme="minorHAnsi" w:eastAsiaTheme="minorEastAsia" w:hAnsiTheme="minorHAnsi" w:cstheme="minorBidi"/>
          <w:szCs w:val="22"/>
        </w:rPr>
      </w:pPr>
      <w:r>
        <w:t>50.</w:t>
      </w:r>
      <w:r>
        <w:tab/>
        <w:t>Enclosure of private swimming pool</w:t>
      </w:r>
      <w:r>
        <w:tab/>
      </w:r>
      <w:r>
        <w:fldChar w:fldCharType="begin"/>
      </w:r>
      <w:r>
        <w:instrText xml:space="preserve"> PAGEREF _Toc525107980 \h </w:instrText>
      </w:r>
      <w:r>
        <w:fldChar w:fldCharType="separate"/>
      </w:r>
      <w:r>
        <w:t>50</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_Toc525107981 \h </w:instrText>
      </w:r>
      <w:r>
        <w:fldChar w:fldCharType="separate"/>
      </w:r>
      <w:r>
        <w:t>51</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_Toc525107982 \h </w:instrText>
      </w:r>
      <w:r>
        <w:fldChar w:fldCharType="separate"/>
      </w:r>
      <w:r>
        <w:t>52</w:t>
      </w:r>
      <w:r>
        <w:fldChar w:fldCharType="end"/>
      </w:r>
    </w:p>
    <w:p>
      <w:pPr>
        <w:pStyle w:val="TOC8"/>
        <w:rPr>
          <w:rFonts w:asciiTheme="minorHAnsi" w:eastAsiaTheme="minorEastAsia" w:hAnsiTheme="minorHAnsi" w:cstheme="minorBidi"/>
          <w:szCs w:val="22"/>
        </w:rPr>
      </w:pPr>
      <w:r>
        <w:t>53.</w:t>
      </w:r>
      <w:r>
        <w:tab/>
        <w:t>Inspections of pool enclosures</w:t>
      </w:r>
      <w:r>
        <w:tab/>
      </w:r>
      <w:r>
        <w:fldChar w:fldCharType="begin"/>
      </w:r>
      <w:r>
        <w:instrText xml:space="preserve"> PAGEREF _Toc525107983 \h </w:instrText>
      </w:r>
      <w:r>
        <w:fldChar w:fldCharType="separate"/>
      </w:r>
      <w:r>
        <w:t>52</w:t>
      </w:r>
      <w:r>
        <w:fldChar w:fldCharType="end"/>
      </w:r>
    </w:p>
    <w:p>
      <w:pPr>
        <w:pStyle w:val="TOC8"/>
        <w:rPr>
          <w:rFonts w:asciiTheme="minorHAnsi" w:eastAsiaTheme="minorEastAsia" w:hAnsiTheme="minorHAnsi" w:cstheme="minorBidi"/>
          <w:szCs w:val="22"/>
        </w:rPr>
      </w:pPr>
      <w:r>
        <w:t>54A.</w:t>
      </w:r>
      <w:r>
        <w:tab/>
        <w:t>Temporary pool enclosures</w:t>
      </w:r>
      <w:r>
        <w:tab/>
      </w:r>
      <w:r>
        <w:fldChar w:fldCharType="begin"/>
      </w:r>
      <w:r>
        <w:instrText xml:space="preserve"> PAGEREF _Toc525107984 \h </w:instrText>
      </w:r>
      <w:r>
        <w:fldChar w:fldCharType="separate"/>
      </w:r>
      <w:r>
        <w:t>53</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_Toc525107985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_Toc525107987 \h </w:instrText>
      </w:r>
      <w:r>
        <w:fldChar w:fldCharType="separate"/>
      </w:r>
      <w:r>
        <w:t>54</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_Toc525107988 \h </w:instrText>
      </w:r>
      <w:r>
        <w:fldChar w:fldCharType="separate"/>
      </w:r>
      <w:r>
        <w:t>55</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_Toc525107989 \h </w:instrText>
      </w:r>
      <w:r>
        <w:fldChar w:fldCharType="separate"/>
      </w:r>
      <w:r>
        <w:t>55</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_Toc525107990 \h </w:instrText>
      </w:r>
      <w:r>
        <w:fldChar w:fldCharType="separate"/>
      </w:r>
      <w:r>
        <w:t>56</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_Toc525107991 \h </w:instrText>
      </w:r>
      <w:r>
        <w:fldChar w:fldCharType="separate"/>
      </w:r>
      <w:r>
        <w:t>56</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_Toc525107992 \h </w:instrText>
      </w:r>
      <w:r>
        <w:fldChar w:fldCharType="separate"/>
      </w:r>
      <w:r>
        <w:t>57</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_Toc525107993 \h </w:instrText>
      </w:r>
      <w:r>
        <w:fldChar w:fldCharType="separate"/>
      </w:r>
      <w:r>
        <w:t>58</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_Toc525107994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_Toc525107996 \h </w:instrText>
      </w:r>
      <w:r>
        <w:fldChar w:fldCharType="separate"/>
      </w:r>
      <w:r>
        <w:t>61</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_Toc525107997 \h </w:instrText>
      </w:r>
      <w:r>
        <w:fldChar w:fldCharType="separate"/>
      </w:r>
      <w:r>
        <w:t>61</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_Toc525107998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_Toc525108000 \h </w:instrText>
      </w:r>
      <w:r>
        <w:fldChar w:fldCharType="separate"/>
      </w:r>
      <w:r>
        <w:t>63</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_Toc525108001 \h </w:instrText>
      </w:r>
      <w:r>
        <w:fldChar w:fldCharType="separate"/>
      </w:r>
      <w:r>
        <w:t>63</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_Toc525108002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t>Schedule 2 — Fees</w:t>
      </w:r>
    </w:p>
    <w:p>
      <w:pPr>
        <w:pStyle w:val="TOC4"/>
        <w:tabs>
          <w:tab w:val="right" w:leader="dot" w:pos="7086"/>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86"/>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86"/>
        </w:tabs>
        <w:rPr>
          <w:rFonts w:asciiTheme="minorHAnsi" w:eastAsiaTheme="minorEastAsia" w:hAnsiTheme="minorHAnsi" w:cstheme="minorBidi"/>
          <w:b w:val="0"/>
          <w:szCs w:val="22"/>
        </w:rPr>
      </w:pPr>
      <w:r>
        <w:t>Division 3 — Other applications</w:t>
      </w:r>
    </w:p>
    <w:p>
      <w:pPr>
        <w:pStyle w:val="TOC2"/>
        <w:tabs>
          <w:tab w:val="right" w:leader="dot" w:pos="7086"/>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_Toc525108008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_Toc525108010 \h </w:instrText>
      </w:r>
      <w:r>
        <w:fldChar w:fldCharType="separate"/>
      </w:r>
      <w:r>
        <w:t>69</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_Toc525108011 \h </w:instrText>
      </w:r>
      <w:r>
        <w:fldChar w:fldCharType="separate"/>
      </w:r>
      <w:r>
        <w:t>76</w:t>
      </w:r>
      <w:r>
        <w:fldChar w:fldCharType="end"/>
      </w:r>
    </w:p>
    <w:p>
      <w:pPr>
        <w:pStyle w:val="TOC2"/>
        <w:tabs>
          <w:tab w:val="right" w:leader="dot" w:pos="7086"/>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86"/>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86"/>
        </w:tabs>
        <w:rPr>
          <w:rFonts w:asciiTheme="minorHAnsi" w:eastAsiaTheme="minorEastAsia" w:hAnsiTheme="minorHAnsi" w:cstheme="minorBidi"/>
          <w:b w:val="0"/>
          <w:sz w:val="22"/>
          <w:szCs w:val="22"/>
        </w:rPr>
      </w:pPr>
      <w:r>
        <w:t>Schedule 7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_Toc525108016 \h </w:instrText>
      </w:r>
      <w:r>
        <w:fldChar w:fldCharType="separate"/>
      </w:r>
      <w:r>
        <w:t>90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Building Act 2011</w:t>
      </w:r>
    </w:p>
    <w:p>
      <w:pPr>
        <w:pStyle w:val="NameofActReg"/>
      </w:pPr>
      <w:r>
        <w:t>Building Regulations 2012</w:t>
      </w:r>
    </w:p>
    <w:p>
      <w:pPr>
        <w:pStyle w:val="Heading2"/>
        <w:keepNext w:val="0"/>
        <w:pageBreakBefore w:val="0"/>
        <w:spacing w:before="240"/>
      </w:pPr>
      <w:bookmarkStart w:id="1" w:name="_Toc525107898"/>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525107899"/>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4" w:name="_Toc525107900"/>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5" w:name="_Toc525107901"/>
      <w:r>
        <w:rPr>
          <w:rStyle w:val="CharSectno"/>
        </w:rPr>
        <w:t>3</w:t>
      </w:r>
      <w:r>
        <w:t>.</w:t>
      </w:r>
      <w:r>
        <w:tab/>
        <w:t>Terms used</w:t>
      </w:r>
      <w:bookmarkEnd w:id="5"/>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spacing w:before="60"/>
      </w:pPr>
      <w:r>
        <w:tab/>
        <w:t>(a)</w:t>
      </w:r>
      <w:r>
        <w:tab/>
        <w:t>which the public are not entitled to use; and</w:t>
      </w:r>
    </w:p>
    <w:p>
      <w:pPr>
        <w:pStyle w:val="Defpara"/>
        <w:spacing w:before="60"/>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w:t>
      </w:r>
    </w:p>
    <w:p>
      <w:pPr>
        <w:pStyle w:val="Heading2"/>
      </w:pPr>
      <w:bookmarkStart w:id="6" w:name="_Toc525107902"/>
      <w:r>
        <w:rPr>
          <w:rStyle w:val="CharPartNo"/>
        </w:rPr>
        <w:t>Part 2</w:t>
      </w:r>
      <w:r>
        <w:rPr>
          <w:rStyle w:val="CharDivNo"/>
        </w:rPr>
        <w:t> </w:t>
      </w:r>
      <w:r>
        <w:t>—</w:t>
      </w:r>
      <w:r>
        <w:rPr>
          <w:rStyle w:val="CharDivText"/>
        </w:rPr>
        <w:t> </w:t>
      </w:r>
      <w:r>
        <w:rPr>
          <w:rStyle w:val="CharPartText"/>
        </w:rPr>
        <w:t>General matters</w:t>
      </w:r>
      <w:bookmarkEnd w:id="6"/>
    </w:p>
    <w:p>
      <w:pPr>
        <w:pStyle w:val="Heading5"/>
      </w:pPr>
      <w:bookmarkStart w:id="7" w:name="_Toc525107903"/>
      <w:r>
        <w:rPr>
          <w:rStyle w:val="CharSectno"/>
        </w:rPr>
        <w:t>4</w:t>
      </w:r>
      <w:r>
        <w:t>.</w:t>
      </w:r>
      <w:r>
        <w:tab/>
        <w:t>Approval of manner or form of things (s. 3)</w:t>
      </w:r>
      <w:bookmarkEnd w:id="7"/>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8" w:name="_Toc525107904"/>
      <w:r>
        <w:rPr>
          <w:rStyle w:val="CharSectno"/>
        </w:rPr>
        <w:t>5A</w:t>
      </w:r>
      <w:r>
        <w:t>.</w:t>
      </w:r>
      <w:r>
        <w:tab/>
        <w:t>Authorised persons (s. 3)</w:t>
      </w:r>
      <w:bookmarkEnd w:id="8"/>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9" w:name="_Toc525107905"/>
      <w:r>
        <w:rPr>
          <w:rStyle w:val="CharSectno"/>
        </w:rPr>
        <w:t>5</w:t>
      </w:r>
      <w:r>
        <w:t>.</w:t>
      </w:r>
      <w:r>
        <w:tab/>
        <w:t>Building surveyors (s. 3)</w:t>
      </w:r>
      <w:bookmarkEnd w:id="9"/>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10" w:name="_Toc525107906"/>
      <w:r>
        <w:rPr>
          <w:rStyle w:val="CharSectno"/>
        </w:rPr>
        <w:t>6</w:t>
      </w:r>
      <w:r>
        <w:t>.</w:t>
      </w:r>
      <w:r>
        <w:tab/>
        <w:t>Classification of buildings and incidental structures (s. 3)</w:t>
      </w:r>
      <w:bookmarkEnd w:id="10"/>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11" w:name="_Toc525107907"/>
      <w:r>
        <w:rPr>
          <w:rStyle w:val="CharSectno"/>
        </w:rPr>
        <w:t>10</w:t>
      </w:r>
      <w:r>
        <w:t>.</w:t>
      </w:r>
      <w:r>
        <w:tab/>
        <w:t>Owners of land (s. 5(1))</w:t>
      </w:r>
      <w:bookmarkEnd w:id="11"/>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a person who is a proprietor of the land within the meaning of paragraph (b) of the definition of </w:t>
      </w:r>
      <w:r>
        <w:rPr>
          <w:b/>
          <w:i/>
        </w:rPr>
        <w:t>proprietor</w:t>
      </w:r>
      <w:r>
        <w:t xml:space="preserve"> in the </w:t>
      </w:r>
      <w:r>
        <w:rPr>
          <w:i/>
        </w:rPr>
        <w:t xml:space="preserve">Transfer of Land Act 1893 </w:t>
      </w:r>
      <w:r>
        <w:t>section 4(1) is prescribed.</w:t>
      </w:r>
    </w:p>
    <w:p>
      <w:pPr>
        <w:pStyle w:val="Subsection"/>
      </w:pPr>
      <w:r>
        <w:tab/>
        <w:t>(3)</w:t>
      </w:r>
      <w:r>
        <w:tab/>
        <w:t xml:space="preserve">For the purposes of paragraph (ba) of the definition of </w:t>
      </w:r>
      <w:r>
        <w:rPr>
          <w:b/>
          <w:i/>
        </w:rPr>
        <w:t>owner</w:t>
      </w:r>
      <w:r>
        <w:t>, in relation to Crown land, in section 5(1) the State is the owner of land for which neither a certificate of Crown land title nor a qualified certificate of Crown land title has been created and registered.</w:t>
      </w:r>
    </w:p>
    <w:p>
      <w:pPr>
        <w:pStyle w:val="Footnotesection"/>
      </w:pPr>
      <w:r>
        <w:tab/>
        <w:t>[Regulation 10 amended in Gazette 18 Dec 2012 p. 6556-7.]</w:t>
      </w:r>
    </w:p>
    <w:p>
      <w:pPr>
        <w:pStyle w:val="Heading5"/>
      </w:pPr>
      <w:bookmarkStart w:id="12" w:name="_Toc525107908"/>
      <w:r>
        <w:rPr>
          <w:rStyle w:val="CharSectno"/>
        </w:rPr>
        <w:t>11A</w:t>
      </w:r>
      <w:r>
        <w:t>.</w:t>
      </w:r>
      <w:r>
        <w:tab/>
        <w:t>Restriction on circumstances where person treated as owner (s. 5(2))</w:t>
      </w:r>
      <w:bookmarkEnd w:id="12"/>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13" w:name="_Toc525107909"/>
      <w:r>
        <w:rPr>
          <w:rStyle w:val="CharSectno"/>
        </w:rPr>
        <w:t>11</w:t>
      </w:r>
      <w:r>
        <w:t>.</w:t>
      </w:r>
      <w:r>
        <w:tab/>
        <w:t>Fees</w:t>
      </w:r>
      <w:bookmarkEnd w:id="13"/>
    </w:p>
    <w:p>
      <w:pPr>
        <w:pStyle w:val="Subsection"/>
      </w:pPr>
      <w:r>
        <w:tab/>
      </w:r>
      <w:r>
        <w:tab/>
        <w:t>The fee for an application of a kind mentioned in an item set out in Schedule 2 is the fee specified in that item in relation to the application.</w:t>
      </w:r>
    </w:p>
    <w:p>
      <w:pPr>
        <w:pStyle w:val="Heading5"/>
      </w:pPr>
      <w:bookmarkStart w:id="14" w:name="_Toc525107910"/>
      <w:r>
        <w:rPr>
          <w:rStyle w:val="CharSectno"/>
        </w:rPr>
        <w:t>12</w:t>
      </w:r>
      <w:r>
        <w:t>.</w:t>
      </w:r>
      <w:r>
        <w:tab/>
        <w:t>Building records to be kept (s. 130)</w:t>
      </w:r>
      <w:bookmarkEnd w:id="14"/>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15" w:name="_Toc525107911"/>
      <w:r>
        <w:rPr>
          <w:rStyle w:val="CharSectno"/>
        </w:rPr>
        <w:t>13</w:t>
      </w:r>
      <w:r>
        <w:t>.</w:t>
      </w:r>
      <w:r>
        <w:tab/>
        <w:t>Inspection, copies of building records (s. 131)</w:t>
      </w:r>
      <w:bookmarkEnd w:id="15"/>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16" w:name="_Toc525107912"/>
      <w:r>
        <w:rPr>
          <w:rStyle w:val="CharSectno"/>
        </w:rPr>
        <w:t>14</w:t>
      </w:r>
      <w:r>
        <w:t>.</w:t>
      </w:r>
      <w:r>
        <w:tab/>
        <w:t>Provision of information to Building Commissioner (s. 132)</w:t>
      </w:r>
      <w:bookmarkEnd w:id="16"/>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17" w:name="_Toc525107913"/>
      <w:r>
        <w:rPr>
          <w:rStyle w:val="CharSectno"/>
        </w:rPr>
        <w:t>15A</w:t>
      </w:r>
      <w:r>
        <w:t>.</w:t>
      </w:r>
      <w:r>
        <w:tab/>
        <w:t xml:space="preserve">Provision of information to </w:t>
      </w:r>
      <w:smartTag w:uri="urn:schemas-microsoft-com:office:smarttags" w:element="place">
        <w:r>
          <w:t>FES</w:t>
        </w:r>
      </w:smartTag>
      <w:r>
        <w:t xml:space="preserve"> Commissioner (s. 149)</w:t>
      </w:r>
      <w:bookmarkEnd w:id="17"/>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2"/>
      </w:pPr>
      <w:bookmarkStart w:id="18" w:name="_Toc525107914"/>
      <w:r>
        <w:rPr>
          <w:rStyle w:val="CharPartNo"/>
        </w:rPr>
        <w:t>Part 3</w:t>
      </w:r>
      <w:r>
        <w:rPr>
          <w:rStyle w:val="CharDivNo"/>
        </w:rPr>
        <w:t> </w:t>
      </w:r>
      <w:r>
        <w:t>—</w:t>
      </w:r>
      <w:r>
        <w:rPr>
          <w:rStyle w:val="CharDivText"/>
        </w:rPr>
        <w:t> </w:t>
      </w:r>
      <w:r>
        <w:rPr>
          <w:rStyle w:val="CharPartText"/>
        </w:rPr>
        <w:t>Building and demolition permits</w:t>
      </w:r>
      <w:bookmarkEnd w:id="18"/>
    </w:p>
    <w:p>
      <w:pPr>
        <w:pStyle w:val="Heading5"/>
        <w:spacing w:before="200"/>
      </w:pPr>
      <w:bookmarkStart w:id="19" w:name="_Toc525107915"/>
      <w:r>
        <w:rPr>
          <w:rStyle w:val="CharSectno"/>
        </w:rPr>
        <w:t>15</w:t>
      </w:r>
      <w:r>
        <w:t>.</w:t>
      </w:r>
      <w:r>
        <w:tab/>
        <w:t>Uncertified applications (s. 14(2))</w:t>
      </w:r>
      <w:bookmarkEnd w:id="19"/>
    </w:p>
    <w:p>
      <w:pPr>
        <w:pStyle w:val="Subsection"/>
        <w:spacing w:before="130"/>
      </w:pPr>
      <w:r>
        <w:tab/>
      </w:r>
      <w:r>
        <w:tab/>
        <w:t xml:space="preserve">For the purposes of section 14(2)(a) and (b), buildings and incidental structures of the following classifications are prescribed — </w:t>
      </w:r>
    </w:p>
    <w:p>
      <w:pPr>
        <w:pStyle w:val="Indenta"/>
        <w:spacing w:before="60"/>
      </w:pPr>
      <w:r>
        <w:tab/>
        <w:t>(a)</w:t>
      </w:r>
      <w:r>
        <w:tab/>
        <w:t>Class 1a;</w:t>
      </w:r>
    </w:p>
    <w:p>
      <w:pPr>
        <w:pStyle w:val="Indenta"/>
        <w:spacing w:before="60"/>
      </w:pPr>
      <w:r>
        <w:tab/>
        <w:t>(b)</w:t>
      </w:r>
      <w:r>
        <w:tab/>
        <w:t>Class 10.</w:t>
      </w:r>
    </w:p>
    <w:p>
      <w:pPr>
        <w:pStyle w:val="Heading5"/>
        <w:spacing w:before="200"/>
      </w:pPr>
      <w:bookmarkStart w:id="20" w:name="_Toc525107916"/>
      <w:r>
        <w:rPr>
          <w:rStyle w:val="CharSectno"/>
        </w:rPr>
        <w:t>16</w:t>
      </w:r>
      <w:r>
        <w:t>.</w:t>
      </w:r>
      <w:r>
        <w:tab/>
        <w:t>Application for building and demolition permits (s. 16)</w:t>
      </w:r>
      <w:bookmarkEnd w:id="20"/>
    </w:p>
    <w:p>
      <w:pPr>
        <w:pStyle w:val="Subsection"/>
        <w:spacing w:before="140"/>
      </w:pPr>
      <w:r>
        <w:tab/>
        <w:t>(1)</w:t>
      </w:r>
      <w:r>
        <w:tab/>
        <w:t xml:space="preserve">For the purposes of section 16(d), the following information about a building or incidental structure is prescribed — </w:t>
      </w:r>
    </w:p>
    <w:p>
      <w:pPr>
        <w:pStyle w:val="Indenta"/>
        <w:spacing w:before="60"/>
      </w:pPr>
      <w:r>
        <w:tab/>
        <w:t>(a)</w:t>
      </w:r>
      <w:r>
        <w:tab/>
        <w:t>the address of the property on which the building or incidental structure is, or is to be, located;</w:t>
      </w:r>
    </w:p>
    <w:p>
      <w:pPr>
        <w:pStyle w:val="Indenta"/>
        <w:spacing w:before="60"/>
      </w:pPr>
      <w:r>
        <w:tab/>
        <w:t>(b)</w:t>
      </w:r>
      <w:r>
        <w:tab/>
        <w:t>if the application is an application for a building permit, the intended use of the building or incidental structure;</w:t>
      </w:r>
    </w:p>
    <w:p>
      <w:pPr>
        <w:pStyle w:val="Indenta"/>
        <w:spacing w:before="60"/>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3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spacing w:before="60"/>
      </w:pPr>
      <w:r>
        <w:tab/>
        <w:t>(a)</w:t>
      </w:r>
      <w:r>
        <w:tab/>
        <w:t>the postal address of the person;</w:t>
      </w:r>
    </w:p>
    <w:p>
      <w:pPr>
        <w:pStyle w:val="Indenta"/>
        <w:spacing w:before="60"/>
      </w:pPr>
      <w:r>
        <w:tab/>
        <w:t>(b)</w:t>
      </w:r>
      <w:r>
        <w:tab/>
        <w:t>the telephone number or other contact details for the person;</w:t>
      </w:r>
    </w:p>
    <w:p>
      <w:pPr>
        <w:pStyle w:val="Indenta"/>
        <w:spacing w:before="60"/>
      </w:pPr>
      <w:r>
        <w:tab/>
        <w:t>(c)</w:t>
      </w:r>
      <w:r>
        <w:tab/>
        <w:t xml:space="preserve">if the application is an application for a building permit to carry out builder work — </w:t>
      </w:r>
    </w:p>
    <w:p>
      <w:pPr>
        <w:pStyle w:val="Indenti"/>
        <w:spacing w:before="60"/>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spacing w:before="120"/>
      </w:pPr>
      <w:r>
        <w:tab/>
        <w:t>(3)</w:t>
      </w:r>
      <w:r>
        <w:tab/>
        <w:t xml:space="preserve">For the purposes of section 16(m), the following things must accompany an application — </w:t>
      </w:r>
    </w:p>
    <w:p>
      <w:pPr>
        <w:pStyle w:val="Indenta"/>
        <w:spacing w:before="60"/>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spacing w:before="60"/>
      </w:pPr>
      <w:r>
        <w:tab/>
        <w:t>(i)</w:t>
      </w:r>
      <w:r>
        <w:tab/>
        <w:t>part of a building or structure will be placed into, onto or over land beyond the boundaries of the work area; or</w:t>
      </w:r>
    </w:p>
    <w:p>
      <w:pPr>
        <w:pStyle w:val="Indenti"/>
        <w:spacing w:before="60"/>
      </w:pPr>
      <w:r>
        <w:tab/>
        <w:t>(ii)</w:t>
      </w:r>
      <w:r>
        <w:tab/>
        <w:t xml:space="preserve">land beyond the boundaries of the work area will be adversely affected; </w:t>
      </w:r>
    </w:p>
    <w:p>
      <w:pPr>
        <w:pStyle w:val="Indenta"/>
        <w:spacing w:before="60"/>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spacing w:before="60"/>
      </w:pPr>
      <w:r>
        <w:tab/>
        <w:t>(c)</w:t>
      </w:r>
      <w:r>
        <w:tab/>
        <w:t>if the application is in respect of a Class 1 or Class 10 building or incidental structure, details of each alternative solution to a building standard that is proposed to be used in the building work;</w:t>
      </w:r>
    </w:p>
    <w:p>
      <w:pPr>
        <w:pStyle w:val="Indenta"/>
        <w:spacing w:before="60"/>
      </w:pPr>
      <w:r>
        <w:tab/>
        <w:t>(d)</w:t>
      </w:r>
      <w:r>
        <w:tab/>
        <w:t xml:space="preserve">if the application is an application for a demolition permit, evidence of the following — </w:t>
      </w:r>
    </w:p>
    <w:p>
      <w:pPr>
        <w:pStyle w:val="Indenti"/>
        <w:spacing w:before="60"/>
      </w:pPr>
      <w:r>
        <w:tab/>
        <w:t>(i)</w:t>
      </w:r>
      <w:r>
        <w:tab/>
        <w:t>that the approval referred to in regulation 19(1) (if relevant) has been obtained and is in force;</w:t>
      </w:r>
    </w:p>
    <w:p>
      <w:pPr>
        <w:pStyle w:val="Indenti"/>
        <w:spacing w:before="60"/>
      </w:pPr>
      <w:r>
        <w:tab/>
        <w:t>(ii)</w:t>
      </w:r>
      <w:r>
        <w:tab/>
        <w:t>that the notifications referred to in regulation 19(2) (if relevant) have been given.</w:t>
      </w:r>
    </w:p>
    <w:p>
      <w:pPr>
        <w:pStyle w:val="Heading5"/>
        <w:spacing w:before="200"/>
      </w:pPr>
      <w:bookmarkStart w:id="21" w:name="_Toc525107917"/>
      <w:r>
        <w:rPr>
          <w:rStyle w:val="CharSectno"/>
        </w:rPr>
        <w:t>17</w:t>
      </w:r>
      <w:r>
        <w:t>.</w:t>
      </w:r>
      <w:r>
        <w:tab/>
        <w:t>Further information (s. 18(3) and (4))</w:t>
      </w:r>
      <w:bookmarkEnd w:id="21"/>
    </w:p>
    <w:p>
      <w:pPr>
        <w:pStyle w:val="Subsection"/>
        <w:spacing w:before="120"/>
      </w:pPr>
      <w:r>
        <w:tab/>
        <w:t>(1)</w:t>
      </w:r>
      <w:r>
        <w:tab/>
        <w:t xml:space="preserve">For the purposes of section 18(3), a requirement under section 18(1) — </w:t>
      </w:r>
    </w:p>
    <w:p>
      <w:pPr>
        <w:pStyle w:val="Indenta"/>
        <w:spacing w:before="60"/>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22" w:name="_Toc525107918"/>
      <w:r>
        <w:rPr>
          <w:rStyle w:val="CharSectno"/>
        </w:rPr>
        <w:t>18A</w:t>
      </w:r>
      <w:r>
        <w:t>.</w:t>
      </w:r>
      <w:r>
        <w:tab/>
        <w:t>Certificate of design compliance — contents (s. 19(5))</w:t>
      </w:r>
      <w:bookmarkEnd w:id="22"/>
    </w:p>
    <w:p>
      <w:pPr>
        <w:pStyle w:val="Subsection"/>
      </w:pPr>
      <w:r>
        <w:tab/>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Footnotesection"/>
      </w:pPr>
      <w:r>
        <w:tab/>
        <w:t>[Regulation 18A inserted in Gazette 18 Dec 2012 p. 6559.]</w:t>
      </w:r>
    </w:p>
    <w:p>
      <w:pPr>
        <w:pStyle w:val="Heading5"/>
      </w:pPr>
      <w:bookmarkStart w:id="23" w:name="_Toc525107919"/>
      <w:r>
        <w:rPr>
          <w:rStyle w:val="CharSectno"/>
        </w:rPr>
        <w:t>18B</w:t>
      </w:r>
      <w:r>
        <w:t>.</w:t>
      </w:r>
      <w:r>
        <w:tab/>
        <w:t>Certificate of design compliance — preliminary action (s. 19(6))</w:t>
      </w:r>
      <w:bookmarkEnd w:id="23"/>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24" w:name="_Toc525107920"/>
      <w:r>
        <w:rPr>
          <w:rStyle w:val="CharSectno"/>
        </w:rPr>
        <w:t>18C</w:t>
      </w:r>
      <w:r>
        <w:t>.</w:t>
      </w:r>
      <w:r>
        <w:tab/>
        <w:t>Certificate of design compliance — things to accompany (s. 149)</w:t>
      </w:r>
      <w:bookmarkEnd w:id="24"/>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25" w:name="_Toc525107921"/>
      <w:r>
        <w:rPr>
          <w:rStyle w:val="CharSectno"/>
        </w:rPr>
        <w:t>18</w:t>
      </w:r>
      <w:r>
        <w:t>.</w:t>
      </w:r>
      <w:r>
        <w:tab/>
        <w:t>Grant of building permit (s. 20)</w:t>
      </w:r>
      <w:bookmarkEnd w:id="25"/>
    </w:p>
    <w:p>
      <w:pPr>
        <w:pStyle w:val="Subsection"/>
      </w:pPr>
      <w:r>
        <w:tab/>
        <w:t>(1)</w:t>
      </w:r>
      <w:r>
        <w:tab/>
        <w:t>For the purposes of section 20(1)(b), building work that is not builder work is specified.</w:t>
      </w:r>
    </w:p>
    <w:p>
      <w:pPr>
        <w:pStyle w:val="Subsection"/>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Ednotepara"/>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26" w:name="_Toc525107922"/>
      <w:r>
        <w:rPr>
          <w:rStyle w:val="CharSectno"/>
        </w:rPr>
        <w:t>19</w:t>
      </w:r>
      <w:r>
        <w:t>.</w:t>
      </w:r>
      <w:r>
        <w:tab/>
        <w:t>Grant of demolition permit (s. 21)</w:t>
      </w:r>
      <w:bookmarkEnd w:id="26"/>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27" w:name="_Toc525107923"/>
      <w:r>
        <w:rPr>
          <w:rStyle w:val="CharSectno"/>
        </w:rPr>
        <w:t>20</w:t>
      </w:r>
      <w:r>
        <w:t>.</w:t>
      </w:r>
      <w:r>
        <w:tab/>
        <w:t>Time for deciding application for building or demolition permit (s. 23)</w:t>
      </w:r>
      <w:bookmarkEnd w:id="27"/>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28" w:name="_Toc525107924"/>
      <w:r>
        <w:rPr>
          <w:rStyle w:val="CharSectno"/>
        </w:rPr>
        <w:t>21</w:t>
      </w:r>
      <w:r>
        <w:t>.</w:t>
      </w:r>
      <w:r>
        <w:tab/>
        <w:t>Form and content of building permit (s. 25)</w:t>
      </w:r>
      <w:bookmarkEnd w:id="28"/>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29" w:name="_Toc525107925"/>
      <w:r>
        <w:rPr>
          <w:rStyle w:val="CharSectno"/>
        </w:rPr>
        <w:t>22</w:t>
      </w:r>
      <w:r>
        <w:t>.</w:t>
      </w:r>
      <w:r>
        <w:tab/>
        <w:t>Form and content of demolition permit (s. 25)</w:t>
      </w:r>
      <w:bookmarkEnd w:id="29"/>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pPr>
      <w:r>
        <w:t>[</w:t>
      </w:r>
      <w:r>
        <w:rPr>
          <w:b/>
        </w:rPr>
        <w:t>23A.</w:t>
      </w:r>
      <w:r>
        <w:tab/>
        <w:t>Deleted in Gazette 21 Jun 2013 p. 2446.]</w:t>
      </w:r>
    </w:p>
    <w:p>
      <w:pPr>
        <w:pStyle w:val="Heading5"/>
      </w:pPr>
      <w:bookmarkStart w:id="30" w:name="_Toc525107926"/>
      <w:r>
        <w:rPr>
          <w:rStyle w:val="CharSectno"/>
        </w:rPr>
        <w:t>23</w:t>
      </w:r>
      <w:r>
        <w:t>.</w:t>
      </w:r>
      <w:r>
        <w:tab/>
        <w:t>Application to extend time during which permit has effect (s. 32)</w:t>
      </w:r>
      <w:bookmarkEnd w:id="30"/>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pPr>
      <w:bookmarkStart w:id="31" w:name="_Toc525107927"/>
      <w:r>
        <w:rPr>
          <w:rStyle w:val="CharSectno"/>
        </w:rPr>
        <w:t>24</w:t>
      </w:r>
      <w:r>
        <w:t>.</w:t>
      </w:r>
      <w:r>
        <w:tab/>
        <w:t>Extension of time during which permit has effect (s. 32(3))</w:t>
      </w:r>
      <w:bookmarkEnd w:id="31"/>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pPr>
      <w:bookmarkStart w:id="32" w:name="_Toc525107928"/>
      <w:r>
        <w:rPr>
          <w:rStyle w:val="CharSectno"/>
        </w:rPr>
        <w:t>25</w:t>
      </w:r>
      <w:r>
        <w:t>.</w:t>
      </w:r>
      <w:r>
        <w:tab/>
        <w:t>Review of decision to refuse to extend time during which permit has effect (s. 32(3))</w:t>
      </w:r>
      <w:bookmarkEnd w:id="32"/>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pPr>
      <w:bookmarkStart w:id="33" w:name="_Toc525107929"/>
      <w:r>
        <w:rPr>
          <w:rStyle w:val="CharSectno"/>
        </w:rPr>
        <w:t>26</w:t>
      </w:r>
      <w:r>
        <w:t>.</w:t>
      </w:r>
      <w:r>
        <w:tab/>
        <w:t>Approval of new responsible person (s. 35(c))</w:t>
      </w:r>
      <w:bookmarkEnd w:id="33"/>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pPr>
      <w:bookmarkStart w:id="34" w:name="_Toc525107930"/>
      <w:r>
        <w:rPr>
          <w:rStyle w:val="CharSectno"/>
        </w:rPr>
        <w:t>27</w:t>
      </w:r>
      <w:r>
        <w:t>.</w:t>
      </w:r>
      <w:r>
        <w:tab/>
        <w:t>Required inspection and tests: Class 2 to Class 9 buildings (s. 36(2)(a))</w:t>
      </w:r>
      <w:bookmarkEnd w:id="34"/>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35" w:name="_Toc525107931"/>
      <w:r>
        <w:rPr>
          <w:rStyle w:val="CharSectno"/>
        </w:rPr>
        <w:t>28</w:t>
      </w:r>
      <w:r>
        <w:t>.</w:t>
      </w:r>
      <w:r>
        <w:tab/>
        <w:t>Required inspection: enclosure of private swimming pool (s. 36(2)(a))</w:t>
      </w:r>
      <w:bookmarkEnd w:id="35"/>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36" w:name="_Toc525107932"/>
      <w:r>
        <w:rPr>
          <w:rStyle w:val="CharSectno"/>
        </w:rPr>
        <w:t>29</w:t>
      </w:r>
      <w:r>
        <w:t>.</w:t>
      </w:r>
      <w:r>
        <w:tab/>
        <w:t>Inspection certificates (s. 36(2)(h) and (j))</w:t>
      </w:r>
      <w:bookmarkEnd w:id="36"/>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37" w:name="_Toc525107933"/>
      <w:r>
        <w:rPr>
          <w:rStyle w:val="CharSectno"/>
        </w:rPr>
        <w:t>30</w:t>
      </w:r>
      <w:r>
        <w:t>.</w:t>
      </w:r>
      <w:r>
        <w:tab/>
        <w:t>Transitional provisions (s. 203)</w:t>
      </w:r>
      <w:bookmarkEnd w:id="37"/>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38" w:name="_Toc525107934"/>
      <w:r>
        <w:rPr>
          <w:rStyle w:val="CharPartNo"/>
        </w:rPr>
        <w:t>Part 4</w:t>
      </w:r>
      <w:r>
        <w:t> — </w:t>
      </w:r>
      <w:r>
        <w:rPr>
          <w:rStyle w:val="CharPartText"/>
        </w:rPr>
        <w:t>Building standards</w:t>
      </w:r>
      <w:bookmarkEnd w:id="38"/>
    </w:p>
    <w:p>
      <w:pPr>
        <w:pStyle w:val="Heading3"/>
        <w:spacing w:before="220"/>
      </w:pPr>
      <w:bookmarkStart w:id="39" w:name="_Toc525107935"/>
      <w:r>
        <w:rPr>
          <w:rStyle w:val="CharDivNo"/>
        </w:rPr>
        <w:t>Division 1</w:t>
      </w:r>
      <w:r>
        <w:t> — </w:t>
      </w:r>
      <w:r>
        <w:rPr>
          <w:rStyle w:val="CharDivText"/>
        </w:rPr>
        <w:t>Applicable building standards</w:t>
      </w:r>
      <w:bookmarkEnd w:id="39"/>
    </w:p>
    <w:p>
      <w:pPr>
        <w:pStyle w:val="Footnoteheading"/>
        <w:spacing w:before="100"/>
      </w:pPr>
      <w:r>
        <w:tab/>
        <w:t>[Heading inserted in Gazette 18 Dec 2012 p. 6562.]</w:t>
      </w:r>
    </w:p>
    <w:p>
      <w:pPr>
        <w:pStyle w:val="Heading4"/>
        <w:spacing w:before="220"/>
      </w:pPr>
      <w:bookmarkStart w:id="40" w:name="_Toc525107936"/>
      <w:r>
        <w:t>Subdivision 1 — Building standards in relation to construction</w:t>
      </w:r>
      <w:bookmarkEnd w:id="40"/>
    </w:p>
    <w:p>
      <w:pPr>
        <w:pStyle w:val="Footnoteheading"/>
        <w:spacing w:before="100"/>
      </w:pPr>
      <w:r>
        <w:tab/>
        <w:t>[Heading inserted in Gazette 18 Dec 2012 p. 6562.]</w:t>
      </w:r>
    </w:p>
    <w:p>
      <w:pPr>
        <w:pStyle w:val="Heading5"/>
      </w:pPr>
      <w:bookmarkStart w:id="41" w:name="_Toc525107937"/>
      <w:r>
        <w:rPr>
          <w:rStyle w:val="CharSectno"/>
        </w:rPr>
        <w:t>31A</w:t>
      </w:r>
      <w:r>
        <w:t>.</w:t>
      </w:r>
      <w:r>
        <w:tab/>
        <w:t>Applicable building standards generally (s. 3, 19(3) and 37(1))</w:t>
      </w:r>
      <w:bookmarkEnd w:id="41"/>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w:t>
      </w:r>
    </w:p>
    <w:p>
      <w:pPr>
        <w:pStyle w:val="Heading5"/>
      </w:pPr>
      <w:bookmarkStart w:id="42" w:name="_Toc525107938"/>
      <w:r>
        <w:rPr>
          <w:rStyle w:val="CharSectno"/>
        </w:rPr>
        <w:t>31B</w:t>
      </w:r>
      <w:r>
        <w:t>.</w:t>
      </w:r>
      <w:r>
        <w:tab/>
        <w:t>Applicable building standards for alterations etc. before 1 May 2015 (s. 3, 19(3) and 37(1))</w:t>
      </w:r>
      <w:bookmarkEnd w:id="42"/>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pPr>
      <w:r>
        <w:tab/>
        <w:t>(i)</w:t>
      </w:r>
      <w:r>
        <w:tab/>
        <w:t>the requirements set out in the Building Code Volume 1 Part JO do not apply; and</w:t>
      </w:r>
    </w:p>
    <w:p>
      <w:pPr>
        <w:pStyle w:val="Indenti"/>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pPr>
      <w:bookmarkStart w:id="43" w:name="_Toc525107939"/>
      <w:r>
        <w:rPr>
          <w:rStyle w:val="CharSectno"/>
        </w:rPr>
        <w:t>31C</w:t>
      </w:r>
      <w:r>
        <w:t>.</w:t>
      </w:r>
      <w:r>
        <w:tab/>
        <w:t>Applicable building standards for private swimming pools (s. 3, 19(3) and 37(1))</w:t>
      </w:r>
      <w:bookmarkEnd w:id="4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construction of a private swimming pool.</w:t>
      </w:r>
    </w:p>
    <w:p>
      <w:pPr>
        <w:pStyle w:val="Subsection"/>
      </w:pPr>
      <w:r>
        <w:tab/>
        <w:t>(2)</w:t>
      </w:r>
      <w:r>
        <w:tab/>
        <w:t xml:space="preserve">For subregulation (1), the applicable building standards in respect of the construction of a private swimming pool are — </w:t>
      </w:r>
    </w:p>
    <w:p>
      <w:pPr>
        <w:pStyle w:val="Indenta"/>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Footnotesection"/>
      </w:pPr>
      <w:r>
        <w:tab/>
        <w:t>[Regulation 31C inserted in Gazette 18 Dec 2012 p. 6564.]</w:t>
      </w:r>
    </w:p>
    <w:p>
      <w:pPr>
        <w:pStyle w:val="Heading5"/>
      </w:pPr>
      <w:bookmarkStart w:id="44" w:name="_Toc525107940"/>
      <w:r>
        <w:rPr>
          <w:rStyle w:val="CharSectno"/>
        </w:rPr>
        <w:t>31D</w:t>
      </w:r>
      <w:r>
        <w:t>.</w:t>
      </w:r>
      <w:r>
        <w:tab/>
        <w:t>Applicable building standards for relocated buildings and incidental structures (s. 3, 19(3) and 37(1) and (2))</w:t>
      </w:r>
      <w:bookmarkEnd w:id="44"/>
      <w:r>
        <w:t xml:space="preserve"> </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GP1.2(b), 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 P2.5.4</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w:t>
      </w:r>
    </w:p>
    <w:p>
      <w:pPr>
        <w:pStyle w:val="Heading5"/>
      </w:pPr>
      <w:bookmarkStart w:id="45" w:name="_Toc525107941"/>
      <w:r>
        <w:rPr>
          <w:rStyle w:val="CharSectno"/>
        </w:rPr>
        <w:t>31E</w:t>
      </w:r>
      <w:r>
        <w:t>.</w:t>
      </w:r>
      <w:r>
        <w:tab/>
        <w:t>Applicable building standards for building work done without a permit (s. 3 and 37(2))</w:t>
      </w:r>
      <w:bookmarkEnd w:id="4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w:t>
      </w:r>
    </w:p>
    <w:p>
      <w:pPr>
        <w:pStyle w:val="Heading5"/>
      </w:pPr>
      <w:bookmarkStart w:id="46" w:name="_Toc525107942"/>
      <w:r>
        <w:rPr>
          <w:rStyle w:val="CharSectno"/>
        </w:rPr>
        <w:t>31F</w:t>
      </w:r>
      <w:r>
        <w:t>.</w:t>
      </w:r>
      <w:r>
        <w:tab/>
        <w:t>Applicable building standards for replacement occupancy permit for permanent change of building’s use or for occupancy permit or building approval certificate for registration of strata scheme, plan of re subdivision (s. 3, 57(3), 49(a), 50(1)(a) and (b) and 50(2)(a) and (b))</w:t>
      </w:r>
      <w:bookmarkEnd w:id="4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pPr>
      <w:bookmarkStart w:id="47" w:name="_Toc525107943"/>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4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in Gazette 18 Dec 2012 p. 6568-9; amended in Gazette 21 Jun 2013 p. 2446.]</w:t>
      </w:r>
    </w:p>
    <w:p>
      <w:pPr>
        <w:pStyle w:val="Heading5"/>
      </w:pPr>
      <w:bookmarkStart w:id="48" w:name="_Toc525107944"/>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4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49" w:name="_Toc525107945"/>
      <w:r>
        <w:t>Subdivision 2 — Building standards in relation to demolition</w:t>
      </w:r>
      <w:bookmarkEnd w:id="49"/>
    </w:p>
    <w:p>
      <w:pPr>
        <w:pStyle w:val="Footnoteheading"/>
      </w:pPr>
      <w:r>
        <w:tab/>
        <w:t>[Heading inserted in Gazette 18 Dec 2012 p. 6570.]</w:t>
      </w:r>
    </w:p>
    <w:p>
      <w:pPr>
        <w:pStyle w:val="Heading5"/>
      </w:pPr>
      <w:bookmarkStart w:id="50" w:name="_Toc525107946"/>
      <w:r>
        <w:rPr>
          <w:rStyle w:val="CharSectno"/>
        </w:rPr>
        <w:t>31I</w:t>
      </w:r>
      <w:r>
        <w:t>.</w:t>
      </w:r>
      <w:r>
        <w:tab/>
        <w:t>Applicable building standards in relation to demolition work (s. 3 and 38)</w:t>
      </w:r>
      <w:bookmarkEnd w:id="5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51" w:name="_Toc525107947"/>
      <w:r>
        <w:rPr>
          <w:rStyle w:val="CharDivNo"/>
        </w:rPr>
        <w:t>Division 2</w:t>
      </w:r>
      <w:r>
        <w:t> — </w:t>
      </w:r>
      <w:r>
        <w:rPr>
          <w:rStyle w:val="CharDivText"/>
        </w:rPr>
        <w:t>Demonstrating compliance with building standards</w:t>
      </w:r>
      <w:bookmarkEnd w:id="51"/>
    </w:p>
    <w:p>
      <w:pPr>
        <w:pStyle w:val="Footnoteheading"/>
      </w:pPr>
      <w:r>
        <w:tab/>
        <w:t>[Heading inserted in Gazette 18 Dec 2012 p. 6571.]</w:t>
      </w:r>
    </w:p>
    <w:p>
      <w:pPr>
        <w:pStyle w:val="Heading5"/>
      </w:pPr>
      <w:bookmarkStart w:id="52" w:name="_Toc525107948"/>
      <w:r>
        <w:rPr>
          <w:rStyle w:val="CharSectno"/>
        </w:rPr>
        <w:t>31J</w:t>
      </w:r>
      <w:r>
        <w:t>.</w:t>
      </w:r>
      <w:r>
        <w:tab/>
        <w:t>Compliance with building standards — CodeMark certificates</w:t>
      </w:r>
      <w:bookmarkEnd w:id="52"/>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Pr>
      <w:bookmarkStart w:id="53" w:name="_Toc525107949"/>
      <w:r>
        <w:rPr>
          <w:rStyle w:val="CharDivNo"/>
        </w:rPr>
        <w:t>Division 3</w:t>
      </w:r>
      <w:r>
        <w:t> — </w:t>
      </w:r>
      <w:r>
        <w:rPr>
          <w:rStyle w:val="CharDivText"/>
        </w:rPr>
        <w:t>Non</w:t>
      </w:r>
      <w:r>
        <w:rPr>
          <w:rStyle w:val="CharDivText"/>
        </w:rPr>
        <w:noBreakHyphen/>
        <w:t>application, modification, of building standards</w:t>
      </w:r>
      <w:bookmarkEnd w:id="53"/>
    </w:p>
    <w:p>
      <w:pPr>
        <w:pStyle w:val="Footnoteheading"/>
      </w:pPr>
      <w:r>
        <w:tab/>
        <w:t>[Heading inserted in Gazette 18 Dec 2012 p. 6571.]</w:t>
      </w:r>
    </w:p>
    <w:p>
      <w:pPr>
        <w:pStyle w:val="Heading5"/>
      </w:pPr>
      <w:bookmarkStart w:id="54" w:name="_Toc525107950"/>
      <w:r>
        <w:rPr>
          <w:rStyle w:val="CharSectno"/>
        </w:rPr>
        <w:t>31</w:t>
      </w:r>
      <w:r>
        <w:t>.</w:t>
      </w:r>
      <w:r>
        <w:tab/>
        <w:t>Term used: application</w:t>
      </w:r>
      <w:bookmarkEnd w:id="54"/>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55" w:name="_Toc525107951"/>
      <w:r>
        <w:rPr>
          <w:rStyle w:val="CharSectno"/>
        </w:rPr>
        <w:t>32</w:t>
      </w:r>
      <w:r>
        <w:t>.</w:t>
      </w:r>
      <w:r>
        <w:tab/>
        <w:t>Statements to accompany application (s. 39(8)(b))</w:t>
      </w:r>
      <w:bookmarkEnd w:id="55"/>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Pr>
      <w:bookmarkStart w:id="56" w:name="_Toc525107952"/>
      <w:r>
        <w:rPr>
          <w:rStyle w:val="CharSectno"/>
        </w:rPr>
        <w:t>33</w:t>
      </w:r>
      <w:r>
        <w:t>.</w:t>
      </w:r>
      <w:r>
        <w:tab/>
        <w:t>Decisions on applications (s. 39(9)(a))</w:t>
      </w:r>
      <w:bookmarkEnd w:id="56"/>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57" w:name="_Toc525107953"/>
      <w:r>
        <w:rPr>
          <w:rStyle w:val="CharSectno"/>
        </w:rPr>
        <w:t>34</w:t>
      </w:r>
      <w:r>
        <w:t>.</w:t>
      </w:r>
      <w:r>
        <w:tab/>
        <w:t>Revoking or amending declarations (s. 39(9)(b))</w:t>
      </w:r>
      <w:bookmarkEnd w:id="57"/>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58" w:name="_Toc525107954"/>
      <w:r>
        <w:rPr>
          <w:rStyle w:val="CharPartNo"/>
        </w:rPr>
        <w:t>Part 5</w:t>
      </w:r>
      <w:r>
        <w:rPr>
          <w:rStyle w:val="CharDivNo"/>
        </w:rPr>
        <w:t> </w:t>
      </w:r>
      <w:r>
        <w:t>—</w:t>
      </w:r>
      <w:r>
        <w:rPr>
          <w:rStyle w:val="CharDivText"/>
        </w:rPr>
        <w:t> </w:t>
      </w:r>
      <w:r>
        <w:rPr>
          <w:rStyle w:val="CharPartText"/>
        </w:rPr>
        <w:t>Occupancy permits and building approval certificates</w:t>
      </w:r>
      <w:bookmarkEnd w:id="58"/>
    </w:p>
    <w:p>
      <w:pPr>
        <w:pStyle w:val="Heading5"/>
      </w:pPr>
      <w:bookmarkStart w:id="59" w:name="_Toc525107955"/>
      <w:r>
        <w:rPr>
          <w:rStyle w:val="CharSectno"/>
        </w:rPr>
        <w:t>35</w:t>
      </w:r>
      <w:r>
        <w:t>.</w:t>
      </w:r>
      <w:r>
        <w:tab/>
        <w:t>Display of occupancy permit details (s. 42(a))</w:t>
      </w:r>
      <w:bookmarkEnd w:id="59"/>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60" w:name="_Toc525107956"/>
      <w:r>
        <w:rPr>
          <w:rStyle w:val="CharSectno"/>
        </w:rPr>
        <w:t>36A</w:t>
      </w:r>
      <w:r>
        <w:t>.</w:t>
      </w:r>
      <w:r>
        <w:tab/>
        <w:t>Further information (s. 55(3) and (4))</w:t>
      </w:r>
      <w:bookmarkEnd w:id="60"/>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61" w:name="_Toc525107957"/>
      <w:r>
        <w:rPr>
          <w:rStyle w:val="CharSectno"/>
        </w:rPr>
        <w:t>36</w:t>
      </w:r>
      <w:r>
        <w:t>.</w:t>
      </w:r>
      <w:r>
        <w:tab/>
        <w:t>Certificate of building compliance (s. 57)</w:t>
      </w:r>
      <w:bookmarkEnd w:id="61"/>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62" w:name="_Toc525107958"/>
      <w:r>
        <w:rPr>
          <w:rStyle w:val="CharSectno"/>
        </w:rPr>
        <w:t>37</w:t>
      </w:r>
      <w:r>
        <w:t>.</w:t>
      </w:r>
      <w:r>
        <w:tab/>
        <w:t>Grant of occupancy permit or building approval certificate (s. 58)</w:t>
      </w:r>
      <w:bookmarkEnd w:id="62"/>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63" w:name="_Toc525107959"/>
      <w:r>
        <w:rPr>
          <w:rStyle w:val="CharSectno"/>
        </w:rPr>
        <w:t>38</w:t>
      </w:r>
      <w:r>
        <w:t>.</w:t>
      </w:r>
      <w:r>
        <w:tab/>
        <w:t>Time for granting occupancy permit or building approval certificate (s. 59)</w:t>
      </w:r>
      <w:bookmarkEnd w:id="63"/>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64" w:name="_Toc525107960"/>
      <w:r>
        <w:rPr>
          <w:rStyle w:val="CharSectno"/>
        </w:rPr>
        <w:t>39</w:t>
      </w:r>
      <w:r>
        <w:t>.</w:t>
      </w:r>
      <w:r>
        <w:tab/>
        <w:t>Occupancy permit and building approval certificates (s. 61(2))</w:t>
      </w:r>
      <w:bookmarkEnd w:id="64"/>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65" w:name="_Toc525107961"/>
      <w:r>
        <w:rPr>
          <w:rStyle w:val="CharSectno"/>
        </w:rPr>
        <w:t>40</w:t>
      </w:r>
      <w:r>
        <w:t>.</w:t>
      </w:r>
      <w:r>
        <w:tab/>
        <w:t>Extension of period of duration of time limited occupancy permit or building approval certificate (s. 65)</w:t>
      </w:r>
      <w:bookmarkEnd w:id="65"/>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66" w:name="_Toc525107962"/>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66"/>
    </w:p>
    <w:p>
      <w:pPr>
        <w:pStyle w:val="Heading5"/>
      </w:pPr>
      <w:bookmarkStart w:id="67" w:name="_Toc525107963"/>
      <w:r>
        <w:rPr>
          <w:rStyle w:val="CharSectno"/>
        </w:rPr>
        <w:t>41</w:t>
      </w:r>
      <w:r>
        <w:t>.</w:t>
      </w:r>
      <w:r>
        <w:tab/>
        <w:t>Building work for which building permit is not required (s. 9(b))</w:t>
      </w:r>
      <w:bookmarkEnd w:id="67"/>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68" w:name="_Toc525107964"/>
      <w:r>
        <w:rPr>
          <w:rStyle w:val="CharSectno"/>
        </w:rPr>
        <w:t>42</w:t>
      </w:r>
      <w:r>
        <w:t>.</w:t>
      </w:r>
      <w:r>
        <w:tab/>
        <w:t>Demolition work for which demolition permit not required (s. 10(c))</w:t>
      </w:r>
      <w:bookmarkEnd w:id="68"/>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69" w:name="_Toc525107965"/>
      <w:r>
        <w:rPr>
          <w:rStyle w:val="CharSectno"/>
        </w:rPr>
        <w:t>43</w:t>
      </w:r>
      <w:r>
        <w:t>.</w:t>
      </w:r>
      <w:r>
        <w:tab/>
        <w:t>Buildings for which occupancy permit not required (s. 41(2))</w:t>
      </w:r>
      <w:bookmarkEnd w:id="69"/>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2014;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w:t>
      </w:r>
    </w:p>
    <w:p>
      <w:pPr>
        <w:pStyle w:val="Heading2"/>
        <w:rPr>
          <w:rStyle w:val="CharPartText"/>
        </w:rPr>
      </w:pPr>
      <w:bookmarkStart w:id="70" w:name="_Toc525107966"/>
      <w:r>
        <w:rPr>
          <w:rStyle w:val="CharPartNo"/>
        </w:rPr>
        <w:t>Part 7</w:t>
      </w:r>
      <w:r>
        <w:rPr>
          <w:rStyle w:val="CharDivNo"/>
        </w:rPr>
        <w:t> </w:t>
      </w:r>
      <w:r>
        <w:t>—</w:t>
      </w:r>
      <w:r>
        <w:rPr>
          <w:rStyle w:val="CharDivText"/>
        </w:rPr>
        <w:t> </w:t>
      </w:r>
      <w:r>
        <w:rPr>
          <w:rStyle w:val="CharPartText"/>
        </w:rPr>
        <w:t>Work affecting other land</w:t>
      </w:r>
      <w:bookmarkEnd w:id="70"/>
    </w:p>
    <w:p>
      <w:pPr>
        <w:pStyle w:val="Heading5"/>
      </w:pPr>
      <w:bookmarkStart w:id="71" w:name="_Toc525107967"/>
      <w:r>
        <w:rPr>
          <w:rStyle w:val="CharSectno"/>
        </w:rPr>
        <w:t>44A</w:t>
      </w:r>
      <w:r>
        <w:t>.</w:t>
      </w:r>
      <w:r>
        <w:tab/>
        <w:t>Terms used</w:t>
      </w:r>
      <w:bookmarkEnd w:id="71"/>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 xml:space="preserve">road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72" w:name="_Toc525107968"/>
      <w:r>
        <w:rPr>
          <w:rStyle w:val="CharSectno"/>
        </w:rPr>
        <w:t>44</w:t>
      </w:r>
      <w:r>
        <w:t>.</w:t>
      </w:r>
      <w:r>
        <w:tab/>
        <w:t>Owner of land for purposes of Part 6 of Act</w:t>
      </w:r>
      <w:bookmarkEnd w:id="72"/>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73" w:name="_Toc525107969"/>
      <w:r>
        <w:rPr>
          <w:rStyle w:val="CharSectno"/>
        </w:rPr>
        <w:t>45A</w:t>
      </w:r>
      <w:r>
        <w:t>.</w:t>
      </w:r>
      <w:r>
        <w:tab/>
        <w:t>Minor encroachments (s. 76(1)(c))</w:t>
      </w:r>
      <w:bookmarkEnd w:id="73"/>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74" w:name="_Toc525107970"/>
      <w:r>
        <w:rPr>
          <w:rStyle w:val="CharSectno"/>
        </w:rPr>
        <w:t>45B</w:t>
      </w:r>
      <w:r>
        <w:t>.</w:t>
      </w:r>
      <w:r>
        <w:tab/>
        <w:t>Circumstances prescribed for purposes of section 76(1)(e)</w:t>
      </w:r>
      <w:bookmarkEnd w:id="74"/>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75" w:name="_Toc525107971"/>
      <w:r>
        <w:rPr>
          <w:rStyle w:val="CharSectno"/>
        </w:rPr>
        <w:t>45</w:t>
      </w:r>
      <w:r>
        <w:t>.</w:t>
      </w:r>
      <w:r>
        <w:tab/>
        <w:t>Content of notice about effect on other land (s. 85)</w:t>
      </w:r>
      <w:bookmarkEnd w:id="75"/>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76" w:name="_Toc525107972"/>
      <w:r>
        <w:rPr>
          <w:rStyle w:val="CharPartNo"/>
        </w:rPr>
        <w:t>Part 8</w:t>
      </w:r>
      <w:r>
        <w:t> — </w:t>
      </w:r>
      <w:r>
        <w:rPr>
          <w:rStyle w:val="CharPartText"/>
        </w:rPr>
        <w:t>Existing buildings</w:t>
      </w:r>
      <w:bookmarkEnd w:id="76"/>
    </w:p>
    <w:p>
      <w:pPr>
        <w:pStyle w:val="Heading3"/>
        <w:spacing w:before="200"/>
      </w:pPr>
      <w:bookmarkStart w:id="77" w:name="_Toc525107973"/>
      <w:r>
        <w:rPr>
          <w:rStyle w:val="CharDivNo"/>
        </w:rPr>
        <w:t>Division 1</w:t>
      </w:r>
      <w:r>
        <w:t> — </w:t>
      </w:r>
      <w:r>
        <w:rPr>
          <w:rStyle w:val="CharDivText"/>
        </w:rPr>
        <w:t>General</w:t>
      </w:r>
      <w:bookmarkEnd w:id="77"/>
    </w:p>
    <w:p>
      <w:pPr>
        <w:pStyle w:val="Ednotesection"/>
        <w:spacing w:before="200"/>
      </w:pPr>
      <w:r>
        <w:t>[</w:t>
      </w:r>
      <w:r>
        <w:rPr>
          <w:b/>
        </w:rPr>
        <w:t>46.</w:t>
      </w:r>
      <w:r>
        <w:tab/>
        <w:t>Deleted in Gazette 18 Dec 2012 p. 6574.]</w:t>
      </w:r>
    </w:p>
    <w:p>
      <w:pPr>
        <w:pStyle w:val="Heading5"/>
        <w:spacing w:before="200"/>
      </w:pPr>
      <w:bookmarkStart w:id="78" w:name="_Toc525107974"/>
      <w:r>
        <w:rPr>
          <w:rStyle w:val="CharSectno"/>
        </w:rPr>
        <w:t>47</w:t>
      </w:r>
      <w:r>
        <w:t>.</w:t>
      </w:r>
      <w:r>
        <w:tab/>
        <w:t>Notification of change of classification of certain buildings and incidental structures</w:t>
      </w:r>
      <w:bookmarkEnd w:id="78"/>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spacing w:before="140"/>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Footnotesection"/>
      </w:pPr>
      <w:r>
        <w:tab/>
        <w:t>[Regulation 47 amended in Gazette 24 Apr 2014 p. 1138.]</w:t>
      </w:r>
    </w:p>
    <w:p>
      <w:pPr>
        <w:pStyle w:val="Heading3"/>
      </w:pPr>
      <w:bookmarkStart w:id="79" w:name="_Toc525107975"/>
      <w:r>
        <w:rPr>
          <w:rStyle w:val="CharDivNo"/>
        </w:rPr>
        <w:t>Division 2A</w:t>
      </w:r>
      <w:r>
        <w:t> — </w:t>
      </w:r>
      <w:r>
        <w:rPr>
          <w:rStyle w:val="CharDivText"/>
        </w:rPr>
        <w:t>Maintenance</w:t>
      </w:r>
      <w:bookmarkEnd w:id="79"/>
    </w:p>
    <w:p>
      <w:pPr>
        <w:pStyle w:val="Footnoteheading"/>
        <w:keepNext/>
      </w:pPr>
      <w:r>
        <w:tab/>
        <w:t>[Heading inserted in Gazette 24 Apr 2014 p. 1138.]</w:t>
      </w:r>
    </w:p>
    <w:p>
      <w:pPr>
        <w:pStyle w:val="Heading5"/>
      </w:pPr>
      <w:bookmarkStart w:id="80" w:name="_Toc525107976"/>
      <w:r>
        <w:rPr>
          <w:rStyle w:val="CharSectno"/>
        </w:rPr>
        <w:t>48A</w:t>
      </w:r>
      <w:r>
        <w:t>.</w:t>
      </w:r>
      <w:r>
        <w:tab/>
        <w:t>Maintenance of buildings</w:t>
      </w:r>
      <w:bookmarkEnd w:id="80"/>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paragraph(a) does not apply but one or more building licences were issued under the </w:t>
      </w:r>
      <w:r>
        <w:rPr>
          <w:i/>
        </w:rPr>
        <w:t xml:space="preserve">Local Government (Miscellaneous Provisions) Act 1960 </w:t>
      </w:r>
      <w:r>
        <w:t>in respect of the part — the building standards in the edition of the Building Code that applied at the time the most recent building licence was issued;</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pPr>
      <w:r>
        <w:tab/>
        <w:t>[Regulation 48A inserted in Gazette 24 Apr 2014 p. 1138</w:t>
      </w:r>
      <w:r>
        <w:noBreakHyphen/>
        <w:t>9.]</w:t>
      </w:r>
    </w:p>
    <w:p>
      <w:pPr>
        <w:pStyle w:val="Heading3"/>
        <w:spacing w:before="220"/>
      </w:pPr>
      <w:bookmarkStart w:id="81" w:name="_Toc525107977"/>
      <w:r>
        <w:rPr>
          <w:rStyle w:val="CharDivNo"/>
        </w:rPr>
        <w:t>Division 2</w:t>
      </w:r>
      <w:r>
        <w:t> — </w:t>
      </w:r>
      <w:r>
        <w:rPr>
          <w:rStyle w:val="CharDivText"/>
        </w:rPr>
        <w:t>Private swimming pools</w:t>
      </w:r>
      <w:bookmarkEnd w:id="81"/>
    </w:p>
    <w:p>
      <w:pPr>
        <w:pStyle w:val="Heading5"/>
        <w:spacing w:before="200"/>
      </w:pPr>
      <w:bookmarkStart w:id="82" w:name="_Toc525107978"/>
      <w:r>
        <w:rPr>
          <w:rStyle w:val="CharSectno"/>
        </w:rPr>
        <w:t>48</w:t>
      </w:r>
      <w:r>
        <w:t>.</w:t>
      </w:r>
      <w:r>
        <w:tab/>
        <w:t>Terms used</w:t>
      </w:r>
      <w:bookmarkEnd w:id="82"/>
    </w:p>
    <w:p>
      <w:pPr>
        <w:pStyle w:val="Subsection"/>
        <w:spacing w:before="140"/>
      </w:pPr>
      <w:r>
        <w:tab/>
      </w:r>
      <w:r>
        <w:tab/>
        <w:t>In this Division —</w:t>
      </w:r>
    </w:p>
    <w:p>
      <w:pPr>
        <w:pStyle w:val="Defstart"/>
        <w:spacing w:before="60"/>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83" w:name="_Toc525107979"/>
      <w:r>
        <w:rPr>
          <w:rStyle w:val="CharSectno"/>
        </w:rPr>
        <w:t>49</w:t>
      </w:r>
      <w:r>
        <w:t>.</w:t>
      </w:r>
      <w:r>
        <w:tab/>
        <w:t>Application of this Division</w:t>
      </w:r>
      <w:bookmarkEnd w:id="83"/>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84" w:name="_Toc525107980"/>
      <w:r>
        <w:rPr>
          <w:rStyle w:val="CharSectno"/>
        </w:rPr>
        <w:t>50</w:t>
      </w:r>
      <w:r>
        <w:t>.</w:t>
      </w:r>
      <w:r>
        <w:tab/>
        <w:t>Enclosure of private swimming pool</w:t>
      </w:r>
      <w:bookmarkEnd w:id="84"/>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spacing w:before="60"/>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85" w:name="_Toc525107981"/>
      <w:r>
        <w:rPr>
          <w:rStyle w:val="CharSectno"/>
        </w:rPr>
        <w:t>51</w:t>
      </w:r>
      <w:r>
        <w:t>.</w:t>
      </w:r>
      <w:r>
        <w:tab/>
        <w:t>Approvals by permit authority</w:t>
      </w:r>
      <w:bookmarkEnd w:id="85"/>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spacing w:before="60"/>
      </w:pPr>
      <w:r>
        <w:tab/>
        <w:t>(a)</w:t>
      </w:r>
      <w:r>
        <w:tab/>
        <w:t>in the opinion of the permit authority, a fence or barrier satisfying regulation 50 between the building and the private swimming pool would cause —</w:t>
      </w:r>
    </w:p>
    <w:p>
      <w:pPr>
        <w:pStyle w:val="Indenti"/>
        <w:spacing w:before="60"/>
      </w:pPr>
      <w:r>
        <w:tab/>
        <w:t>(i)</w:t>
      </w:r>
      <w:r>
        <w:tab/>
        <w:t>a significant problem of a structural nature; or</w:t>
      </w:r>
    </w:p>
    <w:p>
      <w:pPr>
        <w:pStyle w:val="Indenti"/>
        <w:spacing w:before="60"/>
      </w:pPr>
      <w:r>
        <w:tab/>
        <w:t>(ii)</w:t>
      </w:r>
      <w:r>
        <w:tab/>
        <w:t>a significant problem of any other nature, the cause of which is not within the control of the owner or occupier;</w:t>
      </w:r>
    </w:p>
    <w:p>
      <w:pPr>
        <w:pStyle w:val="Indenta"/>
        <w:spacing w:before="60"/>
      </w:pPr>
      <w:r>
        <w:tab/>
      </w:r>
      <w:r>
        <w:tab/>
        <w:t>or</w:t>
      </w:r>
    </w:p>
    <w:p>
      <w:pPr>
        <w:pStyle w:val="Indenta"/>
        <w:spacing w:before="60"/>
      </w:pPr>
      <w:r>
        <w:tab/>
        <w:t>(b)</w:t>
      </w:r>
      <w:r>
        <w:tab/>
        <w:t>the private swimming pool is totally enclosed by a building; or</w:t>
      </w:r>
    </w:p>
    <w:p>
      <w:pPr>
        <w:pStyle w:val="Indenta"/>
        <w:spacing w:before="60"/>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40"/>
      </w:pPr>
      <w:r>
        <w:tab/>
        <w:t>(4)</w:t>
      </w:r>
      <w:r>
        <w:tab/>
        <w:t>In deciding whether to give approval under subregulation (3) a permit authority is required to have regard to whether or not a young child resides at the premises.</w:t>
      </w:r>
    </w:p>
    <w:p>
      <w:pPr>
        <w:pStyle w:val="Heading5"/>
      </w:pPr>
      <w:bookmarkStart w:id="86" w:name="_Toc525107982"/>
      <w:r>
        <w:rPr>
          <w:rStyle w:val="CharSectno"/>
        </w:rPr>
        <w:t>52</w:t>
      </w:r>
      <w:r>
        <w:t>.</w:t>
      </w:r>
      <w:r>
        <w:tab/>
        <w:t>Concessions for pre</w:t>
      </w:r>
      <w:r>
        <w:noBreakHyphen/>
        <w:t>November 2001 private swimming pools</w:t>
      </w:r>
      <w:bookmarkEnd w:id="86"/>
    </w:p>
    <w:p>
      <w:pPr>
        <w:pStyle w:val="Subsection"/>
        <w:keepNext/>
        <w:spacing w:before="140"/>
      </w:pPr>
      <w:r>
        <w:tab/>
        <w:t>(1)</w:t>
      </w:r>
      <w:r>
        <w:tab/>
        <w:t>This regulation applies to a private swimming pool —</w:t>
      </w:r>
    </w:p>
    <w:p>
      <w:pPr>
        <w:pStyle w:val="Indenta"/>
        <w:spacing w:before="60"/>
      </w:pPr>
      <w:r>
        <w:tab/>
        <w:t>(a)</w:t>
      </w:r>
      <w:r>
        <w:tab/>
        <w:t>installed before 5 November 2001; or</w:t>
      </w:r>
    </w:p>
    <w:p>
      <w:pPr>
        <w:pStyle w:val="Indenta"/>
        <w:spacing w:before="60"/>
      </w:pPr>
      <w:r>
        <w:tab/>
        <w:t>(b)</w:t>
      </w:r>
      <w:r>
        <w:tab/>
        <w:t>installed on or after 5 November 2001 in accordance with plans, drawings and specifications submitted to the local government for approval before that day.</w:t>
      </w:r>
    </w:p>
    <w:p>
      <w:pPr>
        <w:pStyle w:val="Subsection"/>
        <w:spacing w:before="140"/>
      </w:pPr>
      <w:r>
        <w:tab/>
        <w:t>(2)</w:t>
      </w:r>
      <w:r>
        <w:tab/>
        <w:t>For the purposes of regulation 50(1), the immediate surrounds of a private swimming pool to which this regulation applies may include any part of the premises on which the pool is located.</w:t>
      </w:r>
    </w:p>
    <w:p>
      <w:pPr>
        <w:pStyle w:val="Subsection"/>
        <w:spacing w:before="140"/>
      </w:pPr>
      <w:r>
        <w:tab/>
        <w:t>(3)</w:t>
      </w:r>
      <w:r>
        <w:tab/>
        <w:t>The enclosure required by regulation 50 may include a wall that contains a door permitting access through a building if that door satisfies the requirements of AS 1926.l.</w:t>
      </w:r>
    </w:p>
    <w:p>
      <w:pPr>
        <w:pStyle w:val="Heading5"/>
      </w:pPr>
      <w:bookmarkStart w:id="87" w:name="_Toc525107983"/>
      <w:r>
        <w:rPr>
          <w:rStyle w:val="CharSectno"/>
        </w:rPr>
        <w:t>53</w:t>
      </w:r>
      <w:r>
        <w:t>.</w:t>
      </w:r>
      <w:r>
        <w:tab/>
        <w:t>Inspections of pool enclosures</w:t>
      </w:r>
      <w:bookmarkEnd w:id="87"/>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$56.</w:t>
      </w:r>
    </w:p>
    <w:p>
      <w:pPr>
        <w:pStyle w:val="Footnotesection"/>
      </w:pPr>
      <w:r>
        <w:tab/>
        <w:t>[Regulation 53 amended in Gazette 15 Jun 2012 p. 2515; 27 Jun 2014 p. 2309.]</w:t>
      </w:r>
    </w:p>
    <w:p>
      <w:pPr>
        <w:pStyle w:val="Heading5"/>
      </w:pPr>
      <w:bookmarkStart w:id="88" w:name="_Toc525107984"/>
      <w:r>
        <w:rPr>
          <w:rStyle w:val="CharSectno"/>
        </w:rPr>
        <w:t>54A</w:t>
      </w:r>
      <w:r>
        <w:t>.</w:t>
      </w:r>
      <w:r>
        <w:tab/>
        <w:t>Temporary pool enclosures</w:t>
      </w:r>
      <w:bookmarkEnd w:id="88"/>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barrier that is part of the enclosure for a private swimming pool must ensure that an alternative enclosure that complies with regulation 50 is installed or provided for any period during which the fence, wall, gate or barrier is removed.</w:t>
      </w:r>
    </w:p>
    <w:p>
      <w:pPr>
        <w:pStyle w:val="Footnotesection"/>
      </w:pPr>
      <w:r>
        <w:tab/>
        <w:t>[Regulation 54A inserted in Gazette 24 Apr 2014 p. 1140.]</w:t>
      </w:r>
    </w:p>
    <w:p>
      <w:pPr>
        <w:pStyle w:val="Heading5"/>
      </w:pPr>
      <w:bookmarkStart w:id="89" w:name="_Toc525107985"/>
      <w:r>
        <w:rPr>
          <w:rStyle w:val="CharSectno"/>
        </w:rPr>
        <w:t>54</w:t>
      </w:r>
      <w:r>
        <w:t>.</w:t>
      </w:r>
      <w:r>
        <w:tab/>
        <w:t>Transitional provisions — persons authorised to carry out inspections of private swimming pools</w:t>
      </w:r>
      <w:bookmarkEnd w:id="89"/>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private swimming pool enclosures for the period commencing on repeal day and ending on the day that is 5 years after that day.</w:t>
      </w:r>
    </w:p>
    <w:p>
      <w:pPr>
        <w:pStyle w:val="Footnotesection"/>
      </w:pPr>
      <w:r>
        <w:tab/>
        <w:t>[Regulation 54 amended in Gazette 18 Dec 2012 p. 6574.]</w:t>
      </w:r>
    </w:p>
    <w:p>
      <w:pPr>
        <w:pStyle w:val="Heading3"/>
      </w:pPr>
      <w:bookmarkStart w:id="90" w:name="_Toc525107986"/>
      <w:r>
        <w:rPr>
          <w:rStyle w:val="CharDivNo"/>
        </w:rPr>
        <w:t>Division 3</w:t>
      </w:r>
      <w:r>
        <w:t> — </w:t>
      </w:r>
      <w:r>
        <w:rPr>
          <w:rStyle w:val="CharDivText"/>
        </w:rPr>
        <w:t>Smoke alarms</w:t>
      </w:r>
      <w:bookmarkEnd w:id="90"/>
    </w:p>
    <w:p>
      <w:pPr>
        <w:pStyle w:val="Heading5"/>
      </w:pPr>
      <w:bookmarkStart w:id="91" w:name="_Toc525107987"/>
      <w:r>
        <w:rPr>
          <w:rStyle w:val="CharSectno"/>
        </w:rPr>
        <w:t>55</w:t>
      </w:r>
      <w:r>
        <w:t>.</w:t>
      </w:r>
      <w:r>
        <w:tab/>
        <w:t>Terms used</w:t>
      </w:r>
      <w:bookmarkEnd w:id="91"/>
    </w:p>
    <w:p>
      <w:pPr>
        <w:pStyle w:val="Subsection"/>
        <w:spacing w:before="140"/>
      </w:pPr>
      <w:r>
        <w:tab/>
        <w:t>(1)</w:t>
      </w:r>
      <w:r>
        <w:tab/>
        <w:t>In this Division —</w:t>
      </w:r>
    </w:p>
    <w:p>
      <w:pPr>
        <w:pStyle w:val="Defstart"/>
        <w:spacing w:before="60"/>
      </w:pPr>
      <w:r>
        <w:tab/>
      </w:r>
      <w:r>
        <w:rPr>
          <w:rStyle w:val="CharDefText"/>
        </w:rPr>
        <w:t>10 year life battery</w:t>
      </w:r>
      <w:r>
        <w:t xml:space="preserve"> means a battery that is capable of powering a smoke alarm for at least 10 years without the alarm indicating the battery power is low;</w:t>
      </w:r>
    </w:p>
    <w:p>
      <w:pPr>
        <w:pStyle w:val="Defstart"/>
        <w:spacing w:before="60"/>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spacing w:before="60"/>
      </w:pPr>
      <w:r>
        <w:tab/>
      </w:r>
      <w:r>
        <w:rPr>
          <w:rStyle w:val="CharDefText"/>
        </w:rPr>
        <w:t>dwelling</w:t>
      </w:r>
      <w:r>
        <w:t xml:space="preserve"> means —</w:t>
      </w:r>
    </w:p>
    <w:p>
      <w:pPr>
        <w:pStyle w:val="Defpara"/>
        <w:spacing w:before="60"/>
      </w:pPr>
      <w:r>
        <w:tab/>
        <w:t>(a)</w:t>
      </w:r>
      <w:r>
        <w:tab/>
        <w:t>a Class 1 building; or</w:t>
      </w:r>
    </w:p>
    <w:p>
      <w:pPr>
        <w:pStyle w:val="Defpara"/>
        <w:spacing w:before="60"/>
      </w:pPr>
      <w:r>
        <w:tab/>
        <w:t>(b)</w:t>
      </w:r>
      <w:r>
        <w:tab/>
        <w:t>a unit in a Class 2 building; or</w:t>
      </w:r>
    </w:p>
    <w:p>
      <w:pPr>
        <w:pStyle w:val="Defpara"/>
        <w:spacing w:before="60"/>
      </w:pPr>
      <w:r>
        <w:tab/>
        <w:t>(c)</w:t>
      </w:r>
      <w:r>
        <w:tab/>
        <w:t>a Class 4 dwelling;</w:t>
      </w:r>
    </w:p>
    <w:p>
      <w:pPr>
        <w:pStyle w:val="Defstart"/>
        <w:spacing w:before="60"/>
      </w:pPr>
      <w:r>
        <w:tab/>
      </w:r>
      <w:r>
        <w:rPr>
          <w:rStyle w:val="CharDefText"/>
        </w:rPr>
        <w:t>electrician</w:t>
      </w:r>
      <w:r>
        <w:t xml:space="preserve"> has the meaning given in the </w:t>
      </w:r>
      <w:r>
        <w:rPr>
          <w:i/>
        </w:rPr>
        <w:t>Electricity (Licensing) Regulations 1991</w:t>
      </w:r>
      <w:r>
        <w:t xml:space="preserve"> regulation 3(1);</w:t>
      </w:r>
    </w:p>
    <w:p>
      <w:pPr>
        <w:pStyle w:val="Defstart"/>
        <w:spacing w:before="60"/>
      </w:pPr>
      <w:r>
        <w:tab/>
      </w:r>
      <w:r>
        <w:rPr>
          <w:rStyle w:val="CharDefText"/>
        </w:rPr>
        <w:t>owner</w:t>
      </w:r>
      <w:r>
        <w:t>, of a dwelling, means a person who holds an interest in land that entitles the person to the ownership of the dwelling;</w:t>
      </w:r>
    </w:p>
    <w:p>
      <w:pPr>
        <w:pStyle w:val="Defstart"/>
        <w:spacing w:before="60"/>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spacing w:before="60"/>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spacing w:before="140"/>
      </w:pPr>
      <w:r>
        <w:tab/>
        <w:t>(2)</w:t>
      </w:r>
      <w:r>
        <w:tab/>
        <w:t>For the purposes of this Division, a smoke alarm —</w:t>
      </w:r>
    </w:p>
    <w:p>
      <w:pPr>
        <w:pStyle w:val="Indenta"/>
        <w:spacing w:before="60"/>
      </w:pPr>
      <w:r>
        <w:tab/>
        <w:t>(a)</w:t>
      </w:r>
      <w:r>
        <w:tab/>
        <w:t>is connected to the mains power supply if it is electrically connected to a permanent supply of electricity to the dwelling; and</w:t>
      </w:r>
    </w:p>
    <w:p>
      <w:pPr>
        <w:pStyle w:val="Indenta"/>
        <w:spacing w:before="60"/>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92" w:name="_Toc525107988"/>
      <w:r>
        <w:rPr>
          <w:rStyle w:val="CharSectno"/>
        </w:rPr>
        <w:t>56</w:t>
      </w:r>
      <w:r>
        <w:t>.</w:t>
      </w:r>
      <w:r>
        <w:tab/>
        <w:t>Requirement to have smoke alarms or similar prior to transfer of dwelling</w:t>
      </w:r>
      <w:bookmarkEnd w:id="92"/>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93" w:name="_Toc525107989"/>
      <w:r>
        <w:rPr>
          <w:rStyle w:val="CharSectno"/>
        </w:rPr>
        <w:t>57</w:t>
      </w:r>
      <w:r>
        <w:t>.</w:t>
      </w:r>
      <w:r>
        <w:tab/>
        <w:t>New owner must install smoke alarms or similar, and right to recover costs</w:t>
      </w:r>
      <w:bookmarkEnd w:id="93"/>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pPr>
      <w:bookmarkStart w:id="94" w:name="_Toc525107990"/>
      <w:r>
        <w:rPr>
          <w:rStyle w:val="CharSectno"/>
        </w:rPr>
        <w:t>58</w:t>
      </w:r>
      <w:r>
        <w:t>.</w:t>
      </w:r>
      <w:r>
        <w:tab/>
        <w:t>Requirement to have smoke alarms or similar prior to tenancy</w:t>
      </w:r>
      <w:bookmarkEnd w:id="94"/>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95" w:name="_Toc525107991"/>
      <w:r>
        <w:rPr>
          <w:rStyle w:val="CharSectno"/>
        </w:rPr>
        <w:t>59</w:t>
      </w:r>
      <w:r>
        <w:t>.</w:t>
      </w:r>
      <w:r>
        <w:tab/>
        <w:t>Requirement to have smoke alarms or similar prior to hire of dwelling</w:t>
      </w:r>
      <w:bookmarkEnd w:id="95"/>
    </w:p>
    <w:p>
      <w:pPr>
        <w:pStyle w:val="Subsection"/>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96" w:name="_Toc525107992"/>
      <w:r>
        <w:rPr>
          <w:rStyle w:val="CharSectno"/>
        </w:rPr>
        <w:t>60</w:t>
      </w:r>
      <w:r>
        <w:t>.</w:t>
      </w:r>
      <w:r>
        <w:tab/>
        <w:t>Requirements for smoke alarms</w:t>
      </w:r>
      <w:bookmarkEnd w:id="96"/>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w:t>
      </w:r>
    </w:p>
    <w:p>
      <w:pPr>
        <w:pStyle w:val="Heading5"/>
        <w:spacing w:before="180"/>
      </w:pPr>
      <w:bookmarkStart w:id="97" w:name="_Toc525107993"/>
      <w:r>
        <w:rPr>
          <w:rStyle w:val="CharSectno"/>
        </w:rPr>
        <w:t>61</w:t>
      </w:r>
      <w:r>
        <w:t>.</w:t>
      </w:r>
      <w:r>
        <w:tab/>
        <w:t>Local government approval of battery powered smoke alarms</w:t>
      </w:r>
      <w:bookmarkEnd w:id="97"/>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Heading5"/>
      </w:pPr>
      <w:bookmarkStart w:id="98" w:name="_Toc525107994"/>
      <w:r>
        <w:rPr>
          <w:rStyle w:val="CharSectno"/>
        </w:rPr>
        <w:t>62</w:t>
      </w:r>
      <w:r>
        <w:t>.</w:t>
      </w:r>
      <w:r>
        <w:tab/>
        <w:t>Requirement to maintain certain smoke alarms</w:t>
      </w:r>
      <w:bookmarkEnd w:id="98"/>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99" w:name="_Toc525107995"/>
      <w:r>
        <w:rPr>
          <w:rStyle w:val="CharPartNo"/>
        </w:rPr>
        <w:t>Part 10</w:t>
      </w:r>
      <w:r>
        <w:rPr>
          <w:rStyle w:val="CharDivNo"/>
        </w:rPr>
        <w:t> </w:t>
      </w:r>
      <w:r>
        <w:t>—</w:t>
      </w:r>
      <w:r>
        <w:rPr>
          <w:rStyle w:val="CharDivText"/>
        </w:rPr>
        <w:t> </w:t>
      </w:r>
      <w:r>
        <w:rPr>
          <w:rStyle w:val="CharPartText"/>
        </w:rPr>
        <w:t>Infringement notices</w:t>
      </w:r>
      <w:bookmarkEnd w:id="99"/>
    </w:p>
    <w:p>
      <w:pPr>
        <w:pStyle w:val="Footnoteheading"/>
      </w:pPr>
      <w:r>
        <w:tab/>
        <w:t>[Heading inserted in Gazette 18 Dec 2012 p. 6575.]</w:t>
      </w:r>
    </w:p>
    <w:p>
      <w:pPr>
        <w:pStyle w:val="Heading5"/>
      </w:pPr>
      <w:bookmarkStart w:id="100" w:name="_Toc525107996"/>
      <w:r>
        <w:rPr>
          <w:rStyle w:val="CharSectno"/>
        </w:rPr>
        <w:t>69</w:t>
      </w:r>
      <w:r>
        <w:t>.</w:t>
      </w:r>
      <w:r>
        <w:tab/>
        <w:t>Prescribed offences and modified penalties</w:t>
      </w:r>
      <w:bookmarkEnd w:id="100"/>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101" w:name="_Toc525107997"/>
      <w:r>
        <w:rPr>
          <w:rStyle w:val="CharSectno"/>
        </w:rPr>
        <w:t>70</w:t>
      </w:r>
      <w:r>
        <w:t>.</w:t>
      </w:r>
      <w:r>
        <w:tab/>
        <w:t>Approved officers and authorised officers</w:t>
      </w:r>
      <w:bookmarkEnd w:id="101"/>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102" w:name="_Toc525107998"/>
      <w:r>
        <w:rPr>
          <w:rStyle w:val="CharSectno"/>
        </w:rPr>
        <w:t>71</w:t>
      </w:r>
      <w:r>
        <w:t>.</w:t>
      </w:r>
      <w:r>
        <w:tab/>
        <w:t>Forms</w:t>
      </w:r>
      <w:bookmarkEnd w:id="102"/>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21"/>
          <w:headerReference w:type="default" r:id="rId22"/>
          <w:footerReference w:type="even" r:id="rId23"/>
          <w:footerReference w:type="default" r:id="rId24"/>
          <w:footerReference w:type="first" r:id="rId25"/>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03" w:name="_Toc525107999"/>
      <w:r>
        <w:rPr>
          <w:rStyle w:val="CharSchNo"/>
        </w:rPr>
        <w:t>Schedule 1</w:t>
      </w:r>
      <w:r>
        <w:rPr>
          <w:rStyle w:val="CharSDivNo"/>
        </w:rPr>
        <w:t> </w:t>
      </w:r>
      <w:r>
        <w:t>—</w:t>
      </w:r>
      <w:r>
        <w:rPr>
          <w:rStyle w:val="CharSDivText"/>
        </w:rPr>
        <w:t> </w:t>
      </w:r>
      <w:r>
        <w:rPr>
          <w:rStyle w:val="CharSchText"/>
        </w:rPr>
        <w:t>Estimated value of building work</w:t>
      </w:r>
      <w:bookmarkEnd w:id="103"/>
    </w:p>
    <w:p>
      <w:pPr>
        <w:pStyle w:val="yShoulderClause"/>
      </w:pPr>
      <w:r>
        <w:t>[r. 3]</w:t>
      </w:r>
    </w:p>
    <w:p>
      <w:pPr>
        <w:pStyle w:val="yHeading5"/>
      </w:pPr>
      <w:bookmarkStart w:id="104" w:name="_Toc525108000"/>
      <w:r>
        <w:rPr>
          <w:rStyle w:val="CharSClsNo"/>
        </w:rPr>
        <w:t>1</w:t>
      </w:r>
      <w:r>
        <w:t>.</w:t>
      </w:r>
      <w:r>
        <w:tab/>
        <w:t>Terms used</w:t>
      </w:r>
      <w:bookmarkEnd w:id="104"/>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05" w:name="_Toc525108001"/>
      <w:r>
        <w:rPr>
          <w:rStyle w:val="CharSClsNo"/>
        </w:rPr>
        <w:t>2</w:t>
      </w:r>
      <w:r>
        <w:t>.</w:t>
      </w:r>
      <w:r>
        <w:tab/>
        <w:t>Estimated value of building work</w:t>
      </w:r>
      <w:bookmarkEnd w:id="105"/>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06" w:name="_Toc525108002"/>
      <w:r>
        <w:rPr>
          <w:rStyle w:val="CharSClsNo"/>
        </w:rPr>
        <w:t>3</w:t>
      </w:r>
      <w:r>
        <w:t>.</w:t>
      </w:r>
      <w:r>
        <w:tab/>
        <w:t>Estimated value of unauthorised building work</w:t>
      </w:r>
      <w:bookmarkEnd w:id="106"/>
    </w:p>
    <w:p>
      <w:pPr>
        <w:pStyle w:val="ySubsection"/>
      </w:pPr>
      <w:r>
        <w:tab/>
      </w:r>
      <w:r>
        <w:tab/>
        <w:t>The estimated value of unauthorised building work is the sum of the estimated current value (including GST) of the relevant components.</w:t>
      </w:r>
    </w:p>
    <w:p>
      <w:pPr>
        <w:sectPr>
          <w:headerReference w:type="even" r:id="rId26"/>
          <w:headerReference w:type="default" r:id="rId27"/>
          <w:pgSz w:w="11906" w:h="16838" w:code="9"/>
          <w:pgMar w:top="2381" w:right="2410" w:bottom="3544" w:left="2410" w:header="720" w:footer="3380" w:gutter="0"/>
          <w:cols w:space="720"/>
          <w:docGrid w:linePitch="326"/>
        </w:sectPr>
      </w:pPr>
    </w:p>
    <w:p>
      <w:pPr>
        <w:pStyle w:val="yScheduleHeading"/>
      </w:pPr>
      <w:bookmarkStart w:id="107" w:name="_Toc525108003"/>
      <w:r>
        <w:rPr>
          <w:rStyle w:val="CharSchNo"/>
        </w:rPr>
        <w:t>Schedule 2</w:t>
      </w:r>
      <w:r>
        <w:t> — </w:t>
      </w:r>
      <w:r>
        <w:rPr>
          <w:rStyle w:val="CharSchText"/>
        </w:rPr>
        <w:t>Fees</w:t>
      </w:r>
      <w:bookmarkEnd w:id="107"/>
    </w:p>
    <w:p>
      <w:pPr>
        <w:pStyle w:val="yShoulderClause"/>
        <w:ind w:right="141"/>
      </w:pPr>
      <w:r>
        <w:t>[r. 11]</w:t>
      </w:r>
    </w:p>
    <w:p>
      <w:pPr>
        <w:pStyle w:val="yHeading3"/>
        <w:spacing w:after="60"/>
      </w:pPr>
      <w:bookmarkStart w:id="108" w:name="_Toc525108004"/>
      <w:r>
        <w:rPr>
          <w:rStyle w:val="CharSDivNo"/>
        </w:rPr>
        <w:t>Division 1</w:t>
      </w:r>
      <w:r>
        <w:t> — </w:t>
      </w:r>
      <w:r>
        <w:rPr>
          <w:rStyle w:val="CharSDivText"/>
        </w:rPr>
        <w:t>Applications for building permits, demolition permits</w:t>
      </w:r>
      <w:bookmarkEnd w:id="108"/>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tabs>
                <w:tab w:val="clear" w:pos="567"/>
              </w:tabs>
              <w:spacing w:before="60" w:after="60"/>
              <w:rPr>
                <w:b/>
                <w:szCs w:val="22"/>
              </w:rPr>
            </w:pPr>
            <w:r>
              <w:rPr>
                <w:b/>
                <w:szCs w:val="22"/>
              </w:rPr>
              <w:t>Item</w:t>
            </w:r>
          </w:p>
        </w:tc>
        <w:tc>
          <w:tcPr>
            <w:tcW w:w="3823" w:type="dxa"/>
            <w:tcBorders>
              <w:top w:val="single" w:sz="4" w:space="0" w:color="auto"/>
              <w:bottom w:val="single" w:sz="4" w:space="0" w:color="auto"/>
            </w:tcBorders>
          </w:tcPr>
          <w:p>
            <w:pPr>
              <w:pStyle w:val="yTableNAm"/>
              <w:spacing w:before="60" w:after="60"/>
              <w:rPr>
                <w:b/>
                <w:szCs w:val="22"/>
              </w:rPr>
            </w:pPr>
            <w:r>
              <w:rPr>
                <w:b/>
                <w:szCs w:val="22"/>
              </w:rPr>
              <w:t>Application</w:t>
            </w:r>
          </w:p>
        </w:tc>
        <w:tc>
          <w:tcPr>
            <w:tcW w:w="2447" w:type="dxa"/>
            <w:tcBorders>
              <w:top w:val="single" w:sz="4" w:space="0" w:color="auto"/>
              <w:bottom w:val="single" w:sz="4" w:space="0" w:color="auto"/>
            </w:tcBorders>
          </w:tcPr>
          <w:p>
            <w:pPr>
              <w:pStyle w:val="yTableNAm"/>
              <w:spacing w:before="60" w:after="60"/>
              <w:rPr>
                <w:b/>
                <w:szCs w:val="22"/>
              </w:rPr>
            </w:pPr>
            <w:r>
              <w:rPr>
                <w:b/>
                <w:szCs w:val="22"/>
              </w:rPr>
              <w:t>Fee</w:t>
            </w:r>
          </w:p>
        </w:tc>
      </w:tr>
      <w:tr>
        <w:trPr>
          <w:cantSplit/>
        </w:trPr>
        <w:tc>
          <w:tcPr>
            <w:tcW w:w="855" w:type="dxa"/>
            <w:tcBorders>
              <w:top w:val="single" w:sz="4" w:space="0" w:color="auto"/>
            </w:tcBorders>
          </w:tcPr>
          <w:p>
            <w:pPr>
              <w:pStyle w:val="yTableNAm"/>
              <w:tabs>
                <w:tab w:val="clear" w:pos="567"/>
              </w:tabs>
              <w:rPr>
                <w:szCs w:val="22"/>
              </w:rPr>
            </w:pPr>
            <w:r>
              <w:rPr>
                <w:szCs w:val="22"/>
              </w:rPr>
              <w:t>1.</w:t>
            </w:r>
          </w:p>
        </w:tc>
        <w:tc>
          <w:tcPr>
            <w:tcW w:w="3823" w:type="dxa"/>
            <w:tcBorders>
              <w:top w:val="single" w:sz="4" w:space="0" w:color="auto"/>
            </w:tcBorders>
          </w:tcPr>
          <w:p>
            <w:pPr>
              <w:pStyle w:val="yTableNAm"/>
              <w:rPr>
                <w:szCs w:val="22"/>
              </w:rPr>
            </w:pPr>
            <w:r>
              <w:rPr>
                <w:szCs w:val="22"/>
              </w:rPr>
              <w:t>Certified application for a building permit (s. 16(l)) — </w:t>
            </w:r>
          </w:p>
        </w:tc>
        <w:tc>
          <w:tcPr>
            <w:tcW w:w="2447" w:type="dxa"/>
            <w:tcBorders>
              <w:top w:val="single" w:sz="4" w:space="0" w:color="auto"/>
            </w:tcBorders>
          </w:tcPr>
          <w:p>
            <w:pPr>
              <w:pStyle w:val="yTableNAm"/>
              <w:rPr>
                <w:szCs w:val="22"/>
              </w:rPr>
            </w:pPr>
          </w:p>
        </w:tc>
      </w:tr>
      <w:tr>
        <w:trPr>
          <w:cantSplit/>
        </w:trPr>
        <w:tc>
          <w:tcPr>
            <w:tcW w:w="855" w:type="dxa"/>
          </w:tcPr>
          <w:p>
            <w:pPr>
              <w:pStyle w:val="yTableNAm"/>
              <w:tabs>
                <w:tab w:val="clear" w:pos="567"/>
                <w:tab w:val="left" w:pos="446"/>
              </w:tabs>
              <w:rPr>
                <w:szCs w:val="22"/>
              </w:rPr>
            </w:pPr>
          </w:p>
        </w:tc>
        <w:tc>
          <w:tcPr>
            <w:tcW w:w="3823" w:type="dxa"/>
          </w:tcPr>
          <w:p>
            <w:pPr>
              <w:pStyle w:val="yTableNAm"/>
              <w:ind w:left="595" w:hanging="595"/>
              <w:rPr>
                <w:szCs w:val="22"/>
              </w:rPr>
            </w:pPr>
            <w:r>
              <w:rPr>
                <w:szCs w:val="22"/>
              </w:rPr>
              <w:t>(a)</w:t>
            </w:r>
            <w:r>
              <w:rPr>
                <w:szCs w:val="22"/>
              </w:rPr>
              <w:tab/>
              <w:t>for building work for a Class 1 or Class 10 building or incidental structure</w:t>
            </w:r>
          </w:p>
        </w:tc>
        <w:tc>
          <w:tcPr>
            <w:tcW w:w="2447" w:type="dxa"/>
          </w:tcPr>
          <w:p>
            <w:pPr>
              <w:pStyle w:val="yTableNAm"/>
              <w:rPr>
                <w:szCs w:val="22"/>
              </w:rPr>
            </w:pPr>
            <w:r>
              <w:rPr>
                <w:szCs w:val="22"/>
              </w:rPr>
              <w:t>0.19% of the estimated value of the building work as determined by the relevant permit authority, but not less than $92.00</w:t>
            </w:r>
          </w:p>
        </w:tc>
      </w:tr>
      <w:tr>
        <w:trPr>
          <w:cantSplit/>
        </w:trPr>
        <w:tc>
          <w:tcPr>
            <w:tcW w:w="855" w:type="dxa"/>
          </w:tcPr>
          <w:p>
            <w:pPr>
              <w:pStyle w:val="yTableNAm"/>
              <w:tabs>
                <w:tab w:val="clear" w:pos="567"/>
                <w:tab w:val="left" w:pos="425"/>
              </w:tabs>
              <w:rPr>
                <w:szCs w:val="22"/>
              </w:rPr>
            </w:pPr>
          </w:p>
        </w:tc>
        <w:tc>
          <w:tcPr>
            <w:tcW w:w="3823" w:type="dxa"/>
          </w:tcPr>
          <w:p>
            <w:pPr>
              <w:pStyle w:val="yTableNAm"/>
              <w:ind w:left="595" w:hanging="595"/>
              <w:rPr>
                <w:szCs w:val="22"/>
              </w:rPr>
            </w:pPr>
            <w:r>
              <w:rPr>
                <w:szCs w:val="22"/>
              </w:rPr>
              <w:t>(b)</w:t>
            </w:r>
            <w:r>
              <w:rPr>
                <w:szCs w:val="22"/>
              </w:rPr>
              <w:tab/>
              <w:t>for building work for a Class 2 to Class 9 building or incidental structure</w:t>
            </w:r>
          </w:p>
        </w:tc>
        <w:tc>
          <w:tcPr>
            <w:tcW w:w="2447" w:type="dxa"/>
          </w:tcPr>
          <w:p>
            <w:pPr>
              <w:pStyle w:val="yTableNAm"/>
              <w:rPr>
                <w:szCs w:val="22"/>
              </w:rPr>
            </w:pPr>
            <w:r>
              <w:rPr>
                <w:szCs w:val="22"/>
              </w:rPr>
              <w:t>0.09% of the estimated value of the building work as determined by the relevant permit authority, but not less than $92.00</w:t>
            </w:r>
          </w:p>
        </w:tc>
      </w:tr>
      <w:tr>
        <w:trPr>
          <w:cantSplit/>
        </w:trPr>
        <w:tc>
          <w:tcPr>
            <w:tcW w:w="855" w:type="dxa"/>
          </w:tcPr>
          <w:p>
            <w:pPr>
              <w:pStyle w:val="yTableNAm"/>
              <w:rPr>
                <w:szCs w:val="22"/>
              </w:rPr>
            </w:pPr>
            <w:r>
              <w:rPr>
                <w:szCs w:val="22"/>
              </w:rPr>
              <w:t>2.</w:t>
            </w:r>
          </w:p>
        </w:tc>
        <w:tc>
          <w:tcPr>
            <w:tcW w:w="3823" w:type="dxa"/>
          </w:tcPr>
          <w:p>
            <w:pPr>
              <w:pStyle w:val="yTableNAm"/>
              <w:rPr>
                <w:szCs w:val="22"/>
              </w:rPr>
            </w:pPr>
            <w:r>
              <w:rPr>
                <w:szCs w:val="22"/>
              </w:rPr>
              <w:t>Uncertified application for a building permit (s. 16(l))</w:t>
            </w:r>
          </w:p>
        </w:tc>
        <w:tc>
          <w:tcPr>
            <w:tcW w:w="2447" w:type="dxa"/>
          </w:tcPr>
          <w:p>
            <w:pPr>
              <w:pStyle w:val="yTableNAm"/>
              <w:rPr>
                <w:szCs w:val="22"/>
              </w:rPr>
            </w:pPr>
            <w:r>
              <w:rPr>
                <w:szCs w:val="22"/>
              </w:rPr>
              <w:t>0.32% of the estimated value of the building work as determined by the relevant permit authority, but not less than $92.00</w:t>
            </w:r>
          </w:p>
        </w:tc>
      </w:tr>
      <w:tr>
        <w:trPr>
          <w:cantSplit/>
        </w:trPr>
        <w:tc>
          <w:tcPr>
            <w:tcW w:w="855" w:type="dxa"/>
          </w:tcPr>
          <w:p>
            <w:pPr>
              <w:pStyle w:val="yTableNAm"/>
              <w:rPr>
                <w:szCs w:val="22"/>
              </w:rPr>
            </w:pPr>
            <w:r>
              <w:rPr>
                <w:szCs w:val="22"/>
              </w:rPr>
              <w:t>3.</w:t>
            </w:r>
          </w:p>
        </w:tc>
        <w:tc>
          <w:tcPr>
            <w:tcW w:w="3823" w:type="dxa"/>
          </w:tcPr>
          <w:p>
            <w:pPr>
              <w:pStyle w:val="yTableNAm"/>
              <w:rPr>
                <w:rStyle w:val="DraftersNotes"/>
                <w:b w:val="0"/>
                <w:i w:val="0"/>
                <w:sz w:val="22"/>
                <w:szCs w:val="22"/>
              </w:rPr>
            </w:pPr>
            <w:r>
              <w:rPr>
                <w:szCs w:val="22"/>
              </w:rP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rPr>
                <w:szCs w:val="22"/>
              </w:rPr>
            </w:pPr>
          </w:p>
        </w:tc>
        <w:tc>
          <w:tcPr>
            <w:tcW w:w="3823" w:type="dxa"/>
          </w:tcPr>
          <w:p>
            <w:pPr>
              <w:pStyle w:val="yTableNAm"/>
              <w:ind w:left="595" w:hanging="595"/>
              <w:rPr>
                <w:szCs w:val="22"/>
              </w:rPr>
            </w:pPr>
            <w:r>
              <w:rPr>
                <w:szCs w:val="22"/>
              </w:rPr>
              <w:t>(a)</w:t>
            </w:r>
            <w:r>
              <w:rPr>
                <w:szCs w:val="22"/>
              </w:rPr>
              <w:tab/>
              <w:t>for demolition work in respect of a Class 1 or Class 10 building or incidental structure</w:t>
            </w:r>
          </w:p>
        </w:tc>
        <w:tc>
          <w:tcPr>
            <w:tcW w:w="2447" w:type="dxa"/>
          </w:tcPr>
          <w:p>
            <w:pPr>
              <w:pStyle w:val="yTableNAm"/>
              <w:rPr>
                <w:szCs w:val="22"/>
              </w:rPr>
            </w:pPr>
            <w:r>
              <w:rPr>
                <w:szCs w:val="22"/>
              </w:rPr>
              <w:t>$92.00</w:t>
            </w:r>
          </w:p>
        </w:tc>
      </w:tr>
      <w:tr>
        <w:trPr>
          <w:cantSplit/>
        </w:trPr>
        <w:tc>
          <w:tcPr>
            <w:tcW w:w="855" w:type="dxa"/>
          </w:tcPr>
          <w:p>
            <w:pPr>
              <w:pStyle w:val="yTableNAm"/>
              <w:rPr>
                <w:szCs w:val="22"/>
              </w:rPr>
            </w:pPr>
          </w:p>
        </w:tc>
        <w:tc>
          <w:tcPr>
            <w:tcW w:w="3823" w:type="dxa"/>
          </w:tcPr>
          <w:p>
            <w:pPr>
              <w:pStyle w:val="yTableNAm"/>
              <w:ind w:left="595" w:hanging="595"/>
              <w:rPr>
                <w:szCs w:val="22"/>
              </w:rPr>
            </w:pPr>
            <w:r>
              <w:rPr>
                <w:szCs w:val="22"/>
              </w:rPr>
              <w:t>(b)</w:t>
            </w:r>
            <w:r>
              <w:rPr>
                <w:szCs w:val="22"/>
              </w:rPr>
              <w:tab/>
              <w:t xml:space="preserve">for demolition work in respect of a Class 2 to Class 9 building </w:t>
            </w:r>
          </w:p>
        </w:tc>
        <w:tc>
          <w:tcPr>
            <w:tcW w:w="2447" w:type="dxa"/>
          </w:tcPr>
          <w:p>
            <w:pPr>
              <w:pStyle w:val="yTableNAm"/>
              <w:rPr>
                <w:szCs w:val="22"/>
              </w:rPr>
            </w:pPr>
            <w:r>
              <w:rPr>
                <w:szCs w:val="22"/>
              </w:rPr>
              <w:t xml:space="preserve">$92.00 for each storey of the building </w:t>
            </w:r>
          </w:p>
        </w:tc>
      </w:tr>
      <w:tr>
        <w:trPr>
          <w:cantSplit/>
        </w:trPr>
        <w:tc>
          <w:tcPr>
            <w:tcW w:w="855" w:type="dxa"/>
            <w:tcBorders>
              <w:bottom w:val="single" w:sz="4" w:space="0" w:color="auto"/>
            </w:tcBorders>
          </w:tcPr>
          <w:p>
            <w:pPr>
              <w:pStyle w:val="yTableNAm"/>
              <w:rPr>
                <w:szCs w:val="22"/>
              </w:rPr>
            </w:pPr>
            <w:r>
              <w:rPr>
                <w:szCs w:val="22"/>
              </w:rPr>
              <w:t>4.</w:t>
            </w:r>
          </w:p>
        </w:tc>
        <w:tc>
          <w:tcPr>
            <w:tcW w:w="3823" w:type="dxa"/>
            <w:tcBorders>
              <w:bottom w:val="single" w:sz="4" w:space="0" w:color="auto"/>
            </w:tcBorders>
          </w:tcPr>
          <w:p>
            <w:pPr>
              <w:pStyle w:val="yTableNAm"/>
              <w:rPr>
                <w:szCs w:val="22"/>
              </w:rPr>
            </w:pPr>
            <w:r>
              <w:rPr>
                <w:szCs w:val="22"/>
              </w:rPr>
              <w:t>Application to extend the time during which a building or demolition permit has effect (s. 32(3)(f))</w:t>
            </w:r>
          </w:p>
        </w:tc>
        <w:tc>
          <w:tcPr>
            <w:tcW w:w="2447" w:type="dxa"/>
            <w:tcBorders>
              <w:bottom w:val="single" w:sz="4" w:space="0" w:color="auto"/>
            </w:tcBorders>
          </w:tcPr>
          <w:p>
            <w:pPr>
              <w:pStyle w:val="yTableNAm"/>
              <w:rPr>
                <w:szCs w:val="22"/>
              </w:rPr>
            </w:pPr>
            <w:r>
              <w:rPr>
                <w:szCs w:val="22"/>
              </w:rPr>
              <w:t>$92.00</w:t>
            </w:r>
          </w:p>
        </w:tc>
      </w:tr>
    </w:tbl>
    <w:p>
      <w:pPr>
        <w:pStyle w:val="yFootnotesection"/>
      </w:pPr>
      <w:r>
        <w:tab/>
        <w:t>[Division 1 amended in Gazette 17 Jun 2014 p. 1957.]</w:t>
      </w:r>
    </w:p>
    <w:p>
      <w:pPr>
        <w:pStyle w:val="yHeading3"/>
        <w:spacing w:after="60"/>
        <w:rPr>
          <w:szCs w:val="24"/>
        </w:rPr>
      </w:pPr>
      <w:bookmarkStart w:id="109" w:name="_Toc525108005"/>
      <w:r>
        <w:rPr>
          <w:rStyle w:val="CharSDivNo"/>
          <w:szCs w:val="24"/>
        </w:rPr>
        <w:t>Division 2</w:t>
      </w:r>
      <w:r>
        <w:rPr>
          <w:szCs w:val="24"/>
        </w:rPr>
        <w:t> — </w:t>
      </w:r>
      <w:r>
        <w:rPr>
          <w:rStyle w:val="CharSDivText"/>
          <w:szCs w:val="24"/>
        </w:rPr>
        <w:t>Application for occupancy permits, building approval certificates</w:t>
      </w:r>
      <w:bookmarkEnd w:id="109"/>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tabs>
                <w:tab w:val="clear" w:pos="567"/>
              </w:tabs>
              <w:spacing w:before="60" w:after="60"/>
              <w:rPr>
                <w:b/>
                <w:szCs w:val="22"/>
              </w:rPr>
            </w:pPr>
            <w:r>
              <w:rPr>
                <w:b/>
                <w:szCs w:val="22"/>
              </w:rPr>
              <w:t>Item</w:t>
            </w:r>
          </w:p>
        </w:tc>
        <w:tc>
          <w:tcPr>
            <w:tcW w:w="4390" w:type="dxa"/>
            <w:tcBorders>
              <w:top w:val="single" w:sz="4" w:space="0" w:color="auto"/>
              <w:bottom w:val="single" w:sz="4" w:space="0" w:color="auto"/>
            </w:tcBorders>
          </w:tcPr>
          <w:p>
            <w:pPr>
              <w:pStyle w:val="yTableNAm"/>
              <w:spacing w:before="60" w:after="60"/>
              <w:rPr>
                <w:b/>
                <w:szCs w:val="22"/>
              </w:rPr>
            </w:pPr>
            <w:r>
              <w:rPr>
                <w:b/>
                <w:szCs w:val="22"/>
              </w:rPr>
              <w:t>Application</w:t>
            </w:r>
          </w:p>
        </w:tc>
        <w:tc>
          <w:tcPr>
            <w:tcW w:w="1880" w:type="dxa"/>
            <w:tcBorders>
              <w:top w:val="single" w:sz="4" w:space="0" w:color="auto"/>
              <w:bottom w:val="single" w:sz="4" w:space="0" w:color="auto"/>
            </w:tcBorders>
          </w:tcPr>
          <w:p>
            <w:pPr>
              <w:pStyle w:val="yTableNAm"/>
              <w:spacing w:before="60" w:after="60"/>
              <w:rPr>
                <w:b/>
                <w:szCs w:val="22"/>
              </w:rPr>
            </w:pPr>
            <w:r>
              <w:rPr>
                <w:b/>
                <w:szCs w:val="22"/>
              </w:rPr>
              <w:t>Fee</w:t>
            </w:r>
          </w:p>
        </w:tc>
      </w:tr>
      <w:tr>
        <w:trPr>
          <w:cantSplit/>
        </w:trPr>
        <w:tc>
          <w:tcPr>
            <w:tcW w:w="855" w:type="dxa"/>
            <w:tcBorders>
              <w:top w:val="single" w:sz="4" w:space="0" w:color="auto"/>
            </w:tcBorders>
          </w:tcPr>
          <w:p>
            <w:pPr>
              <w:pStyle w:val="yTableNAm"/>
              <w:tabs>
                <w:tab w:val="clear" w:pos="567"/>
              </w:tabs>
              <w:rPr>
                <w:szCs w:val="22"/>
              </w:rPr>
            </w:pPr>
            <w:r>
              <w:rPr>
                <w:szCs w:val="22"/>
              </w:rPr>
              <w:t>1.</w:t>
            </w:r>
          </w:p>
        </w:tc>
        <w:tc>
          <w:tcPr>
            <w:tcW w:w="4390" w:type="dxa"/>
            <w:tcBorders>
              <w:top w:val="single" w:sz="4" w:space="0" w:color="auto"/>
            </w:tcBorders>
          </w:tcPr>
          <w:p>
            <w:pPr>
              <w:pStyle w:val="yTableNAm"/>
              <w:rPr>
                <w:szCs w:val="22"/>
              </w:rPr>
            </w:pPr>
            <w:r>
              <w:rPr>
                <w:szCs w:val="22"/>
              </w:rPr>
              <w:t>Application for an occupancy permit for a completed building (s. 46)</w:t>
            </w:r>
          </w:p>
        </w:tc>
        <w:tc>
          <w:tcPr>
            <w:tcW w:w="1880" w:type="dxa"/>
            <w:tcBorders>
              <w:top w:val="single" w:sz="4" w:space="0" w:color="auto"/>
            </w:tcBorders>
          </w:tcPr>
          <w:p>
            <w:pPr>
              <w:pStyle w:val="TableNAm"/>
              <w:tabs>
                <w:tab w:val="clear" w:pos="567"/>
                <w:tab w:val="left" w:pos="316"/>
              </w:tabs>
              <w:rPr>
                <w:sz w:val="22"/>
                <w:szCs w:val="22"/>
              </w:rPr>
            </w:pPr>
            <w:r>
              <w:rPr>
                <w:sz w:val="22"/>
                <w:szCs w:val="22"/>
              </w:rPr>
              <w:t>$92.00</w:t>
            </w:r>
          </w:p>
        </w:tc>
      </w:tr>
      <w:tr>
        <w:trPr>
          <w:cantSplit/>
        </w:trPr>
        <w:tc>
          <w:tcPr>
            <w:tcW w:w="855" w:type="dxa"/>
          </w:tcPr>
          <w:p>
            <w:pPr>
              <w:pStyle w:val="yTableNAm"/>
              <w:rPr>
                <w:szCs w:val="22"/>
              </w:rPr>
            </w:pPr>
            <w:r>
              <w:rPr>
                <w:szCs w:val="22"/>
              </w:rPr>
              <w:t>2.</w:t>
            </w:r>
          </w:p>
        </w:tc>
        <w:tc>
          <w:tcPr>
            <w:tcW w:w="4390" w:type="dxa"/>
          </w:tcPr>
          <w:p>
            <w:pPr>
              <w:pStyle w:val="yTableNAm"/>
              <w:rPr>
                <w:szCs w:val="22"/>
              </w:rPr>
            </w:pPr>
            <w:r>
              <w:rPr>
                <w:szCs w:val="22"/>
              </w:rPr>
              <w:t>Application for a temporary occupancy permit for an incomplete building (s. 47)</w:t>
            </w:r>
          </w:p>
        </w:tc>
        <w:tc>
          <w:tcPr>
            <w:tcW w:w="1880" w:type="dxa"/>
          </w:tcPr>
          <w:p>
            <w:pPr>
              <w:pStyle w:val="TableNAm"/>
              <w:tabs>
                <w:tab w:val="clear" w:pos="567"/>
                <w:tab w:val="left" w:pos="316"/>
              </w:tabs>
              <w:rPr>
                <w:sz w:val="22"/>
                <w:szCs w:val="22"/>
              </w:rPr>
            </w:pPr>
            <w:r>
              <w:rPr>
                <w:sz w:val="22"/>
                <w:szCs w:val="22"/>
              </w:rPr>
              <w:t>$92.00</w:t>
            </w:r>
          </w:p>
        </w:tc>
      </w:tr>
      <w:tr>
        <w:trPr>
          <w:cantSplit/>
        </w:trPr>
        <w:tc>
          <w:tcPr>
            <w:tcW w:w="855" w:type="dxa"/>
          </w:tcPr>
          <w:p>
            <w:pPr>
              <w:pStyle w:val="yTableNAm"/>
              <w:rPr>
                <w:szCs w:val="22"/>
              </w:rPr>
            </w:pPr>
            <w:r>
              <w:rPr>
                <w:szCs w:val="22"/>
              </w:rPr>
              <w:t>3.</w:t>
            </w:r>
          </w:p>
        </w:tc>
        <w:tc>
          <w:tcPr>
            <w:tcW w:w="4390" w:type="dxa"/>
          </w:tcPr>
          <w:p>
            <w:pPr>
              <w:pStyle w:val="TableNAm"/>
              <w:tabs>
                <w:tab w:val="clear" w:pos="567"/>
              </w:tabs>
              <w:spacing w:before="60"/>
              <w:rPr>
                <w:sz w:val="22"/>
                <w:szCs w:val="22"/>
              </w:rPr>
            </w:pPr>
            <w:r>
              <w:rPr>
                <w:sz w:val="22"/>
                <w:szCs w:val="22"/>
              </w:rPr>
              <w:t>Application for modification of an occupancy permit for additional use of a building on a temporary basis (s. 48)</w:t>
            </w:r>
          </w:p>
        </w:tc>
        <w:tc>
          <w:tcPr>
            <w:tcW w:w="1880" w:type="dxa"/>
          </w:tcPr>
          <w:p>
            <w:pPr>
              <w:pStyle w:val="TableNAm"/>
              <w:tabs>
                <w:tab w:val="clear" w:pos="567"/>
                <w:tab w:val="left" w:pos="316"/>
              </w:tabs>
              <w:rPr>
                <w:sz w:val="22"/>
                <w:szCs w:val="22"/>
              </w:rPr>
            </w:pPr>
            <w:r>
              <w:rPr>
                <w:sz w:val="22"/>
                <w:szCs w:val="22"/>
              </w:rPr>
              <w:t>$92.00</w:t>
            </w:r>
          </w:p>
        </w:tc>
      </w:tr>
      <w:tr>
        <w:trPr>
          <w:cantSplit/>
        </w:trPr>
        <w:tc>
          <w:tcPr>
            <w:tcW w:w="855" w:type="dxa"/>
          </w:tcPr>
          <w:p>
            <w:pPr>
              <w:pStyle w:val="yTableNAm"/>
              <w:rPr>
                <w:szCs w:val="22"/>
              </w:rPr>
            </w:pPr>
            <w:r>
              <w:rPr>
                <w:szCs w:val="22"/>
              </w:rPr>
              <w:t>4.</w:t>
            </w:r>
          </w:p>
        </w:tc>
        <w:tc>
          <w:tcPr>
            <w:tcW w:w="4390" w:type="dxa"/>
          </w:tcPr>
          <w:p>
            <w:pPr>
              <w:pStyle w:val="yTableNAm"/>
              <w:tabs>
                <w:tab w:val="clear" w:pos="567"/>
              </w:tabs>
              <w:ind w:left="28" w:hanging="28"/>
              <w:rPr>
                <w:szCs w:val="22"/>
              </w:rPr>
            </w:pPr>
            <w:r>
              <w:rPr>
                <w:szCs w:val="22"/>
              </w:rPr>
              <w:t>Application for a replacement occupancy permit for permanent change of the building’s use, classification (s. 49)</w:t>
            </w:r>
          </w:p>
        </w:tc>
        <w:tc>
          <w:tcPr>
            <w:tcW w:w="1880" w:type="dxa"/>
          </w:tcPr>
          <w:p>
            <w:pPr>
              <w:pStyle w:val="TableNAm"/>
              <w:tabs>
                <w:tab w:val="clear" w:pos="567"/>
                <w:tab w:val="left" w:pos="316"/>
              </w:tabs>
              <w:rPr>
                <w:sz w:val="22"/>
                <w:szCs w:val="22"/>
              </w:rPr>
            </w:pPr>
            <w:r>
              <w:rPr>
                <w:sz w:val="22"/>
                <w:szCs w:val="22"/>
              </w:rPr>
              <w:t>$92.00</w:t>
            </w:r>
          </w:p>
        </w:tc>
      </w:tr>
      <w:tr>
        <w:trPr>
          <w:cantSplit/>
        </w:trPr>
        <w:tc>
          <w:tcPr>
            <w:tcW w:w="855" w:type="dxa"/>
          </w:tcPr>
          <w:p>
            <w:pPr>
              <w:pStyle w:val="yTableNAm"/>
              <w:rPr>
                <w:szCs w:val="22"/>
              </w:rPr>
            </w:pPr>
            <w:r>
              <w:rPr>
                <w:szCs w:val="22"/>
              </w:rPr>
              <w:t>5.</w:t>
            </w:r>
          </w:p>
        </w:tc>
        <w:tc>
          <w:tcPr>
            <w:tcW w:w="4390" w:type="dxa"/>
          </w:tcPr>
          <w:p>
            <w:pPr>
              <w:pStyle w:val="yTableNAm"/>
              <w:tabs>
                <w:tab w:val="clear" w:pos="567"/>
              </w:tabs>
              <w:rPr>
                <w:szCs w:val="22"/>
              </w:rPr>
            </w:pPr>
            <w:r>
              <w:rPr>
                <w:szCs w:val="22"/>
              </w:rPr>
              <w:t>Application for an occupancy permit or building approval certificate for registration of strata scheme, plan of re</w:t>
            </w:r>
            <w:r>
              <w:rPr>
                <w:szCs w:val="22"/>
              </w:rPr>
              <w:noBreakHyphen/>
              <w:t>subdivision (s. 50(1) and (2))</w:t>
            </w:r>
          </w:p>
        </w:tc>
        <w:tc>
          <w:tcPr>
            <w:tcW w:w="1880" w:type="dxa"/>
          </w:tcPr>
          <w:p>
            <w:pPr>
              <w:pStyle w:val="TableNAm"/>
              <w:tabs>
                <w:tab w:val="clear" w:pos="567"/>
                <w:tab w:val="left" w:pos="316"/>
              </w:tabs>
              <w:rPr>
                <w:sz w:val="22"/>
                <w:szCs w:val="22"/>
              </w:rPr>
            </w:pPr>
            <w:r>
              <w:rPr>
                <w:sz w:val="22"/>
                <w:szCs w:val="22"/>
              </w:rPr>
              <w:t>$10.25 for each strata unit covered by the application, but not less than $102.00</w:t>
            </w:r>
          </w:p>
        </w:tc>
      </w:tr>
      <w:tr>
        <w:trPr>
          <w:cantSplit/>
        </w:trPr>
        <w:tc>
          <w:tcPr>
            <w:tcW w:w="855" w:type="dxa"/>
          </w:tcPr>
          <w:p>
            <w:pPr>
              <w:pStyle w:val="yTableNAm"/>
              <w:rPr>
                <w:szCs w:val="22"/>
              </w:rPr>
            </w:pPr>
            <w:r>
              <w:rPr>
                <w:szCs w:val="22"/>
              </w:rPr>
              <w:t>6.</w:t>
            </w:r>
          </w:p>
        </w:tc>
        <w:tc>
          <w:tcPr>
            <w:tcW w:w="4390" w:type="dxa"/>
          </w:tcPr>
          <w:p>
            <w:pPr>
              <w:pStyle w:val="yTableNAm"/>
              <w:rPr>
                <w:szCs w:val="22"/>
              </w:rPr>
            </w:pPr>
            <w:r>
              <w:rPr>
                <w:szCs w:val="22"/>
              </w:rPr>
              <w:t>Application for an occupancy permit for a building in respect of which unauthorised work has been done (s. 51(2))</w:t>
            </w:r>
          </w:p>
        </w:tc>
        <w:tc>
          <w:tcPr>
            <w:tcW w:w="1880" w:type="dxa"/>
          </w:tcPr>
          <w:p>
            <w:pPr>
              <w:pStyle w:val="TableNAm"/>
              <w:tabs>
                <w:tab w:val="clear" w:pos="567"/>
                <w:tab w:val="left" w:pos="316"/>
              </w:tabs>
              <w:rPr>
                <w:sz w:val="22"/>
                <w:szCs w:val="22"/>
              </w:rPr>
            </w:pPr>
            <w:r>
              <w:rPr>
                <w:sz w:val="22"/>
                <w:szCs w:val="22"/>
              </w:rPr>
              <w:t>0.18% of the estimated value of the unauthorised work as determined by the relevant permit authority, but not less than $92.00</w:t>
            </w:r>
          </w:p>
        </w:tc>
      </w:tr>
      <w:tr>
        <w:trPr>
          <w:cantSplit/>
        </w:trPr>
        <w:tc>
          <w:tcPr>
            <w:tcW w:w="855" w:type="dxa"/>
          </w:tcPr>
          <w:p>
            <w:pPr>
              <w:pStyle w:val="yTableNAm"/>
              <w:rPr>
                <w:szCs w:val="22"/>
              </w:rPr>
            </w:pPr>
            <w:r>
              <w:rPr>
                <w:szCs w:val="22"/>
              </w:rPr>
              <w:t>7.</w:t>
            </w:r>
          </w:p>
        </w:tc>
        <w:tc>
          <w:tcPr>
            <w:tcW w:w="4390" w:type="dxa"/>
          </w:tcPr>
          <w:p>
            <w:pPr>
              <w:pStyle w:val="yTableNAm"/>
              <w:rPr>
                <w:szCs w:val="22"/>
              </w:rPr>
            </w:pPr>
            <w:r>
              <w:rPr>
                <w:szCs w:val="22"/>
              </w:rPr>
              <w:t>Application for a building approval certificate for a building in respect of which unauthorised work has been done (s. 51(3))</w:t>
            </w:r>
          </w:p>
        </w:tc>
        <w:tc>
          <w:tcPr>
            <w:tcW w:w="1880" w:type="dxa"/>
          </w:tcPr>
          <w:p>
            <w:pPr>
              <w:pStyle w:val="TableNAm"/>
              <w:tabs>
                <w:tab w:val="clear" w:pos="567"/>
                <w:tab w:val="left" w:pos="316"/>
              </w:tabs>
              <w:rPr>
                <w:sz w:val="22"/>
                <w:szCs w:val="22"/>
              </w:rPr>
            </w:pPr>
            <w:r>
              <w:rPr>
                <w:sz w:val="22"/>
                <w:szCs w:val="22"/>
              </w:rPr>
              <w:t>0.38% of the estimated value of the unauthorised work as determined by the relevant permit authority, but not less than $92.00</w:t>
            </w:r>
          </w:p>
        </w:tc>
      </w:tr>
      <w:tr>
        <w:trPr>
          <w:cantSplit/>
        </w:trPr>
        <w:tc>
          <w:tcPr>
            <w:tcW w:w="855" w:type="dxa"/>
          </w:tcPr>
          <w:p>
            <w:pPr>
              <w:pStyle w:val="yTableNAm"/>
              <w:rPr>
                <w:szCs w:val="22"/>
              </w:rPr>
            </w:pPr>
            <w:r>
              <w:rPr>
                <w:szCs w:val="22"/>
              </w:rPr>
              <w:t>8.</w:t>
            </w:r>
          </w:p>
        </w:tc>
        <w:tc>
          <w:tcPr>
            <w:tcW w:w="4390" w:type="dxa"/>
          </w:tcPr>
          <w:p>
            <w:pPr>
              <w:pStyle w:val="yTableNAm"/>
              <w:rPr>
                <w:szCs w:val="22"/>
              </w:rPr>
            </w:pPr>
            <w:r>
              <w:rPr>
                <w:szCs w:val="22"/>
              </w:rPr>
              <w:t>Application to replace an occupancy permit for an existing building (s. 52(1))</w:t>
            </w:r>
          </w:p>
        </w:tc>
        <w:tc>
          <w:tcPr>
            <w:tcW w:w="1880" w:type="dxa"/>
          </w:tcPr>
          <w:p>
            <w:pPr>
              <w:pStyle w:val="TableNAm"/>
              <w:tabs>
                <w:tab w:val="clear" w:pos="567"/>
                <w:tab w:val="left" w:pos="316"/>
              </w:tabs>
              <w:rPr>
                <w:sz w:val="22"/>
                <w:szCs w:val="22"/>
              </w:rPr>
            </w:pPr>
            <w:r>
              <w:rPr>
                <w:sz w:val="22"/>
                <w:szCs w:val="22"/>
              </w:rPr>
              <w:t>$92.00</w:t>
            </w:r>
          </w:p>
        </w:tc>
      </w:tr>
      <w:tr>
        <w:trPr>
          <w:cantSplit/>
        </w:trPr>
        <w:tc>
          <w:tcPr>
            <w:tcW w:w="855" w:type="dxa"/>
          </w:tcPr>
          <w:p>
            <w:pPr>
              <w:pStyle w:val="yTableNAm"/>
              <w:rPr>
                <w:szCs w:val="22"/>
              </w:rPr>
            </w:pPr>
            <w:r>
              <w:rPr>
                <w:szCs w:val="22"/>
              </w:rPr>
              <w:t>9.</w:t>
            </w:r>
          </w:p>
        </w:tc>
        <w:tc>
          <w:tcPr>
            <w:tcW w:w="4390" w:type="dxa"/>
          </w:tcPr>
          <w:p>
            <w:pPr>
              <w:pStyle w:val="yTableNAm"/>
              <w:rPr>
                <w:szCs w:val="22"/>
              </w:rPr>
            </w:pPr>
            <w:r>
              <w:rPr>
                <w:szCs w:val="22"/>
              </w:rPr>
              <w:t>Application for a building approval certificate for an existing building where unauthorised work has not been done (s. 52(2))</w:t>
            </w:r>
          </w:p>
        </w:tc>
        <w:tc>
          <w:tcPr>
            <w:tcW w:w="1880" w:type="dxa"/>
          </w:tcPr>
          <w:p>
            <w:pPr>
              <w:pStyle w:val="TableNAm"/>
              <w:tabs>
                <w:tab w:val="clear" w:pos="567"/>
                <w:tab w:val="left" w:pos="316"/>
              </w:tabs>
              <w:rPr>
                <w:sz w:val="22"/>
                <w:szCs w:val="22"/>
              </w:rPr>
            </w:pPr>
            <w:r>
              <w:rPr>
                <w:sz w:val="22"/>
                <w:szCs w:val="22"/>
              </w:rPr>
              <w:t>$92.00</w:t>
            </w:r>
          </w:p>
        </w:tc>
      </w:tr>
      <w:tr>
        <w:trPr>
          <w:cantSplit/>
        </w:trPr>
        <w:tc>
          <w:tcPr>
            <w:tcW w:w="855" w:type="dxa"/>
            <w:tcBorders>
              <w:bottom w:val="single" w:sz="4" w:space="0" w:color="auto"/>
            </w:tcBorders>
          </w:tcPr>
          <w:p>
            <w:pPr>
              <w:pStyle w:val="yTableNAm"/>
              <w:rPr>
                <w:szCs w:val="22"/>
              </w:rPr>
            </w:pPr>
            <w:r>
              <w:rPr>
                <w:szCs w:val="22"/>
              </w:rPr>
              <w:t>10.</w:t>
            </w:r>
          </w:p>
        </w:tc>
        <w:tc>
          <w:tcPr>
            <w:tcW w:w="4390" w:type="dxa"/>
            <w:tcBorders>
              <w:bottom w:val="single" w:sz="4" w:space="0" w:color="auto"/>
            </w:tcBorders>
          </w:tcPr>
          <w:p>
            <w:pPr>
              <w:pStyle w:val="yTableNAm"/>
              <w:rPr>
                <w:szCs w:val="22"/>
              </w:rPr>
            </w:pPr>
            <w:r>
              <w:rPr>
                <w:szCs w:val="22"/>
              </w:rPr>
              <w:t>Application to extend the time during which an occupancy permit or building approval certificate has effect (s. 65(3)(a))</w:t>
            </w:r>
          </w:p>
        </w:tc>
        <w:tc>
          <w:tcPr>
            <w:tcW w:w="1880" w:type="dxa"/>
            <w:tcBorders>
              <w:bottom w:val="single" w:sz="4" w:space="0" w:color="auto"/>
            </w:tcBorders>
          </w:tcPr>
          <w:p>
            <w:pPr>
              <w:pStyle w:val="TableNAm"/>
              <w:tabs>
                <w:tab w:val="clear" w:pos="567"/>
                <w:tab w:val="left" w:pos="316"/>
              </w:tabs>
              <w:rPr>
                <w:sz w:val="22"/>
                <w:szCs w:val="22"/>
              </w:rPr>
            </w:pPr>
            <w:r>
              <w:rPr>
                <w:sz w:val="22"/>
                <w:szCs w:val="22"/>
              </w:rPr>
              <w:t>$92.00</w:t>
            </w:r>
          </w:p>
        </w:tc>
      </w:tr>
    </w:tbl>
    <w:p>
      <w:pPr>
        <w:pStyle w:val="yFootnotesection"/>
      </w:pPr>
      <w:r>
        <w:tab/>
        <w:t>[Division 2 amended in Gazette 17 Jun 2014 p. 1957</w:t>
      </w:r>
      <w:r>
        <w:noBreakHyphen/>
        <w:t>8.]</w:t>
      </w:r>
    </w:p>
    <w:p>
      <w:pPr>
        <w:pStyle w:val="yHeading3"/>
        <w:keepLines/>
        <w:spacing w:after="60"/>
        <w:rPr>
          <w:szCs w:val="24"/>
        </w:rPr>
      </w:pPr>
      <w:bookmarkStart w:id="110" w:name="_Toc525108006"/>
      <w:r>
        <w:rPr>
          <w:rStyle w:val="CharSDivNo"/>
          <w:szCs w:val="24"/>
        </w:rPr>
        <w:t>Division 3</w:t>
      </w:r>
      <w:r>
        <w:rPr>
          <w:szCs w:val="24"/>
        </w:rPr>
        <w:t> — </w:t>
      </w:r>
      <w:r>
        <w:rPr>
          <w:rStyle w:val="CharSDivText"/>
          <w:szCs w:val="24"/>
        </w:rPr>
        <w:t>Other applications</w:t>
      </w:r>
      <w:bookmarkEnd w:id="110"/>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keepNext/>
              <w:keepLines/>
              <w:spacing w:before="60" w:after="60"/>
              <w:rPr>
                <w:szCs w:val="22"/>
              </w:rPr>
            </w:pPr>
            <w:r>
              <w:rPr>
                <w:b/>
                <w:bCs/>
                <w:szCs w:val="22"/>
              </w:rPr>
              <w:t>Item</w:t>
            </w:r>
          </w:p>
        </w:tc>
        <w:tc>
          <w:tcPr>
            <w:tcW w:w="4390" w:type="dxa"/>
            <w:tcBorders>
              <w:top w:val="single" w:sz="4" w:space="0" w:color="auto"/>
              <w:bottom w:val="single" w:sz="4" w:space="0" w:color="auto"/>
            </w:tcBorders>
          </w:tcPr>
          <w:p>
            <w:pPr>
              <w:pStyle w:val="yTableNAm"/>
              <w:keepNext/>
              <w:keepLines/>
              <w:spacing w:before="60" w:after="60"/>
              <w:rPr>
                <w:szCs w:val="22"/>
              </w:rPr>
            </w:pPr>
            <w:r>
              <w:rPr>
                <w:b/>
                <w:bCs/>
                <w:szCs w:val="22"/>
              </w:rPr>
              <w:t>Application</w:t>
            </w:r>
          </w:p>
        </w:tc>
        <w:tc>
          <w:tcPr>
            <w:tcW w:w="1880" w:type="dxa"/>
            <w:tcBorders>
              <w:top w:val="single" w:sz="4" w:space="0" w:color="auto"/>
              <w:bottom w:val="single" w:sz="4" w:space="0" w:color="auto"/>
            </w:tcBorders>
          </w:tcPr>
          <w:p>
            <w:pPr>
              <w:pStyle w:val="TableNAm"/>
              <w:keepNext/>
              <w:keepLines/>
              <w:tabs>
                <w:tab w:val="clear" w:pos="567"/>
                <w:tab w:val="left" w:pos="316"/>
              </w:tabs>
              <w:spacing w:before="60" w:after="60"/>
              <w:rPr>
                <w:sz w:val="22"/>
                <w:szCs w:val="22"/>
              </w:rPr>
            </w:pPr>
            <w:r>
              <w:rPr>
                <w:b/>
                <w:bCs/>
                <w:sz w:val="22"/>
                <w:szCs w:val="22"/>
              </w:rPr>
              <w:t>Fee</w:t>
            </w:r>
          </w:p>
        </w:tc>
      </w:tr>
      <w:tr>
        <w:tc>
          <w:tcPr>
            <w:tcW w:w="855" w:type="dxa"/>
            <w:tcBorders>
              <w:top w:val="single" w:sz="4" w:space="0" w:color="auto"/>
              <w:bottom w:val="single" w:sz="4" w:space="0" w:color="auto"/>
            </w:tcBorders>
          </w:tcPr>
          <w:p>
            <w:pPr>
              <w:pStyle w:val="yTableNAm"/>
              <w:keepNext/>
              <w:keepLines/>
              <w:rPr>
                <w:szCs w:val="22"/>
              </w:rPr>
            </w:pPr>
            <w:r>
              <w:rPr>
                <w:szCs w:val="22"/>
              </w:rPr>
              <w:t>1.</w:t>
            </w:r>
          </w:p>
        </w:tc>
        <w:tc>
          <w:tcPr>
            <w:tcW w:w="4390" w:type="dxa"/>
            <w:tcBorders>
              <w:top w:val="single" w:sz="4" w:space="0" w:color="auto"/>
              <w:bottom w:val="single" w:sz="4" w:space="0" w:color="auto"/>
            </w:tcBorders>
          </w:tcPr>
          <w:p>
            <w:pPr>
              <w:pStyle w:val="yTableNAm"/>
              <w:keepNext/>
              <w:keepLines/>
              <w:rPr>
                <w:szCs w:val="22"/>
              </w:rPr>
            </w:pPr>
            <w:r>
              <w:rPr>
                <w:szCs w:val="22"/>
              </w:rP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TableNAm"/>
              <w:keepNext/>
              <w:keepLines/>
              <w:tabs>
                <w:tab w:val="clear" w:pos="567"/>
                <w:tab w:val="left" w:pos="316"/>
              </w:tabs>
              <w:spacing w:before="60"/>
              <w:rPr>
                <w:sz w:val="22"/>
                <w:szCs w:val="22"/>
              </w:rPr>
            </w:pPr>
            <w:r>
              <w:rPr>
                <w:sz w:val="22"/>
                <w:szCs w:val="22"/>
              </w:rPr>
              <w:t>$2 040.00</w:t>
            </w:r>
          </w:p>
        </w:tc>
      </w:tr>
    </w:tbl>
    <w:p>
      <w:pPr>
        <w:pStyle w:val="yFootnotesection"/>
      </w:pPr>
      <w:r>
        <w:tab/>
        <w:t>[Division 3 amended in Gazette 17 Jun 2014 p. 1958.]</w:t>
      </w:r>
    </w:p>
    <w:p/>
    <w:p/>
    <w:p>
      <w:pPr>
        <w:sectPr>
          <w:headerReference w:type="even" r:id="rId28"/>
          <w:headerReference w:type="default" r:id="rId29"/>
          <w:pgSz w:w="11906" w:h="16838" w:code="9"/>
          <w:pgMar w:top="2381" w:right="2410" w:bottom="3544" w:left="2410" w:header="720" w:footer="3380" w:gutter="0"/>
          <w:cols w:space="720"/>
          <w:docGrid w:linePitch="326"/>
        </w:sectPr>
      </w:pPr>
    </w:p>
    <w:p>
      <w:pPr>
        <w:pStyle w:val="yScheduleHeading"/>
      </w:pPr>
      <w:bookmarkStart w:id="111" w:name="_Toc525108007"/>
      <w:r>
        <w:rPr>
          <w:rStyle w:val="CharSchNo"/>
        </w:rPr>
        <w:t>Schedule 3</w:t>
      </w:r>
      <w:r>
        <w:t> — </w:t>
      </w:r>
      <w:r>
        <w:rPr>
          <w:rStyle w:val="CharSchText"/>
        </w:rPr>
        <w:t>Inspections or tests of systems</w:t>
      </w:r>
      <w:bookmarkEnd w:id="111"/>
    </w:p>
    <w:p>
      <w:pPr>
        <w:pStyle w:val="yShoulderClause"/>
      </w:pPr>
      <w:r>
        <w:t>[r. 27]</w:t>
      </w:r>
    </w:p>
    <w:p>
      <w:pPr>
        <w:pStyle w:val="yHeading5"/>
      </w:pPr>
      <w:bookmarkStart w:id="112" w:name="_Toc525108008"/>
      <w:r>
        <w:rPr>
          <w:rStyle w:val="CharSClsNo"/>
        </w:rPr>
        <w:t>1</w:t>
      </w:r>
      <w:r>
        <w:t>.</w:t>
      </w:r>
      <w:r>
        <w:tab/>
        <w:t>Term used: EP</w:t>
      </w:r>
      <w:bookmarkEnd w:id="112"/>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30"/>
          <w:headerReference w:type="default" r:id="rId31"/>
          <w:pgSz w:w="11906" w:h="16838" w:code="9"/>
          <w:pgMar w:top="2381" w:right="2410" w:bottom="3544" w:left="2410" w:header="720" w:footer="3380" w:gutter="0"/>
          <w:cols w:space="720"/>
          <w:docGrid w:linePitch="326"/>
        </w:sectPr>
      </w:pPr>
    </w:p>
    <w:p>
      <w:pPr>
        <w:pStyle w:val="yScheduleHeading"/>
      </w:pPr>
      <w:bookmarkStart w:id="113" w:name="_Toc525108009"/>
      <w:r>
        <w:rPr>
          <w:rStyle w:val="CharSchNo"/>
        </w:rPr>
        <w:t>Schedule 4</w:t>
      </w:r>
      <w:r>
        <w:t> — </w:t>
      </w:r>
      <w:r>
        <w:rPr>
          <w:rStyle w:val="CharSchText"/>
        </w:rPr>
        <w:t>Building work that does not require building permit</w:t>
      </w:r>
      <w:bookmarkEnd w:id="113"/>
    </w:p>
    <w:p>
      <w:pPr>
        <w:pStyle w:val="yShoulderClause"/>
      </w:pPr>
      <w:r>
        <w:t>[r. 41]</w:t>
      </w:r>
    </w:p>
    <w:p>
      <w:pPr>
        <w:pStyle w:val="yHeading5"/>
        <w:rPr>
          <w:rStyle w:val="CharSDivText"/>
        </w:rPr>
      </w:pPr>
      <w:bookmarkStart w:id="114" w:name="_Toc525108010"/>
      <w:r>
        <w:rPr>
          <w:rStyle w:val="CharSClsNo"/>
        </w:rPr>
        <w:t>1</w:t>
      </w:r>
      <w:r>
        <w:t>.</w:t>
      </w:r>
      <w:r>
        <w:tab/>
      </w:r>
      <w:r>
        <w:rPr>
          <w:rStyle w:val="CharSDivText"/>
        </w:rPr>
        <w:t>Areas where building permit not required for certain work</w:t>
      </w:r>
      <w:bookmarkEnd w:id="114"/>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clear" w:pos="567"/>
                <w:tab w:val="left" w:pos="463"/>
                <w:tab w:val="left" w:pos="1139"/>
              </w:tabs>
              <w:spacing w:before="110"/>
              <w:ind w:left="463" w:hanging="429"/>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63"/>
                <w:tab w:val="left" w:pos="1139"/>
              </w:tabs>
              <w:spacing w:before="110"/>
              <w:ind w:left="463" w:hanging="429"/>
            </w:pPr>
            <w:r>
              <w:t>(a)</w:t>
            </w:r>
            <w:r>
              <w:tab/>
              <w:t>townsites;</w:t>
            </w:r>
          </w:p>
          <w:p>
            <w:pPr>
              <w:pStyle w:val="yTableNAm"/>
              <w:tabs>
                <w:tab w:val="clear" w:pos="567"/>
                <w:tab w:val="left" w:pos="463"/>
                <w:tab w:val="left" w:pos="1139"/>
              </w:tabs>
              <w:spacing w:before="110"/>
              <w:ind w:left="463" w:hanging="42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63"/>
                <w:tab w:val="left" w:pos="1139"/>
              </w:tabs>
              <w:spacing w:before="110"/>
              <w:ind w:left="463" w:hanging="429"/>
            </w:pPr>
            <w:r>
              <w:t>(a)</w:t>
            </w:r>
            <w:r>
              <w:tab/>
              <w:t>townsites;</w:t>
            </w:r>
          </w:p>
          <w:p>
            <w:pPr>
              <w:pStyle w:val="yTableNAm"/>
              <w:tabs>
                <w:tab w:val="clear" w:pos="567"/>
                <w:tab w:val="left" w:pos="463"/>
                <w:tab w:val="left" w:pos="1139"/>
              </w:tabs>
              <w:spacing w:before="110"/>
              <w:ind w:left="463" w:hanging="429"/>
            </w:pPr>
            <w:r>
              <w:t>(b)</w:t>
            </w:r>
            <w:r>
              <w:tab/>
            </w:r>
            <w:smartTag w:uri="urn:schemas-microsoft-com:office:smarttags" w:element="place">
              <w:r>
                <w:t>Avon</w:t>
              </w:r>
            </w:smartTag>
            <w:r>
              <w:t xml:space="preserve">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63"/>
                <w:tab w:val="left" w:pos="1139"/>
              </w:tabs>
              <w:spacing w:before="110"/>
              <w:ind w:left="463" w:hanging="429"/>
            </w:pPr>
            <w:r>
              <w:t>(a)</w:t>
            </w:r>
            <w:r>
              <w:tab/>
              <w:t>townsites;</w:t>
            </w:r>
          </w:p>
          <w:p>
            <w:pPr>
              <w:pStyle w:val="yTableNAm"/>
              <w:tabs>
                <w:tab w:val="clear" w:pos="567"/>
                <w:tab w:val="left" w:pos="463"/>
                <w:tab w:val="left" w:pos="1139"/>
              </w:tabs>
              <w:spacing w:before="110"/>
              <w:ind w:left="463" w:hanging="42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63"/>
                <w:tab w:val="left" w:pos="1139"/>
              </w:tabs>
              <w:spacing w:before="110"/>
              <w:ind w:left="463" w:hanging="429"/>
            </w:pPr>
            <w:r>
              <w:t>(a)</w:t>
            </w:r>
            <w:r>
              <w:tab/>
              <w:t>townsites in Town Ward;</w:t>
            </w:r>
          </w:p>
          <w:p>
            <w:pPr>
              <w:pStyle w:val="yTableNAm"/>
              <w:tabs>
                <w:tab w:val="clear" w:pos="567"/>
                <w:tab w:val="left" w:pos="463"/>
                <w:tab w:val="left" w:pos="1139"/>
              </w:tabs>
              <w:spacing w:before="110"/>
              <w:ind w:left="463" w:hanging="42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63"/>
                <w:tab w:val="left" w:pos="1139"/>
              </w:tabs>
              <w:spacing w:before="110"/>
              <w:ind w:left="463" w:hanging="429"/>
            </w:pPr>
            <w:r>
              <w:t>(a)</w:t>
            </w:r>
            <w:r>
              <w:tab/>
              <w:t>townsite of Wandering;</w:t>
            </w:r>
          </w:p>
          <w:p>
            <w:pPr>
              <w:pStyle w:val="yTableNAm"/>
              <w:tabs>
                <w:tab w:val="clear" w:pos="567"/>
                <w:tab w:val="left" w:pos="463"/>
                <w:tab w:val="left" w:pos="1139"/>
              </w:tabs>
              <w:spacing w:before="110"/>
              <w:ind w:left="463" w:hanging="42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115" w:name="_Toc525108011"/>
      <w:r>
        <w:rPr>
          <w:rStyle w:val="CharSClsNo"/>
        </w:rPr>
        <w:t>2</w:t>
      </w:r>
      <w:r>
        <w:t>.</w:t>
      </w:r>
      <w:r>
        <w:tab/>
      </w:r>
      <w:r>
        <w:rPr>
          <w:rStyle w:val="CharSDivText"/>
        </w:rPr>
        <w:t>Kinds of building work for which a building permit is not required</w:t>
      </w:r>
      <w:bookmarkEnd w:id="115"/>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MiscellaneousBody"/>
            </w:pPr>
            <w:r>
              <w:rPr>
                <w:sz w:val="22"/>
                <w:szCs w:val="22"/>
              </w:rPr>
              <w:tab/>
            </w:r>
            <w:r>
              <w:rPr>
                <w:sz w:val="22"/>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bl>
    <w:p>
      <w:pPr>
        <w:pStyle w:val="yFootnotesection"/>
      </w:pPr>
      <w:r>
        <w:tab/>
        <w:t>[Clause 2 amended in Gazette 15 Jun 2012 p. 2515; 18 Dec 2012 p. 6576; 24 Apr 2014 p. 1141.]</w:t>
      </w:r>
    </w:p>
    <w:p>
      <w:pPr>
        <w:sectPr>
          <w:headerReference w:type="even" r:id="rId32"/>
          <w:headerReference w:type="default" r:id="rId33"/>
          <w:pgSz w:w="11906" w:h="16838" w:code="9"/>
          <w:pgMar w:top="2381" w:right="2410" w:bottom="3544" w:left="2410" w:header="720" w:footer="3380" w:gutter="0"/>
          <w:cols w:space="720"/>
          <w:docGrid w:linePitch="326"/>
        </w:sectPr>
      </w:pPr>
    </w:p>
    <w:p>
      <w:pPr>
        <w:pStyle w:val="yScheduleHeading"/>
      </w:pPr>
      <w:bookmarkStart w:id="116" w:name="_Toc525108012"/>
      <w:r>
        <w:rPr>
          <w:rStyle w:val="CharSchNo"/>
        </w:rPr>
        <w:t>Schedule 5</w:t>
      </w:r>
      <w:r>
        <w:rPr>
          <w:rStyle w:val="CharSDivNo"/>
        </w:rPr>
        <w:t> </w:t>
      </w:r>
      <w:r>
        <w:t>—</w:t>
      </w:r>
      <w:r>
        <w:rPr>
          <w:rStyle w:val="CharSDivText"/>
        </w:rPr>
        <w:t> </w:t>
      </w:r>
      <w:r>
        <w:rPr>
          <w:rStyle w:val="CharSchText"/>
        </w:rPr>
        <w:t>Areas of State where Part 8 Division 2 applies</w:t>
      </w:r>
      <w:bookmarkEnd w:id="116"/>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pStyle w:val="yScheduleHeading"/>
      </w:pPr>
      <w:bookmarkStart w:id="117" w:name="_Toc525108013"/>
      <w:r>
        <w:rPr>
          <w:rStyle w:val="CharSchNo"/>
        </w:rPr>
        <w:t>Schedule 6</w:t>
      </w:r>
      <w:r>
        <w:rPr>
          <w:rStyle w:val="CharSDivNo"/>
        </w:rPr>
        <w:t> </w:t>
      </w:r>
      <w:r>
        <w:t>—</w:t>
      </w:r>
      <w:r>
        <w:rPr>
          <w:rStyle w:val="CharSDivText"/>
        </w:rPr>
        <w:t> </w:t>
      </w:r>
      <w:r>
        <w:rPr>
          <w:rStyle w:val="CharSchText"/>
        </w:rPr>
        <w:t>Prescribed offences and modified penalties</w:t>
      </w:r>
      <w:bookmarkEnd w:id="117"/>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Enclosure of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w:t>
      </w:r>
    </w:p>
    <w:p>
      <w:pPr>
        <w:pStyle w:val="yScheduleHeading"/>
      </w:pPr>
      <w:bookmarkStart w:id="118" w:name="_Toc525108014"/>
      <w:r>
        <w:rPr>
          <w:rStyle w:val="CharSchNo"/>
        </w:rPr>
        <w:t>Schedule 7</w:t>
      </w:r>
      <w:r>
        <w:rPr>
          <w:rStyle w:val="CharSDivNo"/>
        </w:rPr>
        <w:t> </w:t>
      </w:r>
      <w:r>
        <w:t>—</w:t>
      </w:r>
      <w:r>
        <w:rPr>
          <w:rStyle w:val="CharSDivText"/>
        </w:rPr>
        <w:t> </w:t>
      </w:r>
      <w:r>
        <w:rPr>
          <w:rStyle w:val="CharSchText"/>
        </w:rPr>
        <w:t>Forms</w:t>
      </w:r>
      <w:bookmarkEnd w:id="118"/>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b/>
        </w:rPr>
        <w:t>Form 1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pPr>
            <w:r>
              <w:rPr>
                <w:b/>
                <w:szCs w:val="22"/>
              </w:rPr>
              <w:t>How to pay</w:t>
            </w:r>
          </w:p>
        </w:tc>
        <w:tc>
          <w:tcPr>
            <w:tcW w:w="1241" w:type="dxa"/>
          </w:tcPr>
          <w:p>
            <w:pPr>
              <w:pStyle w:val="yTableNAm"/>
            </w:pPr>
            <w:r>
              <w:rPr>
                <w:szCs w:val="22"/>
              </w:rPr>
              <w:t>By post</w:t>
            </w:r>
          </w:p>
        </w:tc>
        <w:tc>
          <w:tcPr>
            <w:tcW w:w="4573" w:type="dxa"/>
            <w:gridSpan w:val="6"/>
          </w:tcPr>
          <w:p>
            <w:pPr>
              <w:pStyle w:val="yTableNAm"/>
            </w:pPr>
            <w:r>
              <w:rPr>
                <w:szCs w:val="22"/>
              </w:rPr>
              <w:t>Tick the relevant box below and post this notice to:</w:t>
            </w:r>
          </w:p>
          <w:p>
            <w:pPr>
              <w:pStyle w:val="yTableNAm"/>
            </w:pPr>
            <w:r>
              <w:t xml:space="preserve">Approved Officer — </w:t>
            </w:r>
            <w:r>
              <w:rPr>
                <w:i/>
              </w:rPr>
              <w:t>Building Act 2011</w:t>
            </w:r>
          </w:p>
          <w:p>
            <w:pPr>
              <w:pStyle w:val="yTableNAm"/>
              <w:rPr>
                <w:rFonts w:eastAsia="MS Mincho"/>
              </w:rPr>
            </w:pPr>
            <w:r>
              <w:rPr>
                <w:rFonts w:eastAsia="MS Mincho"/>
              </w:rPr>
              <w:t>[</w:t>
            </w:r>
            <w:r>
              <w:rPr>
                <w:rFonts w:eastAsia="MS Mincho"/>
                <w:i/>
              </w:rPr>
              <w:t>Address</w:t>
            </w:r>
            <w:r>
              <w:rPr>
                <w:rFonts w:eastAsia="MS Mincho"/>
              </w:rPr>
              <w:t>]</w:t>
            </w:r>
          </w:p>
          <w:p>
            <w:pPr>
              <w:pStyle w:val="yTableNAm"/>
              <w:ind w:left="589" w:hanging="589"/>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6" w:h="16838" w:code="9"/>
          <w:pgMar w:top="2381" w:right="2410" w:bottom="3544" w:left="2410" w:header="720" w:footer="3380" w:gutter="0"/>
          <w:cols w:space="720"/>
          <w:docGrid w:linePitch="326"/>
        </w:sectPr>
      </w:pPr>
    </w:p>
    <w:p>
      <w:pPr>
        <w:pStyle w:val="nHeading2"/>
      </w:pPr>
      <w:bookmarkStart w:id="119" w:name="_Toc525108015"/>
      <w:r>
        <w:t>Notes</w:t>
      </w:r>
      <w:bookmarkEnd w:id="119"/>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120" w:name="_Toc525108016"/>
      <w:r>
        <w:t>Compilation table</w:t>
      </w:r>
      <w:bookmarkEnd w:id="12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rFonts w:ascii="Times" w:hAnsi="Times"/>
                <w:i/>
                <w:noProof/>
                <w:snapToGrid w:val="0"/>
                <w:sz w:val="19"/>
              </w:rPr>
            </w:pPr>
            <w:r>
              <w:rPr>
                <w:rFonts w:ascii="Times" w:hAnsi="Times"/>
                <w:i/>
                <w:noProof/>
                <w:snapToGrid w:val="0"/>
                <w:sz w:val="19"/>
              </w:rPr>
              <w:t>Building Regulations 2012</w:t>
            </w:r>
          </w:p>
        </w:tc>
        <w:tc>
          <w:tcPr>
            <w:tcW w:w="1276" w:type="dxa"/>
            <w:tcBorders>
              <w:top w:val="single" w:sz="8" w:space="0" w:color="auto"/>
              <w:bottom w:val="nil"/>
            </w:tcBorders>
          </w:tcPr>
          <w:p>
            <w:pPr>
              <w:pStyle w:val="nTable"/>
              <w:spacing w:after="40"/>
              <w:rPr>
                <w:rFonts w:ascii="Times" w:hAnsi="Times"/>
                <w:sz w:val="19"/>
              </w:rPr>
            </w:pPr>
            <w:r>
              <w:rPr>
                <w:rFonts w:ascii="Times" w:hAnsi="Times"/>
                <w:sz w:val="19"/>
              </w:rPr>
              <w:t>13 Mar 2012 p. 1055-137</w:t>
            </w:r>
          </w:p>
        </w:tc>
        <w:tc>
          <w:tcPr>
            <w:tcW w:w="2693" w:type="dxa"/>
            <w:tcBorders>
              <w:top w:val="single" w:sz="8" w:space="0" w:color="auto"/>
              <w:bottom w:val="nil"/>
            </w:tcBorders>
          </w:tcPr>
          <w:p>
            <w:pPr>
              <w:pStyle w:val="nTable"/>
              <w:spacing w:after="40"/>
              <w:rPr>
                <w:rFonts w:ascii="Times" w:hAnsi="Times"/>
                <w:sz w:val="19"/>
              </w:rPr>
            </w:pPr>
            <w:r>
              <w:rPr>
                <w:rFonts w:ascii="Times" w:hAnsi="Times"/>
                <w:sz w:val="19"/>
              </w:rPr>
              <w:t>r. 1 and 2: 13 Mar 2012 (see r. 2(a));</w:t>
            </w:r>
            <w:r>
              <w:rPr>
                <w:rFonts w:ascii="Times" w:hAnsi="Times"/>
                <w:sz w:val="19"/>
              </w:rPr>
              <w:br/>
              <w:t xml:space="preserve">Regulations other than r. 1 and 2: 2 Apr 2012 (see r. 2(b) and </w:t>
            </w:r>
            <w:r>
              <w:rPr>
                <w:rFonts w:ascii="Times" w:hAnsi="Times"/>
                <w:i/>
                <w:sz w:val="19"/>
              </w:rPr>
              <w:t>Gazette</w:t>
            </w:r>
            <w:r>
              <w:rPr>
                <w:rFonts w:ascii="Times" w:hAnsi="Times"/>
                <w:sz w:val="19"/>
              </w:rPr>
              <w:t xml:space="preserve"> 13 Mar 2012 p. 1033)</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2012</w:t>
            </w:r>
          </w:p>
        </w:tc>
        <w:tc>
          <w:tcPr>
            <w:tcW w:w="1276" w:type="dxa"/>
            <w:tcBorders>
              <w:top w:val="nil"/>
              <w:bottom w:val="nil"/>
            </w:tcBorders>
          </w:tcPr>
          <w:p>
            <w:pPr>
              <w:pStyle w:val="nTable"/>
              <w:spacing w:after="40"/>
              <w:rPr>
                <w:rFonts w:ascii="Times" w:hAnsi="Times"/>
                <w:sz w:val="19"/>
              </w:rPr>
            </w:pPr>
            <w:r>
              <w:rPr>
                <w:rFonts w:ascii="Times" w:hAnsi="Times"/>
                <w:sz w:val="19"/>
              </w:rPr>
              <w:t>15 Jun 2012 p. 2513</w:t>
            </w:r>
            <w:r>
              <w:rPr>
                <w:rFonts w:ascii="Times" w:hAnsi="Times"/>
                <w:sz w:val="19"/>
              </w:rPr>
              <w:noBreakHyphen/>
              <w:t>15</w:t>
            </w:r>
          </w:p>
        </w:tc>
        <w:tc>
          <w:tcPr>
            <w:tcW w:w="2693" w:type="dxa"/>
            <w:tcBorders>
              <w:top w:val="nil"/>
              <w:bottom w:val="nil"/>
            </w:tcBorders>
          </w:tcPr>
          <w:p>
            <w:pPr>
              <w:pStyle w:val="nTable"/>
              <w:spacing w:after="40"/>
              <w:rPr>
                <w:rFonts w:ascii="Times" w:hAnsi="Times"/>
                <w:sz w:val="19"/>
              </w:rPr>
            </w:pPr>
            <w:r>
              <w:rPr>
                <w:rFonts w:ascii="Times" w:hAnsi="Times"/>
                <w:snapToGrid w:val="0"/>
                <w:sz w:val="19"/>
              </w:rPr>
              <w:t>r. 1 and 2: 15 Jun 2012 (see r. 2(a));</w:t>
            </w:r>
            <w:r>
              <w:rPr>
                <w:rFonts w:ascii="Times" w:hAnsi="Times"/>
                <w:snapToGrid w:val="0"/>
                <w:sz w:val="19"/>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(No. 3) 2012</w:t>
            </w:r>
          </w:p>
        </w:tc>
        <w:tc>
          <w:tcPr>
            <w:tcW w:w="1276" w:type="dxa"/>
            <w:tcBorders>
              <w:top w:val="nil"/>
              <w:bottom w:val="nil"/>
            </w:tcBorders>
          </w:tcPr>
          <w:p>
            <w:pPr>
              <w:pStyle w:val="nTable"/>
              <w:spacing w:after="40"/>
              <w:rPr>
                <w:rFonts w:ascii="Times" w:hAnsi="Times"/>
                <w:sz w:val="19"/>
              </w:rPr>
            </w:pPr>
            <w:r>
              <w:rPr>
                <w:rFonts w:ascii="Times" w:hAnsi="Times"/>
                <w:sz w:val="19"/>
              </w:rPr>
              <w:t>30 Nov 2012 p. 5782</w:t>
            </w:r>
            <w:r>
              <w:rPr>
                <w:rFonts w:ascii="Times" w:hAnsi="Times"/>
                <w:sz w:val="19"/>
              </w:rPr>
              <w:noBreakHyphen/>
              <w:t>3</w:t>
            </w:r>
          </w:p>
        </w:tc>
        <w:tc>
          <w:tcPr>
            <w:tcW w:w="2693" w:type="dxa"/>
            <w:tcBorders>
              <w:top w:val="nil"/>
              <w:bottom w:val="nil"/>
            </w:tcBorders>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sz w:val="19"/>
              </w:rPr>
            </w:pPr>
            <w:r>
              <w:rPr>
                <w:rFonts w:ascii="Times" w:hAnsi="Times"/>
                <w:i/>
                <w:noProof/>
                <w:snapToGrid w:val="0"/>
                <w:sz w:val="19"/>
              </w:rPr>
              <w:t>Building Amendment Regulations (No. 2) 2012</w:t>
            </w:r>
          </w:p>
        </w:tc>
        <w:tc>
          <w:tcPr>
            <w:tcW w:w="1276" w:type="dxa"/>
            <w:tcBorders>
              <w:top w:val="nil"/>
              <w:bottom w:val="nil"/>
            </w:tcBorders>
            <w:shd w:val="clear" w:color="auto" w:fill="auto"/>
          </w:tcPr>
          <w:p>
            <w:pPr>
              <w:pStyle w:val="nTable"/>
              <w:spacing w:after="40"/>
              <w:rPr>
                <w:rFonts w:ascii="Times" w:hAnsi="Times"/>
                <w:sz w:val="19"/>
              </w:rPr>
            </w:pPr>
            <w:r>
              <w:rPr>
                <w:rFonts w:ascii="Times" w:hAnsi="Times"/>
                <w:sz w:val="19"/>
              </w:rPr>
              <w:t>18 Dec 2012 p. 6555-81</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18 Dec 2012 (see r. 2(a));</w:t>
            </w:r>
            <w:r>
              <w:rPr>
                <w:rFonts w:ascii="Times" w:hAnsi="Times"/>
                <w:snapToGrid w:val="0"/>
                <w:sz w:val="19"/>
              </w:rPr>
              <w:br/>
              <w:t xml:space="preserve">Regulations other than r. 1 and 2: 19 Dec 2012 (see r. 2(b) and </w:t>
            </w:r>
            <w:r>
              <w:rPr>
                <w:rFonts w:ascii="Times" w:hAnsi="Times"/>
                <w:i/>
                <w:snapToGrid w:val="0"/>
                <w:sz w:val="19"/>
              </w:rPr>
              <w:t>Gazette</w:t>
            </w:r>
            <w:r>
              <w:rPr>
                <w:rFonts w:ascii="Times" w:hAnsi="Times"/>
                <w:snapToGrid w:val="0"/>
                <w:sz w:val="19"/>
              </w:rPr>
              <w:t xml:space="preserve"> 18 Dec 2012 p. 6585)</w:t>
            </w:r>
          </w:p>
        </w:tc>
      </w:tr>
      <w:tr>
        <w:tc>
          <w:tcPr>
            <w:tcW w:w="7087" w:type="dxa"/>
            <w:gridSpan w:val="3"/>
            <w:tcBorders>
              <w:top w:val="nil"/>
              <w:bottom w:val="nil"/>
            </w:tcBorders>
            <w:shd w:val="clear" w:color="auto" w:fill="auto"/>
          </w:tcPr>
          <w:p>
            <w:pPr>
              <w:pStyle w:val="nTable"/>
              <w:spacing w:after="40"/>
              <w:rPr>
                <w:rFonts w:ascii="Times" w:hAnsi="Times"/>
                <w:snapToGrid w:val="0"/>
                <w:sz w:val="19"/>
              </w:rPr>
            </w:pPr>
            <w:r>
              <w:rPr>
                <w:rFonts w:ascii="Times" w:hAnsi="Times"/>
                <w:b/>
                <w:snapToGrid w:val="0"/>
                <w:sz w:val="19"/>
              </w:rPr>
              <w:t xml:space="preserve">Reprint 1: The </w:t>
            </w:r>
            <w:r>
              <w:rPr>
                <w:rFonts w:ascii="Times" w:hAnsi="Times"/>
                <w:b/>
                <w:i/>
                <w:noProof/>
                <w:snapToGrid w:val="0"/>
                <w:sz w:val="19"/>
              </w:rPr>
              <w:t>Building Regulations 2012</w:t>
            </w:r>
            <w:r>
              <w:rPr>
                <w:rFonts w:ascii="Times" w:hAnsi="Times"/>
                <w:b/>
                <w:snapToGrid w:val="0"/>
                <w:sz w:val="19"/>
              </w:rPr>
              <w:t xml:space="preserve"> as at 24 May 2013</w:t>
            </w:r>
            <w:r>
              <w:rPr>
                <w:rFonts w:ascii="Times" w:hAnsi="Times"/>
                <w:snapToGrid w:val="0"/>
                <w:sz w:val="19"/>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sz w:val="19"/>
              </w:rPr>
            </w:pPr>
            <w:r>
              <w:rPr>
                <w:rFonts w:ascii="Times" w:hAnsi="Times"/>
                <w:i/>
                <w:noProof/>
                <w:snapToGrid w:val="0"/>
                <w:sz w:val="19"/>
              </w:rPr>
              <w:t>Building Amendment Regulations (No. 2) 2013</w:t>
            </w:r>
          </w:p>
        </w:tc>
        <w:tc>
          <w:tcPr>
            <w:tcW w:w="1276" w:type="dxa"/>
            <w:tcBorders>
              <w:top w:val="nil"/>
              <w:bottom w:val="nil"/>
            </w:tcBorders>
            <w:shd w:val="clear" w:color="auto" w:fill="auto"/>
          </w:tcPr>
          <w:p>
            <w:pPr>
              <w:pStyle w:val="nTable"/>
              <w:spacing w:after="40"/>
              <w:rPr>
                <w:rFonts w:ascii="Times" w:hAnsi="Times"/>
                <w:sz w:val="19"/>
              </w:rPr>
            </w:pPr>
            <w:r>
              <w:rPr>
                <w:rFonts w:ascii="Times" w:hAnsi="Times"/>
                <w:sz w:val="19"/>
              </w:rPr>
              <w:t>21 Jun 2013 p. 2445-6</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21 Jun 2013 (see r. 2(a));</w:t>
            </w:r>
            <w:r>
              <w:rPr>
                <w:rFonts w:ascii="Times" w:hAnsi="Times"/>
                <w:snapToGrid w:val="0"/>
                <w:sz w:val="19"/>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sz w:val="19"/>
              </w:rPr>
            </w:pPr>
            <w:r>
              <w:rPr>
                <w:rFonts w:ascii="Times" w:hAnsi="Times"/>
                <w:i/>
                <w:noProof/>
                <w:snapToGrid w:val="0"/>
                <w:sz w:val="19"/>
              </w:rPr>
              <w:t>Building Amendment Regulations 2013</w:t>
            </w:r>
          </w:p>
        </w:tc>
        <w:tc>
          <w:tcPr>
            <w:tcW w:w="1276" w:type="dxa"/>
            <w:tcBorders>
              <w:top w:val="nil"/>
              <w:bottom w:val="nil"/>
            </w:tcBorders>
            <w:shd w:val="clear" w:color="auto" w:fill="auto"/>
          </w:tcPr>
          <w:p>
            <w:pPr>
              <w:pStyle w:val="nTable"/>
              <w:spacing w:after="40"/>
              <w:rPr>
                <w:rFonts w:ascii="Times" w:hAnsi="Times"/>
                <w:sz w:val="19"/>
              </w:rPr>
            </w:pPr>
            <w:r>
              <w:rPr>
                <w:rFonts w:ascii="Times" w:hAnsi="Times"/>
                <w:sz w:val="19"/>
              </w:rPr>
              <w:t>20 Aug 2013 p. 3822</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20 Aug 2013 (see r. 2(a));</w:t>
            </w:r>
            <w:r>
              <w:rPr>
                <w:rFonts w:ascii="Times" w:hAnsi="Times"/>
                <w:snapToGrid w:val="0"/>
                <w:sz w:val="19"/>
              </w:rPr>
              <w:br/>
              <w:t xml:space="preserve">Regulations other than r. 1 and 2: 21 Aug 2013 (see r. 2(b) and </w:t>
            </w:r>
            <w:r>
              <w:rPr>
                <w:rFonts w:ascii="Times" w:hAnsi="Times"/>
                <w:i/>
                <w:snapToGrid w:val="0"/>
                <w:sz w:val="19"/>
              </w:rPr>
              <w:t>Gazette</w:t>
            </w:r>
            <w:r>
              <w:rPr>
                <w:rFonts w:ascii="Times" w:hAnsi="Times"/>
                <w:snapToGrid w:val="0"/>
                <w:sz w:val="19"/>
              </w:rPr>
              <w:t xml:space="preserve"> 20 Aug 2013 p. 3815)</w:t>
            </w:r>
          </w:p>
        </w:tc>
      </w:tr>
      <w:tr>
        <w:tc>
          <w:tcPr>
            <w:tcW w:w="3118" w:type="dxa"/>
            <w:tcBorders>
              <w:top w:val="nil"/>
              <w:bottom w:val="nil"/>
            </w:tcBorders>
            <w:shd w:val="clear" w:color="auto" w:fill="auto"/>
          </w:tcPr>
          <w:p>
            <w:pPr>
              <w:pStyle w:val="nTable"/>
              <w:spacing w:after="40"/>
              <w:rPr>
                <w:rFonts w:ascii="Times" w:hAnsi="Times"/>
                <w:i/>
                <w:noProof/>
                <w:snapToGrid w:val="0"/>
                <w:sz w:val="19"/>
              </w:rPr>
            </w:pPr>
            <w:r>
              <w:rPr>
                <w:rFonts w:ascii="Times" w:hAnsi="Times"/>
                <w:i/>
                <w:noProof/>
                <w:snapToGrid w:val="0"/>
                <w:sz w:val="19"/>
              </w:rPr>
              <w:t>Building Amendment Regulations 2014</w:t>
            </w:r>
          </w:p>
        </w:tc>
        <w:tc>
          <w:tcPr>
            <w:tcW w:w="1276" w:type="dxa"/>
            <w:tcBorders>
              <w:top w:val="nil"/>
              <w:bottom w:val="nil"/>
            </w:tcBorders>
            <w:shd w:val="clear" w:color="auto" w:fill="auto"/>
          </w:tcPr>
          <w:p>
            <w:pPr>
              <w:pStyle w:val="nTable"/>
              <w:spacing w:after="40"/>
              <w:rPr>
                <w:rFonts w:ascii="Times" w:hAnsi="Times"/>
                <w:sz w:val="19"/>
              </w:rPr>
            </w:pPr>
            <w:r>
              <w:rPr>
                <w:rFonts w:ascii="Times" w:hAnsi="Times"/>
                <w:sz w:val="19"/>
              </w:rPr>
              <w:t>24 Apr 2014 p. 1135</w:t>
            </w:r>
            <w:r>
              <w:rPr>
                <w:rFonts w:ascii="Times" w:hAnsi="Times"/>
                <w:sz w:val="19"/>
              </w:rPr>
              <w:noBreakHyphen/>
              <w:t>41</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24 Apr 2014 (see r. 2(a));</w:t>
            </w:r>
            <w:r>
              <w:rPr>
                <w:rFonts w:ascii="Times" w:hAnsi="Times"/>
                <w:snapToGrid w:val="0"/>
                <w:sz w:val="19"/>
              </w:rPr>
              <w:br/>
              <w:t>Regulations other than r. 1 and 2: 25 Apr 2014 (see r. 2(b))</w:t>
            </w:r>
          </w:p>
        </w:tc>
      </w:tr>
      <w:tr>
        <w:tc>
          <w:tcPr>
            <w:tcW w:w="3118" w:type="dxa"/>
            <w:tcBorders>
              <w:top w:val="nil"/>
              <w:bottom w:val="nil"/>
            </w:tcBorders>
            <w:shd w:val="clear" w:color="auto" w:fill="auto"/>
          </w:tcPr>
          <w:p>
            <w:pPr>
              <w:pStyle w:val="nTable"/>
              <w:keepNext/>
              <w:spacing w:after="40"/>
              <w:rPr>
                <w:rFonts w:ascii="Times" w:hAnsi="Times"/>
                <w:i/>
                <w:noProof/>
                <w:snapToGrid w:val="0"/>
                <w:sz w:val="19"/>
              </w:rPr>
            </w:pPr>
            <w:r>
              <w:rPr>
                <w:i/>
              </w:rPr>
              <w:t>Building Amendment Regulations (No. 2) 2014</w:t>
            </w:r>
          </w:p>
        </w:tc>
        <w:tc>
          <w:tcPr>
            <w:tcW w:w="1276" w:type="dxa"/>
            <w:tcBorders>
              <w:top w:val="nil"/>
              <w:bottom w:val="nil"/>
            </w:tcBorders>
            <w:shd w:val="clear" w:color="auto" w:fill="auto"/>
          </w:tcPr>
          <w:p>
            <w:pPr>
              <w:pStyle w:val="nTable"/>
              <w:keepNext/>
              <w:spacing w:after="40"/>
              <w:rPr>
                <w:rFonts w:ascii="Times" w:hAnsi="Times"/>
                <w:sz w:val="19"/>
              </w:rPr>
            </w:pPr>
            <w:r>
              <w:rPr>
                <w:rFonts w:ascii="Times" w:hAnsi="Times"/>
                <w:spacing w:val="-4"/>
                <w:sz w:val="19"/>
              </w:rPr>
              <w:t>17 Jun 2014 p. 1</w:t>
            </w:r>
            <w:r>
              <w:rPr>
                <w:rFonts w:ascii="Times" w:hAnsi="Times"/>
                <w:sz w:val="19"/>
              </w:rPr>
              <w:t>957</w:t>
            </w:r>
            <w:r>
              <w:rPr>
                <w:rFonts w:ascii="Times" w:hAnsi="Times"/>
                <w:sz w:val="19"/>
              </w:rPr>
              <w:noBreakHyphen/>
              <w:t>8</w:t>
            </w:r>
          </w:p>
        </w:tc>
        <w:tc>
          <w:tcPr>
            <w:tcW w:w="2693" w:type="dxa"/>
            <w:tcBorders>
              <w:top w:val="nil"/>
              <w:bottom w:val="nil"/>
            </w:tcBorders>
            <w:shd w:val="clear" w:color="auto" w:fill="auto"/>
          </w:tcPr>
          <w:p>
            <w:pPr>
              <w:pStyle w:val="nTable"/>
              <w:keepNext/>
              <w:spacing w:after="40"/>
              <w:rPr>
                <w:rFonts w:ascii="Times" w:hAnsi="Times"/>
                <w:snapToGrid w:val="0"/>
                <w:sz w:val="19"/>
              </w:rPr>
            </w:pPr>
            <w:r>
              <w:rPr>
                <w:rFonts w:ascii="Times" w:hAnsi="Times"/>
                <w:bCs/>
                <w:snapToGrid w:val="0"/>
                <w:sz w:val="19"/>
              </w:rPr>
              <w:t>r. 1 and 2: 17 Jun 2014 (see r. 2(a));</w:t>
            </w:r>
            <w:r>
              <w:rPr>
                <w:rFonts w:ascii="Times" w:hAnsi="Times"/>
                <w:bCs/>
                <w:snapToGrid w:val="0"/>
                <w:sz w:val="19"/>
              </w:rPr>
              <w:br/>
              <w:t>Regulations other than r. 1 and 2: 1 Jul 2014 (see r. 2(b))</w:t>
            </w:r>
          </w:p>
        </w:tc>
      </w:tr>
      <w:tr>
        <w:tc>
          <w:tcPr>
            <w:tcW w:w="3118" w:type="dxa"/>
            <w:tcBorders>
              <w:top w:val="nil"/>
              <w:bottom w:val="single" w:sz="4" w:space="0" w:color="auto"/>
            </w:tcBorders>
            <w:shd w:val="clear" w:color="auto" w:fill="auto"/>
          </w:tcPr>
          <w:p>
            <w:pPr>
              <w:pStyle w:val="nTable"/>
              <w:spacing w:after="40"/>
              <w:rPr>
                <w:i/>
              </w:rPr>
            </w:pPr>
            <w:r>
              <w:rPr>
                <w:i/>
              </w:rPr>
              <w:t>Building Amendment Regulations (No. 3) 2014</w:t>
            </w:r>
          </w:p>
        </w:tc>
        <w:tc>
          <w:tcPr>
            <w:tcW w:w="1276" w:type="dxa"/>
            <w:tcBorders>
              <w:top w:val="nil"/>
              <w:bottom w:val="single" w:sz="4" w:space="0" w:color="auto"/>
            </w:tcBorders>
            <w:shd w:val="clear" w:color="auto" w:fill="auto"/>
          </w:tcPr>
          <w:p>
            <w:pPr>
              <w:pStyle w:val="nTable"/>
              <w:spacing w:after="40"/>
              <w:rPr>
                <w:rFonts w:ascii="Times" w:hAnsi="Times"/>
                <w:spacing w:val="-4"/>
                <w:sz w:val="19"/>
              </w:rPr>
            </w:pPr>
            <w:r>
              <w:rPr>
                <w:rFonts w:ascii="Times" w:hAnsi="Times"/>
                <w:spacing w:val="-4"/>
                <w:sz w:val="19"/>
              </w:rPr>
              <w:t>27 Jun 2014 p. 2308-9</w:t>
            </w:r>
          </w:p>
        </w:tc>
        <w:tc>
          <w:tcPr>
            <w:tcW w:w="2693" w:type="dxa"/>
            <w:tcBorders>
              <w:top w:val="nil"/>
              <w:bottom w:val="single" w:sz="4" w:space="0" w:color="auto"/>
            </w:tcBorders>
            <w:shd w:val="clear" w:color="auto" w:fill="auto"/>
          </w:tcPr>
          <w:p>
            <w:pPr>
              <w:pStyle w:val="nTable"/>
              <w:spacing w:after="40"/>
              <w:rPr>
                <w:rFonts w:ascii="Times" w:hAnsi="Times"/>
                <w:bCs/>
                <w:snapToGrid w:val="0"/>
                <w:sz w:val="19"/>
              </w:rPr>
            </w:pPr>
            <w:r>
              <w:rPr>
                <w:rFonts w:ascii="Times" w:hAnsi="Times"/>
                <w:bCs/>
                <w:snapToGrid w:val="0"/>
                <w:sz w:val="19"/>
              </w:rPr>
              <w:t>r. 1 and 2: 27 Jun 2014 (see r. 2(a));</w:t>
            </w:r>
            <w:r>
              <w:rPr>
                <w:rFonts w:ascii="Times" w:hAnsi="Times"/>
                <w:bCs/>
                <w:snapToGrid w:val="0"/>
                <w:sz w:val="19"/>
              </w:rPr>
              <w:br/>
              <w:t>Regulations other than r. 1 and 2: 1 Jul 2014 (see r. 2(b)(i))</w:t>
            </w:r>
          </w:p>
        </w:tc>
      </w:tr>
    </w:tbl>
    <w:p>
      <w:pPr>
        <w:pStyle w:val="nSubsection"/>
        <w:keepNext/>
        <w:keepLines/>
        <w:spacing w:before="140"/>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Style w:val="nHeading2"/>
        <w:rPr>
          <w:sz w:val="28"/>
        </w:rPr>
      </w:pPr>
      <w:bookmarkStart w:id="121" w:name="_Toc525108017"/>
      <w:r>
        <w:rPr>
          <w:sz w:val="28"/>
        </w:rPr>
        <w:t>Defined terms</w:t>
      </w:r>
      <w:bookmarkEnd w:id="1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2" w:name="DefinedTerms"/>
      <w:bookmarkEnd w:id="122"/>
      <w:r>
        <w:t>10 year life battery</w:t>
      </w:r>
      <w:r>
        <w:tab/>
        <w:t>55(1)</w:t>
      </w:r>
    </w:p>
    <w:p>
      <w:pPr>
        <w:pStyle w:val="DefinedTerms"/>
      </w:pPr>
      <w:r>
        <w:t>access through a building</w:t>
      </w:r>
      <w:r>
        <w:tab/>
        <w:t>48</w:t>
      </w:r>
    </w:p>
    <w:p>
      <w:pPr>
        <w:pStyle w:val="DefinedTerms"/>
      </w:pPr>
      <w:r>
        <w:t>alternative solution</w:t>
      </w:r>
      <w:r>
        <w:tab/>
        <w:t>3</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product</w:t>
      </w:r>
      <w:r>
        <w:tab/>
        <w:t>31J(1)</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commencement day</w:t>
      </w:r>
      <w:r>
        <w:tab/>
        <w:t>3</w:t>
      </w:r>
    </w:p>
    <w:p>
      <w:pPr>
        <w:pStyle w:val="DefinedTerms"/>
      </w:pPr>
      <w:r>
        <w:t>decision</w:t>
      </w:r>
      <w:r>
        <w:tab/>
        <w:t>33(1)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expiry day</w:t>
      </w:r>
      <w:r>
        <w:tab/>
        <w:t>23(1), 40(1)</w:t>
      </w:r>
    </w:p>
    <w:p>
      <w:pPr>
        <w:pStyle w:val="DefinedTerms"/>
      </w:pPr>
      <w:r>
        <w:t>FES Commissioner</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w:t>
      </w:r>
    </w:p>
    <w:p>
      <w:pPr>
        <w:pStyle w:val="DefinedTerms"/>
      </w:pPr>
      <w:r>
        <w:t>new owner</w:t>
      </w:r>
      <w:r>
        <w:tab/>
        <w:t>57(1)</w:t>
      </w:r>
    </w:p>
    <w:p>
      <w:pPr>
        <w:pStyle w:val="DefinedTerms"/>
      </w:pPr>
      <w:r>
        <w:t>owner</w:t>
      </w:r>
      <w:r>
        <w:tab/>
        <w:t>10(2A), 55(1)</w:t>
      </w:r>
    </w:p>
    <w:p>
      <w:pPr>
        <w:pStyle w:val="DefinedTerms"/>
      </w:pPr>
      <w:r>
        <w:t>performance requirement</w:t>
      </w:r>
      <w:r>
        <w:tab/>
        <w:t>3</w:t>
      </w:r>
    </w:p>
    <w:p>
      <w:pPr>
        <w:pStyle w:val="DefinedTerms"/>
      </w:pPr>
      <w:r>
        <w:t>pergola</w:t>
      </w:r>
      <w:r>
        <w:tab/>
        <w:t>Sch. 4 cl. 2</w:t>
      </w:r>
    </w:p>
    <w:p>
      <w:pPr>
        <w:pStyle w:val="DefinedTerms"/>
      </w:pPr>
      <w:r>
        <w:t>person responsible</w:t>
      </w:r>
      <w:r>
        <w:tab/>
        <w:t>54A</w:t>
      </w:r>
    </w:p>
    <w:p>
      <w:pPr>
        <w:pStyle w:val="DefinedTerms"/>
      </w:pPr>
      <w:r>
        <w:t>person with a disability</w:t>
      </w:r>
      <w:r>
        <w:tab/>
        <w:t>51(1)</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 standards</w:t>
      </w:r>
      <w:r>
        <w:tab/>
        <w:t>48A</w:t>
      </w:r>
    </w:p>
    <w:p>
      <w:pPr>
        <w:pStyle w:val="DefinedTerms"/>
      </w:pPr>
      <w:r>
        <w:t>relevant components</w:t>
      </w:r>
      <w:r>
        <w:tab/>
        <w:t>Sch. 1 cl. 1</w:t>
      </w:r>
    </w:p>
    <w:p>
      <w:pPr>
        <w:pStyle w:val="DefinedTerms"/>
      </w:pPr>
      <w:r>
        <w:t>relevant day</w:t>
      </w:r>
      <w:r>
        <w:tab/>
        <w:t>60(1)</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44A</w:t>
      </w:r>
      <w:r>
        <w:br/>
        <w:t>safety measures</w:t>
      </w:r>
      <w:r>
        <w:tab/>
        <w:t>48A</w:t>
      </w:r>
    </w:p>
    <w:p>
      <w:pPr>
        <w:pStyle w:val="DefinedTerms"/>
      </w:pPr>
      <w:r>
        <w:t>section</w:t>
      </w:r>
      <w:r>
        <w:tab/>
        <w:t>3</w:t>
      </w:r>
    </w:p>
    <w:p>
      <w:pPr>
        <w:pStyle w:val="DefinedTerms"/>
      </w:pPr>
      <w:r>
        <w:t>Table</w:t>
      </w:r>
      <w:r>
        <w:tab/>
        <w:t>41(2)</w:t>
      </w:r>
    </w:p>
    <w:p>
      <w:pPr>
        <w:pStyle w:val="DefinedTerms"/>
      </w:pPr>
      <w:r>
        <w:t>townsite</w:t>
      </w:r>
      <w:r>
        <w:tab/>
        <w:t>3</w:t>
      </w:r>
    </w:p>
    <w:p>
      <w:pPr>
        <w:pStyle w:val="DefinedTerms"/>
      </w:pPr>
      <w:r>
        <w:t>unit</w:t>
      </w:r>
      <w:r>
        <w:tab/>
        <w:t>55(1)</w:t>
      </w:r>
    </w:p>
    <w:p>
      <w:pPr>
        <w:pStyle w:val="DefinedTerms"/>
      </w:pPr>
      <w:r>
        <w:t>work</w:t>
      </w:r>
      <w:r>
        <w:tab/>
        <w:t>54A</w:t>
      </w:r>
    </w:p>
    <w:p>
      <w:pPr>
        <w:pStyle w:val="DefinedTerms"/>
      </w:pPr>
      <w:r>
        <w:t>young child</w:t>
      </w:r>
      <w:r>
        <w:tab/>
        <w:t>48</w:t>
      </w:r>
    </w:p>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sectPr>
      <w:headerReference w:type="even"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rPr>
              <w:noProof/>
            </w:rPr>
            <w:instrText>Part 2</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Regulations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rPr>
              <w:noProof/>
            </w:rPr>
            <w:instrText>Part 2</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3</w:instrText>
            </w:r>
          </w:fldSimple>
          <w:r>
            <w:instrText>"</w:instrText>
          </w:r>
          <w:r>
            <w:rPr>
              <w:noProof/>
            </w:rPr>
            <w:instrText>1</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1</w:instrText>
            </w:r>
          </w:fldSimple>
          <w:r>
            <w:instrText>"</w:instrText>
          </w:r>
          <w:r>
            <w:rPr>
              <w:noProof/>
            </w:rPr>
            <w:instrText>3</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Estimated value of building work</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noProof/>
            </w:rPr>
            <w:instrText>Division 3</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Estimated value of building work</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noProof/>
            </w:rPr>
            <w:instrText>Division 2</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Other applications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3</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Inspections or tests of systems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Inspections or tests of systems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Building work that does not require building permit</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Kinds of building work for which a building permit is not required</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Building work that does not require building permit</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fldSimple w:instr=" styleref CharSDivText ">
            <w:r>
              <w:rPr>
                <w:noProof/>
              </w:rPr>
              <w:t>Kinds of building work for which a building permit is not required</w:t>
            </w:r>
            <w:r>
              <w:rPr>
                <w:noProof/>
              </w:rPr>
              <w:cr/>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6244F9A"/>
    <w:multiLevelType w:val="hybridMultilevel"/>
    <w:tmpl w:val="24C2A9D6"/>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8624391"/>
    <w:multiLevelType w:val="hybridMultilevel"/>
    <w:tmpl w:val="A52063F0"/>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DEC3682"/>
    <w:multiLevelType w:val="hybridMultilevel"/>
    <w:tmpl w:val="B21C7A34"/>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106B1BBB"/>
    <w:multiLevelType w:val="multilevel"/>
    <w:tmpl w:val="87BA4B22"/>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2">
    <w:nsid w:val="48D54F6B"/>
    <w:multiLevelType w:val="multilevel"/>
    <w:tmpl w:val="E3EA38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nsid w:val="4CC03303"/>
    <w:multiLevelType w:val="singleLevel"/>
    <w:tmpl w:val="0809000F"/>
    <w:lvl w:ilvl="0">
      <w:start w:val="1"/>
      <w:numFmt w:val="decimal"/>
      <w:lvlText w:val="%1."/>
      <w:lvlJc w:val="left"/>
      <w:pPr>
        <w:tabs>
          <w:tab w:val="num" w:pos="360"/>
        </w:tabs>
        <w:ind w:left="360" w:hanging="360"/>
      </w:pPr>
    </w:lvl>
  </w:abstractNum>
  <w:abstractNum w:abstractNumId="3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5">
    <w:nsid w:val="54783F84"/>
    <w:multiLevelType w:val="hybridMultilevel"/>
    <w:tmpl w:val="1DBC29F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5A3B5B6A"/>
    <w:multiLevelType w:val="hybridMultilevel"/>
    <w:tmpl w:val="87BA4B22"/>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5A8D22A2"/>
    <w:multiLevelType w:val="hybridMultilevel"/>
    <w:tmpl w:val="D4787BAA"/>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4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6CDA361E"/>
    <w:multiLevelType w:val="hybridMultilevel"/>
    <w:tmpl w:val="C13824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4">
    <w:nsid w:val="72CB17DE"/>
    <w:multiLevelType w:val="hybridMultilevel"/>
    <w:tmpl w:val="BE7086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33"/>
  </w:num>
  <w:num w:numId="3">
    <w:abstractNumId w:val="20"/>
  </w:num>
  <w:num w:numId="4">
    <w:abstractNumId w:val="14"/>
  </w:num>
  <w:num w:numId="5">
    <w:abstractNumId w:val="2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1"/>
  </w:num>
  <w:num w:numId="17">
    <w:abstractNumId w:val="40"/>
  </w:num>
  <w:num w:numId="18">
    <w:abstractNumId w:val="35"/>
  </w:num>
  <w:num w:numId="19">
    <w:abstractNumId w:val="32"/>
  </w:num>
  <w:num w:numId="20">
    <w:abstractNumId w:val="13"/>
  </w:num>
  <w:num w:numId="21">
    <w:abstractNumId w:val="36"/>
  </w:num>
  <w:num w:numId="22">
    <w:abstractNumId w:val="18"/>
  </w:num>
  <w:num w:numId="23">
    <w:abstractNumId w:val="12"/>
  </w:num>
  <w:num w:numId="24">
    <w:abstractNumId w:val="16"/>
  </w:num>
  <w:num w:numId="25">
    <w:abstractNumId w:val="37"/>
  </w:num>
  <w:num w:numId="26">
    <w:abstractNumId w:val="28"/>
  </w:num>
  <w:num w:numId="27">
    <w:abstractNumId w:val="21"/>
  </w:num>
  <w:num w:numId="28">
    <w:abstractNumId w:val="30"/>
  </w:num>
  <w:num w:numId="29">
    <w:abstractNumId w:val="43"/>
  </w:num>
  <w:num w:numId="30">
    <w:abstractNumId w:val="44"/>
  </w:num>
  <w:num w:numId="31">
    <w:abstractNumId w:val="41"/>
  </w:num>
  <w:num w:numId="32">
    <w:abstractNumId w:val="38"/>
  </w:num>
  <w:num w:numId="33">
    <w:abstractNumId w:val="19"/>
  </w:num>
  <w:num w:numId="34">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65641"/>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image" Target="media/image2.png"/><Relationship Id="rId42" Type="http://schemas.openxmlformats.org/officeDocument/2006/relationships/header" Target="header2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0D21C-62E6-4BE9-94FA-0CBE07B0F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101</Pages>
  <Words>19984</Words>
  <Characters>99925</Characters>
  <Application>Microsoft Office Word</Application>
  <DocSecurity>0</DocSecurity>
  <Lines>3445</Lines>
  <Paragraphs>1998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117911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2012 - 01-e0-01</dc:title>
  <dc:subject/>
  <dc:creator/>
  <cp:keywords/>
  <dc:description/>
  <cp:lastModifiedBy>svcMRProcess</cp:lastModifiedBy>
  <cp:revision>4</cp:revision>
  <cp:lastPrinted>2013-06-05T23:41:00Z</cp:lastPrinted>
  <dcterms:created xsi:type="dcterms:W3CDTF">2018-09-19T00:09:00Z</dcterms:created>
  <dcterms:modified xsi:type="dcterms:W3CDTF">2018-09-19T00:09:00Z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CommencementDate">
    <vt:lpwstr>20140701</vt:lpwstr>
  </property>
  <property fmtid="{D5CDD505-2E9C-101B-9397-08002B2CF9AE}" pid="4" name="AsAtDate">
    <vt:lpwstr>01 Jul 2014</vt:lpwstr>
  </property>
  <property fmtid="{D5CDD505-2E9C-101B-9397-08002B2CF9AE}" pid="5" name="Suffix">
    <vt:lpwstr>01-e0-01</vt:lpwstr>
  </property>
  <property fmtid="{D5CDD505-2E9C-101B-9397-08002B2CF9AE}" pid="6" name="ReprintNo">
    <vt:lpwstr>1</vt:lpwstr>
  </property>
  <property fmtid="{D5CDD505-2E9C-101B-9397-08002B2CF9AE}" pid="7" name="ReprintedAsAt">
    <vt:filetime>2013-05-23T16:00:00Z</vt:filetime>
  </property>
  <property fmtid="{D5CDD505-2E9C-101B-9397-08002B2CF9AE}" pid="8" name="DocumentType">
    <vt:lpwstr>Reg</vt:lpwstr>
  </property>
</Properties>
</file>