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Children’s Court of Western Australia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Children’s Court (Fees)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Children’s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_Toc415648784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_Toc415648785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_Toc415648786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 (Act s. 53)</w:t>
      </w:r>
      <w:r>
        <w:tab/>
      </w:r>
      <w:r>
        <w:fldChar w:fldCharType="begin"/>
      </w:r>
      <w:r>
        <w:instrText xml:space="preserve"> PAGEREF _Toc415648787 \h </w:instrText>
      </w:r>
      <w:r>
        <w:fldChar w:fldCharType="separate"/>
      </w:r>
      <w:r>
        <w:t>2</w:t>
      </w:r>
      <w:r>
        <w:fldChar w:fldCharType="end"/>
      </w:r>
    </w:p>
    <w:p>
      <w:pPr>
        <w:pStyle w:val="TOC8"/>
        <w:rPr>
          <w:rFonts w:asciiTheme="minorHAnsi" w:eastAsiaTheme="minorEastAsia" w:hAnsiTheme="minorHAnsi" w:cstheme="minorBidi"/>
          <w:szCs w:val="22"/>
        </w:rPr>
      </w:pPr>
      <w:r>
        <w:t>5.</w:t>
      </w:r>
      <w:r>
        <w:tab/>
      </w:r>
      <w:r>
        <w:rPr>
          <w:i/>
        </w:rPr>
        <w:t>Restraining Orders Act 1997</w:t>
      </w:r>
      <w:r>
        <w:t xml:space="preserve"> and </w:t>
      </w:r>
      <w:r>
        <w:rPr>
          <w:i/>
        </w:rPr>
        <w:t>Prohibited Behaviour Orders Act 2010</w:t>
      </w:r>
      <w:r>
        <w:t>, certain applications under exempt from fees</w:t>
      </w:r>
      <w:r>
        <w:tab/>
      </w:r>
      <w:r>
        <w:fldChar w:fldCharType="begin"/>
      </w:r>
      <w:r>
        <w:instrText xml:space="preserve"> PAGEREF _Toc415648788 \h </w:instrText>
      </w:r>
      <w:r>
        <w:fldChar w:fldCharType="separate"/>
      </w:r>
      <w:r>
        <w:t>2</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_Toc415648789 \h </w:instrText>
      </w:r>
      <w:r>
        <w:fldChar w:fldCharType="separate"/>
      </w:r>
      <w:r>
        <w:t>2</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 in civil cases</w:t>
      </w:r>
      <w:r>
        <w:tab/>
      </w:r>
      <w:r>
        <w:fldChar w:fldCharType="begin"/>
      </w:r>
      <w:r>
        <w:instrText xml:space="preserve"> PAGEREF _Toc415648790 \h </w:instrText>
      </w:r>
      <w:r>
        <w:fldChar w:fldCharType="separate"/>
      </w:r>
      <w:r>
        <w:t>3</w:t>
      </w:r>
      <w:r>
        <w:fldChar w:fldCharType="end"/>
      </w:r>
    </w:p>
    <w:p>
      <w:pPr>
        <w:pStyle w:val="TOC8"/>
        <w:rPr>
          <w:rFonts w:asciiTheme="minorHAnsi" w:eastAsiaTheme="minorEastAsia" w:hAnsiTheme="minorHAnsi" w:cstheme="minorBidi"/>
          <w:szCs w:val="22"/>
        </w:rPr>
      </w:pPr>
      <w:r>
        <w:t>8.</w:t>
      </w:r>
      <w:r>
        <w:tab/>
      </w:r>
      <w:r>
        <w:rPr>
          <w:snapToGrid w:val="0"/>
        </w:rPr>
        <w:t>Financial hardship etc., waiving etc. fees in cases of</w:t>
      </w:r>
      <w:r>
        <w:tab/>
      </w:r>
      <w:r>
        <w:fldChar w:fldCharType="begin"/>
      </w:r>
      <w:r>
        <w:instrText xml:space="preserve"> PAGEREF _Toc415648791 \h </w:instrText>
      </w:r>
      <w:r>
        <w:fldChar w:fldCharType="separate"/>
      </w:r>
      <w:r>
        <w:t>4</w:t>
      </w:r>
      <w:r>
        <w:fldChar w:fldCharType="end"/>
      </w:r>
    </w:p>
    <w:p>
      <w:pPr>
        <w:pStyle w:val="TOC8"/>
        <w:rPr>
          <w:rFonts w:asciiTheme="minorHAnsi" w:eastAsiaTheme="minorEastAsia" w:hAnsiTheme="minorHAnsi" w:cstheme="minorBidi"/>
          <w:szCs w:val="22"/>
        </w:rPr>
      </w:pPr>
      <w:r>
        <w:t>9.</w:t>
      </w:r>
      <w:r>
        <w:tab/>
      </w:r>
      <w:r>
        <w:rPr>
          <w:snapToGrid w:val="0"/>
        </w:rPr>
        <w:t>Conventions</w:t>
      </w:r>
      <w:r>
        <w:tab/>
      </w:r>
      <w:r>
        <w:fldChar w:fldCharType="begin"/>
      </w:r>
      <w:r>
        <w:instrText xml:space="preserve"> PAGEREF _Toc415648792 \h </w:instrText>
      </w:r>
      <w:r>
        <w:fldChar w:fldCharType="separate"/>
      </w:r>
      <w:r>
        <w:t>6</w:t>
      </w:r>
      <w:r>
        <w:fldChar w:fldCharType="end"/>
      </w:r>
    </w:p>
    <w:p>
      <w:pPr>
        <w:pStyle w:val="TOC8"/>
        <w:rPr>
          <w:rFonts w:asciiTheme="minorHAnsi" w:eastAsiaTheme="minorEastAsia" w:hAnsiTheme="minorHAnsi" w:cstheme="minorBidi"/>
          <w:szCs w:val="22"/>
        </w:rPr>
      </w:pPr>
      <w:r>
        <w:t>10.</w:t>
      </w:r>
      <w:r>
        <w:tab/>
        <w:t>Disputes as to fees, determination of</w:t>
      </w:r>
      <w:r>
        <w:tab/>
      </w:r>
      <w:r>
        <w:fldChar w:fldCharType="begin"/>
      </w:r>
      <w:r>
        <w:instrText xml:space="preserve"> PAGEREF _Toc415648793 \h </w:instrText>
      </w:r>
      <w:r>
        <w:fldChar w:fldCharType="separate"/>
      </w:r>
      <w:r>
        <w:t>6</w:t>
      </w:r>
      <w:r>
        <w:fldChar w:fldCharType="end"/>
      </w:r>
    </w:p>
    <w:p>
      <w:pPr>
        <w:pStyle w:val="TOC8"/>
        <w:rPr>
          <w:rFonts w:asciiTheme="minorHAnsi" w:eastAsiaTheme="minorEastAsia" w:hAnsiTheme="minorHAnsi" w:cstheme="minorBidi"/>
          <w:szCs w:val="22"/>
        </w:rPr>
      </w:pPr>
      <w:r>
        <w:t>11.</w:t>
      </w:r>
      <w:r>
        <w:tab/>
        <w:t>Unpaid fees, recovery of</w:t>
      </w:r>
      <w:r>
        <w:tab/>
      </w:r>
      <w:r>
        <w:fldChar w:fldCharType="begin"/>
      </w:r>
      <w:r>
        <w:instrText xml:space="preserve"> PAGEREF _Toc415648794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w:t>
      </w:r>
    </w:p>
    <w:p>
      <w:pPr>
        <w:pStyle w:val="TOC4"/>
        <w:tabs>
          <w:tab w:val="right" w:leader="dot" w:pos="7077"/>
        </w:tabs>
        <w:rPr>
          <w:rFonts w:asciiTheme="minorHAnsi" w:eastAsiaTheme="minorEastAsia" w:hAnsiTheme="minorHAnsi" w:cstheme="minorBidi"/>
          <w:b w:val="0"/>
          <w:szCs w:val="22"/>
        </w:rPr>
      </w:pPr>
      <w:r>
        <w:t>Division 2</w:t>
      </w:r>
      <w:r>
        <w:rPr>
          <w:b w:val="0"/>
        </w:rPr>
        <w:t> — </w:t>
      </w:r>
      <w:r>
        <w:t>Civil jurisdiction</w:t>
      </w:r>
    </w:p>
    <w:p>
      <w:pPr>
        <w:pStyle w:val="TOC4"/>
        <w:tabs>
          <w:tab w:val="right" w:leader="dot" w:pos="7077"/>
        </w:tabs>
        <w:rPr>
          <w:rFonts w:asciiTheme="minorHAnsi" w:eastAsiaTheme="minorEastAsia" w:hAnsiTheme="minorHAnsi" w:cstheme="minorBidi"/>
          <w:b w:val="0"/>
          <w:szCs w:val="22"/>
        </w:rPr>
      </w:pPr>
      <w:r>
        <w:t>Division 3</w:t>
      </w:r>
      <w:r>
        <w:rPr>
          <w:b w:val="0"/>
        </w:rPr>
        <w:t> — </w:t>
      </w:r>
      <w:r>
        <w:t>Criminal jurisdiction</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Application to remit fees</w:t>
      </w:r>
      <w:r>
        <w:tab/>
      </w:r>
      <w:r>
        <w:fldChar w:fldCharType="begin"/>
      </w:r>
      <w:r>
        <w:instrText xml:space="preserve"> PAGEREF _Toc415648800 \h </w:instrText>
      </w:r>
      <w:r>
        <w:fldChar w:fldCharType="separate"/>
      </w:r>
      <w:r>
        <w:t>12</w:t>
      </w:r>
      <w:r>
        <w:fldChar w:fldCharType="end"/>
      </w:r>
    </w:p>
    <w:p>
      <w:pPr>
        <w:pStyle w:val="TOC8"/>
        <w:rPr>
          <w:rFonts w:asciiTheme="minorHAnsi" w:eastAsiaTheme="minorEastAsia" w:hAnsiTheme="minorHAnsi" w:cstheme="minorBidi"/>
          <w:szCs w:val="22"/>
        </w:rPr>
      </w:pPr>
      <w:r>
        <w:t>2.</w:t>
      </w:r>
      <w:r>
        <w:tab/>
        <w:t>Application for determination of dispute about fees</w:t>
      </w:r>
      <w:r>
        <w:tab/>
      </w:r>
      <w:r>
        <w:fldChar w:fldCharType="begin"/>
      </w:r>
      <w:r>
        <w:instrText xml:space="preserve"> PAGEREF _Toc415648801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_Toc415648803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360"/>
      </w:pPr>
      <w:r>
        <w:t>Children’s Court of Western Australia Act 1988</w:t>
      </w:r>
    </w:p>
    <w:p>
      <w:pPr>
        <w:pStyle w:val="NameofActReg"/>
        <w:spacing w:after="480"/>
      </w:pPr>
      <w:r>
        <w:t>Children’s Court (Fees) Regulations 2005</w:t>
      </w:r>
    </w:p>
    <w:p>
      <w:pPr>
        <w:pStyle w:val="Heading5"/>
      </w:pPr>
      <w:bookmarkStart w:id="3" w:name="_Toc391629921"/>
      <w:bookmarkStart w:id="4" w:name="_Toc415648784"/>
      <w:r>
        <w:rPr>
          <w:rStyle w:val="CharSectno"/>
        </w:rPr>
        <w:t>1</w:t>
      </w:r>
      <w:r>
        <w:t>.</w:t>
      </w:r>
      <w:r>
        <w:tab/>
        <w:t>Citation</w:t>
      </w:r>
      <w:bookmarkEnd w:id="3"/>
      <w:bookmarkEnd w:id="4"/>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5" w:name="_Toc391629922"/>
      <w:bookmarkStart w:id="6" w:name="_Toc415648785"/>
      <w:r>
        <w:rPr>
          <w:rStyle w:val="CharSectno"/>
        </w:rPr>
        <w:t>2</w:t>
      </w:r>
      <w:r>
        <w:rPr>
          <w:spacing w:val="-2"/>
        </w:rPr>
        <w:t>.</w:t>
      </w:r>
      <w:r>
        <w:rPr>
          <w:spacing w:val="-2"/>
        </w:rPr>
        <w:tab/>
        <w:t>Commencement</w:t>
      </w:r>
      <w:bookmarkEnd w:id="5"/>
      <w:bookmarkEnd w:id="6"/>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7" w:name="_Toc391629923"/>
      <w:bookmarkStart w:id="8" w:name="_Toc415648786"/>
      <w:r>
        <w:rPr>
          <w:rStyle w:val="CharSectno"/>
        </w:rPr>
        <w:t>3</w:t>
      </w:r>
      <w:r>
        <w:t>.</w:t>
      </w:r>
      <w:r>
        <w:tab/>
        <w:t>Terms used</w:t>
      </w:r>
      <w:bookmarkEnd w:id="7"/>
      <w:bookmarkEnd w:id="8"/>
    </w:p>
    <w:p>
      <w:pPr>
        <w:pStyle w:val="Subsection"/>
      </w:pPr>
      <w:r>
        <w:tab/>
      </w:r>
      <w:r>
        <w:tab/>
        <w:t xml:space="preserve">In these regulations unless the contrary intention appears — </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in Gazette 23 Jun 2006 p. 2182.]</w:t>
      </w:r>
    </w:p>
    <w:p>
      <w:pPr>
        <w:pStyle w:val="Heading5"/>
        <w:spacing w:before="200"/>
        <w:rPr>
          <w:snapToGrid w:val="0"/>
        </w:rPr>
      </w:pPr>
      <w:bookmarkStart w:id="9" w:name="_Toc391629924"/>
      <w:bookmarkStart w:id="10" w:name="_Toc415648787"/>
      <w:r>
        <w:rPr>
          <w:rStyle w:val="CharSectno"/>
        </w:rPr>
        <w:t>4</w:t>
      </w:r>
      <w:r>
        <w:t>.</w:t>
      </w:r>
      <w:r>
        <w:tab/>
      </w:r>
      <w:r>
        <w:rPr>
          <w:snapToGrid w:val="0"/>
        </w:rPr>
        <w:t>Fees to be charged (Act s. 53)</w:t>
      </w:r>
      <w:bookmarkEnd w:id="9"/>
      <w:bookmarkEnd w:id="10"/>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Heading5"/>
        <w:spacing w:before="200"/>
      </w:pPr>
      <w:bookmarkStart w:id="11" w:name="_Toc391629925"/>
      <w:bookmarkStart w:id="12" w:name="_Toc415648788"/>
      <w:r>
        <w:rPr>
          <w:rStyle w:val="CharSectno"/>
        </w:rPr>
        <w:t>5</w:t>
      </w:r>
      <w:r>
        <w:t>.</w:t>
      </w:r>
      <w:r>
        <w:tab/>
      </w:r>
      <w:r>
        <w:rPr>
          <w:i/>
        </w:rPr>
        <w:t>Restraining Orders Act 1997</w:t>
      </w:r>
      <w:r>
        <w:t xml:space="preserve"> and </w:t>
      </w:r>
      <w:r>
        <w:rPr>
          <w:i/>
        </w:rPr>
        <w:t>Prohibited Behaviour Orders Act 2010</w:t>
      </w:r>
      <w:r>
        <w:t>, certain applications under exempt from fees</w:t>
      </w:r>
      <w:bookmarkEnd w:id="11"/>
      <w:bookmarkEnd w:id="12"/>
    </w:p>
    <w:p>
      <w:pPr>
        <w:pStyle w:val="Subsection"/>
        <w:spacing w:before="130"/>
      </w:pPr>
      <w:r>
        <w:tab/>
      </w:r>
      <w:r>
        <w:tab/>
        <w:t xml:space="preserve">A fee is not to be charged in respect of — </w:t>
      </w:r>
    </w:p>
    <w:p>
      <w:pPr>
        <w:pStyle w:val="Indenta"/>
        <w:spacing w:before="60"/>
      </w:pPr>
      <w:r>
        <w:tab/>
        <w:t>(a)</w:t>
      </w:r>
      <w:r>
        <w:tab/>
        <w:t xml:space="preserve">an application under the </w:t>
      </w:r>
      <w:r>
        <w:rPr>
          <w:i/>
        </w:rPr>
        <w:t>Restraining Orders Act 1997</w:t>
      </w:r>
      <w:r>
        <w:t xml:space="preserve"> for a violence restraining order or to vary or cancel a restraining order; or</w:t>
      </w:r>
    </w:p>
    <w:p>
      <w:pPr>
        <w:pStyle w:val="Indenta"/>
        <w:spacing w:before="60"/>
      </w:pPr>
      <w:r>
        <w:tab/>
        <w:t>(b)</w:t>
      </w:r>
      <w:r>
        <w:tab/>
        <w:t xml:space="preserve">an application under the </w:t>
      </w:r>
      <w:r>
        <w:rPr>
          <w:i/>
        </w:rPr>
        <w:t>Prohibited Behaviour Orders Act 2010</w:t>
      </w:r>
      <w:r>
        <w:t xml:space="preserve"> for a prohibited behaviour order or to vary or cancel a prohibited behaviour order.</w:t>
      </w:r>
    </w:p>
    <w:p>
      <w:pPr>
        <w:pStyle w:val="Footnotesection"/>
        <w:spacing w:before="100"/>
        <w:ind w:left="890" w:hanging="890"/>
      </w:pPr>
      <w:r>
        <w:tab/>
        <w:t>[Regulation 5 inserted in Gazette 27 Mar 2012 p. 1505.]</w:t>
      </w:r>
    </w:p>
    <w:p>
      <w:pPr>
        <w:pStyle w:val="Heading5"/>
        <w:spacing w:before="200"/>
      </w:pPr>
      <w:bookmarkStart w:id="13" w:name="_Toc391629926"/>
      <w:bookmarkStart w:id="14" w:name="_Toc415648789"/>
      <w:r>
        <w:rPr>
          <w:rStyle w:val="CharSectno"/>
        </w:rPr>
        <w:t>6</w:t>
      </w:r>
      <w:r>
        <w:t>.</w:t>
      </w:r>
      <w:r>
        <w:tab/>
        <w:t>Some fees subject to conditions or must be waived</w:t>
      </w:r>
      <w:bookmarkEnd w:id="13"/>
      <w:bookmarkEnd w:id="14"/>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15" w:name="_Toc391629927"/>
      <w:bookmarkStart w:id="16" w:name="_Toc415648790"/>
      <w:r>
        <w:rPr>
          <w:rStyle w:val="CharSectno"/>
        </w:rPr>
        <w:t>7</w:t>
      </w:r>
      <w:r>
        <w:t>.</w:t>
      </w:r>
      <w:r>
        <w:tab/>
      </w:r>
      <w:r>
        <w:rPr>
          <w:rStyle w:val="CharSectno"/>
        </w:rPr>
        <w:t>F</w:t>
      </w:r>
      <w:r>
        <w:rPr>
          <w:snapToGrid w:val="0"/>
        </w:rPr>
        <w:t>ees to be paid before documents etc. filed in civil cases</w:t>
      </w:r>
      <w:bookmarkEnd w:id="15"/>
      <w:bookmarkEnd w:id="16"/>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spacing w:before="240"/>
        <w:rPr>
          <w:snapToGrid w:val="0"/>
        </w:rPr>
      </w:pPr>
      <w:bookmarkStart w:id="17" w:name="_Toc391629928"/>
      <w:bookmarkStart w:id="18" w:name="_Toc415648791"/>
      <w:r>
        <w:rPr>
          <w:rStyle w:val="CharSectno"/>
        </w:rPr>
        <w:t>8</w:t>
      </w:r>
      <w:r>
        <w:t>.</w:t>
      </w:r>
      <w:r>
        <w:tab/>
      </w:r>
      <w:r>
        <w:rPr>
          <w:snapToGrid w:val="0"/>
        </w:rPr>
        <w:t>Financial hardship etc., waiving etc. fees in cases of</w:t>
      </w:r>
      <w:bookmarkEnd w:id="17"/>
      <w:bookmarkEnd w:id="18"/>
    </w:p>
    <w:p>
      <w:pPr>
        <w:pStyle w:val="Subsection"/>
      </w:pPr>
      <w:r>
        <w:tab/>
        <w:t>(1)</w:t>
      </w:r>
      <w:r>
        <w:tab/>
        <w:t>This regulation does not apply to a fee referred to in Schedule 1 Division 1 items 2 and 3 and Division 2 item 2.</w:t>
      </w:r>
    </w:p>
    <w:p>
      <w:pPr>
        <w:pStyle w:val="Subsection"/>
        <w:rPr>
          <w:snapToGrid w:val="0"/>
        </w:rPr>
      </w:pPr>
      <w:r>
        <w:rPr>
          <w:snapToGrid w:val="0"/>
        </w:rPr>
        <w:tab/>
        <w:t>(2)</w:t>
      </w:r>
      <w:r>
        <w:rPr>
          <w:snapToGrid w:val="0"/>
        </w:rPr>
        <w:tab/>
        <w:t xml:space="preserve">The Court, a registrar or a deputy registrar may, in a particular case for </w:t>
      </w:r>
      <w:r>
        <w:t>financial hardship or if it is in the interests of justice to do so,</w:t>
      </w:r>
      <w:r>
        <w:rPr>
          <w:snapToGrid w:val="0"/>
        </w:rPr>
        <w:t xml:space="preserve"> direct — </w:t>
      </w:r>
    </w:p>
    <w:p>
      <w:pPr>
        <w:pStyle w:val="Indenta"/>
        <w:spacing w:before="60"/>
        <w:rPr>
          <w:snapToGrid w:val="0"/>
        </w:rPr>
      </w:pPr>
      <w:r>
        <w:rPr>
          <w:snapToGrid w:val="0"/>
        </w:rPr>
        <w:tab/>
        <w:t>(a)</w:t>
      </w:r>
      <w:r>
        <w:rPr>
          <w:snapToGrid w:val="0"/>
        </w:rPr>
        <w:tab/>
        <w:t>that a fee or fees be waived or reduced; or</w:t>
      </w:r>
    </w:p>
    <w:p>
      <w:pPr>
        <w:pStyle w:val="Indenta"/>
        <w:spacing w:before="60"/>
        <w:rPr>
          <w:snapToGrid w:val="0"/>
        </w:rPr>
      </w:pPr>
      <w:r>
        <w:rPr>
          <w:snapToGrid w:val="0"/>
        </w:rPr>
        <w:tab/>
        <w:t>(b)</w:t>
      </w:r>
      <w:r>
        <w:rPr>
          <w:snapToGrid w:val="0"/>
        </w:rPr>
        <w:tab/>
        <w:t>that the whole or part of the fee or fees be refunded; or</w:t>
      </w:r>
    </w:p>
    <w:p>
      <w:pPr>
        <w:pStyle w:val="Indenta"/>
        <w:spacing w:before="60"/>
        <w:rPr>
          <w:snapToGrid w:val="0"/>
        </w:rPr>
      </w:pPr>
      <w:r>
        <w:rPr>
          <w:snapToGrid w:val="0"/>
        </w:rPr>
        <w:tab/>
        <w:t>(c)</w:t>
      </w:r>
      <w:r>
        <w:rPr>
          <w:snapToGrid w:val="0"/>
        </w:rPr>
        <w:tab/>
        <w:t>that the payment of the whole or a part of a fee or fees be deferred until such time, and upon such conditions, if any, as the Court, a registrar or a deputy registrar thinks fit.</w:t>
      </w:r>
    </w:p>
    <w:p>
      <w:pPr>
        <w:pStyle w:val="Subsection"/>
      </w:pPr>
      <w:r>
        <w:tab/>
        <w:t>(3)</w:t>
      </w:r>
      <w:r>
        <w:tab/>
        <w:t>For the purpose of assessing financial hardship, the Court, a registrar or a deputy registrar is to have regard to the applicant’s income, day to day living expenses, liabilities and assets.</w:t>
      </w:r>
    </w:p>
    <w:p>
      <w:pPr>
        <w:pStyle w:val="Subsection"/>
      </w:pPr>
      <w:r>
        <w:tab/>
        <w:t>(4)</w:t>
      </w:r>
      <w:r>
        <w:tab/>
        <w:t>The Court, a registrar or a deputy registrar may direct that the payment of the whole or a part of a fee in relation to the filing of an application or other document be deferred until such time, and upon such conditions, if any, as the Court, registrar or deputy registrar thinks fit if the filing is attended by urgency that overrides the requirement of payment of the fee at the time of filing.</w:t>
      </w:r>
    </w:p>
    <w:p>
      <w:pPr>
        <w:pStyle w:val="Subsection"/>
        <w:keepNext/>
      </w:pPr>
      <w:r>
        <w:tab/>
        <w:t>(5)</w:t>
      </w:r>
      <w:r>
        <w:tab/>
        <w:t xml:space="preserve">The payment of a fee referred to in Schedule 1 Division 2 item 1 or 3 is to be waived in relation to the following persons — </w:t>
      </w:r>
    </w:p>
    <w:p>
      <w:pPr>
        <w:pStyle w:val="Indenta"/>
        <w:spacing w:before="60"/>
      </w:pPr>
      <w:r>
        <w:tab/>
        <w:t>(a)</w:t>
      </w:r>
      <w:r>
        <w:tab/>
        <w:t xml:space="preserve">the holder of one of the following cards issued by the Department of Social Security of the Commonwealth — </w:t>
      </w:r>
    </w:p>
    <w:p>
      <w:pPr>
        <w:pStyle w:val="Indenti"/>
        <w:spacing w:before="60"/>
      </w:pPr>
      <w:r>
        <w:tab/>
        <w:t>(i)</w:t>
      </w:r>
      <w:r>
        <w:tab/>
        <w:t>a health care card;</w:t>
      </w:r>
    </w:p>
    <w:p>
      <w:pPr>
        <w:pStyle w:val="Indenti"/>
        <w:spacing w:before="60"/>
      </w:pPr>
      <w:r>
        <w:tab/>
        <w:t>(ii)</w:t>
      </w:r>
      <w:r>
        <w:tab/>
        <w:t>a health benefit card;</w:t>
      </w:r>
    </w:p>
    <w:p>
      <w:pPr>
        <w:pStyle w:val="Indenti"/>
        <w:spacing w:before="60"/>
      </w:pPr>
      <w:r>
        <w:tab/>
        <w:t>(iii)</w:t>
      </w:r>
      <w:r>
        <w:tab/>
        <w:t>a pensioner concession card;</w:t>
      </w:r>
    </w:p>
    <w:p>
      <w:pPr>
        <w:pStyle w:val="Indenti"/>
        <w:spacing w:before="60"/>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1.</w:t>
      </w:r>
    </w:p>
    <w:p>
      <w:pPr>
        <w:pStyle w:val="Subsection"/>
      </w:pPr>
      <w:r>
        <w:tab/>
        <w:t>(7)</w:t>
      </w:r>
      <w:r>
        <w:tab/>
        <w:t>Form 1 must be completed in accordance with the directions specified in it.</w:t>
      </w:r>
    </w:p>
    <w:p>
      <w:pPr>
        <w:pStyle w:val="Subsection"/>
      </w:pPr>
      <w:r>
        <w:tab/>
        <w:t>(8)</w:t>
      </w:r>
      <w:r>
        <w:tab/>
        <w:t>If an application under subregulation (2) is dealt with by a registrar or deputy registrar, the registrar or deputy registrar may, before determining the application, require the applicant to provide the registrar or deputy registrar with such further information as the registrar or deputy registrar requires either in writing or orally.</w:t>
      </w:r>
    </w:p>
    <w:p>
      <w:pPr>
        <w:pStyle w:val="Subsection"/>
        <w:spacing w:before="120"/>
      </w:pPr>
      <w:r>
        <w:tab/>
        <w:t>(9)</w:t>
      </w:r>
      <w:r>
        <w:tab/>
        <w:t>A fee, payment of which has been deferred until an event occurs, becomes payable when that event occurs.</w:t>
      </w:r>
    </w:p>
    <w:p>
      <w:pPr>
        <w:pStyle w:val="Subsection"/>
        <w:spacing w:before="120"/>
      </w:pPr>
      <w:r>
        <w:tab/>
        <w:t>(10)</w:t>
      </w:r>
      <w:r>
        <w:tab/>
        <w:t>A person who makes a statement or representation in an application under subregulation (6) that the person knows or has reason to believe is false or misleading in a material particular commits an offence.</w:t>
      </w:r>
    </w:p>
    <w:p>
      <w:pPr>
        <w:pStyle w:val="Penstart"/>
        <w:spacing w:before="60"/>
      </w:pPr>
      <w:r>
        <w:tab/>
        <w:t>Penalty: $1 000.</w:t>
      </w:r>
    </w:p>
    <w:p>
      <w:pPr>
        <w:pStyle w:val="Subsection"/>
      </w:pPr>
      <w:r>
        <w:tab/>
        <w:t>(11)</w:t>
      </w:r>
      <w:r>
        <w:tab/>
        <w:t>If a fee payable by a person is waived, reduced, refunded or deferred in accordance with a direction under subregulation (2) and the Court, a registrar or a deputy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registrar or deputy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791.]</w:t>
      </w:r>
    </w:p>
    <w:p>
      <w:pPr>
        <w:pStyle w:val="Heading5"/>
        <w:rPr>
          <w:snapToGrid w:val="0"/>
        </w:rPr>
      </w:pPr>
      <w:bookmarkStart w:id="19" w:name="_Toc391629929"/>
      <w:bookmarkStart w:id="20" w:name="_Toc415648792"/>
      <w:r>
        <w:rPr>
          <w:rStyle w:val="CharSectno"/>
        </w:rPr>
        <w:t>9</w:t>
      </w:r>
      <w:r>
        <w:t>.</w:t>
      </w:r>
      <w:r>
        <w:tab/>
      </w:r>
      <w:r>
        <w:rPr>
          <w:snapToGrid w:val="0"/>
        </w:rPr>
        <w:t>Conventions</w:t>
      </w:r>
      <w:bookmarkEnd w:id="19"/>
      <w:bookmarkEnd w:id="20"/>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21" w:name="_Toc391629930"/>
      <w:bookmarkStart w:id="22" w:name="_Toc415648793"/>
      <w:r>
        <w:rPr>
          <w:rStyle w:val="CharSectno"/>
        </w:rPr>
        <w:t>10</w:t>
      </w:r>
      <w:r>
        <w:t>.</w:t>
      </w:r>
      <w:r>
        <w:tab/>
        <w:t>Disputes as to fees, determination of</w:t>
      </w:r>
      <w:bookmarkEnd w:id="21"/>
      <w:bookmarkEnd w:id="22"/>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form of Form 2.</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23" w:name="_Toc391629931"/>
      <w:bookmarkStart w:id="24" w:name="_Toc415648794"/>
      <w:r>
        <w:rPr>
          <w:rStyle w:val="CharSectno"/>
        </w:rPr>
        <w:t>11</w:t>
      </w:r>
      <w:r>
        <w:t>.</w:t>
      </w:r>
      <w:r>
        <w:tab/>
        <w:t>Unpaid fees, recovery of</w:t>
      </w:r>
      <w:bookmarkEnd w:id="23"/>
      <w:bookmarkEnd w:id="24"/>
    </w:p>
    <w:p>
      <w:pPr>
        <w:pStyle w:val="Subsection"/>
      </w:pPr>
      <w:r>
        <w:tab/>
      </w:r>
      <w:r>
        <w:tab/>
        <w:t>Any unpaid fee is a debt due to the State and may be recovered by action in a court of competent jurisdiction.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5" w:name="_Toc378075984"/>
      <w:bookmarkStart w:id="26" w:name="_Toc391629932"/>
      <w:bookmarkStart w:id="27" w:name="_Toc415648677"/>
      <w:bookmarkStart w:id="28" w:name="_Toc415648774"/>
      <w:bookmarkStart w:id="29" w:name="_Toc415648795"/>
      <w:r>
        <w:rPr>
          <w:rStyle w:val="CharSchNo"/>
        </w:rPr>
        <w:t>Schedule 1</w:t>
      </w:r>
      <w:r>
        <w:t> — </w:t>
      </w:r>
      <w:r>
        <w:rPr>
          <w:rStyle w:val="CharSchText"/>
        </w:rPr>
        <w:t>Fees</w:t>
      </w:r>
      <w:bookmarkEnd w:id="25"/>
      <w:bookmarkEnd w:id="26"/>
      <w:bookmarkEnd w:id="27"/>
      <w:bookmarkEnd w:id="28"/>
      <w:bookmarkEnd w:id="29"/>
    </w:p>
    <w:p>
      <w:pPr>
        <w:pStyle w:val="yShoulderClause"/>
      </w:pPr>
      <w:r>
        <w:t>[r. 4]</w:t>
      </w:r>
    </w:p>
    <w:p>
      <w:pPr>
        <w:pStyle w:val="yHeading3"/>
        <w:spacing w:after="120"/>
      </w:pPr>
      <w:bookmarkStart w:id="30" w:name="_Toc378075985"/>
      <w:bookmarkStart w:id="31" w:name="_Toc391629933"/>
      <w:bookmarkStart w:id="32" w:name="_Toc415648678"/>
      <w:bookmarkStart w:id="33" w:name="_Toc415648775"/>
      <w:bookmarkStart w:id="34" w:name="_Toc415648796"/>
      <w:r>
        <w:rPr>
          <w:rStyle w:val="CharSDivNo"/>
        </w:rPr>
        <w:t>Division 1</w:t>
      </w:r>
      <w:r>
        <w:rPr>
          <w:b w:val="0"/>
        </w:rPr>
        <w:t> — </w:t>
      </w:r>
      <w:r>
        <w:rPr>
          <w:rStyle w:val="CharSDivText"/>
        </w:rPr>
        <w:t>General</w:t>
      </w:r>
      <w:bookmarkEnd w:id="30"/>
      <w:bookmarkEnd w:id="31"/>
      <w:bookmarkEnd w:id="32"/>
      <w:bookmarkEnd w:id="33"/>
      <w:bookmarkEnd w:id="34"/>
    </w:p>
    <w:tbl>
      <w:tblPr>
        <w:tblW w:w="0" w:type="auto"/>
        <w:tblInd w:w="108" w:type="dxa"/>
        <w:tblLayout w:type="fixed"/>
        <w:tblLook w:val="0000" w:firstRow="0" w:lastRow="0" w:firstColumn="0" w:lastColumn="0" w:noHBand="0" w:noVBand="0"/>
      </w:tblPr>
      <w:tblGrid>
        <w:gridCol w:w="627"/>
        <w:gridCol w:w="5529"/>
        <w:gridCol w:w="924"/>
      </w:tblGrid>
      <w:tr>
        <w:trPr>
          <w:cantSplit/>
          <w:tblHeader/>
        </w:trPr>
        <w:tc>
          <w:tcPr>
            <w:tcW w:w="627" w:type="dxa"/>
            <w:tcBorders>
              <w:top w:val="single" w:sz="4" w:space="0" w:color="auto"/>
              <w:bottom w:val="single" w:sz="4" w:space="0" w:color="auto"/>
            </w:tcBorders>
          </w:tcPr>
          <w:p>
            <w:pPr>
              <w:pStyle w:val="yTable"/>
              <w:ind w:right="-66"/>
              <w:rPr>
                <w:b/>
                <w:bCs/>
                <w:sz w:val="20"/>
              </w:rPr>
            </w:pPr>
            <w:r>
              <w:rPr>
                <w:b/>
                <w:bCs/>
                <w:sz w:val="20"/>
              </w:rPr>
              <w:t>Item</w:t>
            </w:r>
          </w:p>
        </w:tc>
        <w:tc>
          <w:tcPr>
            <w:tcW w:w="5529"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924"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627" w:type="dxa"/>
            <w:tcBorders>
              <w:top w:val="single" w:sz="4" w:space="0" w:color="auto"/>
            </w:tcBorders>
          </w:tcPr>
          <w:p>
            <w:pPr>
              <w:pStyle w:val="yTable"/>
              <w:rPr>
                <w:sz w:val="20"/>
              </w:rPr>
            </w:pPr>
            <w:r>
              <w:rPr>
                <w:sz w:val="20"/>
              </w:rPr>
              <w:t>1.</w:t>
            </w:r>
          </w:p>
        </w:tc>
        <w:tc>
          <w:tcPr>
            <w:tcW w:w="5529"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 ............................................................</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924" w:type="dxa"/>
            <w:tcBorders>
              <w:top w:val="single" w:sz="4" w:space="0" w:color="auto"/>
            </w:tcBorders>
          </w:tcPr>
          <w:p>
            <w:pPr>
              <w:pStyle w:val="yTable"/>
              <w:spacing w:before="120"/>
              <w:ind w:right="34"/>
              <w:jc w:val="center"/>
              <w:rPr>
                <w:sz w:val="20"/>
              </w:rPr>
            </w:pPr>
            <w:r>
              <w:rPr>
                <w:sz w:val="20"/>
              </w:rPr>
              <w:br/>
              <w:t>14.50</w:t>
            </w:r>
            <w:r>
              <w:rPr>
                <w:sz w:val="20"/>
              </w:rPr>
              <w:br/>
              <w:t>14.50</w:t>
            </w:r>
          </w:p>
        </w:tc>
      </w:tr>
      <w:tr>
        <w:trPr>
          <w:cantSplit/>
        </w:trPr>
        <w:tc>
          <w:tcPr>
            <w:tcW w:w="627" w:type="dxa"/>
          </w:tcPr>
          <w:p>
            <w:pPr>
              <w:pStyle w:val="yTable"/>
              <w:rPr>
                <w:sz w:val="20"/>
              </w:rPr>
            </w:pPr>
            <w:r>
              <w:rPr>
                <w:sz w:val="20"/>
              </w:rPr>
              <w:t>2.</w:t>
            </w:r>
          </w:p>
        </w:tc>
        <w:tc>
          <w:tcPr>
            <w:tcW w:w="5529" w:type="dxa"/>
          </w:tcPr>
          <w:p>
            <w:pPr>
              <w:pStyle w:val="yTable"/>
              <w:rPr>
                <w:sz w:val="20"/>
              </w:rPr>
            </w:pPr>
            <w:r>
              <w:rPr>
                <w:sz w:val="20"/>
              </w:rPr>
              <w:t>For the service of any application, summons, originating process, notice or order of the Court or any other process requiring service .............................................................................................</w:t>
            </w:r>
          </w:p>
        </w:tc>
        <w:tc>
          <w:tcPr>
            <w:tcW w:w="924" w:type="dxa"/>
          </w:tcPr>
          <w:p>
            <w:pPr>
              <w:pStyle w:val="yTable"/>
              <w:jc w:val="center"/>
              <w:rPr>
                <w:sz w:val="20"/>
              </w:rPr>
            </w:pPr>
            <w:r>
              <w:rPr>
                <w:sz w:val="20"/>
              </w:rPr>
              <w:br/>
            </w:r>
            <w:r>
              <w:rPr>
                <w:sz w:val="20"/>
              </w:rPr>
              <w:br/>
              <w:t>56.50</w:t>
            </w:r>
          </w:p>
        </w:tc>
      </w:tr>
      <w:tr>
        <w:trPr>
          <w:cantSplit/>
        </w:trPr>
        <w:tc>
          <w:tcPr>
            <w:tcW w:w="7080" w:type="dxa"/>
            <w:gridSpan w:val="3"/>
          </w:tcPr>
          <w:p>
            <w:pPr>
              <w:pStyle w:val="yTable"/>
              <w:rPr>
                <w:sz w:val="20"/>
              </w:rPr>
            </w:pPr>
            <w:r>
              <w:rPr>
                <w:sz w:val="20"/>
              </w:rPr>
              <w:t>NOTE</w:t>
            </w:r>
          </w:p>
          <w:p>
            <w:pPr>
              <w:pStyle w:val="yTable"/>
              <w:spacing w:before="0" w:after="60"/>
              <w:rPr>
                <w:sz w:val="20"/>
              </w:rPr>
            </w:pPr>
            <w:r>
              <w:rPr>
                <w:sz w:val="20"/>
              </w:rPr>
              <w:t>The fee is payable whether or not the service is successful and covers up to 3 attempts at service at the same address.</w:t>
            </w:r>
          </w:p>
        </w:tc>
      </w:tr>
      <w:tr>
        <w:trPr>
          <w:cantSplit/>
        </w:trPr>
        <w:tc>
          <w:tcPr>
            <w:tcW w:w="627" w:type="dxa"/>
          </w:tcPr>
          <w:p>
            <w:pPr>
              <w:pStyle w:val="yTable"/>
              <w:rPr>
                <w:sz w:val="20"/>
              </w:rPr>
            </w:pPr>
            <w:r>
              <w:rPr>
                <w:sz w:val="20"/>
              </w:rPr>
              <w:t>3.</w:t>
            </w:r>
          </w:p>
        </w:tc>
        <w:tc>
          <w:tcPr>
            <w:tcW w:w="5529"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924" w:type="dxa"/>
          </w:tcPr>
          <w:p>
            <w:pPr>
              <w:pStyle w:val="yTable"/>
              <w:spacing w:before="40"/>
              <w:jc w:val="center"/>
              <w:rPr>
                <w:sz w:val="20"/>
              </w:rPr>
            </w:pPr>
            <w:r>
              <w:rPr>
                <w:sz w:val="20"/>
              </w:rPr>
              <w:br/>
            </w:r>
            <w:r>
              <w:rPr>
                <w:sz w:val="20"/>
              </w:rPr>
              <w:br/>
            </w:r>
            <w:r>
              <w:rPr>
                <w:sz w:val="20"/>
              </w:rPr>
              <w:br/>
            </w:r>
            <w:r>
              <w:rPr>
                <w:sz w:val="20"/>
              </w:rPr>
              <w:br/>
            </w:r>
            <w:r>
              <w:rPr>
                <w:sz w:val="20"/>
              </w:rPr>
              <w:br/>
            </w:r>
            <w:r>
              <w:rPr>
                <w:sz w:val="20"/>
              </w:rPr>
              <w:br/>
              <w:t>1.45</w:t>
            </w:r>
            <w:r>
              <w:rPr>
                <w:sz w:val="20"/>
              </w:rPr>
              <w:br/>
            </w:r>
            <w:r>
              <w:rPr>
                <w:sz w:val="20"/>
              </w:rPr>
              <w:br/>
              <w:t>1.60</w:t>
            </w:r>
          </w:p>
        </w:tc>
      </w:tr>
      <w:tr>
        <w:trPr>
          <w:cantSplit/>
        </w:trPr>
        <w:tc>
          <w:tcPr>
            <w:tcW w:w="7080" w:type="dxa"/>
            <w:gridSpan w:val="3"/>
          </w:tcPr>
          <w:p>
            <w:pPr>
              <w:pStyle w:val="yTable"/>
              <w:rPr>
                <w:sz w:val="20"/>
              </w:rPr>
            </w:pPr>
            <w:r>
              <w:rPr>
                <w:sz w:val="20"/>
              </w:rPr>
              <w:t>NOTE</w:t>
            </w:r>
          </w:p>
          <w:p>
            <w:pPr>
              <w:pStyle w:val="yTable"/>
              <w:spacing w:before="0" w:after="60"/>
              <w:rPr>
                <w:sz w:val="20"/>
              </w:rPr>
            </w:pPr>
            <w:r>
              <w:rPr>
                <w:sz w:val="20"/>
              </w:rPr>
              <w:t>If more than one process or document is executed or served by an enforcement officer at the same time on the same person or on different persons at the same address, only one allowance for kilometres is chargeable.</w:t>
            </w:r>
          </w:p>
        </w:tc>
      </w:tr>
      <w:tr>
        <w:trPr>
          <w:cantSplit/>
        </w:trPr>
        <w:tc>
          <w:tcPr>
            <w:tcW w:w="627" w:type="dxa"/>
          </w:tcPr>
          <w:p>
            <w:pPr>
              <w:pStyle w:val="yTable"/>
              <w:rPr>
                <w:sz w:val="20"/>
              </w:rPr>
            </w:pPr>
            <w:r>
              <w:rPr>
                <w:sz w:val="20"/>
              </w:rPr>
              <w:t>4.</w:t>
            </w:r>
          </w:p>
        </w:tc>
        <w:tc>
          <w:tcPr>
            <w:tcW w:w="5529"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924" w:type="dxa"/>
          </w:tcPr>
          <w:p>
            <w:pPr>
              <w:pStyle w:val="yTable"/>
              <w:jc w:val="center"/>
              <w:rPr>
                <w:sz w:val="20"/>
              </w:rPr>
            </w:pPr>
            <w:r>
              <w:rPr>
                <w:sz w:val="20"/>
              </w:rPr>
              <w:br/>
            </w:r>
            <w:r>
              <w:rPr>
                <w:sz w:val="20"/>
              </w:rPr>
              <w:br/>
              <w:t>32.70</w:t>
            </w:r>
          </w:p>
          <w:p>
            <w:pPr>
              <w:pStyle w:val="yTable"/>
              <w:spacing w:before="0"/>
              <w:jc w:val="center"/>
              <w:rPr>
                <w:sz w:val="20"/>
              </w:rPr>
            </w:pPr>
            <w:r>
              <w:rPr>
                <w:sz w:val="20"/>
              </w:rPr>
              <w:br/>
            </w:r>
            <w:r>
              <w:rPr>
                <w:sz w:val="20"/>
              </w:rPr>
              <w:br/>
              <w:t>32.70</w:t>
            </w:r>
          </w:p>
          <w:p>
            <w:pPr>
              <w:pStyle w:val="yTable"/>
              <w:jc w:val="center"/>
              <w:rPr>
                <w:sz w:val="20"/>
              </w:rPr>
            </w:pPr>
            <w:r>
              <w:rPr>
                <w:sz w:val="20"/>
              </w:rPr>
              <w:br/>
              <w:t>81.00</w:t>
            </w:r>
          </w:p>
        </w:tc>
      </w:tr>
      <w:tr>
        <w:trPr>
          <w:cantSplit/>
        </w:trPr>
        <w:tc>
          <w:tcPr>
            <w:tcW w:w="627" w:type="dxa"/>
          </w:tcPr>
          <w:p>
            <w:pPr>
              <w:pStyle w:val="yTable"/>
              <w:rPr>
                <w:sz w:val="20"/>
              </w:rPr>
            </w:pPr>
            <w:r>
              <w:rPr>
                <w:sz w:val="20"/>
              </w:rPr>
              <w:t>5.</w:t>
            </w:r>
          </w:p>
        </w:tc>
        <w:tc>
          <w:tcPr>
            <w:tcW w:w="5529" w:type="dxa"/>
          </w:tcPr>
          <w:p>
            <w:pPr>
              <w:pStyle w:val="yTable"/>
              <w:tabs>
                <w:tab w:val="left" w:pos="176"/>
                <w:tab w:val="left" w:pos="601"/>
              </w:tabs>
              <w:ind w:left="601" w:right="12"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924" w:type="dxa"/>
          </w:tcPr>
          <w:p>
            <w:pPr>
              <w:pStyle w:val="yTable"/>
              <w:jc w:val="center"/>
              <w:rPr>
                <w:sz w:val="20"/>
              </w:rPr>
            </w:pPr>
            <w:r>
              <w:rPr>
                <w:sz w:val="20"/>
              </w:rPr>
              <w:br/>
            </w:r>
            <w:r>
              <w:rPr>
                <w:sz w:val="20"/>
              </w:rPr>
              <w:br/>
              <w:t>48.10</w:t>
            </w:r>
          </w:p>
          <w:p>
            <w:pPr>
              <w:pStyle w:val="yTable"/>
              <w:jc w:val="center"/>
              <w:rPr>
                <w:sz w:val="20"/>
              </w:rPr>
            </w:pPr>
            <w:r>
              <w:rPr>
                <w:sz w:val="20"/>
              </w:rPr>
              <w:br/>
            </w:r>
            <w:r>
              <w:rPr>
                <w:sz w:val="20"/>
              </w:rPr>
              <w:br/>
            </w:r>
            <w:r>
              <w:rPr>
                <w:sz w:val="20"/>
              </w:rPr>
              <w:br/>
            </w:r>
            <w:r>
              <w:rPr>
                <w:sz w:val="20"/>
              </w:rPr>
              <w:br/>
              <w:t>81.00</w:t>
            </w:r>
          </w:p>
        </w:tc>
      </w:tr>
      <w:tr>
        <w:trPr>
          <w:cantSplit/>
        </w:trPr>
        <w:tc>
          <w:tcPr>
            <w:tcW w:w="627" w:type="dxa"/>
          </w:tcPr>
          <w:p>
            <w:pPr>
              <w:pStyle w:val="yTable"/>
              <w:rPr>
                <w:sz w:val="20"/>
              </w:rPr>
            </w:pPr>
            <w:r>
              <w:rPr>
                <w:sz w:val="20"/>
              </w:rPr>
              <w:t>6.</w:t>
            </w:r>
          </w:p>
        </w:tc>
        <w:tc>
          <w:tcPr>
            <w:tcW w:w="5529"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sz w:val="20"/>
              </w:rPr>
              <w:tab/>
              <w:t>(ii)</w:t>
            </w:r>
            <w:r>
              <w:rPr>
                <w:sz w:val="20"/>
              </w:rPr>
              <w:tab/>
              <w:t>for each copy consisting of 10 or more pages an additional fee per page of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924" w:type="dxa"/>
          </w:tcPr>
          <w:p>
            <w:pPr>
              <w:pStyle w:val="yTable"/>
              <w:jc w:val="center"/>
              <w:rPr>
                <w:sz w:val="20"/>
              </w:rPr>
            </w:pPr>
            <w:r>
              <w:rPr>
                <w:sz w:val="20"/>
              </w:rPr>
              <w:br/>
              <w:t>1.50</w:t>
            </w:r>
          </w:p>
          <w:p>
            <w:pPr>
              <w:pStyle w:val="yTable"/>
              <w:jc w:val="center"/>
              <w:rPr>
                <w:sz w:val="20"/>
              </w:rPr>
            </w:pPr>
            <w:r>
              <w:rPr>
                <w:sz w:val="20"/>
              </w:rPr>
              <w:br/>
            </w:r>
          </w:p>
          <w:p>
            <w:pPr>
              <w:pStyle w:val="yTable"/>
              <w:jc w:val="center"/>
              <w:rPr>
                <w:sz w:val="20"/>
              </w:rPr>
            </w:pPr>
            <w:r>
              <w:rPr>
                <w:sz w:val="20"/>
              </w:rPr>
              <w:br/>
            </w:r>
            <w:r>
              <w:rPr>
                <w:sz w:val="20"/>
              </w:rPr>
              <w:br/>
              <w:t>11.40</w:t>
            </w:r>
          </w:p>
          <w:p>
            <w:pPr>
              <w:pStyle w:val="yTable"/>
              <w:jc w:val="center"/>
              <w:rPr>
                <w:sz w:val="20"/>
              </w:rPr>
            </w:pPr>
            <w:r>
              <w:rPr>
                <w:sz w:val="20"/>
              </w:rPr>
              <w:br/>
              <w:t>1.45</w:t>
            </w:r>
          </w:p>
          <w:p>
            <w:pPr>
              <w:pStyle w:val="yTable"/>
              <w:jc w:val="center"/>
              <w:rPr>
                <w:sz w:val="20"/>
              </w:rPr>
            </w:pPr>
            <w:r>
              <w:rPr>
                <w:sz w:val="20"/>
              </w:rPr>
              <w:br/>
              <w:t>15.75</w:t>
            </w:r>
          </w:p>
        </w:tc>
      </w:tr>
      <w:tr>
        <w:trPr>
          <w:cantSplit/>
        </w:trPr>
        <w:tc>
          <w:tcPr>
            <w:tcW w:w="7080" w:type="dxa"/>
            <w:gridSpan w:val="3"/>
          </w:tcPr>
          <w:p>
            <w:pPr>
              <w:pStyle w:val="yTable"/>
              <w:rPr>
                <w:sz w:val="20"/>
              </w:rPr>
            </w:pPr>
            <w:r>
              <w:rPr>
                <w:sz w:val="20"/>
              </w:rPr>
              <w:t>NOTE</w:t>
            </w:r>
          </w:p>
          <w:p>
            <w:pPr>
              <w:pStyle w:val="yTable"/>
              <w:spacing w:before="0" w:after="60"/>
              <w:rPr>
                <w:sz w:val="20"/>
              </w:rPr>
            </w:pPr>
            <w:r>
              <w:rPr>
                <w:sz w:val="20"/>
              </w:rPr>
              <w:t>Fee under item 6(a) for a copy of an application is not payable where circumstances under regulation 6(4) exist.</w:t>
            </w:r>
          </w:p>
        </w:tc>
      </w:tr>
      <w:tr>
        <w:trPr>
          <w:cantSplit/>
        </w:trPr>
        <w:tc>
          <w:tcPr>
            <w:tcW w:w="627" w:type="dxa"/>
          </w:tcPr>
          <w:p>
            <w:pPr>
              <w:pStyle w:val="yTable"/>
              <w:rPr>
                <w:sz w:val="20"/>
              </w:rPr>
            </w:pPr>
            <w:r>
              <w:rPr>
                <w:sz w:val="20"/>
              </w:rPr>
              <w:t>7.</w:t>
            </w:r>
          </w:p>
        </w:tc>
        <w:tc>
          <w:tcPr>
            <w:tcW w:w="5529" w:type="dxa"/>
          </w:tcPr>
          <w:p>
            <w:pPr>
              <w:pStyle w:val="yTable"/>
              <w:tabs>
                <w:tab w:val="left" w:pos="176"/>
                <w:tab w:val="left" w:pos="601"/>
              </w:tabs>
              <w:ind w:left="601" w:hanging="601"/>
              <w:rPr>
                <w:sz w:val="20"/>
              </w:rPr>
            </w:pPr>
            <w:r>
              <w:rPr>
                <w:sz w:val="20"/>
              </w:rPr>
              <w:tab/>
              <w:t>(a)</w:t>
            </w:r>
            <w:r>
              <w:rPr>
                <w:sz w:val="20"/>
              </w:rPr>
              <w:tab/>
              <w:t>for a copy of a transcript or notes of evidence, for each page or part of a page...........................................................</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for each copy of a transcript not in electronic format if a fee has been paid under paragraph (a) by the applicant for a copy of the transcript, for each page or part of a page .....</w:t>
            </w:r>
          </w:p>
        </w:tc>
        <w:tc>
          <w:tcPr>
            <w:tcW w:w="924" w:type="dxa"/>
          </w:tcPr>
          <w:p>
            <w:pPr>
              <w:pStyle w:val="yTable"/>
              <w:jc w:val="center"/>
              <w:rPr>
                <w:sz w:val="20"/>
              </w:rPr>
            </w:pPr>
            <w:r>
              <w:rPr>
                <w:sz w:val="20"/>
              </w:rPr>
              <w:br/>
              <w:t>6.35</w:t>
            </w:r>
          </w:p>
          <w:p>
            <w:pPr>
              <w:pStyle w:val="yTable"/>
              <w:jc w:val="center"/>
              <w:rPr>
                <w:sz w:val="20"/>
              </w:rPr>
            </w:pPr>
            <w:r>
              <w:rPr>
                <w:sz w:val="20"/>
              </w:rPr>
              <w:br/>
            </w:r>
            <w:r>
              <w:rPr>
                <w:sz w:val="20"/>
              </w:rPr>
              <w:br/>
            </w:r>
            <w:r>
              <w:rPr>
                <w:sz w:val="20"/>
              </w:rPr>
              <w:br/>
              <w:t>15.75</w:t>
            </w:r>
          </w:p>
          <w:p>
            <w:pPr>
              <w:pStyle w:val="yTable"/>
              <w:jc w:val="center"/>
              <w:rPr>
                <w:sz w:val="20"/>
              </w:rPr>
            </w:pPr>
            <w:r>
              <w:rPr>
                <w:sz w:val="20"/>
              </w:rPr>
              <w:br/>
            </w:r>
            <w:r>
              <w:rPr>
                <w:sz w:val="20"/>
              </w:rPr>
              <w:br/>
              <w:t>1.50</w:t>
            </w:r>
          </w:p>
        </w:tc>
      </w:tr>
      <w:tr>
        <w:trPr>
          <w:cantSplit/>
        </w:trPr>
        <w:tc>
          <w:tcPr>
            <w:tcW w:w="7080" w:type="dxa"/>
            <w:gridSpan w:val="3"/>
            <w:tcBorders>
              <w:bottom w:val="single" w:sz="4" w:space="0" w:color="auto"/>
            </w:tcBorders>
          </w:tcPr>
          <w:p>
            <w:pPr>
              <w:pStyle w:val="yTable"/>
              <w:rPr>
                <w:sz w:val="20"/>
              </w:rPr>
            </w:pPr>
            <w:r>
              <w:rPr>
                <w:sz w:val="20"/>
              </w:rPr>
              <w:t>NOTE 1</w:t>
            </w:r>
          </w:p>
          <w:p>
            <w:pPr>
              <w:pStyle w:val="yTable"/>
              <w:spacing w:before="0"/>
              <w:rPr>
                <w:sz w:val="20"/>
              </w:rPr>
            </w:pPr>
            <w:r>
              <w:rPr>
                <w:sz w:val="20"/>
              </w:rPr>
              <w:t>A minimum fee of $22.60 is payable under item 7(a).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r>
        <w:tab/>
        <w:t>[Division 1 amended in Gazette 23 Jun 2006 p. 2182; 26 Jun 2007 p. 3040</w:t>
      </w:r>
      <w:r>
        <w:noBreakHyphen/>
        <w:t>1; 27 Jun 2008 p. 3071; 4 Sep 2009 p. 3484; 8 Mar 2011 p. 791</w:t>
      </w:r>
      <w:r>
        <w:noBreakHyphen/>
        <w:t>2; 20 Dec 2011 p. 5391; 30 Nov 2012 p. 5794</w:t>
      </w:r>
      <w:r>
        <w:noBreakHyphen/>
        <w:t xml:space="preserve">5; </w:t>
      </w:r>
      <w:r>
        <w:rPr>
          <w:sz w:val="24"/>
        </w:rPr>
        <w:t>15 Nov 2013 p. 52</w:t>
      </w:r>
      <w:r>
        <w:t>51; 27 Jun 2014 p. 2333-4.]</w:t>
      </w:r>
    </w:p>
    <w:p>
      <w:pPr>
        <w:pStyle w:val="yHeading3"/>
        <w:spacing w:after="240"/>
      </w:pPr>
      <w:bookmarkStart w:id="35" w:name="_Toc378075986"/>
      <w:bookmarkStart w:id="36" w:name="_Toc391629934"/>
      <w:bookmarkStart w:id="37" w:name="_Toc415648679"/>
      <w:bookmarkStart w:id="38" w:name="_Toc415648776"/>
      <w:bookmarkStart w:id="39" w:name="_Toc415648797"/>
      <w:r>
        <w:rPr>
          <w:rStyle w:val="CharSDivNo"/>
        </w:rPr>
        <w:t>Division 2</w:t>
      </w:r>
      <w:r>
        <w:rPr>
          <w:b w:val="0"/>
        </w:rPr>
        <w:t> — </w:t>
      </w:r>
      <w:r>
        <w:rPr>
          <w:rStyle w:val="CharSDivText"/>
        </w:rPr>
        <w:t>Civil jurisdiction</w:t>
      </w:r>
      <w:bookmarkEnd w:id="35"/>
      <w:bookmarkEnd w:id="36"/>
      <w:bookmarkEnd w:id="37"/>
      <w:bookmarkEnd w:id="38"/>
      <w:bookmarkEnd w:id="39"/>
    </w:p>
    <w:tbl>
      <w:tblPr>
        <w:tblW w:w="0" w:type="auto"/>
        <w:tblInd w:w="108" w:type="dxa"/>
        <w:tblLayout w:type="fixed"/>
        <w:tblLook w:val="0000" w:firstRow="0" w:lastRow="0" w:firstColumn="0" w:lastColumn="0" w:noHBand="0" w:noVBand="0"/>
      </w:tblPr>
      <w:tblGrid>
        <w:gridCol w:w="741"/>
        <w:gridCol w:w="5415"/>
        <w:gridCol w:w="932"/>
        <w:gridCol w:w="14"/>
      </w:tblGrid>
      <w:tr>
        <w:trPr>
          <w:gridAfter w:val="1"/>
          <w:wAfter w:w="14" w:type="dxa"/>
          <w:cantSplit/>
          <w:tblHeader/>
        </w:trPr>
        <w:tc>
          <w:tcPr>
            <w:tcW w:w="741" w:type="dxa"/>
            <w:tcBorders>
              <w:top w:val="single" w:sz="4" w:space="0" w:color="auto"/>
              <w:bottom w:val="single" w:sz="4" w:space="0" w:color="auto"/>
            </w:tcBorders>
          </w:tcPr>
          <w:p>
            <w:pPr>
              <w:pStyle w:val="yTable"/>
              <w:ind w:right="-108" w:hanging="80"/>
              <w:jc w:val="center"/>
              <w:rPr>
                <w:b/>
                <w:sz w:val="20"/>
              </w:rPr>
            </w:pPr>
            <w:r>
              <w:rPr>
                <w:b/>
                <w:sz w:val="20"/>
              </w:rPr>
              <w:t>Item</w:t>
            </w:r>
          </w:p>
        </w:tc>
        <w:tc>
          <w:tcPr>
            <w:tcW w:w="5415" w:type="dxa"/>
            <w:tcBorders>
              <w:top w:val="single" w:sz="4" w:space="0" w:color="auto"/>
              <w:bottom w:val="single" w:sz="4" w:space="0" w:color="auto"/>
            </w:tcBorders>
          </w:tcPr>
          <w:p>
            <w:pPr>
              <w:pStyle w:val="yTable"/>
              <w:jc w:val="center"/>
              <w:rPr>
                <w:b/>
                <w:sz w:val="20"/>
              </w:rPr>
            </w:pPr>
            <w:r>
              <w:rPr>
                <w:b/>
                <w:sz w:val="20"/>
              </w:rPr>
              <w:t>Matter</w:t>
            </w:r>
          </w:p>
        </w:tc>
        <w:tc>
          <w:tcPr>
            <w:tcW w:w="932" w:type="dxa"/>
            <w:tcBorders>
              <w:top w:val="single" w:sz="4" w:space="0" w:color="auto"/>
              <w:bottom w:val="single" w:sz="4" w:space="0" w:color="auto"/>
            </w:tcBorders>
          </w:tcPr>
          <w:p>
            <w:pPr>
              <w:pStyle w:val="yTable"/>
              <w:ind w:left="-250"/>
              <w:jc w:val="center"/>
              <w:rPr>
                <w:b/>
                <w:sz w:val="20"/>
              </w:rPr>
            </w:pPr>
            <w:r>
              <w:rPr>
                <w:b/>
                <w:sz w:val="20"/>
              </w:rPr>
              <w:t>$</w:t>
            </w:r>
          </w:p>
        </w:tc>
      </w:tr>
      <w:tr>
        <w:trPr>
          <w:gridAfter w:val="1"/>
          <w:wAfter w:w="14" w:type="dxa"/>
        </w:trPr>
        <w:tc>
          <w:tcPr>
            <w:tcW w:w="741" w:type="dxa"/>
          </w:tcPr>
          <w:p>
            <w:pPr>
              <w:pStyle w:val="yTable"/>
            </w:pPr>
            <w:r>
              <w:rPr>
                <w:sz w:val="20"/>
              </w:rPr>
              <w:t>1.</w:t>
            </w:r>
          </w:p>
        </w:tc>
        <w:tc>
          <w:tcPr>
            <w:tcW w:w="5415" w:type="dxa"/>
          </w:tcPr>
          <w:p>
            <w:pPr>
              <w:pStyle w:val="yTable"/>
            </w:pPr>
            <w:r>
              <w:rPr>
                <w:sz w:val="20"/>
              </w:rPr>
              <w:t xml:space="preserve">On filing an application for a misconduct restraining order under the </w:t>
            </w:r>
            <w:r>
              <w:rPr>
                <w:i/>
                <w:iCs/>
                <w:sz w:val="20"/>
              </w:rPr>
              <w:t>Restraining Orders Act 1997</w:t>
            </w:r>
            <w:r>
              <w:rPr>
                <w:sz w:val="20"/>
              </w:rPr>
              <w:t xml:space="preserve"> ..................................................</w:t>
            </w:r>
          </w:p>
        </w:tc>
        <w:tc>
          <w:tcPr>
            <w:tcW w:w="932" w:type="dxa"/>
          </w:tcPr>
          <w:p>
            <w:pPr>
              <w:pStyle w:val="yTable"/>
              <w:jc w:val="right"/>
              <w:rPr>
                <w:sz w:val="20"/>
              </w:rPr>
            </w:pPr>
            <w:r>
              <w:rPr>
                <w:sz w:val="20"/>
              </w:rPr>
              <w:br/>
              <w:t>94.00</w:t>
            </w:r>
          </w:p>
        </w:tc>
      </w:tr>
      <w:tr>
        <w:trPr>
          <w:gridAfter w:val="1"/>
          <w:wAfter w:w="14" w:type="dxa"/>
        </w:trPr>
        <w:tc>
          <w:tcPr>
            <w:tcW w:w="741" w:type="dxa"/>
          </w:tcPr>
          <w:p>
            <w:pPr>
              <w:pStyle w:val="yTable"/>
            </w:pPr>
            <w:r>
              <w:rPr>
                <w:sz w:val="20"/>
              </w:rPr>
              <w:t>2.</w:t>
            </w:r>
          </w:p>
        </w:tc>
        <w:tc>
          <w:tcPr>
            <w:tcW w:w="5415" w:type="dxa"/>
          </w:tcPr>
          <w:p>
            <w:pPr>
              <w:pStyle w:val="yTable"/>
            </w:pPr>
            <w:r>
              <w:rPr>
                <w:sz w:val="20"/>
              </w:rPr>
              <w:t xml:space="preserve">On the execution of an arrest warrant of any kind — </w:t>
            </w:r>
          </w:p>
        </w:tc>
        <w:tc>
          <w:tcPr>
            <w:tcW w:w="932" w:type="dxa"/>
          </w:tcPr>
          <w:p>
            <w:pPr>
              <w:pStyle w:val="yTable"/>
              <w:jc w:val="right"/>
              <w:rPr>
                <w:sz w:val="20"/>
              </w:rPr>
            </w:pPr>
          </w:p>
        </w:tc>
      </w:tr>
      <w:tr>
        <w:trPr>
          <w:gridAfter w:val="1"/>
          <w:wAfter w:w="14" w:type="dxa"/>
        </w:trPr>
        <w:tc>
          <w:tcPr>
            <w:tcW w:w="741" w:type="dxa"/>
          </w:tcPr>
          <w:p>
            <w:pPr>
              <w:pStyle w:val="zytable"/>
              <w:ind w:left="0"/>
              <w:rPr>
                <w:sz w:val="20"/>
              </w:rPr>
            </w:pPr>
          </w:p>
        </w:tc>
        <w:tc>
          <w:tcPr>
            <w:tcW w:w="5415" w:type="dxa"/>
          </w:tcPr>
          <w:p>
            <w:pPr>
              <w:pStyle w:val="yTable"/>
              <w:tabs>
                <w:tab w:val="left" w:pos="459"/>
              </w:tabs>
              <w:ind w:left="459" w:hanging="459"/>
            </w:pPr>
            <w:r>
              <w:rPr>
                <w:sz w:val="20"/>
              </w:rPr>
              <w:t>(a)</w:t>
            </w:r>
            <w:r>
              <w:rPr>
                <w:sz w:val="20"/>
              </w:rPr>
              <w:tab/>
              <w:t>for arresting the person ........................................................</w:t>
            </w:r>
          </w:p>
        </w:tc>
        <w:tc>
          <w:tcPr>
            <w:tcW w:w="932" w:type="dxa"/>
          </w:tcPr>
          <w:p>
            <w:pPr>
              <w:pStyle w:val="yTable"/>
              <w:jc w:val="right"/>
              <w:rPr>
                <w:sz w:val="20"/>
              </w:rPr>
            </w:pPr>
            <w:r>
              <w:rPr>
                <w:sz w:val="20"/>
              </w:rPr>
              <w:t>102.50</w:t>
            </w:r>
          </w:p>
        </w:tc>
      </w:tr>
      <w:tr>
        <w:trPr>
          <w:gridAfter w:val="1"/>
          <w:wAfter w:w="14" w:type="dxa"/>
        </w:trPr>
        <w:tc>
          <w:tcPr>
            <w:tcW w:w="741" w:type="dxa"/>
          </w:tcPr>
          <w:p>
            <w:pPr>
              <w:pStyle w:val="zytable"/>
              <w:ind w:left="0"/>
              <w:rPr>
                <w:sz w:val="20"/>
              </w:rPr>
            </w:pPr>
          </w:p>
        </w:tc>
        <w:tc>
          <w:tcPr>
            <w:tcW w:w="5415" w:type="dxa"/>
          </w:tcPr>
          <w:p>
            <w:pPr>
              <w:pStyle w:val="yTable"/>
              <w:tabs>
                <w:tab w:val="left" w:pos="459"/>
              </w:tabs>
              <w:ind w:left="459" w:hanging="459"/>
            </w:pPr>
            <w:r>
              <w:rPr>
                <w:sz w:val="20"/>
              </w:rPr>
              <w:t>(b)</w:t>
            </w:r>
            <w:r>
              <w:rPr>
                <w:sz w:val="20"/>
              </w:rPr>
              <w:tab/>
              <w:t>for conveying the person to a court or a custodial place and releasing the person from arrest or custody .........................</w:t>
            </w:r>
          </w:p>
        </w:tc>
        <w:tc>
          <w:tcPr>
            <w:tcW w:w="932" w:type="dxa"/>
          </w:tcPr>
          <w:p>
            <w:pPr>
              <w:pStyle w:val="yTable"/>
              <w:jc w:val="right"/>
              <w:rPr>
                <w:sz w:val="20"/>
              </w:rPr>
            </w:pPr>
            <w:r>
              <w:rPr>
                <w:sz w:val="20"/>
              </w:rPr>
              <w:br/>
              <w:t>102.50</w:t>
            </w:r>
          </w:p>
        </w:tc>
      </w:tr>
      <w:tr>
        <w:trPr>
          <w:gridAfter w:val="1"/>
          <w:wAfter w:w="14" w:type="dxa"/>
        </w:trPr>
        <w:tc>
          <w:tcPr>
            <w:tcW w:w="741" w:type="dxa"/>
          </w:tcPr>
          <w:p>
            <w:pPr>
              <w:pStyle w:val="zytable"/>
              <w:ind w:left="0"/>
              <w:rPr>
                <w:sz w:val="20"/>
              </w:rPr>
            </w:pPr>
          </w:p>
        </w:tc>
        <w:tc>
          <w:tcPr>
            <w:tcW w:w="5415" w:type="dxa"/>
          </w:tcPr>
          <w:p>
            <w:pPr>
              <w:pStyle w:val="yTable"/>
              <w:tabs>
                <w:tab w:val="left" w:pos="459"/>
              </w:tabs>
              <w:ind w:left="459" w:hanging="459"/>
            </w:pPr>
            <w:r>
              <w:rPr>
                <w:sz w:val="20"/>
              </w:rPr>
              <w:t>(c)</w:t>
            </w:r>
            <w:r>
              <w:rPr>
                <w:sz w:val="20"/>
              </w:rPr>
              <w:tab/>
              <w:t>for each 30 minutes after 2 hours and 30 minutes that an enforcement officer is required to keep the person in custody until the person is conveyed to a court or a custodial place .....................................................................</w:t>
            </w:r>
          </w:p>
        </w:tc>
        <w:tc>
          <w:tcPr>
            <w:tcW w:w="932" w:type="dxa"/>
          </w:tcPr>
          <w:p>
            <w:pPr>
              <w:pStyle w:val="yTable"/>
              <w:jc w:val="right"/>
              <w:rPr>
                <w:sz w:val="20"/>
              </w:rPr>
            </w:pPr>
            <w:r>
              <w:rPr>
                <w:sz w:val="20"/>
              </w:rPr>
              <w:br/>
            </w:r>
            <w:r>
              <w:rPr>
                <w:sz w:val="20"/>
              </w:rPr>
              <w:br/>
            </w:r>
            <w:r>
              <w:rPr>
                <w:sz w:val="20"/>
              </w:rPr>
              <w:br/>
              <w:t>27.20</w:t>
            </w:r>
          </w:p>
        </w:tc>
      </w:tr>
      <w:tr>
        <w:trPr>
          <w:gridAfter w:val="1"/>
          <w:wAfter w:w="14" w:type="dxa"/>
          <w:cantSplit/>
        </w:trPr>
        <w:tc>
          <w:tcPr>
            <w:tcW w:w="7088" w:type="dxa"/>
            <w:gridSpan w:val="3"/>
          </w:tcPr>
          <w:p>
            <w:pPr>
              <w:pStyle w:val="yTable"/>
              <w:rPr>
                <w:sz w:val="16"/>
              </w:rPr>
            </w:pPr>
            <w:r>
              <w:rPr>
                <w:sz w:val="16"/>
              </w:rPr>
              <w:t>NOTE 1</w:t>
            </w:r>
          </w:p>
          <w:p>
            <w:pPr>
              <w:pStyle w:val="yTable"/>
              <w:spacing w:after="60"/>
              <w:rPr>
                <w:sz w:val="16"/>
              </w:rPr>
            </w:pPr>
            <w:r>
              <w:rPr>
                <w:sz w:val="16"/>
              </w:rPr>
              <w:t>The fee under paragraph (a) is payable whether or not the Sheriff’s functions under the warrant are performed and includes up to 3 attempts to perform the functions at the same address.</w:t>
            </w:r>
          </w:p>
        </w:tc>
      </w:tr>
      <w:tr>
        <w:trPr>
          <w:gridAfter w:val="1"/>
          <w:wAfter w:w="14" w:type="dxa"/>
          <w:cantSplit/>
        </w:trPr>
        <w:tc>
          <w:tcPr>
            <w:tcW w:w="7088" w:type="dxa"/>
            <w:gridSpan w:val="3"/>
          </w:tcPr>
          <w:p>
            <w:pPr>
              <w:pStyle w:val="yTable"/>
              <w:rPr>
                <w:sz w:val="16"/>
              </w:rPr>
            </w:pPr>
            <w:r>
              <w:rPr>
                <w:sz w:val="16"/>
              </w:rPr>
              <w:t>NOTE 2</w:t>
            </w:r>
          </w:p>
          <w:p>
            <w:pPr>
              <w:pStyle w:val="yTable"/>
              <w:rPr>
                <w:sz w:val="16"/>
              </w:rPr>
            </w:pPr>
            <w:r>
              <w:rPr>
                <w:sz w:val="16"/>
              </w:rPr>
              <w:t xml:space="preserve">The fee under paragraph (a) includes — </w:t>
            </w:r>
          </w:p>
          <w:p>
            <w:pPr>
              <w:pStyle w:val="yTable"/>
              <w:tabs>
                <w:tab w:val="left" w:pos="459"/>
              </w:tabs>
              <w:spacing w:before="0"/>
              <w:rPr>
                <w:sz w:val="16"/>
              </w:rPr>
            </w:pPr>
            <w:r>
              <w:rPr>
                <w:sz w:val="16"/>
              </w:rPr>
              <w:t>(a)</w:t>
            </w:r>
            <w:r>
              <w:rPr>
                <w:sz w:val="16"/>
              </w:rPr>
              <w:tab/>
              <w:t>receipt of the warrant; and</w:t>
            </w:r>
          </w:p>
          <w:p>
            <w:pPr>
              <w:pStyle w:val="yTable"/>
              <w:tabs>
                <w:tab w:val="left" w:pos="459"/>
              </w:tabs>
              <w:spacing w:before="0"/>
              <w:rPr>
                <w:sz w:val="16"/>
              </w:rPr>
            </w:pPr>
            <w:r>
              <w:rPr>
                <w:sz w:val="16"/>
              </w:rPr>
              <w:t>(b)</w:t>
            </w:r>
            <w:r>
              <w:rPr>
                <w:sz w:val="16"/>
              </w:rPr>
              <w:tab/>
              <w:t>attendances and inquiries before attempting arrest; and</w:t>
            </w:r>
          </w:p>
          <w:p>
            <w:pPr>
              <w:pStyle w:val="yTable"/>
              <w:tabs>
                <w:tab w:val="left" w:pos="459"/>
              </w:tabs>
              <w:spacing w:before="0"/>
              <w:rPr>
                <w:sz w:val="16"/>
              </w:rPr>
            </w:pPr>
            <w:r>
              <w:rPr>
                <w:sz w:val="16"/>
              </w:rPr>
              <w:t>(c)</w:t>
            </w:r>
            <w:r>
              <w:rPr>
                <w:sz w:val="16"/>
              </w:rPr>
              <w:tab/>
              <w:t>giving any notice; and</w:t>
            </w:r>
          </w:p>
          <w:p>
            <w:pPr>
              <w:pStyle w:val="yTable"/>
              <w:tabs>
                <w:tab w:val="left" w:pos="459"/>
              </w:tabs>
              <w:spacing w:before="0" w:after="60"/>
              <w:rPr>
                <w:sz w:val="16"/>
              </w:rPr>
            </w:pPr>
            <w:r>
              <w:rPr>
                <w:sz w:val="16"/>
              </w:rPr>
              <w:t>(d)</w:t>
            </w:r>
            <w:r>
              <w:rPr>
                <w:sz w:val="16"/>
              </w:rPr>
              <w:tab/>
              <w:t>making any report.</w:t>
            </w:r>
          </w:p>
        </w:tc>
      </w:tr>
      <w:tr>
        <w:trPr>
          <w:cantSplit/>
        </w:trPr>
        <w:tc>
          <w:tcPr>
            <w:tcW w:w="741" w:type="dxa"/>
            <w:tcBorders>
              <w:bottom w:val="single" w:sz="4" w:space="0" w:color="auto"/>
            </w:tcBorders>
          </w:tcPr>
          <w:p>
            <w:pPr>
              <w:pStyle w:val="yTable"/>
              <w:rPr>
                <w:sz w:val="20"/>
              </w:rPr>
            </w:pPr>
            <w:r>
              <w:rPr>
                <w:sz w:val="20"/>
              </w:rPr>
              <w:t>3.</w:t>
            </w:r>
          </w:p>
        </w:tc>
        <w:tc>
          <w:tcPr>
            <w:tcW w:w="5415" w:type="dxa"/>
            <w:tcBorders>
              <w:bottom w:val="single" w:sz="4" w:space="0" w:color="auto"/>
            </w:tcBorders>
          </w:tcPr>
          <w:p>
            <w:pPr>
              <w:pStyle w:val="yTable"/>
              <w:spacing w:after="20"/>
              <w:ind w:right="-28"/>
              <w:rPr>
                <w:sz w:val="20"/>
              </w:rPr>
            </w:pPr>
            <w:r>
              <w:rPr>
                <w:sz w:val="20"/>
              </w:rPr>
              <w:t>For an application for an extraordinary drivers licence .................</w:t>
            </w:r>
          </w:p>
        </w:tc>
        <w:tc>
          <w:tcPr>
            <w:tcW w:w="946" w:type="dxa"/>
            <w:gridSpan w:val="2"/>
            <w:tcBorders>
              <w:bottom w:val="single" w:sz="4" w:space="0" w:color="auto"/>
            </w:tcBorders>
          </w:tcPr>
          <w:p>
            <w:pPr>
              <w:pStyle w:val="yTable"/>
              <w:jc w:val="center"/>
              <w:rPr>
                <w:sz w:val="20"/>
              </w:rPr>
            </w:pPr>
            <w:r>
              <w:rPr>
                <w:sz w:val="20"/>
              </w:rPr>
              <w:t>162.50</w:t>
            </w:r>
          </w:p>
        </w:tc>
      </w:tr>
    </w:tbl>
    <w:p>
      <w:pPr>
        <w:pStyle w:val="yFootnotesection"/>
      </w:pPr>
      <w:r>
        <w:tab/>
        <w:t xml:space="preserve">[Division 2 amended in Gazette 30 Aug 2005 p. 4054; 23 Jun 2006 p. 2183; 26 Jun 2007 p. 3041; 27 Jun 2008 p. 3071; 9 Jun 2009 p. 1925; 4 Sep 2009 p. 3484-5; 8 Mar 2011 p. 792; 20 Dec 2011 p. 5391; 30 Nov 2012 p. 5795; </w:t>
      </w:r>
      <w:r>
        <w:rPr>
          <w:sz w:val="24"/>
        </w:rPr>
        <w:t>15 Nov 2013 p. 52</w:t>
      </w:r>
      <w:r>
        <w:t>51; 27 Jun 2014 p. 2334.]</w:t>
      </w:r>
    </w:p>
    <w:p>
      <w:pPr>
        <w:pStyle w:val="yHeading3"/>
        <w:keepLines/>
        <w:spacing w:after="240"/>
      </w:pPr>
      <w:bookmarkStart w:id="40" w:name="_Toc378075987"/>
      <w:bookmarkStart w:id="41" w:name="_Toc391629935"/>
      <w:bookmarkStart w:id="42" w:name="_Toc415648680"/>
      <w:bookmarkStart w:id="43" w:name="_Toc415648777"/>
      <w:bookmarkStart w:id="44" w:name="_Toc415648798"/>
      <w:r>
        <w:rPr>
          <w:rStyle w:val="CharSDivNo"/>
        </w:rPr>
        <w:t>Division 3</w:t>
      </w:r>
      <w:r>
        <w:rPr>
          <w:b w:val="0"/>
        </w:rPr>
        <w:t> — </w:t>
      </w:r>
      <w:r>
        <w:rPr>
          <w:rStyle w:val="CharSDivText"/>
        </w:rPr>
        <w:t>Criminal jurisdiction</w:t>
      </w:r>
      <w:bookmarkEnd w:id="40"/>
      <w:bookmarkEnd w:id="41"/>
      <w:bookmarkEnd w:id="42"/>
      <w:bookmarkEnd w:id="43"/>
      <w:bookmarkEnd w:id="44"/>
    </w:p>
    <w:tbl>
      <w:tblPr>
        <w:tblW w:w="0" w:type="auto"/>
        <w:tblInd w:w="108" w:type="dxa"/>
        <w:tblLayout w:type="fixed"/>
        <w:tblLook w:val="0000" w:firstRow="0" w:lastRow="0" w:firstColumn="0" w:lastColumn="0" w:noHBand="0" w:noVBand="0"/>
      </w:tblPr>
      <w:tblGrid>
        <w:gridCol w:w="798"/>
        <w:gridCol w:w="5358"/>
        <w:gridCol w:w="932"/>
      </w:tblGrid>
      <w:tr>
        <w:trPr>
          <w:cantSplit/>
          <w:tblHeader/>
        </w:trPr>
        <w:tc>
          <w:tcPr>
            <w:tcW w:w="798" w:type="dxa"/>
            <w:tcBorders>
              <w:top w:val="single" w:sz="4" w:space="0" w:color="auto"/>
              <w:bottom w:val="single" w:sz="4" w:space="0" w:color="auto"/>
            </w:tcBorders>
          </w:tcPr>
          <w:p>
            <w:pPr>
              <w:pStyle w:val="yTable"/>
              <w:keepNext/>
              <w:keepLines/>
              <w:ind w:right="-108"/>
              <w:jc w:val="center"/>
              <w:rPr>
                <w:b/>
                <w:sz w:val="20"/>
              </w:rPr>
            </w:pPr>
            <w:r>
              <w:rPr>
                <w:b/>
                <w:sz w:val="20"/>
              </w:rPr>
              <w:t>Item</w:t>
            </w:r>
          </w:p>
        </w:tc>
        <w:tc>
          <w:tcPr>
            <w:tcW w:w="5358" w:type="dxa"/>
            <w:tcBorders>
              <w:top w:val="single" w:sz="4" w:space="0" w:color="auto"/>
              <w:bottom w:val="single" w:sz="4" w:space="0" w:color="auto"/>
            </w:tcBorders>
          </w:tcPr>
          <w:p>
            <w:pPr>
              <w:pStyle w:val="yTable"/>
              <w:keepNext/>
              <w:keepLines/>
              <w:jc w:val="center"/>
              <w:rPr>
                <w:b/>
                <w:sz w:val="20"/>
              </w:rPr>
            </w:pPr>
            <w:r>
              <w:rPr>
                <w:b/>
                <w:sz w:val="20"/>
              </w:rPr>
              <w:t>Matter</w:t>
            </w:r>
          </w:p>
        </w:tc>
        <w:tc>
          <w:tcPr>
            <w:tcW w:w="932" w:type="dxa"/>
            <w:tcBorders>
              <w:top w:val="single" w:sz="4" w:space="0" w:color="auto"/>
              <w:bottom w:val="single" w:sz="4" w:space="0" w:color="auto"/>
            </w:tcBorders>
          </w:tcPr>
          <w:p>
            <w:pPr>
              <w:pStyle w:val="yTable"/>
              <w:keepNext/>
              <w:keepLines/>
              <w:jc w:val="center"/>
              <w:rPr>
                <w:b/>
                <w:sz w:val="20"/>
              </w:rPr>
            </w:pPr>
            <w:r>
              <w:rPr>
                <w:b/>
                <w:sz w:val="20"/>
              </w:rPr>
              <w:t>$</w:t>
            </w:r>
          </w:p>
        </w:tc>
      </w:tr>
      <w:tr>
        <w:trPr>
          <w:cantSplit/>
        </w:trPr>
        <w:tc>
          <w:tcPr>
            <w:tcW w:w="798" w:type="dxa"/>
          </w:tcPr>
          <w:p>
            <w:pPr>
              <w:pStyle w:val="yTable"/>
              <w:keepNext/>
              <w:rPr>
                <w:sz w:val="20"/>
              </w:rPr>
            </w:pPr>
            <w:r>
              <w:rPr>
                <w:sz w:val="20"/>
              </w:rPr>
              <w:t>1.</w:t>
            </w:r>
          </w:p>
        </w:tc>
        <w:tc>
          <w:tcPr>
            <w:tcW w:w="5358" w:type="dxa"/>
          </w:tcPr>
          <w:p>
            <w:pPr>
              <w:pStyle w:val="yTable"/>
              <w:keepNext/>
              <w:keepLines/>
              <w:rPr>
                <w:sz w:val="20"/>
              </w:rPr>
            </w:pPr>
            <w:r>
              <w:rPr>
                <w:sz w:val="20"/>
              </w:rPr>
              <w:t xml:space="preserve">On filing — </w:t>
            </w:r>
          </w:p>
        </w:tc>
        <w:tc>
          <w:tcPr>
            <w:tcW w:w="932" w:type="dxa"/>
          </w:tcPr>
          <w:p>
            <w:pPr>
              <w:pStyle w:val="yTable"/>
              <w:keepNext/>
              <w:keepLines/>
              <w:jc w:val="center"/>
              <w:rPr>
                <w:sz w:val="20"/>
              </w:rPr>
            </w:pPr>
          </w:p>
        </w:tc>
      </w:tr>
      <w:tr>
        <w:trPr>
          <w:cantSplit/>
        </w:trPr>
        <w:tc>
          <w:tcPr>
            <w:tcW w:w="798" w:type="dxa"/>
          </w:tcPr>
          <w:p>
            <w:pPr>
              <w:pStyle w:val="yTable"/>
              <w:keepNext/>
              <w:rPr>
                <w:sz w:val="20"/>
              </w:rPr>
            </w:pPr>
          </w:p>
        </w:tc>
        <w:tc>
          <w:tcPr>
            <w:tcW w:w="5358" w:type="dxa"/>
          </w:tcPr>
          <w:p>
            <w:pPr>
              <w:pStyle w:val="yTable"/>
              <w:keepNext/>
              <w:keepLines/>
              <w:tabs>
                <w:tab w:val="left" w:pos="459"/>
              </w:tabs>
              <w:ind w:left="459" w:hanging="459"/>
              <w:rPr>
                <w:sz w:val="20"/>
              </w:rPr>
            </w:pPr>
            <w:r>
              <w:rPr>
                <w:sz w:val="20"/>
              </w:rPr>
              <w:t>(a)</w:t>
            </w:r>
            <w:r>
              <w:rPr>
                <w:sz w:val="20"/>
              </w:rPr>
              <w:tab/>
              <w:t>a prosecution notice;</w:t>
            </w:r>
          </w:p>
        </w:tc>
        <w:tc>
          <w:tcPr>
            <w:tcW w:w="932" w:type="dxa"/>
          </w:tcPr>
          <w:p>
            <w:pPr>
              <w:pStyle w:val="yTable"/>
              <w:keepNext/>
              <w:keepLines/>
              <w:jc w:val="center"/>
              <w:rPr>
                <w:sz w:val="20"/>
              </w:rPr>
            </w:pPr>
          </w:p>
        </w:tc>
      </w:tr>
      <w:tr>
        <w:trPr>
          <w:cantSplit/>
        </w:trPr>
        <w:tc>
          <w:tcPr>
            <w:tcW w:w="798" w:type="dxa"/>
          </w:tcPr>
          <w:p>
            <w:pPr>
              <w:pStyle w:val="yTable"/>
              <w:rPr>
                <w:sz w:val="20"/>
              </w:rPr>
            </w:pPr>
          </w:p>
        </w:tc>
        <w:tc>
          <w:tcPr>
            <w:tcW w:w="5358" w:type="dxa"/>
          </w:tcPr>
          <w:p>
            <w:pPr>
              <w:pStyle w:val="yTable"/>
              <w:keepNext/>
              <w:keepLines/>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932" w:type="dxa"/>
          </w:tcPr>
          <w:p>
            <w:pPr>
              <w:pStyle w:val="yTable"/>
              <w:keepNext/>
              <w:keepLines/>
              <w:jc w:val="center"/>
              <w:rPr>
                <w:sz w:val="20"/>
              </w:rPr>
            </w:pPr>
            <w:r>
              <w:rPr>
                <w:sz w:val="20"/>
              </w:rPr>
              <w:br/>
              <w:t>79.00</w:t>
            </w:r>
          </w:p>
        </w:tc>
      </w:tr>
      <w:tr>
        <w:trPr>
          <w:cantSplit/>
        </w:trPr>
        <w:tc>
          <w:tcPr>
            <w:tcW w:w="798" w:type="dxa"/>
          </w:tcPr>
          <w:p>
            <w:pPr>
              <w:pStyle w:val="yTable"/>
              <w:rPr>
                <w:sz w:val="20"/>
              </w:rPr>
            </w:pPr>
            <w:r>
              <w:rPr>
                <w:sz w:val="20"/>
              </w:rPr>
              <w:t>2.</w:t>
            </w:r>
          </w:p>
        </w:tc>
        <w:tc>
          <w:tcPr>
            <w:tcW w:w="5358" w:type="dxa"/>
          </w:tcPr>
          <w:p>
            <w:pPr>
              <w:pStyle w:val="yTable"/>
              <w:rPr>
                <w:sz w:val="20"/>
              </w:rPr>
            </w:pPr>
            <w:r>
              <w:rPr>
                <w:sz w:val="20"/>
              </w:rPr>
              <w:t>For the issue of a summons or court hearing notice to an accused .........................................................................................</w:t>
            </w:r>
          </w:p>
        </w:tc>
        <w:tc>
          <w:tcPr>
            <w:tcW w:w="932" w:type="dxa"/>
          </w:tcPr>
          <w:p>
            <w:pPr>
              <w:pStyle w:val="yTable"/>
              <w:jc w:val="center"/>
              <w:rPr>
                <w:sz w:val="20"/>
              </w:rPr>
            </w:pPr>
            <w:r>
              <w:rPr>
                <w:sz w:val="20"/>
              </w:rPr>
              <w:br/>
              <w:t>15.10</w:t>
            </w:r>
          </w:p>
        </w:tc>
      </w:tr>
      <w:tr>
        <w:trPr>
          <w:cantSplit/>
        </w:trPr>
        <w:tc>
          <w:tcPr>
            <w:tcW w:w="798" w:type="dxa"/>
            <w:tcBorders>
              <w:bottom w:val="single" w:sz="4" w:space="0" w:color="auto"/>
            </w:tcBorders>
          </w:tcPr>
          <w:p>
            <w:pPr>
              <w:pStyle w:val="yTable"/>
              <w:rPr>
                <w:sz w:val="20"/>
              </w:rPr>
            </w:pPr>
            <w:r>
              <w:rPr>
                <w:sz w:val="20"/>
              </w:rPr>
              <w:t>3.</w:t>
            </w:r>
          </w:p>
        </w:tc>
        <w:tc>
          <w:tcPr>
            <w:tcW w:w="5358"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932" w:type="dxa"/>
            <w:tcBorders>
              <w:bottom w:val="single" w:sz="4" w:space="0" w:color="auto"/>
            </w:tcBorders>
          </w:tcPr>
          <w:p>
            <w:pPr>
              <w:pStyle w:val="yTable"/>
              <w:jc w:val="center"/>
              <w:rPr>
                <w:sz w:val="20"/>
              </w:rPr>
            </w:pPr>
          </w:p>
          <w:p>
            <w:pPr>
              <w:pStyle w:val="yTable"/>
              <w:jc w:val="center"/>
              <w:rPr>
                <w:sz w:val="20"/>
              </w:rPr>
            </w:pPr>
            <w:r>
              <w:rPr>
                <w:sz w:val="20"/>
              </w:rPr>
              <w:t>79.00</w:t>
            </w:r>
          </w:p>
          <w:p>
            <w:pPr>
              <w:pStyle w:val="yTable"/>
              <w:jc w:val="center"/>
              <w:rPr>
                <w:sz w:val="20"/>
              </w:rPr>
            </w:pPr>
            <w:r>
              <w:rPr>
                <w:sz w:val="20"/>
              </w:rPr>
              <w:t>102.50</w:t>
            </w:r>
          </w:p>
        </w:tc>
      </w:tr>
    </w:tbl>
    <w:p>
      <w:pPr>
        <w:pStyle w:val="yFootnotesection"/>
      </w:pPr>
      <w:r>
        <w:tab/>
        <w:t>[Division 3 amended in Gazette 23 Jun 2006 p. 2183; 26 Jun 2007 p. 3041; 27 Jun 2008 p. 3072; 4 Sep 2009 p. 3485; 8 Mar 2011 p. 792; 20 Dec 2011 p. 5391</w:t>
      </w:r>
      <w:r>
        <w:noBreakHyphen/>
        <w:t xml:space="preserve">2; 30 Nov 2012 p. 5795; </w:t>
      </w:r>
      <w:r>
        <w:rPr>
          <w:szCs w:val="22"/>
        </w:rPr>
        <w:t>15 Nov 2013 p. 5252</w:t>
      </w:r>
      <w:r>
        <w:t>; 27 Jun 2014 p. 2334.]</w:t>
      </w:r>
    </w:p>
    <w:p>
      <w:pPr>
        <w:sectPr>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p>
    <w:p>
      <w:pPr>
        <w:pStyle w:val="yScheduleHeading"/>
      </w:pPr>
      <w:bookmarkStart w:id="45" w:name="_Toc378075988"/>
      <w:bookmarkStart w:id="46" w:name="_Toc391629936"/>
      <w:bookmarkStart w:id="47" w:name="_Toc415648681"/>
      <w:bookmarkStart w:id="48" w:name="_Toc415648778"/>
      <w:bookmarkStart w:id="49" w:name="_Toc415648799"/>
      <w:r>
        <w:rPr>
          <w:rStyle w:val="CharSchNo"/>
        </w:rPr>
        <w:t>Schedule 2</w:t>
      </w:r>
      <w:r>
        <w:rPr>
          <w:rStyle w:val="CharSDivNo"/>
        </w:rPr>
        <w:t> </w:t>
      </w:r>
      <w:r>
        <w:t>—</w:t>
      </w:r>
      <w:r>
        <w:rPr>
          <w:rStyle w:val="CharSDivText"/>
        </w:rPr>
        <w:t> </w:t>
      </w:r>
      <w:r>
        <w:rPr>
          <w:rStyle w:val="CharSchText"/>
        </w:rPr>
        <w:t>Forms</w:t>
      </w:r>
      <w:bookmarkEnd w:id="45"/>
      <w:bookmarkEnd w:id="46"/>
      <w:bookmarkEnd w:id="47"/>
      <w:bookmarkEnd w:id="48"/>
      <w:bookmarkEnd w:id="49"/>
    </w:p>
    <w:p>
      <w:pPr>
        <w:pStyle w:val="yShoulderClause"/>
      </w:pPr>
      <w:r>
        <w:t>[r. 8(6), 10(2)]</w:t>
      </w:r>
    </w:p>
    <w:p>
      <w:pPr>
        <w:pStyle w:val="yHeading5"/>
        <w:spacing w:after="120"/>
      </w:pPr>
      <w:bookmarkStart w:id="50" w:name="_Toc391629937"/>
      <w:bookmarkStart w:id="51" w:name="_Toc415648800"/>
      <w:r>
        <w:rPr>
          <w:rStyle w:val="CharSClsNo"/>
        </w:rPr>
        <w:t>1</w:t>
      </w:r>
      <w:r>
        <w:t>.</w:t>
      </w:r>
      <w:r>
        <w:tab/>
        <w:t>Application to remit fees</w:t>
      </w:r>
      <w:bookmarkEnd w:id="50"/>
      <w:bookmarkEnd w:id="5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71"/>
        <w:gridCol w:w="637"/>
        <w:gridCol w:w="1489"/>
        <w:gridCol w:w="1171"/>
      </w:tblGrid>
      <w:tr>
        <w:tc>
          <w:tcPr>
            <w:tcW w:w="7125" w:type="dxa"/>
            <w:gridSpan w:val="7"/>
          </w:tcPr>
          <w:p>
            <w:pPr>
              <w:pStyle w:val="yTable"/>
              <w:jc w:val="center"/>
              <w:rPr>
                <w:b/>
              </w:rPr>
            </w:pPr>
            <w:r>
              <w:rPr>
                <w:b/>
              </w:rPr>
              <w:t>Form 1</w:t>
            </w:r>
          </w:p>
          <w:p>
            <w:pPr>
              <w:pStyle w:val="yTable"/>
              <w:jc w:val="center"/>
              <w:rPr>
                <w:b/>
              </w:rPr>
            </w:pPr>
            <w:r>
              <w:rPr>
                <w:b/>
                <w:i/>
              </w:rPr>
              <w:t>Children’s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757" w:type="dxa"/>
            <w:gridSpan w:val="3"/>
          </w:tcPr>
          <w:p>
            <w:pPr>
              <w:pStyle w:val="yTable"/>
            </w:pPr>
            <w:r>
              <w:t>Children’s Court of Western Australia</w:t>
            </w:r>
          </w:p>
        </w:tc>
        <w:tc>
          <w:tcPr>
            <w:tcW w:w="3368" w:type="dxa"/>
            <w:gridSpan w:val="4"/>
          </w:tcPr>
          <w:p>
            <w:pPr>
              <w:pStyle w:val="yTable"/>
            </w:pPr>
            <w:r>
              <w:t>No.         of  2    </w:t>
            </w:r>
          </w:p>
        </w:tc>
      </w:tr>
      <w:tr>
        <w:trPr>
          <w:cantSplit/>
          <w:trHeight w:val="433"/>
        </w:trPr>
        <w:tc>
          <w:tcPr>
            <w:tcW w:w="1843" w:type="dxa"/>
            <w:vMerge w:val="restart"/>
          </w:tcPr>
          <w:p>
            <w:pPr>
              <w:pStyle w:val="yTable"/>
              <w:rPr>
                <w:b/>
              </w:rPr>
            </w:pPr>
            <w:r>
              <w:rPr>
                <w:b/>
              </w:rPr>
              <w:t>Applicant:</w:t>
            </w:r>
          </w:p>
        </w:tc>
        <w:tc>
          <w:tcPr>
            <w:tcW w:w="5282" w:type="dxa"/>
            <w:gridSpan w:val="6"/>
          </w:tcPr>
          <w:p>
            <w:pPr>
              <w:pStyle w:val="yTable"/>
            </w:pPr>
            <w:r>
              <w:t>............................................................................................</w:t>
            </w:r>
          </w:p>
          <w:p>
            <w:pPr>
              <w:pStyle w:val="yTable"/>
              <w:spacing w:before="0"/>
            </w:pPr>
            <w:r>
              <w:t>Full name</w:t>
            </w:r>
          </w:p>
        </w:tc>
      </w:tr>
      <w:tr>
        <w:trPr>
          <w:cantSplit/>
          <w:trHeight w:val="431"/>
        </w:trPr>
        <w:tc>
          <w:tcPr>
            <w:tcW w:w="1843" w:type="dxa"/>
            <w:vMerge/>
          </w:tcPr>
          <w:p>
            <w:pPr>
              <w:pStyle w:val="yTable"/>
            </w:pPr>
          </w:p>
        </w:tc>
        <w:tc>
          <w:tcPr>
            <w:tcW w:w="5282" w:type="dxa"/>
            <w:gridSpan w:val="6"/>
          </w:tcPr>
          <w:p>
            <w:pPr>
              <w:pStyle w:val="yTable"/>
            </w:pPr>
            <w:r>
              <w:t>............................................................................................</w:t>
            </w:r>
          </w:p>
          <w:p>
            <w:pPr>
              <w:pStyle w:val="yTable"/>
              <w:spacing w:before="0"/>
            </w:pPr>
            <w:r>
              <w:t>Address</w:t>
            </w:r>
          </w:p>
        </w:tc>
      </w:tr>
      <w:tr>
        <w:trPr>
          <w:cantSplit/>
          <w:trHeight w:val="431"/>
        </w:trPr>
        <w:tc>
          <w:tcPr>
            <w:tcW w:w="1843" w:type="dxa"/>
            <w:vMerge/>
          </w:tcPr>
          <w:p>
            <w:pPr>
              <w:pStyle w:val="yTable"/>
            </w:pPr>
          </w:p>
        </w:tc>
        <w:tc>
          <w:tcPr>
            <w:tcW w:w="2622" w:type="dxa"/>
            <w:gridSpan w:val="4"/>
          </w:tcPr>
          <w:p>
            <w:pPr>
              <w:pStyle w:val="yTable"/>
            </w:pPr>
            <w:r>
              <w:t>...........................................</w:t>
            </w:r>
          </w:p>
          <w:p>
            <w:pPr>
              <w:pStyle w:val="yTable"/>
              <w:spacing w:before="0"/>
            </w:pPr>
            <w:r>
              <w:t>Date of birth</w:t>
            </w:r>
          </w:p>
        </w:tc>
        <w:tc>
          <w:tcPr>
            <w:tcW w:w="2660" w:type="dxa"/>
            <w:gridSpan w:val="2"/>
          </w:tcPr>
          <w:p>
            <w:pPr>
              <w:pStyle w:val="yTable"/>
            </w:pPr>
            <w:r>
              <w:t>............................................</w:t>
            </w:r>
          </w:p>
          <w:p>
            <w:pPr>
              <w:pStyle w:val="yTable"/>
              <w:spacing w:before="0"/>
            </w:pPr>
            <w:r>
              <w:t>MDL No.</w:t>
            </w:r>
          </w:p>
        </w:tc>
      </w:tr>
      <w:tr>
        <w:trPr>
          <w:cantSplit/>
          <w:trHeight w:val="431"/>
        </w:trPr>
        <w:tc>
          <w:tcPr>
            <w:tcW w:w="7125" w:type="dxa"/>
            <w:gridSpan w:val="7"/>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Cs/>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7125" w:type="dxa"/>
            <w:gridSpan w:val="7"/>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tc>
      </w:tr>
      <w:tr>
        <w:trPr>
          <w:cantSplit/>
          <w:trHeight w:val="429"/>
        </w:trPr>
        <w:tc>
          <w:tcPr>
            <w:tcW w:w="7125" w:type="dxa"/>
            <w:gridSpan w:val="7"/>
          </w:tcPr>
          <w:p>
            <w:pPr>
              <w:pStyle w:val="yTable"/>
            </w:pPr>
            <w:r>
              <w:t>If the reason is financial hardship the information required in the following part of this form must be provided by the applicant.</w:t>
            </w:r>
          </w:p>
        </w:tc>
      </w:tr>
      <w:tr>
        <w:trPr>
          <w:cantSplit/>
          <w:trHeight w:val="429"/>
        </w:trPr>
        <w:tc>
          <w:tcPr>
            <w:tcW w:w="7125" w:type="dxa"/>
            <w:gridSpan w:val="7"/>
          </w:tcPr>
          <w:p>
            <w:pPr>
              <w:pStyle w:val="yTable"/>
            </w:pPr>
            <w:r>
              <w:t>I am employed as a ................................  by ......................................................</w:t>
            </w:r>
          </w:p>
          <w:p>
            <w:pPr>
              <w:pStyle w:val="yTable"/>
            </w:pPr>
            <w:r>
              <w:t>Their business address is ....................................................................</w:t>
            </w:r>
            <w:r>
              <w:rPr>
                <w:sz w:val="20"/>
              </w:rPr>
              <w:t>.........</w:t>
            </w:r>
            <w:r>
              <w:t>........</w:t>
            </w:r>
          </w:p>
        </w:tc>
      </w:tr>
      <w:tr>
        <w:trPr>
          <w:cantSplit/>
          <w:trHeight w:val="429"/>
        </w:trPr>
        <w:tc>
          <w:tcPr>
            <w:tcW w:w="7125" w:type="dxa"/>
            <w:gridSpan w:val="7"/>
          </w:tcPr>
          <w:p>
            <w:pPr>
              <w:pStyle w:val="yTable"/>
            </w:pPr>
            <w:r>
              <w:t>I am unemployed/ a pensioner* and registered with the Department of Social Security at ...........................................................................................................</w:t>
            </w:r>
          </w:p>
        </w:tc>
      </w:tr>
      <w:tr>
        <w:trPr>
          <w:cantSplit/>
          <w:trHeight w:val="429"/>
        </w:trPr>
        <w:tc>
          <w:tcPr>
            <w:tcW w:w="7125" w:type="dxa"/>
            <w:gridSpan w:val="7"/>
          </w:tcPr>
          <w:p>
            <w:pPr>
              <w:pStyle w:val="yTable"/>
            </w:pPr>
            <w:r>
              <w:t>I am single/ married/ separated.*</w:t>
            </w:r>
          </w:p>
        </w:tc>
      </w:tr>
      <w:tr>
        <w:trPr>
          <w:cantSplit/>
          <w:trHeight w:val="429"/>
        </w:trPr>
        <w:tc>
          <w:tcPr>
            <w:tcW w:w="7125" w:type="dxa"/>
            <w:gridSpan w:val="7"/>
          </w:tcPr>
          <w:p>
            <w:pPr>
              <w:pStyle w:val="yTable"/>
            </w:pPr>
            <w:r>
              <w:t>I have/ do not have* a dependant wife/ husband/de facto partner* and .............. dependant children.</w:t>
            </w:r>
          </w:p>
        </w:tc>
      </w:tr>
      <w:tr>
        <w:trPr>
          <w:cantSplit/>
          <w:trHeight w:val="429"/>
        </w:trPr>
        <w:tc>
          <w:tcPr>
            <w:tcW w:w="7125" w:type="dxa"/>
            <w:gridSpan w:val="7"/>
          </w:tcPr>
          <w:p>
            <w:pPr>
              <w:pStyle w:val="yTable"/>
            </w:pPr>
            <w:r>
              <w:t xml:space="preserve">My weekly/ fortnightly* income and expenditure is as follows (in whole dollars) — </w:t>
            </w:r>
          </w:p>
        </w:tc>
      </w:tr>
      <w:tr>
        <w:trPr>
          <w:cantSplit/>
          <w:trHeight w:val="448"/>
        </w:trPr>
        <w:tc>
          <w:tcPr>
            <w:tcW w:w="3757" w:type="dxa"/>
            <w:gridSpan w:val="3"/>
            <w:tcBorders>
              <w:bottom w:val="single" w:sz="4" w:space="0" w:color="auto"/>
            </w:tcBorders>
          </w:tcPr>
          <w:p>
            <w:pPr>
              <w:pStyle w:val="yTable"/>
              <w:jc w:val="center"/>
              <w:rPr>
                <w:b/>
              </w:rPr>
            </w:pPr>
            <w:r>
              <w:rPr>
                <w:b/>
              </w:rPr>
              <w:t>Income</w:t>
            </w:r>
          </w:p>
        </w:tc>
        <w:tc>
          <w:tcPr>
            <w:tcW w:w="3368" w:type="dxa"/>
            <w:gridSpan w:val="4"/>
            <w:tcBorders>
              <w:bottom w:val="single" w:sz="4" w:space="0" w:color="auto"/>
            </w:tcBorders>
          </w:tcPr>
          <w:p>
            <w:pPr>
              <w:pStyle w:val="yTable"/>
              <w:jc w:val="center"/>
              <w:rPr>
                <w:b/>
              </w:rPr>
            </w:pPr>
            <w:r>
              <w:rPr>
                <w:b/>
              </w:rPr>
              <w:t>Expenditure</w:t>
            </w:r>
          </w:p>
        </w:tc>
      </w:tr>
      <w:tr>
        <w:trPr>
          <w:cantSplit/>
          <w:trHeight w:val="442"/>
        </w:trPr>
        <w:tc>
          <w:tcPr>
            <w:tcW w:w="2694"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Rent/board</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Mortgage payment</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Maintenance for dependants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Food</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Electricity/gas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Telephone</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Water</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Rates and taxes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Court orders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Lease or other (give details)</w:t>
            </w:r>
          </w:p>
          <w:p>
            <w:pPr>
              <w:pStyle w:val="yTable"/>
            </w:pPr>
          </w:p>
          <w:p>
            <w:pPr>
              <w:pStyle w:val="yTable"/>
            </w:pP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Other debts owing (give details)</w:t>
            </w:r>
          </w:p>
          <w:p>
            <w:pPr>
              <w:pStyle w:val="yTable"/>
            </w:pP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42"/>
        </w:trPr>
        <w:tc>
          <w:tcPr>
            <w:tcW w:w="2694"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29"/>
        </w:trPr>
        <w:tc>
          <w:tcPr>
            <w:tcW w:w="2694" w:type="dxa"/>
            <w:gridSpan w:val="2"/>
          </w:tcPr>
          <w:p>
            <w:pPr>
              <w:pStyle w:val="yTable"/>
              <w:rPr>
                <w:b/>
              </w:rPr>
            </w:pPr>
            <w:r>
              <w:rPr>
                <w:b/>
              </w:rPr>
              <w:t>TOTAL</w:t>
            </w:r>
          </w:p>
        </w:tc>
        <w:tc>
          <w:tcPr>
            <w:tcW w:w="1063" w:type="dxa"/>
          </w:tcPr>
          <w:p>
            <w:pPr>
              <w:pStyle w:val="yTable"/>
              <w:rPr>
                <w:b/>
              </w:rPr>
            </w:pPr>
          </w:p>
        </w:tc>
        <w:tc>
          <w:tcPr>
            <w:tcW w:w="2197" w:type="dxa"/>
            <w:gridSpan w:val="3"/>
          </w:tcPr>
          <w:p>
            <w:pPr>
              <w:pStyle w:val="yTable"/>
              <w:rPr>
                <w:b/>
              </w:rPr>
            </w:pPr>
            <w:r>
              <w:rPr>
                <w:b/>
              </w:rPr>
              <w:t>TOTAL</w:t>
            </w:r>
          </w:p>
        </w:tc>
        <w:tc>
          <w:tcPr>
            <w:tcW w:w="1171" w:type="dxa"/>
          </w:tcPr>
          <w:p>
            <w:pPr>
              <w:pStyle w:val="yTable"/>
            </w:pPr>
          </w:p>
        </w:tc>
      </w:tr>
      <w:tr>
        <w:trPr>
          <w:cantSplit/>
          <w:trHeight w:val="429"/>
        </w:trPr>
        <w:tc>
          <w:tcPr>
            <w:tcW w:w="3757" w:type="dxa"/>
            <w:gridSpan w:val="3"/>
          </w:tcPr>
          <w:p>
            <w:pPr>
              <w:pStyle w:val="yTable"/>
              <w:keepNext/>
              <w:rPr>
                <w:b/>
              </w:rPr>
            </w:pPr>
            <w:r>
              <w:rPr>
                <w:b/>
              </w:rPr>
              <w:t>ASSETS</w:t>
            </w:r>
          </w:p>
        </w:tc>
        <w:tc>
          <w:tcPr>
            <w:tcW w:w="3368" w:type="dxa"/>
            <w:gridSpan w:val="4"/>
          </w:tcPr>
          <w:p>
            <w:pPr>
              <w:pStyle w:val="yTable"/>
              <w:jc w:val="right"/>
              <w:rPr>
                <w:b/>
              </w:rPr>
            </w:pPr>
            <w:r>
              <w:rPr>
                <w:b/>
              </w:rPr>
              <w:t>VALUE</w:t>
            </w:r>
          </w:p>
          <w:p>
            <w:pPr>
              <w:pStyle w:val="yTable"/>
              <w:jc w:val="right"/>
              <w:rPr>
                <w:b/>
              </w:rPr>
            </w:pPr>
            <w:r>
              <w:rPr>
                <w:b/>
              </w:rPr>
              <w:t>$   </w:t>
            </w:r>
          </w:p>
        </w:tc>
      </w:tr>
      <w:tr>
        <w:trPr>
          <w:cantSplit/>
          <w:trHeight w:val="429"/>
        </w:trPr>
        <w:tc>
          <w:tcPr>
            <w:tcW w:w="7125" w:type="dxa"/>
            <w:gridSpan w:val="7"/>
          </w:tcPr>
          <w:p>
            <w:pPr>
              <w:pStyle w:val="yTable"/>
            </w:pPr>
            <w:r>
              <w:t xml:space="preserve">My assets and liabilities are as follows — </w:t>
            </w:r>
          </w:p>
        </w:tc>
      </w:tr>
      <w:tr>
        <w:trPr>
          <w:cantSplit/>
          <w:trHeight w:val="429"/>
        </w:trPr>
        <w:tc>
          <w:tcPr>
            <w:tcW w:w="7125" w:type="dxa"/>
            <w:gridSpan w:val="7"/>
          </w:tcPr>
          <w:p>
            <w:pPr>
              <w:pStyle w:val="yTable"/>
            </w:pPr>
            <w:r>
              <w:t>House or other real property (give addresses)</w:t>
            </w:r>
          </w:p>
        </w:tc>
      </w:tr>
      <w:tr>
        <w:trPr>
          <w:cantSplit/>
          <w:trHeight w:val="429"/>
        </w:trPr>
        <w:tc>
          <w:tcPr>
            <w:tcW w:w="5954" w:type="dxa"/>
            <w:gridSpan w:val="6"/>
            <w:tcBorders>
              <w:top w:val="single" w:sz="4" w:space="0" w:color="auto"/>
            </w:tcBorders>
          </w:tcPr>
          <w:p>
            <w:pPr>
              <w:pStyle w:val="yTable"/>
            </w:pPr>
            <w:r>
              <w:t>........................................................................................................</w:t>
            </w:r>
          </w:p>
          <w:p>
            <w:pPr>
              <w:pStyle w:val="yTable"/>
            </w:pPr>
            <w:r>
              <w:t>........................................................................................................</w:t>
            </w:r>
          </w:p>
        </w:tc>
        <w:tc>
          <w:tcPr>
            <w:tcW w:w="1171" w:type="dxa"/>
          </w:tcPr>
          <w:p>
            <w:pPr>
              <w:pStyle w:val="yTable"/>
            </w:pPr>
            <w:r>
              <w:t>.................</w:t>
            </w:r>
          </w:p>
          <w:p>
            <w:pPr>
              <w:pStyle w:val="yTable"/>
            </w:pPr>
            <w:r>
              <w:t>.................</w:t>
            </w:r>
          </w:p>
        </w:tc>
      </w:tr>
      <w:tr>
        <w:trPr>
          <w:cantSplit/>
          <w:trHeight w:val="429"/>
        </w:trPr>
        <w:tc>
          <w:tcPr>
            <w:tcW w:w="5954" w:type="dxa"/>
            <w:gridSpan w:val="6"/>
          </w:tcPr>
          <w:p>
            <w:pPr>
              <w:pStyle w:val="yTable"/>
              <w:rPr>
                <w:b/>
              </w:rPr>
            </w:pPr>
            <w:r>
              <w:rPr>
                <w:b/>
              </w:rPr>
              <w:t>TOTAL</w:t>
            </w:r>
          </w:p>
        </w:tc>
        <w:tc>
          <w:tcPr>
            <w:tcW w:w="1171" w:type="dxa"/>
          </w:tcPr>
          <w:p>
            <w:pPr>
              <w:pStyle w:val="yTable"/>
              <w:rPr>
                <w:u w:val="single"/>
              </w:rPr>
            </w:pPr>
          </w:p>
        </w:tc>
      </w:tr>
      <w:tr>
        <w:trPr>
          <w:cantSplit/>
          <w:trHeight w:val="429"/>
        </w:trPr>
        <w:tc>
          <w:tcPr>
            <w:tcW w:w="7125" w:type="dxa"/>
            <w:gridSpan w:val="7"/>
          </w:tcPr>
          <w:p>
            <w:pPr>
              <w:pStyle w:val="yTable"/>
            </w:pPr>
            <w:r>
              <w:t>Motor vehicles (car, utility, motor cycle, truck, etc.)</w:t>
            </w:r>
          </w:p>
        </w:tc>
      </w:tr>
      <w:tr>
        <w:trPr>
          <w:cantSplit/>
          <w:trHeight w:val="442"/>
        </w:trPr>
        <w:tc>
          <w:tcPr>
            <w:tcW w:w="3828" w:type="dxa"/>
            <w:gridSpan w:val="4"/>
            <w:tcBorders>
              <w:bottom w:val="single" w:sz="4" w:space="0" w:color="auto"/>
            </w:tcBorders>
          </w:tcPr>
          <w:p>
            <w:pPr>
              <w:pStyle w:val="yTable"/>
              <w:rPr>
                <w:b/>
              </w:rPr>
            </w:pPr>
            <w:r>
              <w:rPr>
                <w:b/>
              </w:rPr>
              <w:t>Make and model</w:t>
            </w:r>
          </w:p>
        </w:tc>
        <w:tc>
          <w:tcPr>
            <w:tcW w:w="2126" w:type="dxa"/>
            <w:gridSpan w:val="2"/>
            <w:tcBorders>
              <w:bottom w:val="single" w:sz="4" w:space="0" w:color="auto"/>
            </w:tcBorders>
          </w:tcPr>
          <w:p>
            <w:pPr>
              <w:pStyle w:val="yTable"/>
              <w:rPr>
                <w:b/>
              </w:rPr>
            </w:pPr>
            <w:r>
              <w:rPr>
                <w:b/>
              </w:rPr>
              <w:t>Reg. No.</w:t>
            </w:r>
          </w:p>
        </w:tc>
        <w:tc>
          <w:tcPr>
            <w:tcW w:w="1171" w:type="dxa"/>
            <w:tcBorders>
              <w:bottom w:val="single" w:sz="4" w:space="0" w:color="auto"/>
            </w:tcBorders>
          </w:tcPr>
          <w:p>
            <w:pPr>
              <w:pStyle w:val="yTable"/>
            </w:pPr>
          </w:p>
        </w:tc>
      </w:tr>
      <w:tr>
        <w:trPr>
          <w:cantSplit/>
          <w:trHeight w:val="441"/>
        </w:trPr>
        <w:tc>
          <w:tcPr>
            <w:tcW w:w="3828"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41"/>
        </w:trPr>
        <w:tc>
          <w:tcPr>
            <w:tcW w:w="3828"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29"/>
        </w:trPr>
        <w:tc>
          <w:tcPr>
            <w:tcW w:w="5954" w:type="dxa"/>
            <w:gridSpan w:val="6"/>
          </w:tcPr>
          <w:p>
            <w:pPr>
              <w:pStyle w:val="yTable"/>
              <w:rPr>
                <w:b/>
              </w:rPr>
            </w:pPr>
            <w:r>
              <w:rPr>
                <w:b/>
              </w:rPr>
              <w:t>TOTAL</w:t>
            </w:r>
          </w:p>
        </w:tc>
        <w:tc>
          <w:tcPr>
            <w:tcW w:w="1171" w:type="dxa"/>
          </w:tcPr>
          <w:p>
            <w:pPr>
              <w:pStyle w:val="yTable"/>
            </w:pPr>
          </w:p>
        </w:tc>
      </w:tr>
      <w:tr>
        <w:trPr>
          <w:cantSplit/>
          <w:trHeight w:val="429"/>
        </w:trPr>
        <w:tc>
          <w:tcPr>
            <w:tcW w:w="7125" w:type="dxa"/>
            <w:gridSpan w:val="7"/>
          </w:tcPr>
          <w:p>
            <w:pPr>
              <w:pStyle w:val="yTable"/>
            </w:pPr>
            <w:r>
              <w:t>Home contents</w:t>
            </w:r>
          </w:p>
        </w:tc>
      </w:tr>
      <w:tr>
        <w:trPr>
          <w:cantSplit/>
          <w:trHeight w:val="443"/>
        </w:trPr>
        <w:tc>
          <w:tcPr>
            <w:tcW w:w="3828" w:type="dxa"/>
            <w:gridSpan w:val="4"/>
            <w:tcBorders>
              <w:bottom w:val="single" w:sz="4" w:space="0" w:color="auto"/>
            </w:tcBorders>
          </w:tcPr>
          <w:p>
            <w:pPr>
              <w:pStyle w:val="yTable"/>
            </w:pPr>
            <w:r>
              <w:t>Television</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Video recorder</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Stereo system</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Furniture</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Dishwasher</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Microwave oven</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29"/>
        </w:trPr>
        <w:tc>
          <w:tcPr>
            <w:tcW w:w="5954" w:type="dxa"/>
            <w:gridSpan w:val="6"/>
          </w:tcPr>
          <w:p>
            <w:pPr>
              <w:pStyle w:val="yTable"/>
            </w:pPr>
            <w:r>
              <w:t>Collection of coins, stamps, etc.</w:t>
            </w:r>
          </w:p>
        </w:tc>
        <w:tc>
          <w:tcPr>
            <w:tcW w:w="1171" w:type="dxa"/>
          </w:tcPr>
          <w:p>
            <w:pPr>
              <w:pStyle w:val="yTable"/>
            </w:pPr>
          </w:p>
        </w:tc>
      </w:tr>
      <w:tr>
        <w:trPr>
          <w:cantSplit/>
          <w:trHeight w:val="429"/>
        </w:trPr>
        <w:tc>
          <w:tcPr>
            <w:tcW w:w="5954" w:type="dxa"/>
            <w:gridSpan w:val="6"/>
          </w:tcPr>
          <w:p>
            <w:pPr>
              <w:pStyle w:val="yTable"/>
            </w:pPr>
            <w:r>
              <w:t>Other collectables</w:t>
            </w:r>
          </w:p>
        </w:tc>
        <w:tc>
          <w:tcPr>
            <w:tcW w:w="1171" w:type="dxa"/>
          </w:tcPr>
          <w:p>
            <w:pPr>
              <w:pStyle w:val="yTable"/>
            </w:pPr>
          </w:p>
        </w:tc>
      </w:tr>
      <w:tr>
        <w:trPr>
          <w:cantSplit/>
          <w:trHeight w:val="429"/>
        </w:trPr>
        <w:tc>
          <w:tcPr>
            <w:tcW w:w="5954" w:type="dxa"/>
            <w:gridSpan w:val="6"/>
          </w:tcPr>
          <w:p>
            <w:pPr>
              <w:pStyle w:val="yTable"/>
            </w:pPr>
            <w:r>
              <w:t>Interest in business or company</w:t>
            </w:r>
          </w:p>
        </w:tc>
        <w:tc>
          <w:tcPr>
            <w:tcW w:w="1171" w:type="dxa"/>
          </w:tcPr>
          <w:p>
            <w:pPr>
              <w:pStyle w:val="yTable"/>
            </w:pPr>
          </w:p>
        </w:tc>
      </w:tr>
      <w:tr>
        <w:trPr>
          <w:cantSplit/>
          <w:trHeight w:val="429"/>
        </w:trPr>
        <w:tc>
          <w:tcPr>
            <w:tcW w:w="5954" w:type="dxa"/>
            <w:gridSpan w:val="6"/>
          </w:tcPr>
          <w:p>
            <w:pPr>
              <w:pStyle w:val="yTable"/>
            </w:pPr>
            <w:r>
              <w:t>Other assets</w:t>
            </w:r>
          </w:p>
        </w:tc>
        <w:tc>
          <w:tcPr>
            <w:tcW w:w="1171" w:type="dxa"/>
          </w:tcPr>
          <w:p>
            <w:pPr>
              <w:pStyle w:val="yTable"/>
            </w:pPr>
          </w:p>
        </w:tc>
      </w:tr>
      <w:tr>
        <w:trPr>
          <w:cantSplit/>
          <w:trHeight w:val="429"/>
        </w:trPr>
        <w:tc>
          <w:tcPr>
            <w:tcW w:w="5954" w:type="dxa"/>
            <w:gridSpan w:val="6"/>
          </w:tcPr>
          <w:p>
            <w:pPr>
              <w:pStyle w:val="yTable"/>
              <w:rPr>
                <w:b/>
              </w:rPr>
            </w:pPr>
            <w:r>
              <w:rPr>
                <w:b/>
              </w:rPr>
              <w:t>TOTAL</w:t>
            </w:r>
          </w:p>
        </w:tc>
        <w:tc>
          <w:tcPr>
            <w:tcW w:w="1171" w:type="dxa"/>
          </w:tcPr>
          <w:p>
            <w:pPr>
              <w:pStyle w:val="yTable"/>
            </w:pPr>
          </w:p>
        </w:tc>
      </w:tr>
      <w:tr>
        <w:trPr>
          <w:cantSplit/>
          <w:trHeight w:val="429"/>
        </w:trPr>
        <w:tc>
          <w:tcPr>
            <w:tcW w:w="5954" w:type="dxa"/>
            <w:gridSpan w:val="6"/>
          </w:tcPr>
          <w:p>
            <w:pPr>
              <w:pStyle w:val="yTable"/>
              <w:rPr>
                <w:b/>
              </w:rPr>
            </w:pPr>
            <w:r>
              <w:rPr>
                <w:b/>
              </w:rPr>
              <w:t>LIABILITIES</w:t>
            </w:r>
          </w:p>
        </w:tc>
        <w:tc>
          <w:tcPr>
            <w:tcW w:w="1171" w:type="dxa"/>
          </w:tcPr>
          <w:p>
            <w:pPr>
              <w:pStyle w:val="yTable"/>
            </w:pPr>
          </w:p>
        </w:tc>
      </w:tr>
      <w:tr>
        <w:trPr>
          <w:cantSplit/>
          <w:trHeight w:val="429"/>
        </w:trPr>
        <w:tc>
          <w:tcPr>
            <w:tcW w:w="5954" w:type="dxa"/>
            <w:gridSpan w:val="6"/>
          </w:tcPr>
          <w:p>
            <w:pPr>
              <w:pStyle w:val="yTable"/>
            </w:pPr>
            <w:r>
              <w:t>Mortgage to ....................................................... for $</w:t>
            </w:r>
          </w:p>
        </w:tc>
        <w:tc>
          <w:tcPr>
            <w:tcW w:w="1171" w:type="dxa"/>
          </w:tcPr>
          <w:p>
            <w:pPr>
              <w:pStyle w:val="yTable"/>
            </w:pPr>
          </w:p>
        </w:tc>
      </w:tr>
      <w:tr>
        <w:trPr>
          <w:cantSplit/>
          <w:trHeight w:val="429"/>
        </w:trPr>
        <w:tc>
          <w:tcPr>
            <w:tcW w:w="5954" w:type="dxa"/>
            <w:gridSpan w:val="6"/>
          </w:tcPr>
          <w:p>
            <w:pPr>
              <w:pStyle w:val="yTable"/>
            </w:pPr>
            <w:r>
              <w:t>Other to ............................................................. for $</w:t>
            </w:r>
          </w:p>
        </w:tc>
        <w:tc>
          <w:tcPr>
            <w:tcW w:w="1171" w:type="dxa"/>
          </w:tcPr>
          <w:p>
            <w:pPr>
              <w:pStyle w:val="yTable"/>
            </w:pPr>
          </w:p>
        </w:tc>
      </w:tr>
      <w:tr>
        <w:trPr>
          <w:cantSplit/>
          <w:trHeight w:val="429"/>
        </w:trPr>
        <w:tc>
          <w:tcPr>
            <w:tcW w:w="5954" w:type="dxa"/>
            <w:gridSpan w:val="6"/>
          </w:tcPr>
          <w:p>
            <w:pPr>
              <w:pStyle w:val="yTable"/>
            </w:pPr>
            <w:r>
              <w:t>Time to pay order ............................................. for $</w:t>
            </w:r>
          </w:p>
        </w:tc>
        <w:tc>
          <w:tcPr>
            <w:tcW w:w="1171" w:type="dxa"/>
          </w:tcPr>
          <w:p>
            <w:pPr>
              <w:pStyle w:val="yTable"/>
            </w:pPr>
          </w:p>
        </w:tc>
      </w:tr>
      <w:tr>
        <w:trPr>
          <w:cantSplit/>
          <w:trHeight w:val="429"/>
        </w:trPr>
        <w:tc>
          <w:tcPr>
            <w:tcW w:w="5954" w:type="dxa"/>
            <w:gridSpan w:val="6"/>
          </w:tcPr>
          <w:p>
            <w:pPr>
              <w:pStyle w:val="yTable"/>
              <w:rPr>
                <w:b/>
              </w:rPr>
            </w:pPr>
            <w:r>
              <w:rPr>
                <w:b/>
              </w:rPr>
              <w:t>TOTAL</w:t>
            </w:r>
          </w:p>
        </w:tc>
        <w:tc>
          <w:tcPr>
            <w:tcW w:w="1171" w:type="dxa"/>
          </w:tcPr>
          <w:p>
            <w:pPr>
              <w:pStyle w:val="yTable"/>
            </w:pPr>
          </w:p>
        </w:tc>
      </w:tr>
      <w:tr>
        <w:trPr>
          <w:cantSplit/>
          <w:trHeight w:val="429"/>
        </w:trPr>
        <w:tc>
          <w:tcPr>
            <w:tcW w:w="5954" w:type="dxa"/>
            <w:gridSpan w:val="6"/>
          </w:tcPr>
          <w:p>
            <w:pPr>
              <w:pStyle w:val="yTable"/>
            </w:pPr>
          </w:p>
        </w:tc>
        <w:tc>
          <w:tcPr>
            <w:tcW w:w="1171" w:type="dxa"/>
          </w:tcPr>
          <w:p>
            <w:pPr>
              <w:pStyle w:val="yTable"/>
            </w:pPr>
          </w:p>
        </w:tc>
      </w:tr>
      <w:tr>
        <w:trPr>
          <w:cantSplit/>
          <w:trHeight w:val="429"/>
        </w:trPr>
        <w:tc>
          <w:tcPr>
            <w:tcW w:w="2694" w:type="dxa"/>
            <w:gridSpan w:val="2"/>
          </w:tcPr>
          <w:p>
            <w:pPr>
              <w:pStyle w:val="yTable"/>
              <w:rPr>
                <w:b/>
              </w:rPr>
            </w:pPr>
            <w:r>
              <w:rPr>
                <w:b/>
              </w:rPr>
              <w:t>Signature of applicant:</w:t>
            </w:r>
          </w:p>
        </w:tc>
        <w:tc>
          <w:tcPr>
            <w:tcW w:w="4431" w:type="dxa"/>
            <w:gridSpan w:val="5"/>
          </w:tcPr>
          <w:p>
            <w:pPr>
              <w:pStyle w:val="yTable"/>
            </w:pPr>
          </w:p>
        </w:tc>
      </w:tr>
      <w:tr>
        <w:trPr>
          <w:cantSplit/>
          <w:trHeight w:val="429"/>
        </w:trPr>
        <w:tc>
          <w:tcPr>
            <w:tcW w:w="2694" w:type="dxa"/>
            <w:gridSpan w:val="2"/>
          </w:tcPr>
          <w:p>
            <w:pPr>
              <w:pStyle w:val="yTable"/>
              <w:rPr>
                <w:b/>
              </w:rPr>
            </w:pPr>
            <w:r>
              <w:rPr>
                <w:b/>
              </w:rPr>
              <w:t>Date:</w:t>
            </w:r>
          </w:p>
        </w:tc>
        <w:tc>
          <w:tcPr>
            <w:tcW w:w="4431" w:type="dxa"/>
            <w:gridSpan w:val="5"/>
          </w:tcPr>
          <w:p>
            <w:pPr>
              <w:pStyle w:val="yTable"/>
            </w:pPr>
          </w:p>
        </w:tc>
      </w:tr>
      <w:tr>
        <w:trPr>
          <w:cantSplit/>
          <w:trHeight w:val="429"/>
        </w:trPr>
        <w:tc>
          <w:tcPr>
            <w:tcW w:w="7125" w:type="dxa"/>
            <w:gridSpan w:val="7"/>
          </w:tcPr>
          <w:p>
            <w:pPr>
              <w:pStyle w:val="yTable"/>
              <w:tabs>
                <w:tab w:val="left" w:pos="459"/>
              </w:tabs>
              <w:rPr>
                <w:i/>
                <w:sz w:val="16"/>
              </w:rPr>
            </w:pPr>
            <w:r>
              <w:rPr>
                <w:i/>
              </w:rPr>
              <w:t>*</w:t>
            </w:r>
            <w:r>
              <w:rPr>
                <w:i/>
              </w:rPr>
              <w:tab/>
            </w:r>
            <w:r>
              <w:rPr>
                <w:i/>
                <w:sz w:val="16"/>
              </w:rPr>
              <w:t>Strike out words that are not applicable.</w:t>
            </w:r>
          </w:p>
          <w:p>
            <w:pPr>
              <w:pStyle w:val="yTable"/>
              <w:tabs>
                <w:tab w:val="left" w:pos="459"/>
              </w:tabs>
              <w:spacing w:before="0"/>
              <w:ind w:left="459" w:hanging="459"/>
              <w:rPr>
                <w:i/>
              </w:rPr>
            </w:pPr>
            <w:r>
              <w:rPr>
                <w:i/>
                <w:sz w:val="16"/>
              </w:rPr>
              <w:t>Note:</w:t>
            </w:r>
            <w:r>
              <w:rPr>
                <w:i/>
                <w:sz w:val="16"/>
              </w:rPr>
              <w:tab/>
              <w:t>It is an offence under the Children’s Court (Fees) Regulations 2005 regulation 8(10)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52" w:name="_Toc391629938"/>
      <w:bookmarkStart w:id="53" w:name="_Toc415648801"/>
      <w:r>
        <w:rPr>
          <w:rStyle w:val="CharSClsNo"/>
        </w:rPr>
        <w:t>2</w:t>
      </w:r>
      <w:r>
        <w:t>.</w:t>
      </w:r>
      <w:r>
        <w:tab/>
        <w:t>Application for determination of dispute about fees</w:t>
      </w:r>
      <w:bookmarkEnd w:id="52"/>
      <w:bookmarkEnd w:id="5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60"/>
      </w:tblGrid>
      <w:tr>
        <w:tc>
          <w:tcPr>
            <w:tcW w:w="7125" w:type="dxa"/>
            <w:gridSpan w:val="4"/>
          </w:tcPr>
          <w:p>
            <w:pPr>
              <w:pStyle w:val="zytable"/>
              <w:spacing w:before="0"/>
              <w:ind w:left="0" w:right="0"/>
              <w:jc w:val="center"/>
              <w:rPr>
                <w:b/>
                <w:bCs/>
              </w:rPr>
            </w:pPr>
            <w:r>
              <w:rPr>
                <w:b/>
                <w:bCs/>
              </w:rPr>
              <w:t>Form 2</w:t>
            </w:r>
          </w:p>
          <w:p>
            <w:pPr>
              <w:pStyle w:val="zytable"/>
              <w:spacing w:before="0"/>
              <w:ind w:left="0" w:right="0"/>
              <w:jc w:val="center"/>
              <w:rPr>
                <w:b/>
                <w:bCs/>
              </w:rPr>
            </w:pPr>
            <w:r>
              <w:rPr>
                <w:b/>
                <w:bCs/>
              </w:rPr>
              <w:t>Application for determination of dispute about fees</w:t>
            </w:r>
          </w:p>
        </w:tc>
      </w:tr>
      <w:tr>
        <w:trPr>
          <w:cantSplit/>
        </w:trPr>
        <w:tc>
          <w:tcPr>
            <w:tcW w:w="3757" w:type="dxa"/>
            <w:gridSpan w:val="2"/>
          </w:tcPr>
          <w:p>
            <w:pPr>
              <w:pStyle w:val="zytable"/>
              <w:spacing w:before="0"/>
              <w:ind w:left="0" w:right="0"/>
            </w:pPr>
            <w:r>
              <w:t>In the Children’s Court of Western Australia</w:t>
            </w:r>
          </w:p>
        </w:tc>
        <w:tc>
          <w:tcPr>
            <w:tcW w:w="3368" w:type="dxa"/>
            <w:gridSpan w:val="2"/>
          </w:tcPr>
          <w:p>
            <w:pPr>
              <w:pStyle w:val="zytable"/>
              <w:spacing w:before="0"/>
              <w:ind w:left="0" w:right="0"/>
            </w:pPr>
            <w:r>
              <w:t>No. ............ of.............20..........</w:t>
            </w:r>
          </w:p>
        </w:tc>
      </w:tr>
      <w:tr>
        <w:trPr>
          <w:cantSplit/>
        </w:trPr>
        <w:tc>
          <w:tcPr>
            <w:tcW w:w="7125" w:type="dxa"/>
            <w:gridSpan w:val="4"/>
          </w:tcPr>
          <w:p>
            <w:pPr>
              <w:pStyle w:val="zytable"/>
              <w:spacing w:before="0"/>
              <w:ind w:left="0" w:right="0"/>
            </w:pPr>
            <w:r>
              <w:rPr>
                <w:b/>
                <w:bCs/>
              </w:rPr>
              <w:t>Applicant:</w:t>
            </w:r>
            <w:r>
              <w:tab/>
              <w:t>........................................................................................................</w:t>
            </w:r>
          </w:p>
        </w:tc>
      </w:tr>
      <w:tr>
        <w:trPr>
          <w:cantSplit/>
        </w:trPr>
        <w:tc>
          <w:tcPr>
            <w:tcW w:w="7125" w:type="dxa"/>
            <w:gridSpan w:val="4"/>
          </w:tcPr>
          <w:p>
            <w:pPr>
              <w:pStyle w:val="zytable"/>
              <w:spacing w:before="0"/>
              <w:ind w:left="0" w:right="0"/>
            </w:pPr>
            <w:r>
              <w:rPr>
                <w:b/>
                <w:bCs/>
              </w:rPr>
              <w:t>Respondent:</w:t>
            </w:r>
            <w:r>
              <w:t xml:space="preserve"> .......................................................................................................</w:t>
            </w:r>
          </w:p>
        </w:tc>
      </w:tr>
      <w:tr>
        <w:trPr>
          <w:cantSplit/>
        </w:trPr>
        <w:tc>
          <w:tcPr>
            <w:tcW w:w="1843" w:type="dxa"/>
          </w:tcPr>
          <w:p>
            <w:pPr>
              <w:pStyle w:val="zytable"/>
              <w:spacing w:before="0"/>
              <w:ind w:left="0" w:right="0"/>
              <w:rPr>
                <w:b/>
                <w:bCs/>
              </w:rPr>
            </w:pPr>
            <w:r>
              <w:rPr>
                <w:b/>
                <w:bCs/>
              </w:rPr>
              <w:t>Application:</w:t>
            </w:r>
          </w:p>
        </w:tc>
        <w:tc>
          <w:tcPr>
            <w:tcW w:w="5282" w:type="dxa"/>
            <w:gridSpan w:val="3"/>
          </w:tcPr>
          <w:p>
            <w:pPr>
              <w:pStyle w:val="zytable"/>
              <w:tabs>
                <w:tab w:val="left" w:pos="397"/>
              </w:tabs>
              <w:spacing w:before="0"/>
              <w:ind w:left="0" w:right="0"/>
              <w:rPr>
                <w:b/>
                <w:bCs/>
              </w:rPr>
            </w:pPr>
            <w:r>
              <w:t xml:space="preserve">To a registrar for a determination under the </w:t>
            </w:r>
            <w:r>
              <w:rPr>
                <w:i/>
              </w:rPr>
              <w:t>Children’s Court (Fees) Regulations 2005</w:t>
            </w:r>
            <w:r>
              <w:t xml:space="preserve"> regulation 10(1) of a question regarding fees. </w:t>
            </w:r>
          </w:p>
        </w:tc>
      </w:tr>
      <w:tr>
        <w:trPr>
          <w:cantSplit/>
        </w:trPr>
        <w:tc>
          <w:tcPr>
            <w:tcW w:w="1843" w:type="dxa"/>
            <w:vMerge w:val="restart"/>
          </w:tcPr>
          <w:p>
            <w:pPr>
              <w:pStyle w:val="zytable"/>
              <w:spacing w:before="0"/>
              <w:ind w:left="0" w:right="0"/>
              <w:rPr>
                <w:b/>
                <w:bCs/>
              </w:rPr>
            </w:pPr>
            <w:r>
              <w:rPr>
                <w:b/>
                <w:bCs/>
              </w:rPr>
              <w:t>Applicant:</w:t>
            </w:r>
          </w:p>
        </w:tc>
        <w:tc>
          <w:tcPr>
            <w:tcW w:w="5282" w:type="dxa"/>
            <w:gridSpan w:val="3"/>
          </w:tcPr>
          <w:p>
            <w:pPr>
              <w:pStyle w:val="zytable"/>
              <w:spacing w:before="0"/>
              <w:ind w:left="0" w:right="0"/>
            </w:pPr>
            <w:r>
              <w:t>............................................................................................</w:t>
            </w:r>
            <w:r>
              <w:br/>
              <w:t>Full name</w:t>
            </w:r>
          </w:p>
        </w:tc>
      </w:tr>
      <w:tr>
        <w:trPr>
          <w:cantSplit/>
        </w:trPr>
        <w:tc>
          <w:tcPr>
            <w:tcW w:w="1843" w:type="dxa"/>
            <w:vMerge/>
          </w:tcPr>
          <w:p>
            <w:pPr>
              <w:pStyle w:val="zytable"/>
              <w:spacing w:before="0"/>
              <w:ind w:left="0" w:right="0"/>
            </w:pPr>
          </w:p>
        </w:tc>
        <w:tc>
          <w:tcPr>
            <w:tcW w:w="5282" w:type="dxa"/>
            <w:gridSpan w:val="3"/>
          </w:tcPr>
          <w:p>
            <w:pPr>
              <w:pStyle w:val="zytable"/>
              <w:spacing w:before="0"/>
              <w:ind w:left="0" w:right="0"/>
            </w:pPr>
            <w:r>
              <w:t>............................................................................................</w:t>
            </w:r>
            <w:r>
              <w:br/>
              <w:t>Address</w:t>
            </w:r>
          </w:p>
        </w:tc>
      </w:tr>
      <w:tr>
        <w:trPr>
          <w:cantSplit/>
        </w:trPr>
        <w:tc>
          <w:tcPr>
            <w:tcW w:w="1843"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660" w:type="dxa"/>
          </w:tcPr>
          <w:p>
            <w:pPr>
              <w:pStyle w:val="zytable"/>
              <w:spacing w:before="0"/>
              <w:ind w:left="0" w:right="0"/>
            </w:pPr>
            <w:r>
              <w:t>............................................</w:t>
            </w:r>
            <w:r>
              <w:br/>
              <w:t>MDL No.</w:t>
            </w:r>
          </w:p>
        </w:tc>
      </w:tr>
      <w:tr>
        <w:trPr>
          <w:cantSplit/>
        </w:trPr>
        <w:tc>
          <w:tcPr>
            <w:tcW w:w="1843" w:type="dxa"/>
            <w:vMerge w:val="restart"/>
          </w:tcPr>
          <w:p>
            <w:pPr>
              <w:pStyle w:val="zytable"/>
              <w:spacing w:before="0"/>
              <w:ind w:left="0" w:right="0"/>
              <w:rPr>
                <w:b/>
                <w:bCs/>
              </w:rPr>
            </w:pPr>
            <w:r>
              <w:rPr>
                <w:b/>
                <w:bCs/>
              </w:rPr>
              <w:t>Disputed fee:</w:t>
            </w:r>
          </w:p>
        </w:tc>
        <w:tc>
          <w:tcPr>
            <w:tcW w:w="5282"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843" w:type="dxa"/>
            <w:vMerge/>
          </w:tcPr>
          <w:p>
            <w:pPr>
              <w:pStyle w:val="zytable"/>
              <w:spacing w:before="0"/>
              <w:ind w:left="0" w:right="0"/>
              <w:rPr>
                <w:b/>
                <w:bCs/>
              </w:rPr>
            </w:pPr>
          </w:p>
        </w:tc>
        <w:tc>
          <w:tcPr>
            <w:tcW w:w="5282" w:type="dxa"/>
            <w:gridSpan w:val="3"/>
          </w:tcPr>
          <w:p>
            <w:pPr>
              <w:pStyle w:val="zytable"/>
              <w:tabs>
                <w:tab w:val="left" w:pos="1877"/>
              </w:tabs>
              <w:spacing w:before="0"/>
              <w:ind w:left="0" w:right="0"/>
            </w:pPr>
            <w:r>
              <w:rPr>
                <w:iCs/>
              </w:rPr>
              <w:t xml:space="preserve">Payable under the </w:t>
            </w:r>
            <w:r>
              <w:rPr>
                <w:i/>
                <w:iCs/>
              </w:rPr>
              <w:t xml:space="preserve">Children’s Court (Fees) Regulations 2005 </w:t>
            </w:r>
            <w:r>
              <w:rPr>
                <w:iCs/>
              </w:rPr>
              <w:t>Schedule 1 Division 1/2/3* item ..........</w:t>
            </w:r>
          </w:p>
        </w:tc>
      </w:tr>
      <w:tr>
        <w:trPr>
          <w:cantSplit/>
        </w:trPr>
        <w:tc>
          <w:tcPr>
            <w:tcW w:w="1843" w:type="dxa"/>
            <w:vMerge/>
          </w:tcPr>
          <w:p>
            <w:pPr>
              <w:pStyle w:val="zytable"/>
              <w:spacing w:before="0"/>
              <w:ind w:left="0" w:right="0"/>
              <w:rPr>
                <w:b/>
                <w:bCs/>
              </w:rPr>
            </w:pPr>
          </w:p>
        </w:tc>
        <w:tc>
          <w:tcPr>
            <w:tcW w:w="5282" w:type="dxa"/>
            <w:gridSpan w:val="3"/>
          </w:tcPr>
          <w:p>
            <w:pPr>
              <w:pStyle w:val="zytable"/>
              <w:spacing w:before="0"/>
              <w:ind w:left="0" w:right="0"/>
            </w:pPr>
            <w:r>
              <w:t xml:space="preserve">I dispute — </w:t>
            </w:r>
          </w:p>
          <w:p>
            <w:pPr>
              <w:pStyle w:val="zytable"/>
              <w:tabs>
                <w:tab w:val="left" w:pos="567"/>
              </w:tabs>
              <w:spacing w:before="0"/>
              <w:ind w:left="0" w:right="0"/>
            </w:pPr>
            <w:r>
              <w:rPr>
                <w:rFonts w:eastAsia="MS Mincho"/>
              </w:rPr>
              <w:sym w:font="Monotype Sorts" w:char="F070"/>
            </w:r>
            <w:r>
              <w:rPr>
                <w:rFonts w:ascii="MS Mincho" w:eastAsia="MS Mincho" w:hAnsi="MS Mincho"/>
              </w:rPr>
              <w:tab/>
            </w:r>
            <w:r>
              <w:t>that the fee is payable</w:t>
            </w:r>
          </w:p>
          <w:p>
            <w:pPr>
              <w:pStyle w:val="zytable"/>
              <w:tabs>
                <w:tab w:val="left" w:pos="567"/>
              </w:tabs>
              <w:spacing w:before="0"/>
              <w:ind w:left="0" w:right="0"/>
            </w:pPr>
            <w:r>
              <w:rPr>
                <w:rFonts w:eastAsia="MS Mincho"/>
              </w:rPr>
              <w:sym w:font="Monotype Sorts" w:char="F070"/>
            </w:r>
            <w:r>
              <w:tab/>
              <w:t>the amount of the fee</w:t>
            </w:r>
          </w:p>
          <w:p>
            <w:pPr>
              <w:pStyle w:val="zytable"/>
              <w:tabs>
                <w:tab w:val="left" w:pos="567"/>
              </w:tabs>
              <w:spacing w:before="0"/>
              <w:ind w:left="0" w:right="0"/>
            </w:pPr>
            <w:r>
              <w:rPr>
                <w:rFonts w:eastAsia="MS Mincho"/>
              </w:rPr>
              <w:sym w:font="Monotype Sorts" w:char="F070"/>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7125"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843" w:type="dxa"/>
          </w:tcPr>
          <w:p>
            <w:pPr>
              <w:pStyle w:val="zytable"/>
              <w:spacing w:before="0"/>
              <w:ind w:left="0" w:right="0"/>
              <w:rPr>
                <w:b/>
                <w:bCs/>
              </w:rPr>
            </w:pPr>
            <w:r>
              <w:rPr>
                <w:b/>
                <w:bCs/>
              </w:rPr>
              <w:t>Signature of applicant:</w:t>
            </w:r>
          </w:p>
        </w:tc>
        <w:tc>
          <w:tcPr>
            <w:tcW w:w="5282" w:type="dxa"/>
            <w:gridSpan w:val="3"/>
          </w:tcPr>
          <w:p>
            <w:pPr>
              <w:pStyle w:val="zytable"/>
              <w:spacing w:before="0"/>
              <w:ind w:left="0" w:right="0"/>
            </w:pPr>
            <w:r>
              <w:br/>
              <w:t>............................................................................................</w:t>
            </w:r>
          </w:p>
        </w:tc>
      </w:tr>
      <w:tr>
        <w:trPr>
          <w:cantSplit/>
        </w:trPr>
        <w:tc>
          <w:tcPr>
            <w:tcW w:w="1843" w:type="dxa"/>
          </w:tcPr>
          <w:p>
            <w:pPr>
              <w:pStyle w:val="zytable"/>
              <w:spacing w:before="0"/>
              <w:ind w:left="0" w:right="0"/>
              <w:rPr>
                <w:b/>
                <w:bCs/>
              </w:rPr>
            </w:pPr>
            <w:r>
              <w:rPr>
                <w:b/>
                <w:bCs/>
              </w:rPr>
              <w:t>Date:</w:t>
            </w:r>
          </w:p>
        </w:tc>
        <w:tc>
          <w:tcPr>
            <w:tcW w:w="5282"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7125" w:type="dxa"/>
            <w:gridSpan w:val="4"/>
          </w:tcPr>
          <w:p>
            <w:pPr>
              <w:pStyle w:val="zytable"/>
              <w:tabs>
                <w:tab w:val="left" w:pos="317"/>
              </w:tabs>
              <w:spacing w:before="0"/>
              <w:ind w:left="0" w:right="0"/>
              <w:rPr>
                <w:rFonts w:eastAsia="MS Mincho"/>
              </w:rPr>
            </w:pPr>
            <w:r>
              <w:rPr>
                <w:i/>
              </w:rPr>
              <w:t>*</w:t>
            </w:r>
            <w:r>
              <w:rPr>
                <w:i/>
              </w:rPr>
              <w:tab/>
            </w:r>
            <w:r>
              <w:rPr>
                <w:i/>
                <w:sz w:val="16"/>
              </w:rPr>
              <w:t>Strike out numbers that are not applicable.</w:t>
            </w:r>
          </w:p>
        </w:tc>
      </w:tr>
    </w:tbl>
    <w:p>
      <w:pPr>
        <w:pStyle w:val="yFootnotesection"/>
      </w:pPr>
      <w:r>
        <w:tab/>
        <w:t>[Form 2 amended in Gazette 11 Mar 2008 p. 817.]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54" w:name="_Toc378075991"/>
      <w:bookmarkStart w:id="55" w:name="_Toc391629939"/>
      <w:bookmarkStart w:id="56" w:name="_Toc415648684"/>
      <w:bookmarkStart w:id="57" w:name="_Toc415648781"/>
      <w:bookmarkStart w:id="58" w:name="_Toc415648802"/>
      <w:r>
        <w:t>Notes</w:t>
      </w:r>
      <w:bookmarkEnd w:id="54"/>
      <w:bookmarkEnd w:id="55"/>
      <w:bookmarkEnd w:id="56"/>
      <w:bookmarkEnd w:id="57"/>
      <w:bookmarkEnd w:id="58"/>
    </w:p>
    <w:p>
      <w:pPr>
        <w:pStyle w:val="nSubsection"/>
        <w:rPr>
          <w:snapToGrid w:val="0"/>
        </w:rPr>
      </w:pPr>
      <w:r>
        <w:rPr>
          <w:snapToGrid w:val="0"/>
          <w:vertAlign w:val="superscript"/>
        </w:rPr>
        <w:t>1</w:t>
      </w:r>
      <w:r>
        <w:rPr>
          <w:snapToGrid w:val="0"/>
        </w:rPr>
        <w:tab/>
        <w:t xml:space="preserve">This is a compilation of the </w:t>
      </w:r>
      <w:r>
        <w:rPr>
          <w:i/>
          <w:noProof/>
          <w:snapToGrid w:val="0"/>
        </w:rPr>
        <w:t>Children’s Court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59" w:name="_Toc391629940"/>
      <w:bookmarkStart w:id="60" w:name="_Toc415648803"/>
      <w:r>
        <w:t>Compilation table</w:t>
      </w:r>
      <w:bookmarkEnd w:id="59"/>
      <w:bookmarkEnd w:id="6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c>
          <w:tcPr>
            <w:tcW w:w="3118" w:type="dxa"/>
          </w:tcPr>
          <w:p>
            <w:pPr>
              <w:pStyle w:val="nTable"/>
              <w:spacing w:after="40"/>
              <w:rPr>
                <w:rFonts w:ascii="Times" w:hAnsi="Times"/>
                <w:i/>
              </w:rPr>
            </w:pPr>
            <w:r>
              <w:rPr>
                <w:rFonts w:ascii="Times" w:hAnsi="Times"/>
                <w:i/>
              </w:rPr>
              <w:t>Children’s Court (Fees) Amendment Regulations 2009</w:t>
            </w:r>
          </w:p>
        </w:tc>
        <w:tc>
          <w:tcPr>
            <w:tcW w:w="1276" w:type="dxa"/>
          </w:tcPr>
          <w:p>
            <w:pPr>
              <w:pStyle w:val="nTable"/>
              <w:spacing w:after="40"/>
              <w:rPr>
                <w:rFonts w:ascii="Times" w:hAnsi="Times"/>
              </w:rPr>
            </w:pPr>
            <w:r>
              <w:rPr>
                <w:rFonts w:ascii="Times" w:hAnsi="Times"/>
              </w:rPr>
              <w:t>9 Jun 2009 p. 1925</w:t>
            </w:r>
          </w:p>
        </w:tc>
        <w:tc>
          <w:tcPr>
            <w:tcW w:w="2693" w:type="dxa"/>
          </w:tcPr>
          <w:p>
            <w:pPr>
              <w:pStyle w:val="nTable"/>
              <w:spacing w:after="40"/>
              <w:rPr>
                <w:rFonts w:ascii="Times" w:hAnsi="Times"/>
              </w:rPr>
            </w:pPr>
            <w:r>
              <w:rPr>
                <w:rFonts w:ascii="Times" w:hAnsi="Times"/>
                <w:snapToGrid w:val="0"/>
              </w:rPr>
              <w:t>r. 1 and 2: 9 Jun 2009 (see r. 2(a));</w:t>
            </w:r>
            <w:r>
              <w:rPr>
                <w:rFonts w:ascii="Times" w:hAnsi="Times"/>
                <w:snapToGrid w:val="0"/>
              </w:rPr>
              <w:br/>
              <w:t>Regulations other than r. 1 and 2: 10 Jun 2009 (see r. 2(b))</w:t>
            </w:r>
          </w:p>
        </w:tc>
      </w:tr>
      <w:tr>
        <w:tc>
          <w:tcPr>
            <w:tcW w:w="3118" w:type="dxa"/>
          </w:tcPr>
          <w:p>
            <w:pPr>
              <w:pStyle w:val="nTable"/>
              <w:spacing w:after="40"/>
              <w:rPr>
                <w:rFonts w:ascii="Times" w:hAnsi="Times"/>
                <w:i/>
              </w:rPr>
            </w:pPr>
            <w:r>
              <w:rPr>
                <w:rFonts w:ascii="Times" w:hAnsi="Times"/>
                <w:i/>
              </w:rPr>
              <w:t>Children’s Court (Fees) Amendment Regulations (No. 2) 2009</w:t>
            </w:r>
          </w:p>
        </w:tc>
        <w:tc>
          <w:tcPr>
            <w:tcW w:w="1276" w:type="dxa"/>
          </w:tcPr>
          <w:p>
            <w:pPr>
              <w:pStyle w:val="nTable"/>
              <w:spacing w:after="40"/>
              <w:rPr>
                <w:rFonts w:ascii="Times" w:hAnsi="Times"/>
              </w:rPr>
            </w:pPr>
            <w:r>
              <w:rPr>
                <w:rFonts w:ascii="Times" w:hAnsi="Times"/>
              </w:rPr>
              <w:t>4 Sep 2009 p. 3483-5</w:t>
            </w:r>
          </w:p>
        </w:tc>
        <w:tc>
          <w:tcPr>
            <w:tcW w:w="2693" w:type="dxa"/>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c>
          <w:tcPr>
            <w:tcW w:w="3118" w:type="dxa"/>
          </w:tcPr>
          <w:p>
            <w:pPr>
              <w:pStyle w:val="nTable"/>
              <w:spacing w:after="40"/>
              <w:rPr>
                <w:rFonts w:ascii="Times" w:hAnsi="Times"/>
                <w:i/>
              </w:rPr>
            </w:pPr>
            <w:r>
              <w:rPr>
                <w:rFonts w:ascii="Times" w:hAnsi="Times"/>
                <w:i/>
              </w:rPr>
              <w:t>Children’s Court (Fees) Amendment Regulations 2011</w:t>
            </w:r>
          </w:p>
        </w:tc>
        <w:tc>
          <w:tcPr>
            <w:tcW w:w="1276" w:type="dxa"/>
          </w:tcPr>
          <w:p>
            <w:pPr>
              <w:pStyle w:val="nTable"/>
              <w:spacing w:after="40"/>
              <w:rPr>
                <w:rFonts w:ascii="Times" w:hAnsi="Times"/>
              </w:rPr>
            </w:pPr>
            <w:r>
              <w:rPr>
                <w:rFonts w:ascii="Times" w:hAnsi="Times"/>
              </w:rPr>
              <w:t>8 Mar 2011 p. 791</w:t>
            </w:r>
            <w:r>
              <w:rPr>
                <w:rFonts w:ascii="Times" w:hAnsi="Times"/>
              </w:rPr>
              <w:noBreakHyphen/>
              <w:t>2</w:t>
            </w:r>
          </w:p>
        </w:tc>
        <w:tc>
          <w:tcPr>
            <w:tcW w:w="2693"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keepNext/>
              <w:spacing w:after="40"/>
              <w:rPr>
                <w:rFonts w:ascii="Times" w:hAnsi="Times"/>
                <w:i/>
              </w:rPr>
            </w:pPr>
            <w:r>
              <w:rPr>
                <w:rFonts w:ascii="Times" w:hAnsi="Times"/>
                <w:i/>
              </w:rPr>
              <w:t>Children’s Court (Fees) Amendment Regulations (No. 2) 2011</w:t>
            </w:r>
          </w:p>
        </w:tc>
        <w:tc>
          <w:tcPr>
            <w:tcW w:w="1276" w:type="dxa"/>
          </w:tcPr>
          <w:p>
            <w:pPr>
              <w:pStyle w:val="nTable"/>
              <w:keepNext/>
              <w:spacing w:after="40"/>
              <w:rPr>
                <w:rFonts w:ascii="Times" w:hAnsi="Times"/>
              </w:rPr>
            </w:pPr>
            <w:r>
              <w:rPr>
                <w:rFonts w:ascii="Times" w:hAnsi="Times"/>
              </w:rPr>
              <w:t>20 Dec 2011 p. 5390</w:t>
            </w:r>
            <w:r>
              <w:rPr>
                <w:rFonts w:ascii="Times" w:hAnsi="Times"/>
              </w:rPr>
              <w:noBreakHyphen/>
              <w:t>2</w:t>
            </w:r>
          </w:p>
        </w:tc>
        <w:tc>
          <w:tcPr>
            <w:tcW w:w="2693" w:type="dxa"/>
          </w:tcPr>
          <w:p>
            <w:pPr>
              <w:pStyle w:val="nTable"/>
              <w:keepNext/>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2012</w:t>
            </w:r>
          </w:p>
        </w:tc>
        <w:tc>
          <w:tcPr>
            <w:tcW w:w="1276" w:type="dxa"/>
            <w:shd w:val="clear" w:color="auto" w:fill="auto"/>
          </w:tcPr>
          <w:p>
            <w:pPr>
              <w:pStyle w:val="nTable"/>
              <w:spacing w:after="40"/>
              <w:rPr>
                <w:rFonts w:ascii="Times" w:hAnsi="Times"/>
              </w:rPr>
            </w:pPr>
            <w:r>
              <w:rPr>
                <w:rFonts w:ascii="Times" w:hAnsi="Times"/>
              </w:rPr>
              <w:t>27 Mar 2012 p. 1505</w:t>
            </w:r>
          </w:p>
        </w:tc>
        <w:tc>
          <w:tcPr>
            <w:tcW w:w="2693" w:type="dxa"/>
            <w:shd w:val="clear" w:color="auto" w:fill="auto"/>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3"/>
            <w:shd w:val="clear" w:color="auto" w:fill="auto"/>
          </w:tcPr>
          <w:p>
            <w:pPr>
              <w:pStyle w:val="nTable"/>
              <w:spacing w:after="40"/>
              <w:rPr>
                <w:rFonts w:ascii="Times" w:hAnsi="Times"/>
                <w:snapToGrid w:val="0"/>
              </w:rPr>
            </w:pPr>
            <w:r>
              <w:rPr>
                <w:rFonts w:ascii="Times" w:hAnsi="Times"/>
                <w:b/>
                <w:bCs/>
                <w:snapToGrid w:val="0"/>
              </w:rPr>
              <w:t xml:space="preserve">Reprint 2:  The </w:t>
            </w:r>
            <w:r>
              <w:rPr>
                <w:rFonts w:ascii="Times" w:hAnsi="Times"/>
                <w:b/>
                <w:bCs/>
                <w:i/>
              </w:rPr>
              <w:t>Children’s Court (Fees) Regulations 2005</w:t>
            </w:r>
            <w:r>
              <w:rPr>
                <w:rFonts w:ascii="Times" w:hAnsi="Times"/>
                <w:b/>
                <w:bCs/>
                <w:snapToGrid w:val="0"/>
              </w:rPr>
              <w:t xml:space="preserve"> as at 15 Jun 2012</w:t>
            </w:r>
            <w:r>
              <w:rPr>
                <w:rFonts w:ascii="Times" w:hAnsi="Times"/>
                <w:b/>
                <w:bCs/>
                <w:snapToGrid w:val="0"/>
              </w:rPr>
              <w:br/>
            </w:r>
            <w:r>
              <w:rPr>
                <w:rFonts w:ascii="Times" w:hAnsi="Times"/>
                <w:snapToGrid w:val="0"/>
              </w:rPr>
              <w:t>(includes amendments listed above)</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2012</w:t>
            </w:r>
          </w:p>
        </w:tc>
        <w:tc>
          <w:tcPr>
            <w:tcW w:w="1276" w:type="dxa"/>
            <w:shd w:val="clear" w:color="auto" w:fill="auto"/>
          </w:tcPr>
          <w:p>
            <w:pPr>
              <w:pStyle w:val="nTable"/>
              <w:spacing w:after="40"/>
              <w:rPr>
                <w:rFonts w:ascii="Times" w:hAnsi="Times"/>
              </w:rPr>
            </w:pPr>
            <w:r>
              <w:rPr>
                <w:rFonts w:ascii="Times" w:hAnsi="Times"/>
              </w:rPr>
              <w:t>30 Nov 2012 p. 5794</w:t>
            </w:r>
            <w:r>
              <w:rPr>
                <w:rFonts w:ascii="Times" w:hAnsi="Times"/>
              </w:rPr>
              <w:noBreakHyphen/>
              <w:t>5</w:t>
            </w:r>
          </w:p>
        </w:tc>
        <w:tc>
          <w:tcPr>
            <w:tcW w:w="2693" w:type="dxa"/>
            <w:shd w:val="clear" w:color="auto" w:fill="auto"/>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2013</w:t>
            </w:r>
          </w:p>
        </w:tc>
        <w:tc>
          <w:tcPr>
            <w:tcW w:w="1276" w:type="dxa"/>
            <w:shd w:val="clear" w:color="auto" w:fill="auto"/>
          </w:tcPr>
          <w:p>
            <w:pPr>
              <w:pStyle w:val="nTable"/>
              <w:spacing w:after="40"/>
              <w:rPr>
                <w:rFonts w:ascii="Times" w:hAnsi="Times"/>
              </w:rPr>
            </w:pPr>
            <w:r>
              <w:rPr>
                <w:rFonts w:ascii="Times" w:hAnsi="Times"/>
              </w:rPr>
              <w:t>15 Nov 2013 p. 5250</w:t>
            </w:r>
            <w:r>
              <w:rPr>
                <w:rFonts w:ascii="Times" w:hAnsi="Times"/>
              </w:rPr>
              <w:noBreakHyphen/>
              <w:t>2</w:t>
            </w:r>
          </w:p>
        </w:tc>
        <w:tc>
          <w:tcPr>
            <w:tcW w:w="2693" w:type="dxa"/>
            <w:shd w:val="clear" w:color="auto" w:fill="auto"/>
          </w:tcPr>
          <w:p>
            <w:pPr>
              <w:pStyle w:val="nTable"/>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w:t>
            </w:r>
          </w:p>
        </w:tc>
      </w:tr>
      <w:tr>
        <w:tc>
          <w:tcPr>
            <w:tcW w:w="3118" w:type="dxa"/>
            <w:tcBorders>
              <w:bottom w:val="single" w:sz="4" w:space="0" w:color="auto"/>
            </w:tcBorders>
            <w:shd w:val="clear" w:color="auto" w:fill="auto"/>
          </w:tcPr>
          <w:p>
            <w:pPr>
              <w:pStyle w:val="nTable"/>
              <w:spacing w:after="40"/>
              <w:rPr>
                <w:rFonts w:ascii="Times" w:hAnsi="Times"/>
                <w:i/>
              </w:rPr>
            </w:pPr>
            <w:r>
              <w:rPr>
                <w:rFonts w:ascii="Times" w:hAnsi="Times"/>
                <w:i/>
              </w:rPr>
              <w:t>Children’s Court (Fees) Amendment Regulations (No. 2) 2014</w:t>
            </w:r>
          </w:p>
        </w:tc>
        <w:tc>
          <w:tcPr>
            <w:tcW w:w="1276" w:type="dxa"/>
            <w:tcBorders>
              <w:bottom w:val="single" w:sz="4" w:space="0" w:color="auto"/>
            </w:tcBorders>
            <w:shd w:val="clear" w:color="auto" w:fill="auto"/>
          </w:tcPr>
          <w:p>
            <w:pPr>
              <w:pStyle w:val="nTable"/>
              <w:spacing w:after="40"/>
              <w:rPr>
                <w:rFonts w:ascii="Times" w:hAnsi="Times"/>
              </w:rPr>
            </w:pPr>
            <w:r>
              <w:rPr>
                <w:rFonts w:ascii="Times" w:hAnsi="Times"/>
              </w:rPr>
              <w:t>27 Jun 2014 p. 2333-4</w:t>
            </w:r>
          </w:p>
        </w:tc>
        <w:tc>
          <w:tcPr>
            <w:tcW w:w="2693" w:type="dxa"/>
            <w:tcBorders>
              <w:bottom w:val="single" w:sz="4" w:space="0" w:color="auto"/>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bl>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62" w:name="_Toc415648783"/>
      <w:bookmarkStart w:id="63" w:name="_Toc415648804"/>
      <w:r>
        <w:rPr>
          <w:sz w:val="28"/>
        </w:rPr>
        <w:t>Defined terms</w:t>
      </w:r>
      <w:bookmarkEnd w:id="62"/>
      <w:bookmarkEnd w:id="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civil jurisdiction</w:t>
      </w:r>
      <w:r>
        <w:tab/>
        <w:t>3</w:t>
      </w:r>
    </w:p>
    <w:p>
      <w:pPr>
        <w:pStyle w:val="DefinedTerms"/>
      </w:pPr>
      <w:r>
        <w:t>criminal jurisdiction</w:t>
      </w:r>
      <w:r>
        <w:tab/>
        <w:t>3</w:t>
      </w:r>
    </w:p>
    <w:p>
      <w:pPr>
        <w:pStyle w:val="DefinedTerms"/>
      </w:pPr>
      <w:r>
        <w:t>deputy registrar</w:t>
      </w:r>
      <w:r>
        <w:tab/>
        <w:t>3</w:t>
      </w:r>
    </w:p>
    <w:p>
      <w:pPr>
        <w:pStyle w:val="DefinedTerms"/>
      </w:pPr>
      <w:r>
        <w:t>enforcement officer</w:t>
      </w:r>
      <w:r>
        <w:tab/>
        <w:t>3</w:t>
      </w:r>
    </w:p>
    <w:p>
      <w:pPr>
        <w:pStyle w:val="DefinedTerms"/>
      </w:pPr>
      <w:r>
        <w:t>Form</w:t>
      </w:r>
      <w:r>
        <w:tab/>
        <w:t>3</w:t>
      </w:r>
    </w:p>
    <w:p>
      <w:pPr>
        <w:pStyle w:val="DefinedTerms"/>
      </w:pPr>
      <w:r>
        <w:t>prosecution notice</w:t>
      </w:r>
      <w:r>
        <w:tab/>
        <w:t>3</w:t>
      </w:r>
    </w:p>
    <w:p>
      <w:pPr>
        <w:pStyle w:val="DefinedTerms"/>
      </w:pPr>
      <w:r>
        <w:t>respondent</w:t>
      </w:r>
      <w:r>
        <w:tab/>
        <w:t>6(2)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separate"/>
          </w:r>
          <w:r>
            <w:rPr>
              <w:b/>
            </w:rPr>
            <w:instrText>Division 3</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1" w:name="Compilation"/>
    <w:bookmarkEnd w:id="6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4" w:name="DefinedTerms"/>
    <w:bookmarkEnd w:id="6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 w:name="Coversheet"/>
    <w:bookmarkEnd w:id="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1A0130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8FD41A7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01104738"/>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4008</Words>
  <Characters>23369</Characters>
  <Application>Microsoft Office Word</Application>
  <DocSecurity>0</DocSecurity>
  <Lines>834</Lines>
  <Paragraphs>536</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26841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2005 - 02-d0-01</dc:title>
  <dc:subject/>
  <dc:creator/>
  <cp:keywords/>
  <dc:description/>
  <cp:lastModifiedBy>svcMRProcess</cp:lastModifiedBy>
  <cp:revision>4</cp:revision>
  <cp:lastPrinted>2012-06-26T00:02:00Z</cp:lastPrinted>
  <dcterms:created xsi:type="dcterms:W3CDTF">2018-09-10T06:30:00Z</dcterms:created>
  <dcterms:modified xsi:type="dcterms:W3CDTF">2018-09-10T06:30:00Z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CommencementDate">
    <vt:lpwstr>20140701</vt:lpwstr>
  </property>
  <property fmtid="{D5CDD505-2E9C-101B-9397-08002B2CF9AE}" pid="4" name="OwlsUID">
    <vt:i4>34705</vt:i4>
  </property>
  <property fmtid="{D5CDD505-2E9C-101B-9397-08002B2CF9AE}" pid="5" name="ReprintNo">
    <vt:lpwstr>2</vt:lpwstr>
  </property>
  <property fmtid="{D5CDD505-2E9C-101B-9397-08002B2CF9AE}" pid="6" name="ReprintedAsAt">
    <vt:filetime>2012-06-14T16:00:00Z</vt:filetime>
  </property>
  <property fmtid="{D5CDD505-2E9C-101B-9397-08002B2CF9AE}" pid="7" name="DocumentType">
    <vt:lpwstr>Reg</vt:lpwstr>
  </property>
  <property fmtid="{D5CDD505-2E9C-101B-9397-08002B2CF9AE}" pid="8" name="AsAtDate">
    <vt:lpwstr>01 Jul 2014</vt:lpwstr>
  </property>
  <property fmtid="{D5CDD505-2E9C-101B-9397-08002B2CF9AE}" pid="9" name="Suffix">
    <vt:lpwstr>02-d0-01</vt:lpwstr>
  </property>
</Properties>
</file>