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Supreme Court Act 1935</w:t>
      </w:r>
    </w:p>
    <w:p>
      <w:pPr>
        <w:pStyle w:val="NameofActRegPage1"/>
        <w:spacing w:before="1980" w:after="4200"/>
        <w:ind w:left="238" w:right="24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Supreme Court (Fees) Regulations 2002</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_Toc391885679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_Toc391885680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_Toc391885681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w:t>
      </w:r>
      <w:r>
        <w:tab/>
      </w:r>
      <w:r>
        <w:fldChar w:fldCharType="begin"/>
      </w:r>
      <w:r>
        <w:instrText xml:space="preserve"> PAGEREF _Toc391885682 \h </w:instrText>
      </w:r>
      <w:r>
        <w:fldChar w:fldCharType="separate"/>
      </w:r>
      <w:r>
        <w:t>2</w:t>
      </w:r>
      <w:r>
        <w:fldChar w:fldCharType="end"/>
      </w:r>
    </w:p>
    <w:p>
      <w:pPr>
        <w:pStyle w:val="TOC8"/>
        <w:rPr>
          <w:rFonts w:asciiTheme="minorHAnsi" w:eastAsiaTheme="minorEastAsia" w:hAnsiTheme="minorHAnsi" w:cstheme="minorBidi"/>
          <w:szCs w:val="22"/>
        </w:rPr>
      </w:pPr>
      <w:r>
        <w:t>5.</w:t>
      </w:r>
      <w:r>
        <w:tab/>
      </w:r>
      <w:r>
        <w:rPr>
          <w:snapToGrid w:val="0"/>
        </w:rPr>
        <w:t>Exemptions</w:t>
      </w:r>
      <w:r>
        <w:tab/>
      </w:r>
      <w:r>
        <w:fldChar w:fldCharType="begin"/>
      </w:r>
      <w:r>
        <w:instrText xml:space="preserve"> PAGEREF _Toc391885683 \h </w:instrText>
      </w:r>
      <w:r>
        <w:fldChar w:fldCharType="separate"/>
      </w:r>
      <w:r>
        <w:t>5</w:t>
      </w:r>
      <w:r>
        <w:fldChar w:fldCharType="end"/>
      </w:r>
    </w:p>
    <w:p>
      <w:pPr>
        <w:pStyle w:val="TOC8"/>
        <w:rPr>
          <w:rFonts w:asciiTheme="minorHAnsi" w:eastAsiaTheme="minorEastAsia" w:hAnsiTheme="minorHAnsi" w:cstheme="minorBidi"/>
          <w:szCs w:val="22"/>
        </w:rPr>
      </w:pPr>
      <w:r>
        <w:t>5A.</w:t>
      </w:r>
      <w:r>
        <w:tab/>
        <w:t>Disputes regarding fees</w:t>
      </w:r>
      <w:r>
        <w:tab/>
      </w:r>
      <w:r>
        <w:fldChar w:fldCharType="begin"/>
      </w:r>
      <w:r>
        <w:instrText xml:space="preserve"> PAGEREF _Toc391885684 \h </w:instrText>
      </w:r>
      <w:r>
        <w:fldChar w:fldCharType="separate"/>
      </w:r>
      <w:r>
        <w:t>6</w:t>
      </w:r>
      <w:r>
        <w:fldChar w:fldCharType="end"/>
      </w:r>
    </w:p>
    <w:p>
      <w:pPr>
        <w:pStyle w:val="TOC8"/>
        <w:rPr>
          <w:rFonts w:asciiTheme="minorHAnsi" w:eastAsiaTheme="minorEastAsia" w:hAnsiTheme="minorHAnsi" w:cstheme="minorBidi"/>
          <w:szCs w:val="22"/>
        </w:rPr>
      </w:pPr>
      <w:r>
        <w:t>6.</w:t>
      </w:r>
      <w:r>
        <w:tab/>
      </w:r>
      <w:r>
        <w:rPr>
          <w:snapToGrid w:val="0"/>
        </w:rPr>
        <w:t>Fees to be paid before documents filed or other things done</w:t>
      </w:r>
      <w:r>
        <w:tab/>
      </w:r>
      <w:r>
        <w:fldChar w:fldCharType="begin"/>
      </w:r>
      <w:r>
        <w:instrText xml:space="preserve"> PAGEREF _Toc391885685 \h </w:instrText>
      </w:r>
      <w:r>
        <w:fldChar w:fldCharType="separate"/>
      </w:r>
      <w:r>
        <w:t>6</w:t>
      </w:r>
      <w:r>
        <w:fldChar w:fldCharType="end"/>
      </w:r>
    </w:p>
    <w:p>
      <w:pPr>
        <w:pStyle w:val="TOC8"/>
        <w:rPr>
          <w:rFonts w:asciiTheme="minorHAnsi" w:eastAsiaTheme="minorEastAsia" w:hAnsiTheme="minorHAnsi" w:cstheme="minorBidi"/>
          <w:szCs w:val="22"/>
        </w:rPr>
      </w:pPr>
      <w:r>
        <w:t>7.</w:t>
      </w:r>
      <w:r>
        <w:tab/>
      </w:r>
      <w:r>
        <w:rPr>
          <w:snapToGrid w:val="0"/>
        </w:rPr>
        <w:t>Court or registrar may remit fees</w:t>
      </w:r>
      <w:r>
        <w:tab/>
      </w:r>
      <w:r>
        <w:fldChar w:fldCharType="begin"/>
      </w:r>
      <w:r>
        <w:instrText xml:space="preserve"> PAGEREF _Toc391885686 \h </w:instrText>
      </w:r>
      <w:r>
        <w:fldChar w:fldCharType="separate"/>
      </w:r>
      <w:r>
        <w:t>6</w:t>
      </w:r>
      <w:r>
        <w:fldChar w:fldCharType="end"/>
      </w:r>
    </w:p>
    <w:p>
      <w:pPr>
        <w:pStyle w:val="TOC8"/>
        <w:rPr>
          <w:rFonts w:asciiTheme="minorHAnsi" w:eastAsiaTheme="minorEastAsia" w:hAnsiTheme="minorHAnsi" w:cstheme="minorBidi"/>
          <w:szCs w:val="22"/>
        </w:rPr>
      </w:pPr>
      <w:r>
        <w:t>8.</w:t>
      </w:r>
      <w:r>
        <w:tab/>
      </w:r>
      <w:r>
        <w:rPr>
          <w:snapToGrid w:val="0"/>
        </w:rPr>
        <w:t>Conventions</w:t>
      </w:r>
      <w:r>
        <w:tab/>
      </w:r>
      <w:r>
        <w:fldChar w:fldCharType="begin"/>
      </w:r>
      <w:r>
        <w:instrText xml:space="preserve"> PAGEREF _Toc391885687 \h </w:instrText>
      </w:r>
      <w:r>
        <w:fldChar w:fldCharType="separate"/>
      </w:r>
      <w:r>
        <w:t>9</w:t>
      </w:r>
      <w:r>
        <w:fldChar w:fldCharType="end"/>
      </w:r>
    </w:p>
    <w:p>
      <w:pPr>
        <w:pStyle w:val="TOC8"/>
        <w:rPr>
          <w:rFonts w:asciiTheme="minorHAnsi" w:eastAsiaTheme="minorEastAsia" w:hAnsiTheme="minorHAnsi" w:cstheme="minorBidi"/>
          <w:szCs w:val="22"/>
        </w:rPr>
      </w:pPr>
      <w:r>
        <w:t>9.</w:t>
      </w:r>
      <w:r>
        <w:tab/>
        <w:t>Allocation of hearing date — Schedule 1 Division 1 item 5</w:t>
      </w:r>
      <w:r>
        <w:tab/>
      </w:r>
      <w:r>
        <w:fldChar w:fldCharType="begin"/>
      </w:r>
      <w:r>
        <w:instrText xml:space="preserve"> PAGEREF _Toc391885688 \h </w:instrText>
      </w:r>
      <w:r>
        <w:fldChar w:fldCharType="separate"/>
      </w:r>
      <w:r>
        <w:t>9</w:t>
      </w:r>
      <w:r>
        <w:fldChar w:fldCharType="end"/>
      </w:r>
    </w:p>
    <w:p>
      <w:pPr>
        <w:pStyle w:val="TOC8"/>
        <w:rPr>
          <w:rFonts w:asciiTheme="minorHAnsi" w:eastAsiaTheme="minorEastAsia" w:hAnsiTheme="minorHAnsi" w:cstheme="minorBidi"/>
          <w:szCs w:val="22"/>
        </w:rPr>
      </w:pPr>
      <w:r>
        <w:t>9A.</w:t>
      </w:r>
      <w:r>
        <w:tab/>
        <w:t>Court of Appeal allocation of hearing date — Schedule 1 Division 2 item 5</w:t>
      </w:r>
      <w:r>
        <w:tab/>
      </w:r>
      <w:r>
        <w:fldChar w:fldCharType="begin"/>
      </w:r>
      <w:r>
        <w:instrText xml:space="preserve"> PAGEREF _Toc391885689 \h </w:instrText>
      </w:r>
      <w:r>
        <w:fldChar w:fldCharType="separate"/>
      </w:r>
      <w:r>
        <w:t>11</w:t>
      </w:r>
      <w:r>
        <w:fldChar w:fldCharType="end"/>
      </w:r>
    </w:p>
    <w:p>
      <w:pPr>
        <w:pStyle w:val="TOC8"/>
        <w:rPr>
          <w:rFonts w:asciiTheme="minorHAnsi" w:eastAsiaTheme="minorEastAsia" w:hAnsiTheme="minorHAnsi" w:cstheme="minorBidi"/>
          <w:szCs w:val="22"/>
        </w:rPr>
      </w:pPr>
      <w:r>
        <w:t>10.</w:t>
      </w:r>
      <w:r>
        <w:tab/>
        <w:t>Schedule 1 Division 2 item 6 or Division 2 item 7 fee</w:t>
      </w:r>
      <w:r>
        <w:tab/>
      </w:r>
      <w:r>
        <w:fldChar w:fldCharType="begin"/>
      </w:r>
      <w:r>
        <w:instrText xml:space="preserve"> PAGEREF _Toc391885690 \h </w:instrText>
      </w:r>
      <w:r>
        <w:fldChar w:fldCharType="separate"/>
      </w:r>
      <w:r>
        <w:t>12</w:t>
      </w:r>
      <w:r>
        <w:fldChar w:fldCharType="end"/>
      </w:r>
    </w:p>
    <w:p>
      <w:pPr>
        <w:pStyle w:val="TOC8"/>
        <w:rPr>
          <w:rFonts w:asciiTheme="minorHAnsi" w:eastAsiaTheme="minorEastAsia" w:hAnsiTheme="minorHAnsi" w:cstheme="minorBidi"/>
          <w:szCs w:val="22"/>
        </w:rPr>
      </w:pPr>
      <w:r>
        <w:t>11.</w:t>
      </w:r>
      <w:r>
        <w:tab/>
        <w:t>Recovery of unpaid fees</w:t>
      </w:r>
      <w:r>
        <w:tab/>
      </w:r>
      <w:r>
        <w:fldChar w:fldCharType="begin"/>
      </w:r>
      <w:r>
        <w:instrText xml:space="preserve"> PAGEREF _Toc391885691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4"/>
        <w:tabs>
          <w:tab w:val="right" w:leader="dot" w:pos="7086"/>
        </w:tabs>
        <w:rPr>
          <w:rFonts w:asciiTheme="minorHAnsi" w:eastAsiaTheme="minorEastAsia" w:hAnsiTheme="minorHAnsi" w:cstheme="minorBidi"/>
          <w:b w:val="0"/>
          <w:szCs w:val="22"/>
        </w:rPr>
      </w:pPr>
      <w:r>
        <w:t>Division 1</w:t>
      </w:r>
      <w:r>
        <w:rPr>
          <w:b w:val="0"/>
        </w:rPr>
        <w:t> — </w:t>
      </w:r>
      <w:r>
        <w:t>General Division fees</w:t>
      </w:r>
    </w:p>
    <w:p>
      <w:pPr>
        <w:pStyle w:val="TOC4"/>
        <w:tabs>
          <w:tab w:val="right" w:leader="dot" w:pos="7086"/>
        </w:tabs>
        <w:rPr>
          <w:rFonts w:asciiTheme="minorHAnsi" w:eastAsiaTheme="minorEastAsia" w:hAnsiTheme="minorHAnsi" w:cstheme="minorBidi"/>
          <w:b w:val="0"/>
          <w:szCs w:val="22"/>
        </w:rPr>
      </w:pPr>
      <w:r>
        <w:t>Division 2</w:t>
      </w:r>
      <w:r>
        <w:rPr>
          <w:b w:val="0"/>
        </w:rPr>
        <w:t> — </w:t>
      </w:r>
      <w:r>
        <w:t>Court of Appeal fees</w:t>
      </w:r>
    </w:p>
    <w:p>
      <w:pPr>
        <w:pStyle w:val="TOC2"/>
        <w:tabs>
          <w:tab w:val="right" w:leader="dot" w:pos="7086"/>
        </w:tabs>
        <w:rPr>
          <w:rFonts w:asciiTheme="minorHAnsi" w:eastAsiaTheme="minorEastAsia" w:hAnsiTheme="minorHAnsi" w:cstheme="minorBidi"/>
          <w:b w:val="0"/>
          <w:sz w:val="22"/>
          <w:szCs w:val="22"/>
        </w:rPr>
      </w:pPr>
      <w:r>
        <w:t>Schedule 2 — Sheriff’s fees</w:t>
      </w:r>
    </w:p>
    <w:p>
      <w:pPr>
        <w:pStyle w:val="TOC2"/>
        <w:tabs>
          <w:tab w:val="right" w:leader="dot" w:pos="7086"/>
        </w:tabs>
        <w:rPr>
          <w:rFonts w:asciiTheme="minorHAnsi" w:eastAsiaTheme="minorEastAsia" w:hAnsiTheme="minorHAnsi" w:cstheme="minorBidi"/>
          <w:b w:val="0"/>
          <w:sz w:val="22"/>
          <w:szCs w:val="22"/>
        </w:rPr>
      </w:pPr>
      <w:r>
        <w:t>Schedule 3 — Probate fees</w:t>
      </w:r>
    </w:p>
    <w:p>
      <w:pPr>
        <w:pStyle w:val="TOC2"/>
        <w:tabs>
          <w:tab w:val="right" w:leader="dot" w:pos="7086"/>
        </w:tabs>
        <w:rPr>
          <w:rFonts w:asciiTheme="minorHAnsi" w:eastAsiaTheme="minorEastAsia" w:hAnsiTheme="minorHAnsi" w:cstheme="minorBidi"/>
          <w:b w:val="0"/>
          <w:sz w:val="22"/>
          <w:szCs w:val="22"/>
        </w:rPr>
      </w:pPr>
      <w:r>
        <w:t>Schedule 4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_Toc391885699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Supreme Court Act 1935</w:t>
      </w:r>
    </w:p>
    <w:p>
      <w:pPr>
        <w:pStyle w:val="NameofActReg"/>
        <w:spacing w:before="400" w:after="520"/>
      </w:pPr>
      <w:r>
        <w:t>Supreme Court (Fees) Regulations 2002</w:t>
      </w:r>
    </w:p>
    <w:p>
      <w:pPr>
        <w:pStyle w:val="Heading5"/>
      </w:pPr>
      <w:bookmarkStart w:id="1" w:name="_Toc391885679"/>
      <w:r>
        <w:rPr>
          <w:rStyle w:val="CharSectno"/>
        </w:rPr>
        <w:t>1</w:t>
      </w:r>
      <w:r>
        <w:t>.</w:t>
      </w:r>
      <w:r>
        <w:tab/>
        <w:t>Citation</w:t>
      </w:r>
      <w:bookmarkEnd w:id="1"/>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2" w:name="_Toc391885680"/>
      <w:r>
        <w:rPr>
          <w:rStyle w:val="CharSectno"/>
        </w:rPr>
        <w:t>2</w:t>
      </w:r>
      <w:r>
        <w:rPr>
          <w:spacing w:val="-2"/>
        </w:rPr>
        <w:t>.</w:t>
      </w:r>
      <w:r>
        <w:rPr>
          <w:spacing w:val="-2"/>
        </w:rPr>
        <w:tab/>
        <w:t>Commencement</w:t>
      </w:r>
      <w:bookmarkEnd w:id="2"/>
    </w:p>
    <w:p>
      <w:pPr>
        <w:pStyle w:val="Subsection"/>
        <w:rPr>
          <w:spacing w:val="-2"/>
        </w:rPr>
      </w:pPr>
      <w:r>
        <w:rPr>
          <w:spacing w:val="-2"/>
        </w:rPr>
        <w:tab/>
      </w:r>
      <w:r>
        <w:rPr>
          <w:spacing w:val="-2"/>
        </w:rPr>
        <w:tab/>
        <w:t>These regulations come into operation on 1 January 2002</w:t>
      </w:r>
      <w:r>
        <w:t>.</w:t>
      </w:r>
    </w:p>
    <w:p>
      <w:pPr>
        <w:pStyle w:val="Heading5"/>
      </w:pPr>
      <w:bookmarkStart w:id="3" w:name="_Toc391885681"/>
      <w:r>
        <w:rPr>
          <w:rStyle w:val="CharSectno"/>
        </w:rPr>
        <w:t>3</w:t>
      </w:r>
      <w:r>
        <w:t>.</w:t>
      </w:r>
      <w:r>
        <w:tab/>
        <w:t>Terms used</w:t>
      </w:r>
      <w:bookmarkEnd w:id="3"/>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spacing w:before="70"/>
        <w:rPr>
          <w:i/>
          <w:iCs/>
        </w:rPr>
      </w:pPr>
      <w:r>
        <w:rPr>
          <w:i/>
          <w:iCs/>
        </w:rPr>
        <w:tab/>
        <w:t>[(a)</w:t>
      </w:r>
      <w:r>
        <w:rPr>
          <w:i/>
          <w:iCs/>
        </w:rPr>
        <w:tab/>
        <w:t>deleted]</w:t>
      </w:r>
    </w:p>
    <w:p>
      <w:pPr>
        <w:pStyle w:val="Defpara"/>
        <w:spacing w:before="70"/>
      </w:pPr>
      <w:r>
        <w:tab/>
        <w:t>(b)</w:t>
      </w:r>
      <w:r>
        <w:tab/>
        <w:t>an individual or individuals in partnership who wholly own and operate a business undertaking that has less than 20 full-time equivalent employees and partners;</w:t>
      </w:r>
    </w:p>
    <w:p>
      <w:pPr>
        <w:pStyle w:val="Defpara"/>
        <w:spacing w:before="70"/>
      </w:pPr>
      <w:r>
        <w:tab/>
        <w:t>(c)</w:t>
      </w:r>
      <w:r>
        <w:tab/>
        <w:t>a corporation that has less than 20 full-time equivalent employees and that is not a subsidiary of a corporation that has 20 or more full-time equivalent employees;</w:t>
      </w:r>
    </w:p>
    <w:p>
      <w:pPr>
        <w:pStyle w:val="Defpara"/>
        <w:spacing w:before="70"/>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spacing w:before="70"/>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w:t>
      </w:r>
    </w:p>
    <w:p>
      <w:pPr>
        <w:pStyle w:val="Heading5"/>
        <w:rPr>
          <w:snapToGrid w:val="0"/>
        </w:rPr>
      </w:pPr>
      <w:bookmarkStart w:id="4" w:name="_Toc391885682"/>
      <w:r>
        <w:rPr>
          <w:rStyle w:val="CharSectno"/>
        </w:rPr>
        <w:t>4</w:t>
      </w:r>
      <w:r>
        <w:t>.</w:t>
      </w:r>
      <w:r>
        <w:tab/>
      </w:r>
      <w:r>
        <w:rPr>
          <w:snapToGrid w:val="0"/>
        </w:rPr>
        <w:t>Fees to be charged</w:t>
      </w:r>
      <w:bookmarkEnd w:id="4"/>
    </w:p>
    <w:p>
      <w:pPr>
        <w:pStyle w:val="Subsection"/>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keepNext/>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Subsection"/>
      </w:pPr>
      <w:r>
        <w:rPr>
          <w:snapToGrid w:val="0"/>
        </w:rPr>
        <w:tab/>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r>
        <w:tab/>
        <w:t>[Regulation 4 amended in Gazette 30 Dec 2003 p. 5693-4; 28 Apr 2005 p. 1758; 4 Sep 2009 p. 3461.]</w:t>
      </w:r>
    </w:p>
    <w:p>
      <w:pPr>
        <w:pStyle w:val="Heading5"/>
        <w:rPr>
          <w:snapToGrid w:val="0"/>
        </w:rPr>
      </w:pPr>
      <w:bookmarkStart w:id="5" w:name="_Toc391885683"/>
      <w:r>
        <w:rPr>
          <w:rStyle w:val="CharSectno"/>
        </w:rPr>
        <w:t>5</w:t>
      </w:r>
      <w:r>
        <w:t>.</w:t>
      </w:r>
      <w:r>
        <w:tab/>
      </w:r>
      <w:r>
        <w:rPr>
          <w:snapToGrid w:val="0"/>
        </w:rPr>
        <w:t>Exemptions</w:t>
      </w:r>
      <w:bookmarkEnd w:id="5"/>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Footnotesection"/>
      </w:pPr>
      <w:r>
        <w:tab/>
        <w:t>[Regulation 5 amended in Gazette 28 Apr 2005 p. 1758; 23 Jun 2005 p. 2693; 27 Jun 2008 p. 3060; 4 Sep 2009 p. 3461; 27 Mar 2012 p. 1508.]</w:t>
      </w:r>
    </w:p>
    <w:p>
      <w:pPr>
        <w:pStyle w:val="Heading5"/>
      </w:pPr>
      <w:bookmarkStart w:id="6" w:name="_Toc391885684"/>
      <w:r>
        <w:rPr>
          <w:rStyle w:val="CharSectno"/>
        </w:rPr>
        <w:t>5A</w:t>
      </w:r>
      <w:r>
        <w:t>.</w:t>
      </w:r>
      <w:r>
        <w:tab/>
        <w:t>Disputes regarding fees</w:t>
      </w:r>
      <w:bookmarkEnd w:id="6"/>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7" w:name="_Toc391885685"/>
      <w:r>
        <w:rPr>
          <w:rStyle w:val="CharSectno"/>
        </w:rPr>
        <w:t>6</w:t>
      </w:r>
      <w:r>
        <w:t>.</w:t>
      </w:r>
      <w:r>
        <w:tab/>
      </w:r>
      <w:r>
        <w:rPr>
          <w:snapToGrid w:val="0"/>
        </w:rPr>
        <w:t>Fees to be paid before documents filed or other things done</w:t>
      </w:r>
      <w:bookmarkEnd w:id="7"/>
      <w:r>
        <w:rPr>
          <w:snapToGrid w:val="0"/>
        </w:rPr>
        <w:t xml:space="preserve"> </w:t>
      </w:r>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8" w:name="_Toc391885686"/>
      <w:r>
        <w:rPr>
          <w:rStyle w:val="CharSectno"/>
        </w:rPr>
        <w:t>7</w:t>
      </w:r>
      <w:r>
        <w:t>.</w:t>
      </w:r>
      <w:r>
        <w:tab/>
      </w:r>
      <w:r>
        <w:rPr>
          <w:snapToGrid w:val="0"/>
        </w:rPr>
        <w:t>Court or registrar may remit fees</w:t>
      </w:r>
      <w:bookmarkEnd w:id="8"/>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r>
      <w:r>
        <w:rPr>
          <w:rStyle w:val="CharDefText"/>
        </w:rPr>
        <w:t>special reasons</w:t>
      </w:r>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(2)</w:t>
      </w:r>
      <w:r>
        <w:rPr>
          <w:snapToGrid w:val="0"/>
        </w:rPr>
        <w:tab/>
      </w:r>
      <w:r>
        <w:t>Except as otherwise directed by a registrar, 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 xml:space="preserve">An application can be made to the trial judge under subregulation (1) on a ground referred to in paragraph (b) or (c) of the definition of </w:t>
      </w:r>
      <w:r>
        <w:rPr>
          <w:b/>
          <w:bCs/>
          <w:i/>
          <w:iCs/>
        </w:rPr>
        <w:t>special reasons</w:t>
      </w:r>
      <w:r>
        <w:t xml:space="preserve"> in subregulation (1a) notwithstanding that an application on that ground has previously been refused by a registrar.</w:t>
      </w:r>
    </w:p>
    <w:p>
      <w:pPr>
        <w:pStyle w:val="Footnotesection"/>
      </w:pPr>
      <w:r>
        <w:tab/>
        <w:t>[Regulation 7 amended in Gazette 30 Dec 2003 p. 5694-6; 28 Apr 2005 p. 1759; 8 Mar 2011 p. 781.]</w:t>
      </w:r>
    </w:p>
    <w:p>
      <w:pPr>
        <w:pStyle w:val="Heading5"/>
        <w:rPr>
          <w:snapToGrid w:val="0"/>
        </w:rPr>
      </w:pPr>
      <w:bookmarkStart w:id="9" w:name="_Toc391885687"/>
      <w:r>
        <w:rPr>
          <w:rStyle w:val="CharSectno"/>
        </w:rPr>
        <w:t>8</w:t>
      </w:r>
      <w:r>
        <w:t>.</w:t>
      </w:r>
      <w:r>
        <w:tab/>
      </w:r>
      <w:r>
        <w:rPr>
          <w:snapToGrid w:val="0"/>
        </w:rPr>
        <w:t>Conventions</w:t>
      </w:r>
      <w:bookmarkEnd w:id="9"/>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be taken in respect of those proceedings.</w:t>
      </w:r>
    </w:p>
    <w:p>
      <w:pPr>
        <w:pStyle w:val="Heading5"/>
      </w:pPr>
      <w:bookmarkStart w:id="10" w:name="_Toc391885688"/>
      <w:r>
        <w:t>9.</w:t>
      </w:r>
      <w:r>
        <w:tab/>
        <w:t>Allocation of hearing date — Schedule 1 Division 1 item 5</w:t>
      </w:r>
      <w:bookmarkEnd w:id="10"/>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4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spacing w:before="120"/>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 4 Sep 2009 p. 3461</w:t>
      </w:r>
      <w:r>
        <w:noBreakHyphen/>
        <w:t>2.]</w:t>
      </w:r>
    </w:p>
    <w:p>
      <w:pPr>
        <w:pStyle w:val="Heading5"/>
      </w:pPr>
      <w:bookmarkStart w:id="11" w:name="_Toc391885689"/>
      <w:r>
        <w:rPr>
          <w:rStyle w:val="CharSectno"/>
        </w:rPr>
        <w:t>9A</w:t>
      </w:r>
      <w:r>
        <w:t>.</w:t>
      </w:r>
      <w:r>
        <w:tab/>
        <w:t>Court of Appeal allocation of hearing date — Schedule 1 Division 2 item 5</w:t>
      </w:r>
      <w:bookmarkEnd w:id="11"/>
      <w:r>
        <w:t xml:space="preserve"> </w:t>
      </w:r>
    </w:p>
    <w:p>
      <w:pPr>
        <w:pStyle w:val="Subsection"/>
        <w:spacing w:before="120"/>
      </w:pPr>
      <w:r>
        <w:tab/>
        <w:t>(1)</w:t>
      </w:r>
      <w:r>
        <w:tab/>
        <w:t xml:space="preserve">In this regulation  — </w:t>
      </w:r>
    </w:p>
    <w:p>
      <w:pPr>
        <w:pStyle w:val="Defstart"/>
        <w:spacing w:before="120"/>
      </w:pPr>
      <w:r>
        <w:rPr>
          <w:b/>
        </w:rPr>
        <w:tab/>
      </w:r>
      <w:r>
        <w:rPr>
          <w:rStyle w:val="CharDefText"/>
        </w:rPr>
        <w:t>fee</w:t>
      </w:r>
      <w:r>
        <w:t xml:space="preserve"> means the fee referred to in Schedule 1 Division 2 item 5.</w:t>
      </w:r>
    </w:p>
    <w:p>
      <w:pPr>
        <w:pStyle w:val="Subsection"/>
        <w:spacing w:before="120"/>
      </w:pPr>
      <w:r>
        <w:tab/>
        <w:t>(2)</w:t>
      </w:r>
      <w:r>
        <w:tab/>
        <w:t>The fee is not payable in relation to an application for an interim order or to amend or cancel an interim order.</w:t>
      </w:r>
    </w:p>
    <w:p>
      <w:pPr>
        <w:pStyle w:val="Subsection"/>
        <w:spacing w:before="120"/>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spacing w:before="120"/>
      </w:pPr>
      <w:r>
        <w:tab/>
        <w:t>(4)</w:t>
      </w:r>
      <w:r>
        <w:tab/>
        <w:t>If the number of days for which the fee is payable is half a day or less, the fee is reduced by half.</w:t>
      </w:r>
    </w:p>
    <w:p>
      <w:pPr>
        <w:pStyle w:val="Subsection"/>
        <w:spacing w:before="120"/>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spacing w:before="60"/>
      </w:pPr>
      <w:r>
        <w:tab/>
        <w:t>(a)</w:t>
      </w:r>
      <w:r>
        <w:tab/>
        <w:t>if the Court or Court of Appeal Registrar is satisfied that the reason for the adjournment is beyond the control of the parties, 100%;</w:t>
      </w:r>
    </w:p>
    <w:p>
      <w:pPr>
        <w:pStyle w:val="Indenta"/>
        <w:spacing w:before="60"/>
      </w:pPr>
      <w:r>
        <w:tab/>
        <w:t>(b)</w:t>
      </w:r>
      <w:r>
        <w:tab/>
        <w:t xml:space="preserve">otherwise, if the adjournment occurs — </w:t>
      </w:r>
    </w:p>
    <w:p>
      <w:pPr>
        <w:pStyle w:val="Indenti"/>
        <w:spacing w:before="60"/>
      </w:pPr>
      <w:r>
        <w:tab/>
        <w:t>(i)</w:t>
      </w:r>
      <w:r>
        <w:tab/>
        <w:t>42 days or more before the first date allocated for the hearing, 75%; or</w:t>
      </w:r>
    </w:p>
    <w:p>
      <w:pPr>
        <w:pStyle w:val="Indenti"/>
        <w:spacing w:before="60"/>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w:t>
      </w:r>
    </w:p>
    <w:p>
      <w:pPr>
        <w:pStyle w:val="Heading5"/>
      </w:pPr>
      <w:bookmarkStart w:id="12" w:name="_Toc391885690"/>
      <w:r>
        <w:rPr>
          <w:rStyle w:val="CharSectno"/>
        </w:rPr>
        <w:t>10</w:t>
      </w:r>
      <w:r>
        <w:t>.</w:t>
      </w:r>
      <w:r>
        <w:tab/>
        <w:t>Schedule 1 Division 2 item 6 or Division 2 item 7 fee</w:t>
      </w:r>
      <w:bookmarkEnd w:id="12"/>
    </w:p>
    <w:p>
      <w:pPr>
        <w:pStyle w:val="Subsection"/>
      </w:pPr>
      <w:r>
        <w:tab/>
      </w:r>
      <w:r>
        <w:tab/>
        <w:t>If a fee is to be paid under Schedule 1 Division 2 item 6 or Division 2 item 7, the hearing is not to be reconvened until that fee or so much of it as has not been waived or reduced under regulation 7 has been paid.</w:t>
      </w:r>
    </w:p>
    <w:p>
      <w:pPr>
        <w:pStyle w:val="Footnotesection"/>
        <w:spacing w:before="100"/>
        <w:ind w:left="890" w:hanging="890"/>
      </w:pPr>
      <w:r>
        <w:tab/>
        <w:t>[Regulation 10 amended in Gazette 23 Jun 2005 p. 2695; 4 Sep 2009 p. 3462.]</w:t>
      </w:r>
    </w:p>
    <w:p>
      <w:pPr>
        <w:pStyle w:val="Heading5"/>
      </w:pPr>
      <w:bookmarkStart w:id="13" w:name="_Toc391885691"/>
      <w:r>
        <w:rPr>
          <w:rStyle w:val="CharSectno"/>
        </w:rPr>
        <w:t>11</w:t>
      </w:r>
      <w:r>
        <w:t>.</w:t>
      </w:r>
      <w:r>
        <w:tab/>
        <w:t>Recovery of unpaid fees</w:t>
      </w:r>
      <w:bookmarkEnd w:id="13"/>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r>
        <w:t>[</w:t>
      </w:r>
      <w:r>
        <w:rPr>
          <w:b/>
          <w:bCs/>
        </w:rPr>
        <w:t>12.</w:t>
      </w:r>
      <w:r>
        <w:tab/>
        <w:t>Deleted in Gazette 4 Sep 2009 p. 3462.]</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4" w:name="_Toc379203660"/>
      <w:bookmarkStart w:id="15" w:name="_Toc391885692"/>
      <w:r>
        <w:rPr>
          <w:rStyle w:val="CharSchNo"/>
        </w:rPr>
        <w:t>Schedule 1</w:t>
      </w:r>
      <w:r>
        <w:t> — </w:t>
      </w:r>
      <w:r>
        <w:rPr>
          <w:rStyle w:val="CharSchText"/>
        </w:rPr>
        <w:t>Fees</w:t>
      </w:r>
      <w:bookmarkEnd w:id="14"/>
      <w:bookmarkEnd w:id="15"/>
    </w:p>
    <w:p>
      <w:pPr>
        <w:pStyle w:val="yShoulderClause"/>
      </w:pPr>
      <w:r>
        <w:t>[r. 4]</w:t>
      </w:r>
    </w:p>
    <w:p>
      <w:pPr>
        <w:pStyle w:val="yFootnoteheading"/>
        <w:spacing w:before="100"/>
      </w:pPr>
      <w:r>
        <w:tab/>
        <w:t>[Heading inserted in Gazette 4 Sep 2009 p. 3462.]</w:t>
      </w:r>
    </w:p>
    <w:p>
      <w:pPr>
        <w:pStyle w:val="yHeading3"/>
      </w:pPr>
      <w:bookmarkStart w:id="16" w:name="_Toc379203661"/>
      <w:bookmarkStart w:id="17" w:name="_Toc391885693"/>
      <w:r>
        <w:rPr>
          <w:rStyle w:val="CharSDivNo"/>
        </w:rPr>
        <w:t>Division 1</w:t>
      </w:r>
      <w:r>
        <w:rPr>
          <w:b w:val="0"/>
        </w:rPr>
        <w:t> — </w:t>
      </w:r>
      <w:r>
        <w:rPr>
          <w:rStyle w:val="CharSDivText"/>
        </w:rPr>
        <w:t>General Division fees</w:t>
      </w:r>
      <w:bookmarkEnd w:id="16"/>
      <w:bookmarkEnd w:id="17"/>
    </w:p>
    <w:p>
      <w:pPr>
        <w:pStyle w:val="yFootnoteheading"/>
        <w:spacing w:before="100" w:after="80"/>
      </w:pPr>
      <w:r>
        <w:tab/>
        <w:t>[Heading inserted in Gazette 4 Sep 2009 p. 3462.]</w:t>
      </w:r>
    </w:p>
    <w:tbl>
      <w:tblPr>
        <w:tblW w:w="70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827"/>
        <w:gridCol w:w="1276"/>
        <w:gridCol w:w="1239"/>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39"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pPr>
            <w:r>
              <w:t>On filing —</w:t>
            </w:r>
          </w:p>
          <w:p>
            <w:pPr>
              <w:pStyle w:val="yTableNAm"/>
              <w:tabs>
                <w:tab w:val="clear" w:pos="567"/>
                <w:tab w:val="left" w:pos="481"/>
              </w:tabs>
              <w:ind w:left="481" w:hanging="481"/>
            </w:pPr>
            <w:r>
              <w:t>(a)</w:t>
            </w:r>
            <w:r>
              <w:tab/>
              <w:t>any originating process by which a cause, matter or other proceeding in the Court is commenced, other than proceedings of the kind referred to in item 2, 3 or 7; or</w:t>
            </w:r>
          </w:p>
          <w:p>
            <w:pPr>
              <w:pStyle w:val="yTableNAm"/>
              <w:tabs>
                <w:tab w:val="clear" w:pos="567"/>
                <w:tab w:val="left" w:pos="481"/>
                <w:tab w:val="left" w:leader="dot" w:pos="3841"/>
              </w:tabs>
              <w:ind w:left="481" w:hanging="481"/>
            </w:pPr>
            <w:r>
              <w:t>(b)</w:t>
            </w:r>
            <w:r>
              <w:tab/>
              <w:t xml:space="preserve">a notice of appeal (whether in draft form or not) </w:t>
            </w:r>
            <w:r>
              <w:tab/>
            </w:r>
          </w:p>
        </w:tc>
        <w:tc>
          <w:tcPr>
            <w:tcW w:w="1276" w:type="dxa"/>
          </w:tcPr>
          <w:p>
            <w:pPr>
              <w:pStyle w:val="yTableNAm"/>
              <w:tabs>
                <w:tab w:val="clear" w:pos="567"/>
              </w:tabs>
              <w:ind w:right="206"/>
              <w:jc w:val="right"/>
            </w:pPr>
          </w:p>
          <w:p>
            <w:pPr>
              <w:pStyle w:val="yTableNAm"/>
              <w:tabs>
                <w:tab w:val="clear" w:pos="567"/>
              </w:tabs>
              <w:ind w:right="206"/>
              <w:jc w:val="right"/>
            </w:pPr>
            <w:r>
              <w:br/>
            </w:r>
            <w:r>
              <w:br/>
            </w:r>
            <w:r>
              <w:br/>
            </w:r>
            <w:r>
              <w:br/>
            </w:r>
          </w:p>
          <w:p>
            <w:pPr>
              <w:pStyle w:val="yTableNAm"/>
              <w:tabs>
                <w:tab w:val="clear" w:pos="567"/>
              </w:tabs>
              <w:ind w:right="206"/>
              <w:jc w:val="right"/>
            </w:pPr>
            <w:r>
              <w:br/>
            </w:r>
            <w:r>
              <w:rPr>
                <w:szCs w:val="22"/>
              </w:rPr>
              <w:t>969.00</w:t>
            </w:r>
          </w:p>
        </w:tc>
        <w:tc>
          <w:tcPr>
            <w:tcW w:w="1239" w:type="dxa"/>
          </w:tcPr>
          <w:p>
            <w:pPr>
              <w:pStyle w:val="yTableNAm"/>
              <w:tabs>
                <w:tab w:val="clear" w:pos="567"/>
              </w:tabs>
              <w:ind w:right="203"/>
              <w:jc w:val="right"/>
            </w:pPr>
          </w:p>
          <w:p>
            <w:pPr>
              <w:pStyle w:val="yTableNAm"/>
              <w:tabs>
                <w:tab w:val="clear" w:pos="567"/>
              </w:tabs>
              <w:ind w:right="203"/>
              <w:jc w:val="right"/>
            </w:pPr>
            <w:r>
              <w:br/>
            </w:r>
            <w:r>
              <w:br/>
            </w:r>
            <w:r>
              <w:br/>
            </w:r>
            <w:r>
              <w:br/>
            </w:r>
          </w:p>
          <w:p>
            <w:pPr>
              <w:pStyle w:val="yTableNAm"/>
              <w:tabs>
                <w:tab w:val="clear" w:pos="567"/>
              </w:tabs>
              <w:ind w:right="203"/>
              <w:jc w:val="right"/>
            </w:pPr>
            <w:r>
              <w:br/>
            </w:r>
            <w:r>
              <w:rPr>
                <w:szCs w:val="22"/>
              </w:rPr>
              <w:t>1 887.00</w:t>
            </w:r>
          </w:p>
        </w:tc>
      </w:tr>
      <w:tr>
        <w:tc>
          <w:tcPr>
            <w:tcW w:w="709" w:type="dxa"/>
          </w:tcPr>
          <w:p>
            <w:pPr>
              <w:pStyle w:val="yTableNAm"/>
            </w:pPr>
            <w:r>
              <w:t>2.</w:t>
            </w:r>
          </w:p>
        </w:tc>
        <w:tc>
          <w:tcPr>
            <w:tcW w:w="3827" w:type="dxa"/>
          </w:tcPr>
          <w:p>
            <w:pPr>
              <w:pStyle w:val="yTableNAm"/>
            </w:pPr>
            <w:r>
              <w:t>On filing —</w:t>
            </w:r>
          </w:p>
          <w:p>
            <w:pPr>
              <w:pStyle w:val="yTableNAm"/>
              <w:tabs>
                <w:tab w:val="clear" w:pos="567"/>
                <w:tab w:val="left" w:pos="481"/>
                <w:tab w:val="left" w:leader="dot" w:pos="3841"/>
              </w:tabs>
              <w:ind w:left="481" w:hanging="481"/>
            </w:pPr>
            <w:r>
              <w:t>(a)</w:t>
            </w:r>
            <w:r>
              <w:tab/>
              <w:t xml:space="preserve">a counterclaim </w:t>
            </w:r>
            <w:r>
              <w:tab/>
            </w:r>
          </w:p>
          <w:p>
            <w:pPr>
              <w:pStyle w:val="yTableNAm"/>
              <w:tabs>
                <w:tab w:val="clear" w:pos="567"/>
                <w:tab w:val="left" w:pos="481"/>
                <w:tab w:val="left" w:leader="dot" w:pos="3841"/>
              </w:tabs>
              <w:ind w:left="481" w:hanging="481"/>
            </w:pPr>
            <w:r>
              <w:t>(b)</w:t>
            </w:r>
            <w:r>
              <w:tab/>
              <w:t xml:space="preserve">a third party notice or a notice under the Rules O.19 r. 8 </w:t>
            </w:r>
            <w:r>
              <w:tab/>
            </w:r>
          </w:p>
          <w:p>
            <w:pPr>
              <w:pStyle w:val="yTableNAm"/>
              <w:tabs>
                <w:tab w:val="clear" w:pos="567"/>
                <w:tab w:val="left" w:pos="481"/>
              </w:tabs>
              <w:ind w:left="481" w:hanging="481"/>
            </w:pPr>
            <w:r>
              <w:t>(c)</w:t>
            </w:r>
            <w:r>
              <w:tab/>
              <w:t xml:space="preserve">an application — </w:t>
            </w:r>
          </w:p>
          <w:p>
            <w:pPr>
              <w:pStyle w:val="yTableNAm"/>
              <w:tabs>
                <w:tab w:val="left" w:pos="1081"/>
              </w:tabs>
              <w:spacing w:before="100"/>
              <w:ind w:left="1083" w:hanging="1083"/>
            </w:pPr>
            <w:r>
              <w:tab/>
              <w:t>(i)</w:t>
            </w:r>
            <w:r>
              <w:tab/>
              <w:t>to extend a period of time fixed by law, including an application to extend time before proceedings are commenced; or</w:t>
            </w:r>
          </w:p>
          <w:p>
            <w:pPr>
              <w:pStyle w:val="yTableNAm"/>
              <w:tabs>
                <w:tab w:val="left" w:pos="1081"/>
              </w:tabs>
              <w:spacing w:before="100"/>
              <w:ind w:left="1083" w:hanging="1083"/>
            </w:pPr>
            <w:r>
              <w:tab/>
              <w:t>(ii)</w:t>
            </w:r>
            <w:r>
              <w:tab/>
              <w:t>to limit a period of time within which proceedings may be taken; or</w:t>
            </w:r>
          </w:p>
          <w:p>
            <w:pPr>
              <w:pStyle w:val="yTableNAm"/>
              <w:tabs>
                <w:tab w:val="left" w:pos="1081"/>
              </w:tabs>
              <w:ind w:left="1081" w:hanging="1081"/>
            </w:pPr>
            <w:r>
              <w:tab/>
              <w:t>(iii)</w:t>
            </w:r>
            <w:r>
              <w:tab/>
              <w:t>for leave to serve a writ or notice of a writ out of jurisdiction; or</w:t>
            </w:r>
          </w:p>
          <w:p>
            <w:pPr>
              <w:pStyle w:val="yTableNAm"/>
              <w:tabs>
                <w:tab w:val="left" w:pos="1081"/>
              </w:tabs>
              <w:ind w:left="1081" w:hanging="1081"/>
            </w:pPr>
            <w:r>
              <w:tab/>
              <w:t>(iv)</w:t>
            </w:r>
            <w:r>
              <w:tab/>
              <w:t>to swear to the death of a person; or</w:t>
            </w:r>
          </w:p>
          <w:p>
            <w:pPr>
              <w:pStyle w:val="yTableNAm"/>
              <w:tabs>
                <w:tab w:val="left" w:pos="1081"/>
              </w:tabs>
              <w:ind w:left="1081" w:hanging="1081"/>
            </w:pPr>
            <w:r>
              <w:tab/>
              <w:t>(v)</w:t>
            </w:r>
            <w:r>
              <w:tab/>
              <w:t>for leave to appeal; or</w:t>
            </w:r>
          </w:p>
          <w:p>
            <w:pPr>
              <w:pStyle w:val="yTableNAm"/>
              <w:tabs>
                <w:tab w:val="left" w:pos="1081"/>
              </w:tabs>
              <w:ind w:left="1081" w:hanging="1081"/>
              <w:rPr>
                <w:i/>
                <w:iCs/>
              </w:rPr>
            </w:pPr>
            <w:r>
              <w:rPr>
                <w:i/>
                <w:iCs/>
              </w:rPr>
              <w:tab/>
              <w:t>[(vi)</w:t>
            </w:r>
            <w:r>
              <w:rPr>
                <w:i/>
                <w:iCs/>
              </w:rPr>
              <w:tab/>
              <w:t>deleted]</w:t>
            </w:r>
          </w:p>
          <w:p>
            <w:pPr>
              <w:pStyle w:val="yTableNAm"/>
              <w:tabs>
                <w:tab w:val="left" w:pos="1081"/>
                <w:tab w:val="left" w:leader="dot" w:pos="3839"/>
              </w:tabs>
              <w:ind w:left="1081" w:hanging="1081"/>
            </w:pPr>
            <w:r>
              <w:tab/>
              <w:t>(vii)</w:t>
            </w:r>
            <w:r>
              <w:tab/>
              <w:t xml:space="preserve">in a pending cause or matter in admiralty whether by summons or motion, other than an application by the Marshal </w:t>
            </w:r>
            <w:r>
              <w:tab/>
            </w:r>
          </w:p>
          <w:p>
            <w:pPr>
              <w:pStyle w:val="yTableNAm"/>
              <w:tabs>
                <w:tab w:val="clear" w:pos="567"/>
                <w:tab w:val="left" w:pos="481"/>
                <w:tab w:val="left" w:leader="dot" w:pos="3841"/>
              </w:tabs>
              <w:ind w:left="481" w:hanging="481"/>
            </w:pPr>
            <w:r>
              <w:t>(d)</w:t>
            </w:r>
            <w:r>
              <w:tab/>
              <w:t xml:space="preserve">any other application for which no fee has been provided in this Division </w:t>
            </w:r>
            <w:r>
              <w:tab/>
            </w:r>
          </w:p>
        </w:tc>
        <w:tc>
          <w:tcPr>
            <w:tcW w:w="1276" w:type="dxa"/>
          </w:tcPr>
          <w:p>
            <w:pPr>
              <w:pStyle w:val="yTableNAm"/>
              <w:tabs>
                <w:tab w:val="clear" w:pos="567"/>
              </w:tabs>
              <w:ind w:right="206"/>
              <w:jc w:val="right"/>
            </w:pPr>
          </w:p>
          <w:p>
            <w:pPr>
              <w:pStyle w:val="yTableNAm"/>
              <w:tabs>
                <w:tab w:val="clear" w:pos="567"/>
              </w:tabs>
              <w:ind w:right="206"/>
              <w:jc w:val="right"/>
            </w:pPr>
            <w:r>
              <w:rPr>
                <w:szCs w:val="22"/>
              </w:rPr>
              <w:t>969.00</w:t>
            </w:r>
          </w:p>
          <w:p>
            <w:pPr>
              <w:pStyle w:val="yTableNAm"/>
              <w:tabs>
                <w:tab w:val="clear" w:pos="567"/>
              </w:tabs>
              <w:ind w:right="206"/>
              <w:jc w:val="right"/>
            </w:pPr>
            <w:r>
              <w:rPr>
                <w:szCs w:val="22"/>
              </w:rPr>
              <w:br/>
              <w:t>969.00</w:t>
            </w:r>
          </w:p>
          <w:p>
            <w:pPr>
              <w:pStyle w:val="yTableNAm"/>
              <w:tabs>
                <w:tab w:val="clear" w:pos="567"/>
              </w:tabs>
              <w:ind w:right="206"/>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6"/>
              <w:jc w:val="right"/>
            </w:pPr>
            <w:r>
              <w:br/>
            </w: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br/>
            </w:r>
            <w:r>
              <w:br/>
            </w:r>
            <w:r>
              <w:br/>
            </w:r>
            <w:r>
              <w:rPr>
                <w:szCs w:val="22"/>
              </w:rPr>
              <w:t>323.00</w:t>
            </w:r>
          </w:p>
          <w:p>
            <w:pPr>
              <w:pStyle w:val="yTableNAm"/>
              <w:tabs>
                <w:tab w:val="clear" w:pos="567"/>
              </w:tabs>
              <w:ind w:right="206"/>
              <w:jc w:val="right"/>
            </w:pPr>
            <w:r>
              <w:br/>
            </w:r>
            <w:r>
              <w:br/>
            </w:r>
            <w:r>
              <w:rPr>
                <w:szCs w:val="22"/>
              </w:rPr>
              <w:t>323.00</w:t>
            </w:r>
          </w:p>
        </w:tc>
        <w:tc>
          <w:tcPr>
            <w:tcW w:w="1239" w:type="dxa"/>
          </w:tcPr>
          <w:p>
            <w:pPr>
              <w:pStyle w:val="yTableNAm"/>
              <w:tabs>
                <w:tab w:val="clear" w:pos="567"/>
              </w:tabs>
              <w:ind w:right="203"/>
              <w:jc w:val="right"/>
            </w:pPr>
          </w:p>
          <w:p>
            <w:pPr>
              <w:pStyle w:val="yTableNAm"/>
              <w:tabs>
                <w:tab w:val="clear" w:pos="567"/>
              </w:tabs>
              <w:ind w:right="203"/>
              <w:jc w:val="right"/>
            </w:pPr>
            <w:r>
              <w:rPr>
                <w:szCs w:val="22"/>
              </w:rPr>
              <w:t>1 887.00</w:t>
            </w:r>
          </w:p>
          <w:p>
            <w:pPr>
              <w:pStyle w:val="yTableNAm"/>
              <w:tabs>
                <w:tab w:val="clear" w:pos="567"/>
              </w:tabs>
              <w:ind w:right="203"/>
              <w:jc w:val="right"/>
            </w:pPr>
            <w:r>
              <w:rPr>
                <w:szCs w:val="22"/>
              </w:rPr>
              <w:br/>
              <w:t>1 887.00</w:t>
            </w:r>
          </w:p>
          <w:p>
            <w:pPr>
              <w:pStyle w:val="yTableNAm"/>
              <w:tabs>
                <w:tab w:val="clear" w:pos="567"/>
              </w:tabs>
              <w:ind w:right="203"/>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3"/>
              <w:jc w:val="right"/>
            </w:pPr>
            <w:r>
              <w:br/>
            </w: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p>
          <w:p>
            <w:pPr>
              <w:pStyle w:val="yTableNAm"/>
              <w:tabs>
                <w:tab w:val="clear" w:pos="567"/>
              </w:tabs>
              <w:ind w:right="203"/>
              <w:jc w:val="right"/>
            </w:pPr>
            <w:r>
              <w:br/>
            </w:r>
            <w:r>
              <w:br/>
            </w:r>
            <w:r>
              <w:br/>
            </w:r>
            <w:r>
              <w:rPr>
                <w:szCs w:val="22"/>
              </w:rPr>
              <w:t>632.00</w:t>
            </w:r>
          </w:p>
          <w:p>
            <w:pPr>
              <w:pStyle w:val="yTableNAm"/>
              <w:tabs>
                <w:tab w:val="clear" w:pos="567"/>
              </w:tabs>
              <w:ind w:right="203"/>
              <w:jc w:val="right"/>
            </w:pPr>
            <w:r>
              <w:br/>
            </w:r>
            <w:r>
              <w:br/>
            </w:r>
            <w:r>
              <w:rPr>
                <w:szCs w:val="22"/>
              </w:rPr>
              <w:t>632.00</w:t>
            </w:r>
          </w:p>
        </w:tc>
      </w:tr>
      <w:tr>
        <w:tc>
          <w:tcPr>
            <w:tcW w:w="709" w:type="dxa"/>
          </w:tcPr>
          <w:p>
            <w:pPr>
              <w:pStyle w:val="yTableNAm"/>
            </w:pPr>
            <w:r>
              <w:t>3.</w:t>
            </w:r>
          </w:p>
        </w:tc>
        <w:tc>
          <w:tcPr>
            <w:tcW w:w="3827" w:type="dxa"/>
          </w:tcPr>
          <w:p>
            <w:pPr>
              <w:pStyle w:val="yTableNAm"/>
              <w:tabs>
                <w:tab w:val="left" w:leader="dot" w:pos="3839"/>
              </w:tabs>
            </w:pPr>
            <w:r>
              <w:t xml:space="preserve">Commencing an appeal to which the Rules O.60A r. 4 applies </w:t>
            </w:r>
            <w:r>
              <w:tab/>
            </w:r>
          </w:p>
        </w:tc>
        <w:tc>
          <w:tcPr>
            <w:tcW w:w="1276" w:type="dxa"/>
          </w:tcPr>
          <w:p>
            <w:pPr>
              <w:pStyle w:val="yTableNAm"/>
              <w:tabs>
                <w:tab w:val="clear" w:pos="567"/>
              </w:tabs>
              <w:ind w:right="206"/>
              <w:jc w:val="right"/>
            </w:pPr>
            <w:r>
              <w:br/>
            </w:r>
            <w:r>
              <w:rPr>
                <w:szCs w:val="22"/>
              </w:rPr>
              <w:t>648.00</w:t>
            </w:r>
          </w:p>
        </w:tc>
        <w:tc>
          <w:tcPr>
            <w:tcW w:w="1239" w:type="dxa"/>
          </w:tcPr>
          <w:p>
            <w:pPr>
              <w:pStyle w:val="yTableNAm"/>
              <w:tabs>
                <w:tab w:val="clear" w:pos="567"/>
              </w:tabs>
              <w:ind w:right="203"/>
              <w:jc w:val="right"/>
            </w:pPr>
            <w:r>
              <w:br/>
            </w:r>
            <w:r>
              <w:rPr>
                <w:szCs w:val="22"/>
              </w:rPr>
              <w:t>1 263.00</w:t>
            </w:r>
          </w:p>
        </w:tc>
      </w:tr>
      <w:tr>
        <w:tc>
          <w:tcPr>
            <w:tcW w:w="709" w:type="dxa"/>
          </w:tcPr>
          <w:p>
            <w:pPr>
              <w:pStyle w:val="yTableNAm"/>
            </w:pPr>
            <w:r>
              <w:t>4.</w:t>
            </w:r>
          </w:p>
        </w:tc>
        <w:tc>
          <w:tcPr>
            <w:tcW w:w="3827" w:type="dxa"/>
          </w:tcPr>
          <w:p>
            <w:pPr>
              <w:pStyle w:val="yTableNAm"/>
              <w:tabs>
                <w:tab w:val="left" w:leader="dot" w:pos="3839"/>
              </w:tabs>
            </w:pPr>
            <w:r>
              <w:t xml:space="preserve">Entry for hearing a cause or matter or notice of an appointment to hear an originating summons </w:t>
            </w:r>
            <w:r>
              <w:tab/>
            </w:r>
          </w:p>
        </w:tc>
        <w:tc>
          <w:tcPr>
            <w:tcW w:w="1276" w:type="dxa"/>
          </w:tcPr>
          <w:p>
            <w:pPr>
              <w:pStyle w:val="yTableNAm"/>
              <w:tabs>
                <w:tab w:val="clear" w:pos="567"/>
              </w:tabs>
              <w:ind w:right="206"/>
              <w:jc w:val="right"/>
            </w:pPr>
            <w:r>
              <w:br/>
            </w:r>
            <w:r>
              <w:br/>
            </w:r>
            <w:r>
              <w:rPr>
                <w:szCs w:val="22"/>
              </w:rPr>
              <w:t>969.00</w:t>
            </w:r>
          </w:p>
        </w:tc>
        <w:tc>
          <w:tcPr>
            <w:tcW w:w="1239" w:type="dxa"/>
          </w:tcPr>
          <w:p>
            <w:pPr>
              <w:pStyle w:val="yTableNAm"/>
              <w:tabs>
                <w:tab w:val="clear" w:pos="567"/>
              </w:tabs>
              <w:ind w:right="203"/>
              <w:jc w:val="right"/>
            </w:pPr>
            <w:r>
              <w:br/>
            </w:r>
            <w:r>
              <w:br/>
            </w:r>
            <w:r>
              <w:rPr>
                <w:szCs w:val="22"/>
              </w:rPr>
              <w:t>1 887.00</w:t>
            </w:r>
          </w:p>
        </w:tc>
      </w:tr>
      <w:tr>
        <w:tc>
          <w:tcPr>
            <w:tcW w:w="709" w:type="dxa"/>
          </w:tcPr>
          <w:p>
            <w:pPr>
              <w:pStyle w:val="yTableNAm"/>
            </w:pPr>
            <w:r>
              <w:t>5.</w:t>
            </w:r>
          </w:p>
        </w:tc>
        <w:tc>
          <w:tcPr>
            <w:tcW w:w="3827" w:type="dxa"/>
          </w:tcPr>
          <w:p>
            <w:pPr>
              <w:pStyle w:val="yTableNAm"/>
              <w:tabs>
                <w:tab w:val="left" w:leader="dot" w:pos="3839"/>
              </w:tabs>
            </w:pPr>
            <w:r>
              <w:t xml:space="preserve">Allocation of hearing date, for each day allocated </w:t>
            </w:r>
            <w:r>
              <w:tab/>
            </w:r>
          </w:p>
          <w:p>
            <w:pPr>
              <w:pStyle w:val="yTableNAm"/>
              <w:rPr>
                <w:sz w:val="20"/>
              </w:rPr>
            </w:pPr>
            <w:r>
              <w:rPr>
                <w:sz w:val="20"/>
              </w:rPr>
              <w:t>NOTE: See regulation 9.</w:t>
            </w:r>
          </w:p>
        </w:tc>
        <w:tc>
          <w:tcPr>
            <w:tcW w:w="1276" w:type="dxa"/>
          </w:tcPr>
          <w:p>
            <w:pPr>
              <w:pStyle w:val="yTableNAm"/>
              <w:tabs>
                <w:tab w:val="clear" w:pos="567"/>
              </w:tabs>
              <w:ind w:right="206"/>
              <w:jc w:val="right"/>
            </w:pPr>
            <w:r>
              <w:br/>
            </w:r>
            <w:r>
              <w:rPr>
                <w:szCs w:val="22"/>
              </w:rPr>
              <w:t>648.00</w:t>
            </w:r>
          </w:p>
        </w:tc>
        <w:tc>
          <w:tcPr>
            <w:tcW w:w="1239" w:type="dxa"/>
          </w:tcPr>
          <w:p>
            <w:pPr>
              <w:pStyle w:val="yTableNAm"/>
              <w:tabs>
                <w:tab w:val="clear" w:pos="567"/>
              </w:tabs>
              <w:ind w:right="203"/>
              <w:jc w:val="right"/>
            </w:pPr>
            <w:r>
              <w:br/>
            </w:r>
            <w:r>
              <w:rPr>
                <w:szCs w:val="22"/>
              </w:rPr>
              <w:t>1 683.00</w:t>
            </w:r>
          </w:p>
        </w:tc>
      </w:tr>
      <w:tr>
        <w:tc>
          <w:tcPr>
            <w:tcW w:w="709" w:type="dxa"/>
          </w:tcPr>
          <w:p>
            <w:pPr>
              <w:pStyle w:val="yTableNAm"/>
              <w:keepNext/>
            </w:pPr>
            <w:r>
              <w:t>6.</w:t>
            </w:r>
          </w:p>
        </w:tc>
        <w:tc>
          <w:tcPr>
            <w:tcW w:w="3827" w:type="dxa"/>
          </w:tcPr>
          <w:p>
            <w:pPr>
              <w:pStyle w:val="yTableNAm"/>
              <w:keepNext/>
              <w:tabs>
                <w:tab w:val="left" w:leader="dot" w:pos="3839"/>
              </w:tabs>
            </w:pPr>
            <w:r>
              <w:t xml:space="preserve">Daily hearing fee before a Court constituted by a master or one or more judges </w:t>
            </w:r>
            <w:r>
              <w:tab/>
            </w:r>
          </w:p>
          <w:p>
            <w:pPr>
              <w:pStyle w:val="yTableNAm"/>
              <w:keepNext/>
              <w:rPr>
                <w:sz w:val="20"/>
              </w:rPr>
            </w:pPr>
            <w:r>
              <w:rPr>
                <w:sz w:val="20"/>
              </w:rPr>
              <w:t>NOTES:</w:t>
            </w:r>
          </w:p>
          <w:p>
            <w:pPr>
              <w:pStyle w:val="yTableNAm"/>
              <w:keepNext/>
              <w:tabs>
                <w:tab w:val="clear" w:pos="567"/>
                <w:tab w:val="left" w:pos="481"/>
              </w:tabs>
              <w:spacing w:before="80"/>
              <w:ind w:left="482" w:hanging="482"/>
              <w:rPr>
                <w:sz w:val="20"/>
              </w:rPr>
            </w:pPr>
            <w:r>
              <w:rPr>
                <w:sz w:val="20"/>
              </w:rPr>
              <w:t>(1)</w:t>
            </w:r>
            <w:r>
              <w:rPr>
                <w:sz w:val="20"/>
              </w:rPr>
              <w:tab/>
              <w:t>No fee is payable if the proceedings are of an interlocutory nature.</w:t>
            </w:r>
          </w:p>
          <w:p>
            <w:pPr>
              <w:pStyle w:val="yTableNAm"/>
              <w:keepNext/>
              <w:tabs>
                <w:tab w:val="clear" w:pos="567"/>
                <w:tab w:val="left" w:pos="481"/>
              </w:tabs>
              <w:spacing w:before="80"/>
              <w:ind w:left="482" w:hanging="482"/>
              <w:rPr>
                <w:sz w:val="20"/>
              </w:rPr>
            </w:pPr>
            <w:r>
              <w:rPr>
                <w:sz w:val="20"/>
              </w:rPr>
              <w:t>(2)</w:t>
            </w:r>
            <w:r>
              <w:rPr>
                <w:sz w:val="20"/>
              </w:rPr>
              <w:tab/>
              <w:t>The fee is to be paid in respect of any number of hearing days greater than the number of hearing days for which a fee has been paid under item 5.</w:t>
            </w:r>
          </w:p>
          <w:p>
            <w:pPr>
              <w:pStyle w:val="yTableNAm"/>
              <w:keepNext/>
              <w:tabs>
                <w:tab w:val="clear" w:pos="567"/>
                <w:tab w:val="left" w:pos="481"/>
              </w:tabs>
              <w:spacing w:before="80"/>
              <w:ind w:left="482" w:hanging="482"/>
              <w:rPr>
                <w:sz w:val="20"/>
              </w:rPr>
            </w:pPr>
            <w:r>
              <w:rPr>
                <w:sz w:val="20"/>
              </w:rPr>
              <w:t>(3)</w:t>
            </w:r>
            <w:r>
              <w:rPr>
                <w:sz w:val="20"/>
              </w:rPr>
              <w:tab/>
              <w:t>The fee is payable for each additional day or part of a day that the hearing proceeds beyond the date or dates allocated referred to in item 5.</w:t>
            </w:r>
          </w:p>
          <w:p>
            <w:pPr>
              <w:pStyle w:val="yTableNAm"/>
              <w:keepNext/>
              <w:tabs>
                <w:tab w:val="clear" w:pos="567"/>
                <w:tab w:val="left" w:pos="481"/>
              </w:tabs>
              <w:spacing w:before="80"/>
              <w:ind w:left="482" w:hanging="482"/>
              <w:rPr>
                <w:sz w:val="20"/>
              </w:rPr>
            </w:pPr>
            <w:r>
              <w:rPr>
                <w:sz w:val="20"/>
              </w:rPr>
              <w:t>(4)</w:t>
            </w:r>
            <w:r>
              <w:rPr>
                <w:sz w:val="20"/>
              </w:rPr>
              <w:tab/>
              <w:t>If the Court allocates a half day or less for the continuation of the hearing, a fee equal to half the prescribed amount is payable for that period.</w:t>
            </w:r>
          </w:p>
          <w:p>
            <w:pPr>
              <w:pStyle w:val="yTableNAm"/>
              <w:keepNext/>
              <w:tabs>
                <w:tab w:val="clear" w:pos="567"/>
                <w:tab w:val="left" w:pos="481"/>
              </w:tabs>
              <w:spacing w:before="80"/>
              <w:ind w:left="482" w:hanging="482"/>
            </w:pPr>
            <w:r>
              <w:rPr>
                <w:sz w:val="20"/>
              </w:rPr>
              <w:t>(5)</w:t>
            </w:r>
            <w:r>
              <w:rPr>
                <w:sz w:val="20"/>
              </w:rPr>
              <w:tab/>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keepNext/>
              <w:tabs>
                <w:tab w:val="clear" w:pos="567"/>
              </w:tabs>
              <w:ind w:right="206"/>
              <w:jc w:val="right"/>
            </w:pPr>
            <w:r>
              <w:br/>
            </w:r>
            <w:r>
              <w:br/>
            </w:r>
            <w:r>
              <w:rPr>
                <w:szCs w:val="22"/>
              </w:rPr>
              <w:t>648.00</w:t>
            </w:r>
          </w:p>
        </w:tc>
        <w:tc>
          <w:tcPr>
            <w:tcW w:w="1239" w:type="dxa"/>
          </w:tcPr>
          <w:p>
            <w:pPr>
              <w:pStyle w:val="yTableNAm"/>
              <w:keepNext/>
              <w:tabs>
                <w:tab w:val="clear" w:pos="567"/>
              </w:tabs>
              <w:ind w:right="203"/>
              <w:jc w:val="right"/>
            </w:pPr>
            <w:r>
              <w:br/>
            </w:r>
            <w:r>
              <w:br/>
            </w:r>
            <w:r>
              <w:rPr>
                <w:szCs w:val="22"/>
              </w:rPr>
              <w:t>1 683.00</w:t>
            </w:r>
          </w:p>
        </w:tc>
      </w:tr>
      <w:tr>
        <w:tc>
          <w:tcPr>
            <w:tcW w:w="709" w:type="dxa"/>
          </w:tcPr>
          <w:p>
            <w:pPr>
              <w:pStyle w:val="yTableNAm"/>
            </w:pPr>
            <w:r>
              <w:br w:type="page"/>
              <w:t>7.</w:t>
            </w:r>
          </w:p>
        </w:tc>
        <w:tc>
          <w:tcPr>
            <w:tcW w:w="3827" w:type="dxa"/>
          </w:tcPr>
          <w:p>
            <w:pPr>
              <w:pStyle w:val="yTableNAm"/>
              <w:tabs>
                <w:tab w:val="clear" w:pos="567"/>
                <w:tab w:val="left" w:pos="481"/>
              </w:tabs>
              <w:ind w:left="481" w:hanging="481"/>
            </w:pPr>
            <w:r>
              <w:t>(a)</w:t>
            </w:r>
            <w:r>
              <w:tab/>
              <w:t xml:space="preserve">On filing an — </w:t>
            </w:r>
          </w:p>
          <w:p>
            <w:pPr>
              <w:pStyle w:val="yTableNAm"/>
              <w:tabs>
                <w:tab w:val="left" w:pos="1081"/>
              </w:tabs>
              <w:spacing w:before="80"/>
              <w:ind w:left="1083" w:hanging="1083"/>
            </w:pPr>
            <w:r>
              <w:tab/>
              <w:t>(i)</w:t>
            </w:r>
            <w:r>
              <w:tab/>
              <w:t>interlocutory application or summons returnable; or</w:t>
            </w:r>
          </w:p>
          <w:p>
            <w:pPr>
              <w:pStyle w:val="yTableNAm"/>
              <w:tabs>
                <w:tab w:val="left" w:pos="1081"/>
              </w:tabs>
              <w:spacing w:before="80"/>
              <w:ind w:left="1083" w:hanging="1083"/>
            </w:pPr>
            <w:r>
              <w:tab/>
              <w:t>(ii)</w:t>
            </w:r>
            <w:r>
              <w:tab/>
              <w:t>application for assessment of damages; or</w:t>
            </w:r>
          </w:p>
          <w:p>
            <w:pPr>
              <w:pStyle w:val="yTableNAm"/>
              <w:tabs>
                <w:tab w:val="left" w:pos="1081"/>
              </w:tabs>
              <w:spacing w:before="80"/>
              <w:ind w:left="1083" w:hanging="1083"/>
            </w:pPr>
            <w:r>
              <w:tab/>
              <w:t>(iii)</w:t>
            </w:r>
            <w:r>
              <w:tab/>
              <w:t>application for summary judgment,</w:t>
            </w:r>
          </w:p>
          <w:p>
            <w:pPr>
              <w:pStyle w:val="yTableNAm"/>
              <w:tabs>
                <w:tab w:val="clear" w:pos="567"/>
                <w:tab w:val="left" w:pos="481"/>
              </w:tabs>
              <w:ind w:left="481" w:hanging="481"/>
            </w:pPr>
            <w:r>
              <w:tab/>
              <w:t>before a judge, master or registrar in chambers; or</w:t>
            </w:r>
          </w:p>
          <w:p>
            <w:pPr>
              <w:pStyle w:val="yTableNAm"/>
              <w:tabs>
                <w:tab w:val="clear" w:pos="567"/>
                <w:tab w:val="left" w:pos="481"/>
              </w:tabs>
              <w:ind w:left="481" w:hanging="481"/>
            </w:pPr>
            <w:r>
              <w:t>(b)</w:t>
            </w:r>
            <w:r>
              <w:tab/>
              <w:t xml:space="preserve">On an appointment before a judge, master or registrar — </w:t>
            </w:r>
          </w:p>
          <w:p>
            <w:pPr>
              <w:pStyle w:val="yTableNAm"/>
              <w:tabs>
                <w:tab w:val="left" w:pos="1081"/>
              </w:tabs>
              <w:ind w:left="1081" w:hanging="1081"/>
            </w:pPr>
            <w:r>
              <w:tab/>
              <w:t>(i)</w:t>
            </w:r>
            <w:r>
              <w:tab/>
              <w:t>on a reference for inquiry and report; or</w:t>
            </w:r>
          </w:p>
          <w:p>
            <w:pPr>
              <w:pStyle w:val="yTableNAm"/>
              <w:tabs>
                <w:tab w:val="left" w:pos="1081"/>
              </w:tabs>
              <w:ind w:left="1081" w:hanging="1081"/>
            </w:pPr>
            <w:r>
              <w:tab/>
              <w:t>(ii)</w:t>
            </w:r>
            <w:r>
              <w:tab/>
              <w:t>to pass accounts; or</w:t>
            </w:r>
          </w:p>
          <w:p>
            <w:pPr>
              <w:pStyle w:val="yTableNAm"/>
              <w:tabs>
                <w:tab w:val="left" w:pos="1081"/>
              </w:tabs>
              <w:ind w:left="1081" w:hanging="1081"/>
            </w:pPr>
            <w:r>
              <w:tab/>
              <w:t>(iii)</w:t>
            </w:r>
            <w:r>
              <w:tab/>
              <w:t>to settle the index of a transcript for use upon the hearing of an appeal; or</w:t>
            </w:r>
          </w:p>
          <w:p>
            <w:pPr>
              <w:pStyle w:val="yTableNAm"/>
              <w:tabs>
                <w:tab w:val="left" w:pos="1081"/>
              </w:tabs>
              <w:ind w:left="1081" w:hanging="1081"/>
            </w:pPr>
            <w:r>
              <w:tab/>
              <w:t>(iv)</w:t>
            </w:r>
            <w:r>
              <w:tab/>
              <w:t>for mediation; or</w:t>
            </w:r>
          </w:p>
          <w:p>
            <w:pPr>
              <w:pStyle w:val="yTableNAm"/>
              <w:tabs>
                <w:tab w:val="left" w:pos="1081"/>
                <w:tab w:val="left" w:leader="dot" w:pos="3839"/>
              </w:tabs>
              <w:ind w:left="1081" w:hanging="1081"/>
            </w:pPr>
            <w:r>
              <w:tab/>
              <w:t>(v)</w:t>
            </w:r>
            <w:r>
              <w:tab/>
              <w:t xml:space="preserve">on a reference to a registrar in admiralty proceedings </w:t>
            </w:r>
            <w:r>
              <w:tab/>
            </w:r>
          </w:p>
          <w:p>
            <w:pPr>
              <w:pStyle w:val="yTableNAm"/>
              <w:rPr>
                <w:sz w:val="20"/>
              </w:rPr>
            </w:pPr>
            <w:r>
              <w:rPr>
                <w:sz w:val="20"/>
              </w:rPr>
              <w:t>NOTES:</w:t>
            </w:r>
          </w:p>
          <w:p>
            <w:pPr>
              <w:pStyle w:val="yTableNAm"/>
              <w:tabs>
                <w:tab w:val="clear" w:pos="567"/>
                <w:tab w:val="left" w:pos="481"/>
              </w:tabs>
              <w:ind w:left="481" w:hanging="481"/>
              <w:rPr>
                <w:sz w:val="20"/>
              </w:rPr>
            </w:pPr>
            <w:r>
              <w:rPr>
                <w:sz w:val="20"/>
              </w:rPr>
              <w:t>(1)</w:t>
            </w:r>
            <w:r>
              <w:rPr>
                <w:sz w:val="20"/>
              </w:rPr>
              <w:tab/>
              <w:t>If the registrar is assisted by one or more assessors, the daily fee is payable for each assessor if the registrar considers that to be reasonable.</w:t>
            </w:r>
          </w:p>
          <w:p>
            <w:pPr>
              <w:pStyle w:val="yTableNAm"/>
              <w:tabs>
                <w:tab w:val="clear" w:pos="567"/>
                <w:tab w:val="left" w:pos="481"/>
              </w:tabs>
              <w:ind w:left="481" w:hanging="481"/>
              <w:rPr>
                <w:sz w:val="20"/>
              </w:rPr>
            </w:pPr>
            <w:r>
              <w:rPr>
                <w:sz w:val="20"/>
              </w:rPr>
              <w:t>(2)</w:t>
            </w:r>
            <w:r>
              <w:rPr>
                <w:sz w:val="20"/>
              </w:rPr>
              <w:tab/>
              <w:t>The fee payable to an assessor becomes payable on a day</w:t>
            </w:r>
            <w:r>
              <w:rPr>
                <w:sz w:val="20"/>
              </w:rPr>
              <w:noBreakHyphen/>
              <w:t>to</w:t>
            </w:r>
            <w:r>
              <w:rPr>
                <w:sz w:val="20"/>
              </w:rPr>
              <w:noBreakHyphen/>
              <w:t>day basis as the reference proceeds and is payable in the first instance by the claimant.</w:t>
            </w:r>
          </w:p>
          <w:p>
            <w:pPr>
              <w:pStyle w:val="yTableNAm"/>
              <w:tabs>
                <w:tab w:val="clear" w:pos="567"/>
                <w:tab w:val="left" w:pos="481"/>
              </w:tabs>
              <w:ind w:left="481" w:hanging="481"/>
              <w:rPr>
                <w:sz w:val="20"/>
              </w:rPr>
            </w:pPr>
            <w:r>
              <w:rPr>
                <w:sz w:val="20"/>
              </w:rPr>
              <w:t>(3)</w:t>
            </w:r>
            <w:r>
              <w:rPr>
                <w:sz w:val="20"/>
              </w:rPr>
              <w:tab/>
              <w:t>The fee includes the first day of the hearing of the application or summons and includes any adjournment of the hearing.</w:t>
            </w:r>
          </w:p>
          <w:p>
            <w:pPr>
              <w:pStyle w:val="yTableNAm"/>
              <w:tabs>
                <w:tab w:val="clear" w:pos="567"/>
                <w:tab w:val="left" w:pos="481"/>
              </w:tabs>
              <w:ind w:left="481" w:hanging="481"/>
            </w:pPr>
            <w:r>
              <w:rPr>
                <w:sz w:val="20"/>
              </w:rPr>
              <w:t>(4)</w:t>
            </w:r>
            <w:r>
              <w:rPr>
                <w:sz w:val="20"/>
              </w:rPr>
              <w:tab/>
              <w:t>The fee is payable in respect of an application for liberty to apply to relist.</w:t>
            </w:r>
          </w:p>
        </w:tc>
        <w:tc>
          <w:tcPr>
            <w:tcW w:w="1276" w:type="dxa"/>
          </w:tcPr>
          <w:p>
            <w:pPr>
              <w:pStyle w:val="yTableNAm"/>
              <w:tabs>
                <w:tab w:val="clear" w:pos="567"/>
              </w:tabs>
              <w:ind w:right="206"/>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r>
              <w:br/>
            </w:r>
          </w:p>
          <w:p>
            <w:pPr>
              <w:pStyle w:val="yTableNAm"/>
              <w:tabs>
                <w:tab w:val="clear" w:pos="567"/>
              </w:tabs>
              <w:ind w:right="206"/>
              <w:jc w:val="right"/>
            </w:pPr>
          </w:p>
          <w:p>
            <w:pPr>
              <w:pStyle w:val="yTableNAm"/>
              <w:tabs>
                <w:tab w:val="clear" w:pos="567"/>
              </w:tabs>
              <w:ind w:right="206"/>
              <w:jc w:val="right"/>
            </w:pPr>
            <w:r>
              <w:br/>
            </w:r>
            <w:r>
              <w:rPr>
                <w:szCs w:val="22"/>
              </w:rPr>
              <w:t>228.00</w:t>
            </w:r>
          </w:p>
        </w:tc>
        <w:tc>
          <w:tcPr>
            <w:tcW w:w="1239" w:type="dxa"/>
          </w:tcPr>
          <w:p>
            <w:pPr>
              <w:pStyle w:val="yTableNAm"/>
              <w:tabs>
                <w:tab w:val="clear" w:pos="567"/>
              </w:tabs>
              <w:ind w:right="203"/>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r>
              <w:br/>
            </w:r>
          </w:p>
          <w:p>
            <w:pPr>
              <w:pStyle w:val="yTableNAm"/>
              <w:tabs>
                <w:tab w:val="clear" w:pos="567"/>
              </w:tabs>
              <w:ind w:right="203"/>
              <w:jc w:val="right"/>
            </w:pPr>
          </w:p>
          <w:p>
            <w:pPr>
              <w:pStyle w:val="yTableNAm"/>
              <w:tabs>
                <w:tab w:val="clear" w:pos="567"/>
              </w:tabs>
              <w:ind w:right="203"/>
              <w:jc w:val="right"/>
            </w:pPr>
            <w:r>
              <w:br/>
            </w:r>
            <w:r>
              <w:rPr>
                <w:szCs w:val="22"/>
              </w:rPr>
              <w:t>442.00</w:t>
            </w:r>
          </w:p>
        </w:tc>
      </w:tr>
      <w:tr>
        <w:tc>
          <w:tcPr>
            <w:tcW w:w="709" w:type="dxa"/>
          </w:tcPr>
          <w:p>
            <w:pPr>
              <w:pStyle w:val="yTableNAm"/>
            </w:pPr>
            <w:r>
              <w:t>8.</w:t>
            </w:r>
          </w:p>
        </w:tc>
        <w:tc>
          <w:tcPr>
            <w:tcW w:w="3827" w:type="dxa"/>
          </w:tcPr>
          <w:p>
            <w:pPr>
              <w:pStyle w:val="yTableNAm"/>
            </w:pPr>
            <w:r>
              <w:t>If the hearing of a matter to which item 7 applies is listed for more than one day and proceeds for more than the number of days listed, the fee prescribed in item 7 is payable for each additional day or part of a day of a hearing.</w:t>
            </w:r>
          </w:p>
          <w:p>
            <w:pPr>
              <w:pStyle w:val="yTableNAm"/>
              <w:rPr>
                <w:sz w:val="20"/>
              </w:rPr>
            </w:pPr>
            <w:r>
              <w:rPr>
                <w:sz w:val="20"/>
              </w:rPr>
              <w:t>NOTE:</w:t>
            </w:r>
          </w:p>
          <w:p>
            <w:pPr>
              <w:pStyle w:val="yTableNAm"/>
              <w:rPr>
                <w:sz w:val="20"/>
              </w:rPr>
            </w:pPr>
            <w:r>
              <w:rPr>
                <w:sz w:val="20"/>
              </w:rPr>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pPr>
          </w:p>
        </w:tc>
        <w:tc>
          <w:tcPr>
            <w:tcW w:w="1239" w:type="dxa"/>
          </w:tcPr>
          <w:p>
            <w:pPr>
              <w:pStyle w:val="yTableNAm"/>
              <w:tabs>
                <w:tab w:val="clear" w:pos="567"/>
              </w:tabs>
              <w:ind w:right="203"/>
              <w:jc w:val="right"/>
            </w:pPr>
          </w:p>
        </w:tc>
      </w:tr>
      <w:tr>
        <w:tc>
          <w:tcPr>
            <w:tcW w:w="709" w:type="dxa"/>
          </w:tcPr>
          <w:p>
            <w:pPr>
              <w:pStyle w:val="yTableNAm"/>
            </w:pPr>
            <w:r>
              <w:t>9.</w:t>
            </w:r>
          </w:p>
        </w:tc>
        <w:tc>
          <w:tcPr>
            <w:tcW w:w="3827" w:type="dxa"/>
          </w:tcPr>
          <w:p>
            <w:pPr>
              <w:pStyle w:val="yTableNAm"/>
            </w:pPr>
            <w:r>
              <w:t xml:space="preserve">On an appointment to tax a bill of costs in a cause or matter or under the </w:t>
            </w:r>
            <w:r>
              <w:rPr>
                <w:i/>
                <w:iCs/>
              </w:rPr>
              <w:t>Legal Profession Act </w:t>
            </w:r>
            <w:r>
              <w:rPr>
                <w:i/>
                <w:szCs w:val="22"/>
              </w:rPr>
              <w:t>2008</w:t>
            </w:r>
            <w:r>
              <w:rPr>
                <w:szCs w:val="22"/>
              </w:rPr>
              <w:t>, the</w:t>
            </w:r>
            <w:r>
              <w:rPr>
                <w:i/>
                <w:szCs w:val="22"/>
              </w:rPr>
              <w:t xml:space="preserve"> Commercial Arbitration Act 1985 </w:t>
            </w:r>
            <w:r>
              <w:rPr>
                <w:szCs w:val="22"/>
              </w:rPr>
              <w:t xml:space="preserve">or the </w:t>
            </w:r>
            <w:r>
              <w:rPr>
                <w:i/>
                <w:szCs w:val="22"/>
              </w:rPr>
              <w:t>Commercial Arbitration Act 2012</w:t>
            </w:r>
            <w:r>
              <w:rPr>
                <w:szCs w:val="22"/>
              </w:rPr>
              <w:t> — </w:t>
            </w:r>
          </w:p>
          <w:p>
            <w:pPr>
              <w:pStyle w:val="yTableNAm"/>
              <w:tabs>
                <w:tab w:val="clear" w:pos="567"/>
                <w:tab w:val="left" w:pos="481"/>
                <w:tab w:val="left" w:leader="dot" w:pos="3841"/>
              </w:tabs>
              <w:ind w:left="481" w:hanging="481"/>
            </w:pPr>
            <w:r>
              <w:t>(a)</w:t>
            </w:r>
            <w:r>
              <w:tab/>
              <w:t xml:space="preserve">lodgment fee </w:t>
            </w:r>
            <w:r>
              <w:tab/>
            </w:r>
          </w:p>
          <w:p>
            <w:pPr>
              <w:pStyle w:val="yTableNAm"/>
              <w:tabs>
                <w:tab w:val="clear" w:pos="567"/>
                <w:tab w:val="left" w:pos="481"/>
                <w:tab w:val="left" w:leader="dot" w:pos="3841"/>
              </w:tabs>
              <w:ind w:left="481" w:hanging="481"/>
            </w:pPr>
            <w:r>
              <w:t>(b)</w:t>
            </w:r>
            <w:r>
              <w:tab/>
              <w:t xml:space="preserve">in addition to the lodgment fee, a taxing fee at the rate of </w:t>
            </w:r>
            <w:r>
              <w:tab/>
            </w:r>
          </w:p>
          <w:p>
            <w:pPr>
              <w:pStyle w:val="yTableNAm"/>
              <w:rPr>
                <w:sz w:val="20"/>
              </w:rPr>
            </w:pPr>
            <w:r>
              <w:rPr>
                <w:sz w:val="20"/>
              </w:rPr>
              <w:t>NOTES:</w:t>
            </w:r>
          </w:p>
          <w:p>
            <w:pPr>
              <w:pStyle w:val="yTableNAm"/>
              <w:tabs>
                <w:tab w:val="clear" w:pos="567"/>
                <w:tab w:val="left" w:pos="481"/>
              </w:tabs>
              <w:spacing w:before="80"/>
              <w:ind w:left="482" w:hanging="482"/>
              <w:rPr>
                <w:sz w:val="20"/>
              </w:rPr>
            </w:pPr>
            <w:r>
              <w:rPr>
                <w:sz w:val="20"/>
              </w:rPr>
              <w:t>(1)</w:t>
            </w:r>
            <w:r>
              <w:rPr>
                <w:sz w:val="20"/>
              </w:rPr>
              <w:tab/>
              <w:t>The % rate is to be applied to the amount at which the bill is drawn.</w:t>
            </w:r>
          </w:p>
          <w:p>
            <w:pPr>
              <w:pStyle w:val="yTableNAm"/>
              <w:tabs>
                <w:tab w:val="clear" w:pos="567"/>
                <w:tab w:val="left" w:pos="481"/>
              </w:tabs>
              <w:spacing w:before="80"/>
              <w:ind w:left="482" w:hanging="482"/>
              <w:rPr>
                <w:sz w:val="20"/>
              </w:rPr>
            </w:pPr>
            <w:r>
              <w:rPr>
                <w:sz w:val="20"/>
              </w:rPr>
              <w:t>(2)</w:t>
            </w:r>
            <w:r>
              <w:rPr>
                <w:sz w:val="20"/>
              </w:rPr>
              <w:tab/>
              <w:t>The taxing officer must allow against the person chargeable with the costs as taxed, taxing fees at the rate prescribed in item 9(b) of the amount found due on taxation.</w:t>
            </w:r>
          </w:p>
          <w:p>
            <w:pPr>
              <w:pStyle w:val="yTableNAm"/>
              <w:tabs>
                <w:tab w:val="clear" w:pos="567"/>
                <w:tab w:val="left" w:pos="481"/>
              </w:tabs>
              <w:spacing w:before="80"/>
              <w:ind w:left="482" w:hanging="482"/>
              <w:rPr>
                <w:sz w:val="20"/>
              </w:rPr>
            </w:pPr>
            <w:r>
              <w:rPr>
                <w:sz w:val="20"/>
              </w:rPr>
              <w:t>(3)</w:t>
            </w:r>
            <w:r>
              <w:rPr>
                <w:sz w:val="20"/>
              </w:rPr>
              <w:tab/>
              <w:t xml:space="preserve">If the parties agree on the bill of costs in a cause or matter or under the </w:t>
            </w:r>
            <w:r>
              <w:rPr>
                <w:i/>
                <w:iCs/>
                <w:sz w:val="20"/>
              </w:rPr>
              <w:t>Legal Profession Act </w:t>
            </w:r>
            <w:r>
              <w:rPr>
                <w:i/>
                <w:sz w:val="20"/>
              </w:rPr>
              <w:t>2008</w:t>
            </w:r>
            <w:r>
              <w:rPr>
                <w:sz w:val="20"/>
              </w:rPr>
              <w:t xml:space="preserve">, the </w:t>
            </w:r>
            <w:r>
              <w:rPr>
                <w:i/>
                <w:sz w:val="20"/>
              </w:rPr>
              <w:t xml:space="preserve">Commercial Arbitration Act 1985 </w:t>
            </w:r>
            <w:r>
              <w:rPr>
                <w:sz w:val="20"/>
              </w:rPr>
              <w:t xml:space="preserve">or the </w:t>
            </w:r>
            <w:r>
              <w:rPr>
                <w:i/>
                <w:sz w:val="20"/>
              </w:rPr>
              <w:t xml:space="preserve">Commercial Arbitration Act 2012 </w:t>
            </w:r>
            <w:r>
              <w:rPr>
                <w:sz w:val="20"/>
              </w:rPr>
              <w:t xml:space="preserve">and the appointment is cancelled, the following percentage of the fee paid is to be refunded — </w:t>
            </w:r>
          </w:p>
          <w:p>
            <w:pPr>
              <w:pStyle w:val="yTableNAm"/>
              <w:tabs>
                <w:tab w:val="clear" w:pos="567"/>
                <w:tab w:val="left" w:pos="481"/>
                <w:tab w:val="left" w:pos="961"/>
              </w:tabs>
              <w:spacing w:before="50"/>
              <w:ind w:left="958" w:hanging="958"/>
              <w:rPr>
                <w:sz w:val="20"/>
              </w:rPr>
            </w:pPr>
            <w:r>
              <w:rPr>
                <w:sz w:val="20"/>
              </w:rPr>
              <w:tab/>
              <w:t>(a)</w:t>
            </w:r>
            <w:r>
              <w:rPr>
                <w:sz w:val="20"/>
              </w:rPr>
              <w:tab/>
              <w:t>if the appointment is cancelled less than 3 days before the day of the appointment, nil;</w:t>
            </w:r>
          </w:p>
          <w:p>
            <w:pPr>
              <w:pStyle w:val="yTableNAm"/>
              <w:tabs>
                <w:tab w:val="clear" w:pos="567"/>
                <w:tab w:val="left" w:pos="481"/>
                <w:tab w:val="left" w:pos="961"/>
              </w:tabs>
              <w:spacing w:before="50"/>
              <w:ind w:left="958" w:hanging="958"/>
              <w:rPr>
                <w:sz w:val="20"/>
              </w:rPr>
            </w:pPr>
            <w:r>
              <w:rPr>
                <w:sz w:val="20"/>
              </w:rPr>
              <w:tab/>
              <w:t>(b)</w:t>
            </w:r>
            <w:r>
              <w:rPr>
                <w:sz w:val="20"/>
              </w:rPr>
              <w:tab/>
              <w:t>if the appointment is cancelled 3 days or more and less than 10 days before the day of the appointment, 50%;</w:t>
            </w:r>
          </w:p>
          <w:p>
            <w:pPr>
              <w:pStyle w:val="yTableNAm"/>
              <w:tabs>
                <w:tab w:val="clear" w:pos="567"/>
                <w:tab w:val="left" w:pos="481"/>
                <w:tab w:val="left" w:pos="961"/>
              </w:tabs>
              <w:spacing w:before="50"/>
              <w:ind w:left="958" w:hanging="958"/>
            </w:pPr>
            <w:r>
              <w:rPr>
                <w:sz w:val="20"/>
              </w:rPr>
              <w:tab/>
              <w:t>(c)</w:t>
            </w:r>
            <w:r>
              <w:rPr>
                <w:sz w:val="20"/>
              </w:rPr>
              <w:tab/>
              <w:t>if the appointment is cancelled 10 or more days before the day of the appointment, 80%.</w:t>
            </w:r>
          </w:p>
        </w:tc>
        <w:tc>
          <w:tcPr>
            <w:tcW w:w="1276" w:type="dxa"/>
          </w:tcPr>
          <w:p>
            <w:pPr>
              <w:pStyle w:val="yTableNAm"/>
              <w:tabs>
                <w:tab w:val="clear" w:pos="567"/>
              </w:tabs>
              <w:ind w:right="206"/>
              <w:jc w:val="right"/>
            </w:pPr>
            <w:r>
              <w:br/>
            </w:r>
            <w:r>
              <w:br/>
            </w:r>
            <w:r>
              <w:br/>
            </w:r>
            <w:r>
              <w:br/>
            </w:r>
          </w:p>
          <w:p>
            <w:pPr>
              <w:pStyle w:val="yTableNAm"/>
              <w:tabs>
                <w:tab w:val="clear" w:pos="567"/>
              </w:tabs>
              <w:ind w:right="206"/>
              <w:jc w:val="right"/>
            </w:pPr>
            <w:r>
              <w:rPr>
                <w:szCs w:val="22"/>
              </w:rPr>
              <w:t>314.00</w:t>
            </w:r>
          </w:p>
          <w:p>
            <w:pPr>
              <w:pStyle w:val="yTableNAm"/>
              <w:tabs>
                <w:tab w:val="clear" w:pos="567"/>
              </w:tabs>
              <w:ind w:right="206"/>
              <w:jc w:val="right"/>
            </w:pPr>
            <w:r>
              <w:br/>
              <w:t>2.5%</w:t>
            </w:r>
          </w:p>
        </w:tc>
        <w:tc>
          <w:tcPr>
            <w:tcW w:w="1239" w:type="dxa"/>
          </w:tcPr>
          <w:p>
            <w:pPr>
              <w:pStyle w:val="yTableNAm"/>
              <w:tabs>
                <w:tab w:val="clear" w:pos="567"/>
              </w:tabs>
              <w:ind w:right="203"/>
              <w:jc w:val="right"/>
            </w:pPr>
            <w:r>
              <w:br/>
            </w:r>
            <w:r>
              <w:br/>
            </w:r>
            <w:r>
              <w:br/>
            </w:r>
            <w:r>
              <w:br/>
            </w:r>
          </w:p>
          <w:p>
            <w:pPr>
              <w:pStyle w:val="yTableNAm"/>
              <w:tabs>
                <w:tab w:val="clear" w:pos="567"/>
              </w:tabs>
              <w:ind w:right="203"/>
              <w:jc w:val="right"/>
            </w:pPr>
            <w:r>
              <w:rPr>
                <w:szCs w:val="22"/>
              </w:rPr>
              <w:t>610.00</w:t>
            </w:r>
          </w:p>
          <w:p>
            <w:pPr>
              <w:pStyle w:val="yTableNAm"/>
              <w:tabs>
                <w:tab w:val="clear" w:pos="567"/>
              </w:tabs>
              <w:ind w:right="203"/>
              <w:jc w:val="right"/>
            </w:pPr>
            <w:r>
              <w:br/>
              <w:t>2.5%</w:t>
            </w:r>
          </w:p>
        </w:tc>
      </w:tr>
      <w:tr>
        <w:tc>
          <w:tcPr>
            <w:tcW w:w="709" w:type="dxa"/>
          </w:tcPr>
          <w:p>
            <w:pPr>
              <w:pStyle w:val="yTableNAm"/>
              <w:spacing w:before="100"/>
            </w:pPr>
            <w:r>
              <w:t>10.</w:t>
            </w:r>
          </w:p>
        </w:tc>
        <w:tc>
          <w:tcPr>
            <w:tcW w:w="3827" w:type="dxa"/>
          </w:tcPr>
          <w:p>
            <w:pPr>
              <w:pStyle w:val="yTableNAm"/>
              <w:tabs>
                <w:tab w:val="left" w:leader="dot" w:pos="3839"/>
              </w:tabs>
              <w:spacing w:before="100"/>
            </w:pPr>
            <w:r>
              <w:t xml:space="preserve">For searching any proceeding or record other than a search made by or on behalf of a party to the proceeding </w:t>
            </w:r>
            <w:r>
              <w:tab/>
            </w:r>
          </w:p>
          <w:p>
            <w:pPr>
              <w:pStyle w:val="yTableNAm"/>
              <w:spacing w:before="80"/>
              <w:rPr>
                <w:sz w:val="20"/>
              </w:rPr>
            </w:pPr>
            <w:r>
              <w:rPr>
                <w:sz w:val="20"/>
              </w:rPr>
              <w:t>NOTE:</w:t>
            </w:r>
          </w:p>
          <w:p>
            <w:pPr>
              <w:pStyle w:val="yTableNAm"/>
              <w:spacing w:before="50"/>
              <w:rPr>
                <w:sz w:val="20"/>
              </w:rPr>
            </w:pPr>
            <w:r>
              <w:rPr>
                <w:sz w:val="20"/>
              </w:rPr>
              <w:t xml:space="preserve">But if the search is made by a recognised service approved by the Attorney General:  </w:t>
            </w:r>
            <w:r>
              <w:rPr>
                <w:szCs w:val="22"/>
              </w:rPr>
              <w:t>$1.45</w:t>
            </w:r>
            <w:r>
              <w:rPr>
                <w:sz w:val="20"/>
              </w:rPr>
              <w:t>.</w:t>
            </w:r>
          </w:p>
        </w:tc>
        <w:tc>
          <w:tcPr>
            <w:tcW w:w="1276" w:type="dxa"/>
          </w:tcPr>
          <w:p>
            <w:pPr>
              <w:pStyle w:val="yTableNAm"/>
              <w:tabs>
                <w:tab w:val="clear" w:pos="567"/>
              </w:tabs>
              <w:spacing w:before="100"/>
              <w:ind w:right="204"/>
              <w:jc w:val="right"/>
            </w:pPr>
            <w:r>
              <w:br/>
            </w:r>
            <w:r>
              <w:br/>
            </w:r>
            <w:r>
              <w:rPr>
                <w:szCs w:val="22"/>
              </w:rPr>
              <w:t>32.70</w:t>
            </w:r>
          </w:p>
        </w:tc>
        <w:tc>
          <w:tcPr>
            <w:tcW w:w="1239" w:type="dxa"/>
          </w:tcPr>
          <w:p>
            <w:pPr>
              <w:pStyle w:val="yTableNAm"/>
              <w:tabs>
                <w:tab w:val="clear" w:pos="567"/>
              </w:tabs>
              <w:spacing w:before="100"/>
              <w:ind w:right="204"/>
              <w:jc w:val="right"/>
            </w:pPr>
            <w:r>
              <w:br/>
            </w:r>
            <w:r>
              <w:br/>
            </w:r>
            <w:r>
              <w:rPr>
                <w:szCs w:val="22"/>
              </w:rPr>
              <w:t>32.70</w:t>
            </w:r>
          </w:p>
        </w:tc>
      </w:tr>
      <w:tr>
        <w:tc>
          <w:tcPr>
            <w:tcW w:w="709" w:type="dxa"/>
          </w:tcPr>
          <w:p>
            <w:pPr>
              <w:pStyle w:val="yTableNAm"/>
              <w:spacing w:before="100"/>
            </w:pPr>
            <w:r>
              <w:t>11.</w:t>
            </w:r>
          </w:p>
        </w:tc>
        <w:tc>
          <w:tcPr>
            <w:tcW w:w="3827" w:type="dxa"/>
          </w:tcPr>
          <w:p>
            <w:pPr>
              <w:pStyle w:val="yTableNAm"/>
              <w:tabs>
                <w:tab w:val="clear" w:pos="567"/>
                <w:tab w:val="left" w:pos="481"/>
                <w:tab w:val="left" w:leader="dot" w:pos="3841"/>
              </w:tabs>
              <w:spacing w:before="100"/>
              <w:ind w:left="482" w:hanging="482"/>
            </w:pPr>
            <w:r>
              <w:t>(a)</w:t>
            </w:r>
            <w:r>
              <w:tab/>
              <w:t xml:space="preserve">On an application for the production of records or documents that are required to be produced to any court, tribunal, arbitrator or umpire </w:t>
            </w:r>
            <w:r>
              <w:tab/>
            </w:r>
          </w:p>
          <w:p>
            <w:pPr>
              <w:pStyle w:val="yTableNAm"/>
              <w:tabs>
                <w:tab w:val="clear" w:pos="567"/>
                <w:tab w:val="left" w:pos="481"/>
                <w:tab w:val="left" w:leader="dot" w:pos="3841"/>
              </w:tabs>
              <w:spacing w:before="60"/>
              <w:ind w:left="482" w:hanging="482"/>
            </w:pPr>
            <w:r>
              <w:t>(b)</w:t>
            </w:r>
            <w:r>
              <w:tab/>
              <w:t xml:space="preserve">If an officer is required to attend at any court or place out of the Supreme Court building, the officer’s reasonable expenses and, in addition, for each hour or part of an hour when the officer is necessarily absent from his or her office </w:t>
            </w:r>
            <w:r>
              <w:tab/>
            </w:r>
          </w:p>
        </w:tc>
        <w:tc>
          <w:tcPr>
            <w:tcW w:w="1276" w:type="dxa"/>
          </w:tcPr>
          <w:p>
            <w:pPr>
              <w:pStyle w:val="yTableNAm"/>
              <w:tabs>
                <w:tab w:val="clear" w:pos="567"/>
              </w:tabs>
              <w:spacing w:before="100"/>
              <w:ind w:right="204"/>
              <w:jc w:val="right"/>
            </w:pPr>
            <w:r>
              <w:br/>
            </w:r>
            <w:r>
              <w:br/>
            </w:r>
            <w:r>
              <w:br/>
            </w:r>
            <w:r>
              <w:br/>
            </w:r>
            <w:r>
              <w:rPr>
                <w:szCs w:val="22"/>
              </w:rPr>
              <w:t>48.10</w:t>
            </w:r>
          </w:p>
          <w:p>
            <w:pPr>
              <w:pStyle w:val="yTableNAm"/>
              <w:tabs>
                <w:tab w:val="clear" w:pos="567"/>
              </w:tabs>
              <w:spacing w:before="60"/>
              <w:ind w:right="204"/>
              <w:jc w:val="right"/>
            </w:pPr>
            <w:r>
              <w:br/>
            </w:r>
            <w:r>
              <w:br/>
            </w:r>
            <w:r>
              <w:br/>
            </w:r>
            <w:r>
              <w:br/>
            </w:r>
            <w:r>
              <w:br/>
            </w:r>
            <w:r>
              <w:br/>
            </w:r>
            <w:r>
              <w:br/>
            </w:r>
            <w:r>
              <w:rPr>
                <w:szCs w:val="22"/>
              </w:rPr>
              <w:t>81.00</w:t>
            </w:r>
          </w:p>
        </w:tc>
        <w:tc>
          <w:tcPr>
            <w:tcW w:w="1239" w:type="dxa"/>
          </w:tcPr>
          <w:p>
            <w:pPr>
              <w:pStyle w:val="yTableNAm"/>
              <w:tabs>
                <w:tab w:val="clear" w:pos="567"/>
              </w:tabs>
              <w:spacing w:before="100"/>
              <w:ind w:right="204"/>
              <w:jc w:val="right"/>
            </w:pPr>
            <w:r>
              <w:br/>
            </w:r>
            <w:r>
              <w:br/>
            </w:r>
            <w:r>
              <w:br/>
            </w:r>
            <w:r>
              <w:br/>
            </w:r>
            <w:r>
              <w:rPr>
                <w:szCs w:val="22"/>
              </w:rPr>
              <w:t>48.10</w:t>
            </w:r>
          </w:p>
          <w:p>
            <w:pPr>
              <w:pStyle w:val="yTableNAm"/>
              <w:tabs>
                <w:tab w:val="clear" w:pos="567"/>
              </w:tabs>
              <w:spacing w:before="60"/>
              <w:ind w:right="204"/>
              <w:jc w:val="right"/>
            </w:pPr>
            <w:r>
              <w:br/>
            </w:r>
            <w:r>
              <w:br/>
            </w:r>
            <w:r>
              <w:br/>
            </w:r>
            <w:r>
              <w:br/>
            </w:r>
            <w:r>
              <w:br/>
            </w:r>
            <w:r>
              <w:br/>
            </w:r>
            <w:r>
              <w:br/>
            </w:r>
            <w:r>
              <w:rPr>
                <w:szCs w:val="22"/>
              </w:rPr>
              <w:t>81.00</w:t>
            </w:r>
          </w:p>
        </w:tc>
      </w:tr>
      <w:tr>
        <w:tc>
          <w:tcPr>
            <w:tcW w:w="709" w:type="dxa"/>
          </w:tcPr>
          <w:p>
            <w:pPr>
              <w:pStyle w:val="yTableNAm"/>
            </w:pPr>
            <w:r>
              <w:t>12.</w:t>
            </w:r>
          </w:p>
        </w:tc>
        <w:tc>
          <w:tcPr>
            <w:tcW w:w="3827" w:type="dxa"/>
          </w:tcPr>
          <w:p>
            <w:pPr>
              <w:pStyle w:val="yTableNAm"/>
              <w:tabs>
                <w:tab w:val="clear" w:pos="567"/>
                <w:tab w:val="left" w:pos="481"/>
                <w:tab w:val="left" w:leader="dot" w:pos="3841"/>
              </w:tabs>
              <w:ind w:left="481" w:hanging="481"/>
            </w:pPr>
            <w:r>
              <w:t>(a)</w:t>
            </w:r>
            <w:r>
              <w:tab/>
              <w:t xml:space="preserve">For a copy of a document of any kind or an exhibit, including marking as an office copy if required, for each page or part of a page </w:t>
            </w:r>
            <w:r>
              <w:tab/>
            </w:r>
          </w:p>
          <w:p>
            <w:pPr>
              <w:pStyle w:val="yTableNAm"/>
              <w:tabs>
                <w:tab w:val="clear" w:pos="567"/>
                <w:tab w:val="left" w:pos="481"/>
              </w:tabs>
              <w:ind w:left="481" w:hanging="481"/>
            </w:pPr>
            <w:r>
              <w:t>(b)</w:t>
            </w:r>
            <w:r>
              <w:tab/>
              <w:t xml:space="preserve">For a copy of reasons for judgment — </w:t>
            </w:r>
          </w:p>
          <w:p>
            <w:pPr>
              <w:pStyle w:val="yTableNAm"/>
              <w:tabs>
                <w:tab w:val="left" w:pos="1081"/>
                <w:tab w:val="left" w:leader="dot" w:pos="3839"/>
              </w:tabs>
              <w:ind w:left="1081" w:hanging="1081"/>
            </w:pPr>
            <w:r>
              <w:tab/>
              <w:t>(i)</w:t>
            </w:r>
            <w:r>
              <w:tab/>
              <w:t xml:space="preserve">for each copy consisting of not more than 10 pages issued to a person not a party to the proceedings and for each copy in excess of one copy issued to a party to the proceedings </w:t>
            </w:r>
            <w:r>
              <w:tab/>
            </w:r>
          </w:p>
          <w:p>
            <w:pPr>
              <w:pStyle w:val="yTableNAm"/>
              <w:tabs>
                <w:tab w:val="left" w:pos="1081"/>
                <w:tab w:val="left" w:leader="dot" w:pos="3839"/>
              </w:tabs>
              <w:ind w:left="1081" w:hanging="1081"/>
            </w:pPr>
            <w:r>
              <w:tab/>
              <w:t>(ii)</w:t>
            </w:r>
            <w:r>
              <w:tab/>
              <w:t xml:space="preserve">for each copy consisting of 10 or more pages an additional fee per page of </w:t>
            </w:r>
            <w:r>
              <w:tab/>
            </w:r>
          </w:p>
          <w:p>
            <w:pPr>
              <w:pStyle w:val="yTableNAm"/>
              <w:tabs>
                <w:tab w:val="clear" w:pos="567"/>
                <w:tab w:val="left" w:pos="481"/>
                <w:tab w:val="left" w:leader="dot" w:pos="3841"/>
              </w:tabs>
              <w:ind w:left="481" w:hanging="481"/>
            </w:pPr>
            <w:r>
              <w:t>(c)</w:t>
            </w:r>
            <w:r>
              <w:tab/>
              <w:t xml:space="preserve">For certifying under seal that a document is a true copy, an additional fee of </w:t>
            </w:r>
            <w:r>
              <w:tab/>
            </w:r>
          </w:p>
          <w:p>
            <w:pPr>
              <w:pStyle w:val="yTableNAm"/>
              <w:tabs>
                <w:tab w:val="clear" w:pos="567"/>
                <w:tab w:val="left" w:pos="481"/>
                <w:tab w:val="left" w:leader="dot" w:pos="3841"/>
              </w:tabs>
              <w:ind w:left="481" w:hanging="481"/>
            </w:pPr>
            <w:r>
              <w:t>(d)</w:t>
            </w:r>
            <w:r>
              <w:tab/>
              <w:t xml:space="preserve">For a certificate under the hand of a registrar </w:t>
            </w:r>
            <w:r>
              <w:tab/>
            </w:r>
          </w:p>
          <w:p>
            <w:pPr>
              <w:pStyle w:val="yTableNAm"/>
              <w:tabs>
                <w:tab w:val="clear" w:pos="567"/>
                <w:tab w:val="left" w:pos="481"/>
                <w:tab w:val="left" w:leader="dot" w:pos="3841"/>
              </w:tabs>
              <w:ind w:left="481" w:hanging="481"/>
            </w:pPr>
            <w:r>
              <w:t>(e)</w:t>
            </w:r>
            <w:r>
              <w:tab/>
              <w:t xml:space="preserve">For sealing a warrant of arrest release, commission for the appraisement or sale of property or for the appraisement or sale in admiralty proceedings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br/>
            </w:r>
            <w:r>
              <w:rPr>
                <w:szCs w:val="22"/>
              </w:rPr>
              <w:t>11.40</w:t>
            </w:r>
          </w:p>
          <w:p>
            <w:pPr>
              <w:pStyle w:val="yTableNAm"/>
              <w:tabs>
                <w:tab w:val="clear" w:pos="567"/>
              </w:tabs>
              <w:ind w:right="206"/>
              <w:jc w:val="right"/>
            </w:pPr>
            <w:r>
              <w:br/>
            </w:r>
            <w:r>
              <w:br/>
            </w:r>
            <w:r>
              <w:rPr>
                <w:szCs w:val="22"/>
              </w:rPr>
              <w:t>1.45</w:t>
            </w:r>
          </w:p>
          <w:p>
            <w:pPr>
              <w:pStyle w:val="yTableNAm"/>
              <w:tabs>
                <w:tab w:val="clear" w:pos="567"/>
              </w:tabs>
              <w:ind w:right="206"/>
              <w:jc w:val="right"/>
            </w:pPr>
            <w:r>
              <w:br/>
            </w:r>
            <w:r>
              <w:br/>
            </w:r>
            <w:r>
              <w:rPr>
                <w:szCs w:val="22"/>
              </w:rPr>
              <w:t>15.75</w:t>
            </w:r>
          </w:p>
          <w:p>
            <w:pPr>
              <w:pStyle w:val="yTableNAm"/>
              <w:tabs>
                <w:tab w:val="clear" w:pos="567"/>
              </w:tabs>
              <w:ind w:right="206"/>
              <w:jc w:val="right"/>
            </w:pPr>
            <w:r>
              <w:rPr>
                <w:szCs w:val="22"/>
              </w:rPr>
              <w:br/>
              <w:t>34.00</w:t>
            </w:r>
          </w:p>
          <w:p>
            <w:pPr>
              <w:pStyle w:val="yTableNAm"/>
              <w:tabs>
                <w:tab w:val="clear" w:pos="567"/>
              </w:tabs>
              <w:ind w:right="206"/>
              <w:jc w:val="right"/>
            </w:pPr>
            <w:r>
              <w:br/>
            </w:r>
            <w:r>
              <w:br/>
            </w:r>
            <w:r>
              <w:br/>
            </w:r>
            <w:r>
              <w:br/>
            </w:r>
            <w:r>
              <w:rPr>
                <w:szCs w:val="22"/>
              </w:rPr>
              <w:t>64.50</w:t>
            </w:r>
          </w:p>
        </w:tc>
        <w:tc>
          <w:tcPr>
            <w:tcW w:w="1239" w:type="dxa"/>
          </w:tcPr>
          <w:p>
            <w:pPr>
              <w:pStyle w:val="yTableNAm"/>
              <w:tabs>
                <w:tab w:val="clear" w:pos="567"/>
              </w:tabs>
              <w:ind w:right="203"/>
              <w:jc w:val="right"/>
            </w:pPr>
            <w:r>
              <w:br/>
            </w:r>
            <w:r>
              <w:br/>
            </w:r>
            <w:r>
              <w:br/>
            </w:r>
            <w:r>
              <w:br/>
              <w:t>1.50</w:t>
            </w:r>
          </w:p>
          <w:p>
            <w:pPr>
              <w:pStyle w:val="yTableNAm"/>
              <w:tabs>
                <w:tab w:val="clear" w:pos="567"/>
              </w:tabs>
              <w:ind w:right="203"/>
              <w:jc w:val="right"/>
            </w:pPr>
            <w:r>
              <w:br/>
            </w:r>
          </w:p>
          <w:p>
            <w:pPr>
              <w:pStyle w:val="yTableNAm"/>
              <w:tabs>
                <w:tab w:val="clear" w:pos="567"/>
              </w:tabs>
              <w:ind w:right="203"/>
              <w:jc w:val="right"/>
            </w:pPr>
            <w:r>
              <w:br/>
            </w:r>
            <w:r>
              <w:br/>
            </w:r>
            <w:r>
              <w:br/>
            </w:r>
            <w:r>
              <w:br/>
            </w:r>
            <w:r>
              <w:br/>
            </w:r>
            <w:r>
              <w:br/>
            </w:r>
            <w:r>
              <w:rPr>
                <w:szCs w:val="22"/>
              </w:rPr>
              <w:t>11.40</w:t>
            </w:r>
          </w:p>
          <w:p>
            <w:pPr>
              <w:pStyle w:val="yTableNAm"/>
              <w:tabs>
                <w:tab w:val="clear" w:pos="567"/>
              </w:tabs>
              <w:ind w:right="203"/>
              <w:jc w:val="right"/>
            </w:pPr>
            <w:r>
              <w:br/>
            </w:r>
            <w:r>
              <w:br/>
            </w:r>
            <w:r>
              <w:rPr>
                <w:szCs w:val="22"/>
              </w:rPr>
              <w:t>1.45</w:t>
            </w:r>
          </w:p>
          <w:p>
            <w:pPr>
              <w:pStyle w:val="yTableNAm"/>
              <w:tabs>
                <w:tab w:val="clear" w:pos="567"/>
              </w:tabs>
              <w:ind w:right="203"/>
              <w:jc w:val="right"/>
            </w:pPr>
            <w:r>
              <w:br/>
            </w:r>
            <w:r>
              <w:br/>
            </w:r>
            <w:r>
              <w:rPr>
                <w:szCs w:val="22"/>
              </w:rPr>
              <w:t>15.75</w:t>
            </w:r>
          </w:p>
          <w:p>
            <w:pPr>
              <w:pStyle w:val="yTableNAm"/>
              <w:tabs>
                <w:tab w:val="clear" w:pos="567"/>
              </w:tabs>
              <w:ind w:right="203"/>
              <w:jc w:val="right"/>
            </w:pPr>
            <w:r>
              <w:rPr>
                <w:szCs w:val="22"/>
              </w:rPr>
              <w:br/>
              <w:t>34.00</w:t>
            </w:r>
          </w:p>
          <w:p>
            <w:pPr>
              <w:pStyle w:val="yTableNAm"/>
              <w:tabs>
                <w:tab w:val="clear" w:pos="567"/>
              </w:tabs>
              <w:ind w:right="203"/>
              <w:jc w:val="right"/>
            </w:pPr>
            <w:r>
              <w:br/>
            </w:r>
            <w:r>
              <w:br/>
            </w:r>
            <w:r>
              <w:br/>
            </w:r>
            <w:r>
              <w:br/>
            </w:r>
            <w:r>
              <w:rPr>
                <w:szCs w:val="22"/>
              </w:rPr>
              <w:t>64.50</w:t>
            </w:r>
          </w:p>
        </w:tc>
      </w:tr>
      <w:tr>
        <w:tc>
          <w:tcPr>
            <w:tcW w:w="709" w:type="dxa"/>
          </w:tcPr>
          <w:p>
            <w:pPr>
              <w:pStyle w:val="yTableNAm"/>
            </w:pPr>
            <w:r>
              <w:t>13.</w:t>
            </w:r>
          </w:p>
        </w:tc>
        <w:tc>
          <w:tcPr>
            <w:tcW w:w="3827" w:type="dxa"/>
          </w:tcPr>
          <w:p>
            <w:pPr>
              <w:pStyle w:val="yTableNAm"/>
              <w:tabs>
                <w:tab w:val="clear" w:pos="567"/>
                <w:tab w:val="left" w:pos="481"/>
                <w:tab w:val="left" w:leader="dot" w:pos="3841"/>
              </w:tabs>
              <w:ind w:left="481" w:hanging="481"/>
            </w:pPr>
            <w:r>
              <w:t>(a)</w:t>
            </w:r>
            <w:r>
              <w:tab/>
              <w:t xml:space="preserve">For a copy of a transcript, for each page or part of a page </w:t>
            </w:r>
            <w:r>
              <w:tab/>
            </w:r>
          </w:p>
          <w:p>
            <w:pPr>
              <w:pStyle w:val="yTableNAm"/>
              <w:tabs>
                <w:tab w:val="clear" w:pos="567"/>
                <w:tab w:val="left" w:pos="481"/>
                <w:tab w:val="left" w:leader="dot" w:pos="3841"/>
              </w:tabs>
              <w:ind w:left="481" w:hanging="481"/>
            </w:pPr>
            <w:r>
              <w:t>(b)</w:t>
            </w:r>
            <w:r>
              <w:tab/>
              <w:t xml:space="preserve">For each copy of a transcript in electronic format if a fee has been paid under par. (a) by the applicant for a copy of the transcript, for each day of transcript </w:t>
            </w:r>
            <w:r>
              <w:tab/>
            </w:r>
          </w:p>
          <w:p>
            <w:pPr>
              <w:pStyle w:val="yTableNAm"/>
              <w:tabs>
                <w:tab w:val="clear" w:pos="567"/>
                <w:tab w:val="left" w:pos="481"/>
                <w:tab w:val="left" w:leader="dot" w:pos="3841"/>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r>
              <w:rPr>
                <w:szCs w:val="22"/>
              </w:rPr>
              <w:t>6.35</w:t>
            </w:r>
          </w:p>
          <w:p>
            <w:pPr>
              <w:pStyle w:val="yTableNAm"/>
              <w:tabs>
                <w:tab w:val="clear" w:pos="567"/>
              </w:tabs>
              <w:ind w:right="206"/>
              <w:jc w:val="right"/>
            </w:pPr>
            <w:r>
              <w:br/>
            </w:r>
            <w:r>
              <w:br/>
            </w:r>
            <w:r>
              <w:br/>
            </w:r>
            <w:r>
              <w:br/>
            </w:r>
            <w:r>
              <w:rPr>
                <w:szCs w:val="22"/>
              </w:rPr>
              <w:t>15.75</w:t>
            </w:r>
          </w:p>
          <w:p>
            <w:pPr>
              <w:pStyle w:val="yTableNAm"/>
              <w:tabs>
                <w:tab w:val="clear" w:pos="567"/>
              </w:tabs>
              <w:ind w:right="206"/>
              <w:jc w:val="right"/>
            </w:pPr>
            <w:r>
              <w:br/>
            </w:r>
            <w:r>
              <w:br/>
            </w:r>
            <w:r>
              <w:br/>
            </w:r>
            <w:r>
              <w:br/>
              <w:t>1.50</w:t>
            </w:r>
          </w:p>
        </w:tc>
        <w:tc>
          <w:tcPr>
            <w:tcW w:w="1239" w:type="dxa"/>
          </w:tcPr>
          <w:p>
            <w:pPr>
              <w:pStyle w:val="yTableNAm"/>
              <w:tabs>
                <w:tab w:val="clear" w:pos="567"/>
              </w:tabs>
              <w:ind w:right="203"/>
              <w:jc w:val="right"/>
            </w:pPr>
            <w:r>
              <w:br/>
            </w:r>
            <w:r>
              <w:rPr>
                <w:szCs w:val="22"/>
              </w:rPr>
              <w:t>6.35</w:t>
            </w:r>
          </w:p>
          <w:p>
            <w:pPr>
              <w:pStyle w:val="yTableNAm"/>
              <w:tabs>
                <w:tab w:val="clear" w:pos="567"/>
              </w:tabs>
              <w:ind w:right="203"/>
              <w:jc w:val="right"/>
            </w:pPr>
            <w:r>
              <w:br/>
            </w:r>
            <w:r>
              <w:br/>
            </w:r>
            <w:r>
              <w:br/>
            </w:r>
            <w:r>
              <w:br/>
            </w:r>
            <w:r>
              <w:rPr>
                <w:szCs w:val="22"/>
              </w:rPr>
              <w:t>15.75</w:t>
            </w:r>
          </w:p>
          <w:p>
            <w:pPr>
              <w:pStyle w:val="yTableNAm"/>
              <w:tabs>
                <w:tab w:val="clear" w:pos="567"/>
              </w:tabs>
              <w:ind w:right="203"/>
              <w:jc w:val="right"/>
            </w:pPr>
            <w:r>
              <w:br/>
            </w:r>
            <w:r>
              <w:br/>
            </w:r>
            <w:r>
              <w:br/>
            </w:r>
            <w:r>
              <w:br/>
              <w:t>1.50</w:t>
            </w:r>
          </w:p>
        </w:tc>
      </w:tr>
      <w:tr>
        <w:tc>
          <w:tcPr>
            <w:tcW w:w="709" w:type="dxa"/>
          </w:tcPr>
          <w:p>
            <w:pPr>
              <w:pStyle w:val="yTableNAm"/>
            </w:pPr>
            <w:r>
              <w:t>14.</w:t>
            </w:r>
          </w:p>
        </w:tc>
        <w:tc>
          <w:tcPr>
            <w:tcW w:w="3827" w:type="dxa"/>
          </w:tcPr>
          <w:p>
            <w:pPr>
              <w:pStyle w:val="yTableNAm"/>
              <w:tabs>
                <w:tab w:val="clear" w:pos="567"/>
                <w:tab w:val="left" w:leader="dot" w:pos="3841"/>
              </w:tabs>
            </w:pPr>
            <w:r>
              <w:t xml:space="preserve">On filing an application for admission as a practitioner </w:t>
            </w:r>
            <w:r>
              <w:tab/>
            </w:r>
          </w:p>
        </w:tc>
        <w:tc>
          <w:tcPr>
            <w:tcW w:w="1276" w:type="dxa"/>
          </w:tcPr>
          <w:p>
            <w:pPr>
              <w:pStyle w:val="yTableNAm"/>
              <w:tabs>
                <w:tab w:val="clear" w:pos="567"/>
              </w:tabs>
              <w:ind w:right="206"/>
              <w:jc w:val="right"/>
            </w:pPr>
            <w:r>
              <w:br/>
            </w:r>
            <w:r>
              <w:rPr>
                <w:szCs w:val="22"/>
              </w:rPr>
              <w:t>272.00</w:t>
            </w:r>
          </w:p>
        </w:tc>
        <w:tc>
          <w:tcPr>
            <w:tcW w:w="1239" w:type="dxa"/>
          </w:tcPr>
          <w:p>
            <w:pPr>
              <w:pStyle w:val="yTableNAm"/>
              <w:tabs>
                <w:tab w:val="clear" w:pos="567"/>
              </w:tabs>
              <w:ind w:right="203"/>
              <w:jc w:val="right"/>
            </w:pPr>
            <w:r>
              <w:br/>
              <w:t>N/A</w:t>
            </w:r>
          </w:p>
        </w:tc>
      </w:tr>
    </w:tbl>
    <w:p>
      <w:pPr>
        <w:pStyle w:val="yFootnotesection"/>
      </w:pPr>
      <w:r>
        <w:tab/>
        <w:t>[Division 1 inserted in Gazette 4 Sep 2009 p. 3462-7; amended in Gazette 30 Jul 2010 p. 3496-7; 8 Mar 2011 p. 782</w:t>
      </w:r>
      <w:r>
        <w:noBreakHyphen/>
        <w:t>3; 20 Dec 2011 p. 5376-7; 30 Nov 2012 p. 5785</w:t>
      </w:r>
      <w:r>
        <w:noBreakHyphen/>
        <w:t>6; 19 Jul 2013 p. 3269; 15 Nov 2013 p. 5239-40; 27 Jun 2014 p. 2347-8.]</w:t>
      </w:r>
    </w:p>
    <w:p>
      <w:pPr>
        <w:pStyle w:val="yHeading3"/>
      </w:pPr>
      <w:bookmarkStart w:id="18" w:name="_Toc379203662"/>
      <w:bookmarkStart w:id="19" w:name="_Toc391885694"/>
      <w:r>
        <w:rPr>
          <w:rStyle w:val="CharSDivNo"/>
        </w:rPr>
        <w:t>Division 2</w:t>
      </w:r>
      <w:r>
        <w:rPr>
          <w:b w:val="0"/>
        </w:rPr>
        <w:t> — </w:t>
      </w:r>
      <w:r>
        <w:rPr>
          <w:rStyle w:val="CharSDivText"/>
        </w:rPr>
        <w:t>Court of Appeal fees</w:t>
      </w:r>
      <w:bookmarkEnd w:id="18"/>
      <w:bookmarkEnd w:id="19"/>
    </w:p>
    <w:p>
      <w:pPr>
        <w:pStyle w:val="yFootnoteheading"/>
        <w:spacing w:after="80"/>
      </w:pPr>
      <w:r>
        <w:tab/>
        <w:t>[Heading inserted in Gazette 4 Sep 2009 p. 3467.]</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276"/>
        <w:gridCol w:w="1240"/>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40"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tabs>
                <w:tab w:val="left" w:leader="dot" w:pos="4343"/>
              </w:tabs>
            </w:pPr>
            <w:r>
              <w:t xml:space="preserve">On filing an appeal notice </w:t>
            </w:r>
            <w:r>
              <w:tab/>
            </w:r>
          </w:p>
        </w:tc>
        <w:tc>
          <w:tcPr>
            <w:tcW w:w="1276" w:type="dxa"/>
          </w:tcPr>
          <w:p>
            <w:pPr>
              <w:pStyle w:val="yTableNAm"/>
              <w:tabs>
                <w:tab w:val="clear" w:pos="567"/>
              </w:tabs>
              <w:ind w:right="206"/>
              <w:jc w:val="right"/>
            </w:pPr>
            <w:r>
              <w:rPr>
                <w:szCs w:val="22"/>
              </w:rPr>
              <w:t>161.50</w:t>
            </w:r>
          </w:p>
        </w:tc>
        <w:tc>
          <w:tcPr>
            <w:tcW w:w="1240" w:type="dxa"/>
          </w:tcPr>
          <w:p>
            <w:pPr>
              <w:pStyle w:val="yTableNAm"/>
              <w:tabs>
                <w:tab w:val="clear" w:pos="567"/>
              </w:tabs>
              <w:ind w:right="204"/>
              <w:jc w:val="right"/>
            </w:pPr>
            <w:r>
              <w:rPr>
                <w:szCs w:val="22"/>
              </w:rPr>
              <w:t>419.00</w:t>
            </w:r>
          </w:p>
        </w:tc>
      </w:tr>
      <w:tr>
        <w:tc>
          <w:tcPr>
            <w:tcW w:w="709" w:type="dxa"/>
          </w:tcPr>
          <w:p>
            <w:pPr>
              <w:pStyle w:val="yTableNAm"/>
            </w:pPr>
            <w:r>
              <w:t>2.</w:t>
            </w:r>
          </w:p>
        </w:tc>
        <w:tc>
          <w:tcPr>
            <w:tcW w:w="3827" w:type="dxa"/>
          </w:tcPr>
          <w:p>
            <w:pPr>
              <w:pStyle w:val="yTableNAm"/>
            </w:pPr>
            <w:r>
              <w:t xml:space="preserve">On filing — </w:t>
            </w:r>
          </w:p>
          <w:p>
            <w:pPr>
              <w:pStyle w:val="yTableNAm"/>
              <w:tabs>
                <w:tab w:val="clear" w:pos="567"/>
              </w:tabs>
              <w:ind w:left="481" w:hanging="481"/>
            </w:pPr>
            <w:r>
              <w:t>(a)</w:t>
            </w:r>
            <w:r>
              <w:tab/>
              <w:t>Appellant’s case; or</w:t>
            </w:r>
          </w:p>
          <w:p>
            <w:pPr>
              <w:pStyle w:val="yTableNAm"/>
              <w:tabs>
                <w:tab w:val="clear" w:pos="567"/>
                <w:tab w:val="left" w:pos="481"/>
                <w:tab w:val="left" w:leader="dot" w:pos="4343"/>
              </w:tabs>
            </w:pPr>
            <w:r>
              <w:t>(b)</w:t>
            </w:r>
            <w:r>
              <w:tab/>
              <w:t>Respondent’s case</w:t>
            </w:r>
            <w:r>
              <w:tab/>
            </w:r>
          </w:p>
        </w:tc>
        <w:tc>
          <w:tcPr>
            <w:tcW w:w="1276" w:type="dxa"/>
          </w:tcPr>
          <w:p>
            <w:pPr>
              <w:pStyle w:val="yTableNAm"/>
            </w:pPr>
          </w:p>
          <w:p>
            <w:pPr>
              <w:pStyle w:val="yTableNAm"/>
            </w:pPr>
          </w:p>
          <w:p>
            <w:pPr>
              <w:pStyle w:val="yTableNAm"/>
              <w:tabs>
                <w:tab w:val="clear" w:pos="567"/>
              </w:tabs>
              <w:ind w:right="206"/>
              <w:jc w:val="right"/>
            </w:pPr>
            <w:r>
              <w:rPr>
                <w:szCs w:val="22"/>
              </w:rPr>
              <w:t>2 434.00</w:t>
            </w:r>
          </w:p>
        </w:tc>
        <w:tc>
          <w:tcPr>
            <w:tcW w:w="1240" w:type="dxa"/>
          </w:tcPr>
          <w:p>
            <w:pPr>
              <w:pStyle w:val="yTableNAm"/>
              <w:tabs>
                <w:tab w:val="clear" w:pos="567"/>
              </w:tabs>
              <w:ind w:right="204"/>
              <w:jc w:val="right"/>
            </w:pPr>
          </w:p>
          <w:p>
            <w:pPr>
              <w:pStyle w:val="yTableNAm"/>
              <w:tabs>
                <w:tab w:val="clear" w:pos="567"/>
              </w:tabs>
              <w:ind w:right="204"/>
              <w:jc w:val="right"/>
            </w:pPr>
          </w:p>
          <w:p>
            <w:pPr>
              <w:pStyle w:val="yTableNAm"/>
              <w:tabs>
                <w:tab w:val="clear" w:pos="567"/>
              </w:tabs>
              <w:ind w:right="204"/>
              <w:jc w:val="right"/>
            </w:pPr>
            <w:r>
              <w:rPr>
                <w:szCs w:val="22"/>
              </w:rPr>
              <w:t>6 325.00</w:t>
            </w:r>
          </w:p>
        </w:tc>
      </w:tr>
      <w:tr>
        <w:tc>
          <w:tcPr>
            <w:tcW w:w="709" w:type="dxa"/>
          </w:tcPr>
          <w:p>
            <w:pPr>
              <w:pStyle w:val="yTableNAm"/>
            </w:pPr>
            <w:r>
              <w:t>3.</w:t>
            </w:r>
          </w:p>
        </w:tc>
        <w:tc>
          <w:tcPr>
            <w:tcW w:w="3827" w:type="dxa"/>
          </w:tcPr>
          <w:p>
            <w:pPr>
              <w:pStyle w:val="yTableNAm"/>
              <w:tabs>
                <w:tab w:val="left" w:leader="dot" w:pos="4343"/>
              </w:tabs>
            </w:pPr>
            <w:r>
              <w:t xml:space="preserve">On filing an application to transfer an appeal from the District Court to the Court of Appeal under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 41 </w:t>
            </w:r>
            <w:r>
              <w:tab/>
            </w:r>
          </w:p>
        </w:tc>
        <w:tc>
          <w:tcPr>
            <w:tcW w:w="1276" w:type="dxa"/>
          </w:tcPr>
          <w:p>
            <w:pPr>
              <w:pStyle w:val="yTableNAm"/>
              <w:tabs>
                <w:tab w:val="clear" w:pos="567"/>
              </w:tabs>
              <w:ind w:right="206"/>
              <w:jc w:val="right"/>
            </w:pPr>
            <w:r>
              <w:br/>
            </w:r>
            <w:r>
              <w:br/>
            </w:r>
            <w:r>
              <w:br/>
            </w:r>
            <w:r>
              <w:br/>
            </w:r>
            <w:r>
              <w:rPr>
                <w:szCs w:val="22"/>
              </w:rPr>
              <w:t>323.00</w:t>
            </w:r>
          </w:p>
        </w:tc>
        <w:tc>
          <w:tcPr>
            <w:tcW w:w="1240" w:type="dxa"/>
          </w:tcPr>
          <w:p>
            <w:pPr>
              <w:pStyle w:val="yTableNAm"/>
              <w:tabs>
                <w:tab w:val="clear" w:pos="567"/>
              </w:tabs>
              <w:ind w:right="204"/>
              <w:jc w:val="right"/>
            </w:pPr>
            <w:r>
              <w:br/>
            </w:r>
            <w:r>
              <w:br/>
            </w:r>
            <w:r>
              <w:br/>
            </w:r>
            <w:r>
              <w:br/>
            </w:r>
            <w:r>
              <w:rPr>
                <w:szCs w:val="22"/>
              </w:rPr>
              <w:t>632.00</w:t>
            </w:r>
          </w:p>
        </w:tc>
      </w:tr>
      <w:tr>
        <w:tc>
          <w:tcPr>
            <w:tcW w:w="709" w:type="dxa"/>
          </w:tcPr>
          <w:p>
            <w:pPr>
              <w:pStyle w:val="yTableNAm"/>
            </w:pPr>
            <w:r>
              <w:t>4.</w:t>
            </w:r>
          </w:p>
        </w:tc>
        <w:tc>
          <w:tcPr>
            <w:tcW w:w="3827" w:type="dxa"/>
          </w:tcPr>
          <w:p>
            <w:pPr>
              <w:pStyle w:val="yTableNAm"/>
              <w:tabs>
                <w:tab w:val="clear" w:pos="567"/>
              </w:tabs>
              <w:ind w:left="481" w:hanging="481"/>
            </w:pPr>
            <w:r>
              <w:t>(a)</w:t>
            </w:r>
            <w:r>
              <w:tab/>
              <w:t>On filing an application in an appeal for an interim order or to amend or cancel an interim order; or</w:t>
            </w:r>
          </w:p>
          <w:p>
            <w:pPr>
              <w:pStyle w:val="yTableNAm"/>
              <w:tabs>
                <w:tab w:val="clear" w:pos="567"/>
              </w:tabs>
              <w:ind w:left="481" w:hanging="481"/>
            </w:pPr>
            <w:r>
              <w:t>(b)</w:t>
            </w:r>
            <w:r>
              <w:tab/>
              <w:t xml:space="preserve">On an appointment before — </w:t>
            </w:r>
          </w:p>
          <w:p>
            <w:pPr>
              <w:pStyle w:val="yTableNAm"/>
              <w:ind w:left="1081" w:hanging="1081"/>
            </w:pPr>
            <w:r>
              <w:tab/>
              <w:t>(i)</w:t>
            </w:r>
            <w:r>
              <w:tab/>
              <w:t>a judge or registrar to settle the appeal book index; or</w:t>
            </w:r>
          </w:p>
          <w:p>
            <w:pPr>
              <w:pStyle w:val="yTableNAm"/>
              <w:tabs>
                <w:tab w:val="left" w:leader="dot" w:pos="4343"/>
              </w:tabs>
              <w:ind w:left="1081" w:hanging="1081"/>
            </w:pPr>
            <w:r>
              <w:tab/>
              <w:t>(ii)</w:t>
            </w:r>
            <w:r>
              <w:tab/>
              <w:t xml:space="preserve">a registrar for mediation </w:t>
            </w:r>
            <w:r>
              <w:tab/>
            </w:r>
          </w:p>
          <w:p>
            <w:pPr>
              <w:pStyle w:val="yTableNAm"/>
              <w:rPr>
                <w:sz w:val="20"/>
              </w:rPr>
            </w:pPr>
            <w:r>
              <w:rPr>
                <w:sz w:val="20"/>
              </w:rPr>
              <w:t>NOTES:</w:t>
            </w:r>
          </w:p>
          <w:p>
            <w:pPr>
              <w:pStyle w:val="yTableNAm"/>
              <w:tabs>
                <w:tab w:val="clear" w:pos="567"/>
              </w:tabs>
              <w:ind w:left="481" w:hanging="481"/>
              <w:rPr>
                <w:sz w:val="20"/>
              </w:rPr>
            </w:pPr>
            <w:r>
              <w:rPr>
                <w:sz w:val="20"/>
              </w:rPr>
              <w:t>(1)</w:t>
            </w:r>
            <w:r>
              <w:rPr>
                <w:sz w:val="20"/>
              </w:rPr>
              <w:tab/>
              <w:t>The fee includes the first day of the hearing of the matter and any adjournment of the matter.</w:t>
            </w:r>
          </w:p>
          <w:p>
            <w:pPr>
              <w:pStyle w:val="yTableNAm"/>
              <w:tabs>
                <w:tab w:val="clear" w:pos="567"/>
              </w:tabs>
              <w:ind w:left="481" w:hanging="481"/>
              <w:rPr>
                <w:sz w:val="20"/>
              </w:rPr>
            </w:pPr>
            <w:r>
              <w:rPr>
                <w:sz w:val="20"/>
              </w:rPr>
              <w:t>(2)</w:t>
            </w:r>
            <w:r>
              <w:rPr>
                <w:sz w:val="20"/>
              </w:rPr>
              <w:tab/>
              <w:t>If the hearing of a matter is listed for more than one day and proceeds for more than the number of days listed, the fee prescribed by this item is payable for each additional day or part of a day of a hearing.</w:t>
            </w:r>
          </w:p>
          <w:p>
            <w:pPr>
              <w:pStyle w:val="yTableNAm"/>
              <w:keepNext/>
              <w:tabs>
                <w:tab w:val="clear" w:pos="567"/>
              </w:tabs>
              <w:ind w:left="481" w:hanging="481"/>
            </w:pPr>
            <w:r>
              <w:rPr>
                <w:sz w:val="20"/>
              </w:rPr>
              <w:t>(3)</w:t>
            </w:r>
            <w:r>
              <w:rPr>
                <w:sz w:val="20"/>
              </w:rPr>
              <w:tab/>
              <w:t>A fee payable in the circumstances referred to in Note 2 is payable on a day</w:t>
            </w:r>
            <w:r>
              <w:rPr>
                <w:sz w:val="20"/>
              </w:rPr>
              <w:noBreakHyphen/>
              <w:t>to</w:t>
            </w:r>
            <w:r>
              <w:rPr>
                <w:sz w:val="20"/>
              </w:rPr>
              <w:noBreakHyphen/>
              <w:t>day basis before the daily reconvening of the hearing.</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rPr>
                <w:szCs w:val="22"/>
              </w:rPr>
              <w:t>228.00</w:t>
            </w:r>
          </w:p>
        </w:tc>
        <w:tc>
          <w:tcPr>
            <w:tcW w:w="1240" w:type="dxa"/>
          </w:tcPr>
          <w:p>
            <w:pPr>
              <w:pStyle w:val="yTableNAm"/>
              <w:tabs>
                <w:tab w:val="clear" w:pos="567"/>
              </w:tabs>
              <w:ind w:right="204"/>
              <w:jc w:val="right"/>
            </w:pPr>
            <w:r>
              <w:br/>
            </w:r>
            <w:r>
              <w:br/>
            </w:r>
            <w:r>
              <w:br/>
            </w:r>
          </w:p>
          <w:p>
            <w:pPr>
              <w:pStyle w:val="yTableNAm"/>
              <w:tabs>
                <w:tab w:val="clear" w:pos="567"/>
              </w:tabs>
              <w:ind w:right="204"/>
              <w:jc w:val="right"/>
            </w:pPr>
          </w:p>
          <w:p>
            <w:pPr>
              <w:pStyle w:val="yTableNAm"/>
              <w:tabs>
                <w:tab w:val="clear" w:pos="567"/>
              </w:tabs>
              <w:ind w:right="204"/>
              <w:jc w:val="right"/>
            </w:pPr>
            <w:r>
              <w:br/>
            </w:r>
          </w:p>
          <w:p>
            <w:pPr>
              <w:pStyle w:val="yTableNAm"/>
              <w:tabs>
                <w:tab w:val="clear" w:pos="567"/>
              </w:tabs>
              <w:ind w:right="204"/>
              <w:jc w:val="right"/>
            </w:pPr>
            <w:r>
              <w:rPr>
                <w:szCs w:val="22"/>
              </w:rPr>
              <w:t>442.00</w:t>
            </w:r>
          </w:p>
        </w:tc>
      </w:tr>
      <w:tr>
        <w:tc>
          <w:tcPr>
            <w:tcW w:w="709" w:type="dxa"/>
          </w:tcPr>
          <w:p>
            <w:pPr>
              <w:pStyle w:val="yTableNAm"/>
              <w:keepNext/>
            </w:pPr>
            <w:r>
              <w:t>5.</w:t>
            </w:r>
          </w:p>
        </w:tc>
        <w:tc>
          <w:tcPr>
            <w:tcW w:w="3827" w:type="dxa"/>
          </w:tcPr>
          <w:p>
            <w:pPr>
              <w:pStyle w:val="yTableNAm"/>
              <w:keepNext/>
              <w:tabs>
                <w:tab w:val="left" w:leader="dot" w:pos="4343"/>
              </w:tabs>
              <w:ind w:left="1081" w:hanging="1081"/>
            </w:pPr>
            <w:r>
              <w:t xml:space="preserve">Setting down fee </w:t>
            </w:r>
            <w:r>
              <w:tab/>
            </w:r>
          </w:p>
          <w:p>
            <w:pPr>
              <w:pStyle w:val="yTableNAm"/>
              <w:keepNext/>
              <w:rPr>
                <w:sz w:val="20"/>
              </w:rPr>
            </w:pPr>
            <w:r>
              <w:rPr>
                <w:sz w:val="20"/>
              </w:rPr>
              <w:t>NOTES:</w:t>
            </w:r>
          </w:p>
          <w:p>
            <w:pPr>
              <w:pStyle w:val="yTableNAm"/>
              <w:keepNext/>
              <w:tabs>
                <w:tab w:val="clear" w:pos="567"/>
              </w:tabs>
              <w:spacing w:before="100"/>
              <w:ind w:left="482" w:hanging="482"/>
              <w:rPr>
                <w:sz w:val="20"/>
              </w:rPr>
            </w:pPr>
            <w:r>
              <w:rPr>
                <w:sz w:val="20"/>
              </w:rPr>
              <w:t>(1)</w:t>
            </w:r>
            <w:r>
              <w:rPr>
                <w:sz w:val="20"/>
              </w:rPr>
              <w:tab/>
              <w:t>This fee is payable when the appeal book is filed.</w:t>
            </w:r>
          </w:p>
          <w:p>
            <w:pPr>
              <w:pStyle w:val="yTableNAm"/>
              <w:keepNext/>
              <w:tabs>
                <w:tab w:val="clear" w:pos="567"/>
              </w:tabs>
              <w:spacing w:before="100"/>
              <w:ind w:left="482" w:hanging="482"/>
            </w:pPr>
            <w:r>
              <w:rPr>
                <w:sz w:val="20"/>
              </w:rPr>
              <w:t>(2)</w:t>
            </w:r>
            <w:r>
              <w:rPr>
                <w:sz w:val="20"/>
              </w:rPr>
              <w:tab/>
              <w:t>This fee includes the fee for the first day of hearing.</w:t>
            </w:r>
          </w:p>
        </w:tc>
        <w:tc>
          <w:tcPr>
            <w:tcW w:w="1276" w:type="dxa"/>
          </w:tcPr>
          <w:p>
            <w:pPr>
              <w:pStyle w:val="yTableNAm"/>
              <w:keepNext/>
              <w:tabs>
                <w:tab w:val="clear" w:pos="567"/>
              </w:tabs>
              <w:ind w:right="206"/>
              <w:jc w:val="right"/>
            </w:pPr>
            <w:r>
              <w:rPr>
                <w:szCs w:val="22"/>
              </w:rPr>
              <w:t>812.00</w:t>
            </w:r>
          </w:p>
        </w:tc>
        <w:tc>
          <w:tcPr>
            <w:tcW w:w="1240" w:type="dxa"/>
          </w:tcPr>
          <w:p>
            <w:pPr>
              <w:pStyle w:val="yTableNAm"/>
              <w:keepNext/>
              <w:tabs>
                <w:tab w:val="clear" w:pos="567"/>
              </w:tabs>
              <w:ind w:right="204"/>
              <w:jc w:val="right"/>
            </w:pPr>
            <w:r>
              <w:rPr>
                <w:szCs w:val="22"/>
              </w:rPr>
              <w:t>1 579.00</w:t>
            </w:r>
          </w:p>
        </w:tc>
      </w:tr>
      <w:tr>
        <w:tc>
          <w:tcPr>
            <w:tcW w:w="709" w:type="dxa"/>
          </w:tcPr>
          <w:p>
            <w:pPr>
              <w:pStyle w:val="yTableNAm"/>
            </w:pPr>
            <w:r>
              <w:t>6.</w:t>
            </w:r>
          </w:p>
        </w:tc>
        <w:tc>
          <w:tcPr>
            <w:tcW w:w="3827" w:type="dxa"/>
          </w:tcPr>
          <w:p>
            <w:pPr>
              <w:pStyle w:val="yTableNAm"/>
              <w:tabs>
                <w:tab w:val="left" w:leader="dot" w:pos="4343"/>
              </w:tabs>
            </w:pPr>
            <w:r>
              <w:t xml:space="preserve">Allocation of hearing date, for each day estimated </w:t>
            </w:r>
            <w:r>
              <w:tab/>
            </w:r>
          </w:p>
          <w:p>
            <w:pPr>
              <w:pStyle w:val="yTableNAm"/>
              <w:rPr>
                <w:sz w:val="20"/>
              </w:rPr>
            </w:pPr>
            <w:r>
              <w:rPr>
                <w:sz w:val="20"/>
              </w:rPr>
              <w:t>NOTE:</w:t>
            </w:r>
          </w:p>
          <w:p>
            <w:pPr>
              <w:pStyle w:val="yTableNAm"/>
              <w:spacing w:before="100"/>
              <w:rPr>
                <w:sz w:val="20"/>
              </w:rPr>
            </w:pPr>
            <w:r>
              <w:rPr>
                <w:sz w:val="20"/>
              </w:rPr>
              <w:t>This fee is payable on the number of days in excess of the first hearing day estimated for the hearing by the Court of Appeal Registrar.</w:t>
            </w:r>
          </w:p>
        </w:tc>
        <w:tc>
          <w:tcPr>
            <w:tcW w:w="1276" w:type="dxa"/>
          </w:tcPr>
          <w:p>
            <w:pPr>
              <w:pStyle w:val="yTableNAm"/>
              <w:tabs>
                <w:tab w:val="clear" w:pos="567"/>
              </w:tabs>
              <w:ind w:right="206"/>
              <w:jc w:val="right"/>
            </w:pPr>
            <w:r>
              <w:br/>
            </w:r>
            <w:r>
              <w:rPr>
                <w:szCs w:val="22"/>
              </w:rPr>
              <w:t>648.00</w:t>
            </w:r>
          </w:p>
        </w:tc>
        <w:tc>
          <w:tcPr>
            <w:tcW w:w="1240" w:type="dxa"/>
          </w:tcPr>
          <w:p>
            <w:pPr>
              <w:pStyle w:val="yTableNAm"/>
              <w:tabs>
                <w:tab w:val="clear" w:pos="567"/>
              </w:tabs>
              <w:ind w:right="204"/>
              <w:jc w:val="right"/>
            </w:pPr>
            <w:r>
              <w:br/>
            </w:r>
            <w:r>
              <w:rPr>
                <w:szCs w:val="22"/>
              </w:rPr>
              <w:t>1 683.00</w:t>
            </w:r>
          </w:p>
        </w:tc>
      </w:tr>
      <w:tr>
        <w:tc>
          <w:tcPr>
            <w:tcW w:w="709" w:type="dxa"/>
          </w:tcPr>
          <w:p>
            <w:pPr>
              <w:pStyle w:val="yTableNAm"/>
            </w:pPr>
            <w:r>
              <w:t>7.</w:t>
            </w:r>
          </w:p>
        </w:tc>
        <w:tc>
          <w:tcPr>
            <w:tcW w:w="3827" w:type="dxa"/>
          </w:tcPr>
          <w:p>
            <w:pPr>
              <w:pStyle w:val="yTableNAm"/>
              <w:tabs>
                <w:tab w:val="left" w:leader="dot" w:pos="4343"/>
              </w:tabs>
              <w:ind w:left="1081" w:hanging="1081"/>
            </w:pPr>
            <w:r>
              <w:t xml:space="preserve">Daily hearing fee </w:t>
            </w:r>
            <w:r>
              <w:tab/>
            </w:r>
          </w:p>
          <w:p>
            <w:pPr>
              <w:pStyle w:val="yTableNAm"/>
              <w:rPr>
                <w:sz w:val="20"/>
              </w:rPr>
            </w:pPr>
            <w:r>
              <w:rPr>
                <w:sz w:val="20"/>
              </w:rPr>
              <w:t>NOTES:</w:t>
            </w:r>
          </w:p>
          <w:p>
            <w:pPr>
              <w:pStyle w:val="yTableNAm"/>
              <w:tabs>
                <w:tab w:val="clear" w:pos="567"/>
              </w:tabs>
              <w:spacing w:before="100"/>
              <w:ind w:left="482" w:hanging="482"/>
              <w:rPr>
                <w:sz w:val="20"/>
              </w:rPr>
            </w:pPr>
            <w:r>
              <w:rPr>
                <w:sz w:val="20"/>
              </w:rPr>
              <w:t>(1)</w:t>
            </w:r>
            <w:r>
              <w:rPr>
                <w:sz w:val="20"/>
              </w:rPr>
              <w:tab/>
              <w:t>This fee is not payable in relation to an application for, or to amend or cancel an interim order.</w:t>
            </w:r>
          </w:p>
          <w:p>
            <w:pPr>
              <w:pStyle w:val="yTableNAm"/>
              <w:tabs>
                <w:tab w:val="clear" w:pos="567"/>
              </w:tabs>
              <w:spacing w:before="100"/>
              <w:ind w:left="482" w:hanging="482"/>
              <w:rPr>
                <w:sz w:val="20"/>
              </w:rPr>
            </w:pPr>
            <w:r>
              <w:rPr>
                <w:sz w:val="20"/>
              </w:rPr>
              <w:t>(2)</w:t>
            </w:r>
            <w:r>
              <w:rPr>
                <w:sz w:val="20"/>
              </w:rPr>
              <w:tab/>
              <w:t>This fee is payable for each additional day or part day that a hearing proceeds beyond the number of days for which a fee has been paid.</w:t>
            </w:r>
          </w:p>
          <w:p>
            <w:pPr>
              <w:pStyle w:val="yTableNAm"/>
              <w:tabs>
                <w:tab w:val="clear" w:pos="567"/>
              </w:tabs>
              <w:spacing w:before="100"/>
              <w:ind w:left="482" w:hanging="482"/>
              <w:rPr>
                <w:sz w:val="20"/>
              </w:rPr>
            </w:pPr>
            <w:r>
              <w:rPr>
                <w:sz w:val="20"/>
              </w:rPr>
              <w:t>(3)</w:t>
            </w:r>
            <w:r>
              <w:rPr>
                <w:sz w:val="20"/>
              </w:rPr>
              <w:tab/>
              <w:t>If the Court allocates a half day or less for the continuation of the hearing, a fee equal to half the prescribed amount is payable for that period.</w:t>
            </w:r>
          </w:p>
          <w:p>
            <w:pPr>
              <w:pStyle w:val="yTableNAm"/>
              <w:tabs>
                <w:tab w:val="clear" w:pos="567"/>
              </w:tabs>
              <w:spacing w:before="100"/>
              <w:ind w:left="482" w:hanging="482"/>
            </w:pPr>
            <w:r>
              <w:rPr>
                <w:sz w:val="20"/>
              </w:rPr>
              <w:t>(4)</w:t>
            </w:r>
            <w:r>
              <w:rPr>
                <w:sz w:val="20"/>
              </w:rPr>
              <w:tab/>
              <w:t>The daily hearing fee is payable on a day</w:t>
            </w:r>
            <w:r>
              <w:rPr>
                <w:sz w:val="20"/>
              </w:rPr>
              <w:noBreakHyphen/>
              <w:t>to</w:t>
            </w:r>
            <w:r>
              <w:rPr>
                <w:sz w:val="20"/>
              </w:rPr>
              <w:noBreakHyphen/>
              <w:t>day basis and is payable before the daily reconvening of the hearing.</w:t>
            </w:r>
          </w:p>
        </w:tc>
        <w:tc>
          <w:tcPr>
            <w:tcW w:w="1276" w:type="dxa"/>
          </w:tcPr>
          <w:p>
            <w:pPr>
              <w:pStyle w:val="yTableNAm"/>
              <w:tabs>
                <w:tab w:val="clear" w:pos="567"/>
              </w:tabs>
              <w:ind w:right="206"/>
              <w:jc w:val="right"/>
            </w:pPr>
            <w:r>
              <w:rPr>
                <w:szCs w:val="22"/>
              </w:rPr>
              <w:t>648.00</w:t>
            </w:r>
          </w:p>
        </w:tc>
        <w:tc>
          <w:tcPr>
            <w:tcW w:w="1240" w:type="dxa"/>
          </w:tcPr>
          <w:p>
            <w:pPr>
              <w:pStyle w:val="yTableNAm"/>
              <w:tabs>
                <w:tab w:val="clear" w:pos="567"/>
              </w:tabs>
              <w:ind w:right="204"/>
              <w:jc w:val="right"/>
            </w:pPr>
            <w:r>
              <w:rPr>
                <w:szCs w:val="22"/>
              </w:rPr>
              <w:t>1 683.00</w:t>
            </w:r>
          </w:p>
        </w:tc>
      </w:tr>
      <w:tr>
        <w:tc>
          <w:tcPr>
            <w:tcW w:w="709" w:type="dxa"/>
          </w:tcPr>
          <w:p>
            <w:pPr>
              <w:pStyle w:val="yTableNAm"/>
            </w:pPr>
            <w:r>
              <w:t>8.</w:t>
            </w:r>
          </w:p>
        </w:tc>
        <w:tc>
          <w:tcPr>
            <w:tcW w:w="3827" w:type="dxa"/>
          </w:tcPr>
          <w:p>
            <w:pPr>
              <w:pStyle w:val="yTableNAm"/>
              <w:tabs>
                <w:tab w:val="left" w:leader="dot" w:pos="4343"/>
              </w:tabs>
            </w:pPr>
            <w:r>
              <w:t xml:space="preserve">For searching any proceeding or record other than a search made by or on behalf of a party to an appeal </w:t>
            </w:r>
            <w:r>
              <w:tab/>
            </w:r>
          </w:p>
          <w:p>
            <w:pPr>
              <w:pStyle w:val="yTableNAm"/>
              <w:rPr>
                <w:sz w:val="20"/>
              </w:rPr>
            </w:pPr>
            <w:r>
              <w:rPr>
                <w:sz w:val="20"/>
              </w:rPr>
              <w:t>NOTE:</w:t>
            </w:r>
          </w:p>
          <w:p>
            <w:pPr>
              <w:pStyle w:val="yTableNAm"/>
              <w:rPr>
                <w:sz w:val="20"/>
              </w:rPr>
            </w:pPr>
            <w:r>
              <w:rPr>
                <w:sz w:val="20"/>
              </w:rPr>
              <w:t xml:space="preserve">But if the search is made by a recognised service approved by Attorney General: </w:t>
            </w:r>
            <w:r>
              <w:rPr>
                <w:szCs w:val="22"/>
              </w:rPr>
              <w:t>$1.45</w:t>
            </w:r>
            <w:r>
              <w:rPr>
                <w:sz w:val="20"/>
              </w:rPr>
              <w:t>.</w:t>
            </w:r>
          </w:p>
        </w:tc>
        <w:tc>
          <w:tcPr>
            <w:tcW w:w="1276" w:type="dxa"/>
          </w:tcPr>
          <w:p>
            <w:pPr>
              <w:pStyle w:val="yTableNAm"/>
              <w:tabs>
                <w:tab w:val="clear" w:pos="567"/>
              </w:tabs>
              <w:ind w:right="206"/>
              <w:jc w:val="right"/>
            </w:pPr>
            <w:r>
              <w:br/>
            </w:r>
            <w:r>
              <w:br/>
            </w:r>
            <w:r>
              <w:rPr>
                <w:szCs w:val="22"/>
              </w:rPr>
              <w:t>32.70</w:t>
            </w:r>
          </w:p>
        </w:tc>
        <w:tc>
          <w:tcPr>
            <w:tcW w:w="1240" w:type="dxa"/>
          </w:tcPr>
          <w:p>
            <w:pPr>
              <w:pStyle w:val="yTableNAm"/>
              <w:tabs>
                <w:tab w:val="clear" w:pos="567"/>
              </w:tabs>
              <w:ind w:right="204"/>
              <w:jc w:val="right"/>
            </w:pPr>
            <w:r>
              <w:br/>
            </w:r>
            <w:r>
              <w:br/>
            </w:r>
            <w:r>
              <w:rPr>
                <w:szCs w:val="22"/>
              </w:rPr>
              <w:t>32.70</w:t>
            </w:r>
          </w:p>
        </w:tc>
      </w:tr>
      <w:tr>
        <w:tc>
          <w:tcPr>
            <w:tcW w:w="709" w:type="dxa"/>
          </w:tcPr>
          <w:p>
            <w:pPr>
              <w:pStyle w:val="yTableNAm"/>
            </w:pPr>
            <w:r>
              <w:t>9.</w:t>
            </w:r>
          </w:p>
        </w:tc>
        <w:tc>
          <w:tcPr>
            <w:tcW w:w="3827" w:type="dxa"/>
          </w:tcPr>
          <w:p>
            <w:pPr>
              <w:pStyle w:val="yTableNAm"/>
              <w:tabs>
                <w:tab w:val="clear" w:pos="567"/>
                <w:tab w:val="left" w:leader="dot" w:pos="3839"/>
              </w:tabs>
              <w:ind w:left="481" w:hanging="481"/>
            </w:pPr>
            <w:r>
              <w:t>(a)</w:t>
            </w:r>
            <w:r>
              <w:tab/>
              <w:t xml:space="preserve">For a copy of a document of any kind or an exhibit, including marking as an office copy if required, for each page or part thereof </w:t>
            </w:r>
            <w:r>
              <w:tab/>
            </w:r>
          </w:p>
          <w:p>
            <w:pPr>
              <w:pStyle w:val="yTableNAm"/>
              <w:tabs>
                <w:tab w:val="clear" w:pos="567"/>
              </w:tabs>
              <w:ind w:left="481" w:hanging="481"/>
            </w:pPr>
            <w:r>
              <w:t>(b)</w:t>
            </w:r>
            <w:r>
              <w:tab/>
              <w:t xml:space="preserve">For a copy of reasons for judgment — </w:t>
            </w:r>
          </w:p>
          <w:p>
            <w:pPr>
              <w:pStyle w:val="yTableNAm"/>
              <w:tabs>
                <w:tab w:val="left" w:leader="dot" w:pos="4343"/>
              </w:tabs>
              <w:ind w:left="1081" w:hanging="1081"/>
            </w:pPr>
            <w:r>
              <w:tab/>
              <w:t>(i)</w:t>
            </w:r>
            <w:r>
              <w:tab/>
              <w:t xml:space="preserve">for each copy consisting of 10 pages or less issued to a person not a party to the appeal and for each copy in excess of one copy issued to a party to the appeal </w:t>
            </w:r>
            <w:r>
              <w:tab/>
            </w:r>
          </w:p>
          <w:p>
            <w:pPr>
              <w:pStyle w:val="yTableNAm"/>
              <w:tabs>
                <w:tab w:val="left" w:leader="dot" w:pos="4343"/>
              </w:tabs>
              <w:ind w:left="1081" w:hanging="1081"/>
            </w:pPr>
            <w:r>
              <w:tab/>
              <w:t>(ii)</w:t>
            </w:r>
            <w:r>
              <w:tab/>
              <w:t xml:space="preserve">for each copy consisting of more than 10 pages an additional fee per page of </w:t>
            </w:r>
            <w:r>
              <w:tab/>
            </w:r>
          </w:p>
          <w:p>
            <w:pPr>
              <w:pStyle w:val="yTableNAm"/>
              <w:tabs>
                <w:tab w:val="clear" w:pos="567"/>
                <w:tab w:val="left" w:leader="dot" w:pos="3839"/>
              </w:tabs>
              <w:ind w:left="481" w:hanging="481"/>
            </w:pPr>
            <w:r>
              <w:t>(c)</w:t>
            </w:r>
            <w:r>
              <w:tab/>
              <w:t xml:space="preserve">For certifying under seal that a document is a true copy, an additional fee of </w:t>
            </w:r>
            <w:r>
              <w:tab/>
            </w:r>
          </w:p>
          <w:p>
            <w:pPr>
              <w:pStyle w:val="yTableNAm"/>
              <w:tabs>
                <w:tab w:val="clear" w:pos="567"/>
                <w:tab w:val="left" w:leader="dot" w:pos="3839"/>
              </w:tabs>
              <w:ind w:left="481" w:hanging="481"/>
            </w:pPr>
            <w:r>
              <w:t>(d)</w:t>
            </w:r>
            <w:r>
              <w:tab/>
              <w:t xml:space="preserve">For a certificate under the hand of a registrar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rPr>
                <w:szCs w:val="22"/>
              </w:rPr>
              <w:t>11.45</w:t>
            </w:r>
          </w:p>
          <w:p>
            <w:pPr>
              <w:pStyle w:val="yTableNAm"/>
              <w:tabs>
                <w:tab w:val="clear" w:pos="567"/>
              </w:tabs>
              <w:ind w:right="206"/>
              <w:jc w:val="right"/>
            </w:pPr>
            <w:r>
              <w:br/>
            </w:r>
            <w:r>
              <w:br/>
            </w:r>
            <w:r>
              <w:rPr>
                <w:szCs w:val="22"/>
              </w:rPr>
              <w:t>1.45</w:t>
            </w:r>
          </w:p>
          <w:p>
            <w:pPr>
              <w:pStyle w:val="yTableNAm"/>
              <w:tabs>
                <w:tab w:val="clear" w:pos="567"/>
              </w:tabs>
              <w:ind w:right="206"/>
              <w:jc w:val="right"/>
            </w:pPr>
            <w:r>
              <w:br/>
            </w:r>
            <w:r>
              <w:br/>
            </w:r>
            <w:r>
              <w:rPr>
                <w:szCs w:val="22"/>
              </w:rPr>
              <w:t>15.75</w:t>
            </w:r>
          </w:p>
          <w:p>
            <w:pPr>
              <w:pStyle w:val="yTableNAm"/>
              <w:tabs>
                <w:tab w:val="clear" w:pos="567"/>
              </w:tabs>
              <w:ind w:right="206"/>
              <w:jc w:val="right"/>
            </w:pPr>
            <w:r>
              <w:rPr>
                <w:szCs w:val="22"/>
              </w:rPr>
              <w:br/>
              <w:t>34.00</w:t>
            </w:r>
          </w:p>
        </w:tc>
        <w:tc>
          <w:tcPr>
            <w:tcW w:w="1240" w:type="dxa"/>
          </w:tcPr>
          <w:p>
            <w:pPr>
              <w:pStyle w:val="yTableNAm"/>
              <w:tabs>
                <w:tab w:val="clear" w:pos="567"/>
              </w:tabs>
              <w:ind w:right="204"/>
              <w:jc w:val="right"/>
            </w:pPr>
            <w:r>
              <w:br/>
            </w:r>
            <w:r>
              <w:br/>
            </w:r>
            <w:r>
              <w:br/>
            </w:r>
            <w:r>
              <w:br/>
              <w:t>1.50</w:t>
            </w:r>
          </w:p>
          <w:p>
            <w:pPr>
              <w:pStyle w:val="yTableNAm"/>
              <w:tabs>
                <w:tab w:val="clear" w:pos="567"/>
              </w:tabs>
              <w:ind w:right="204"/>
              <w:jc w:val="right"/>
            </w:pPr>
            <w:r>
              <w:br/>
            </w:r>
          </w:p>
          <w:p>
            <w:pPr>
              <w:pStyle w:val="yTableNAm"/>
              <w:tabs>
                <w:tab w:val="clear" w:pos="567"/>
              </w:tabs>
              <w:ind w:right="204"/>
              <w:jc w:val="right"/>
            </w:pPr>
            <w:r>
              <w:br/>
            </w:r>
            <w:r>
              <w:br/>
            </w:r>
            <w:r>
              <w:br/>
            </w:r>
            <w:r>
              <w:br/>
            </w:r>
            <w:r>
              <w:br/>
            </w:r>
            <w:r>
              <w:rPr>
                <w:szCs w:val="22"/>
              </w:rPr>
              <w:t>11.45</w:t>
            </w:r>
          </w:p>
          <w:p>
            <w:pPr>
              <w:pStyle w:val="yTableNAm"/>
              <w:tabs>
                <w:tab w:val="clear" w:pos="567"/>
              </w:tabs>
              <w:ind w:right="204"/>
              <w:jc w:val="right"/>
            </w:pPr>
            <w:r>
              <w:br/>
            </w:r>
            <w:r>
              <w:br/>
            </w:r>
            <w:r>
              <w:rPr>
                <w:szCs w:val="22"/>
              </w:rPr>
              <w:t>1.45</w:t>
            </w:r>
          </w:p>
          <w:p>
            <w:pPr>
              <w:pStyle w:val="yTableNAm"/>
              <w:tabs>
                <w:tab w:val="clear" w:pos="567"/>
              </w:tabs>
              <w:ind w:right="204"/>
              <w:jc w:val="right"/>
            </w:pPr>
            <w:r>
              <w:br/>
            </w:r>
            <w:r>
              <w:br/>
            </w:r>
            <w:r>
              <w:rPr>
                <w:szCs w:val="22"/>
              </w:rPr>
              <w:t>15.75</w:t>
            </w:r>
          </w:p>
          <w:p>
            <w:pPr>
              <w:pStyle w:val="yTableNAm"/>
              <w:tabs>
                <w:tab w:val="clear" w:pos="567"/>
              </w:tabs>
              <w:ind w:right="204"/>
              <w:jc w:val="right"/>
            </w:pPr>
            <w:r>
              <w:rPr>
                <w:szCs w:val="22"/>
              </w:rPr>
              <w:br/>
              <w:t>34.00</w:t>
            </w:r>
          </w:p>
        </w:tc>
      </w:tr>
      <w:tr>
        <w:tc>
          <w:tcPr>
            <w:tcW w:w="709" w:type="dxa"/>
          </w:tcPr>
          <w:p>
            <w:pPr>
              <w:pStyle w:val="yTableNAm"/>
            </w:pPr>
            <w:r>
              <w:t>10.</w:t>
            </w:r>
          </w:p>
        </w:tc>
        <w:tc>
          <w:tcPr>
            <w:tcW w:w="3827" w:type="dxa"/>
          </w:tcPr>
          <w:p>
            <w:pPr>
              <w:pStyle w:val="yTableNAm"/>
              <w:tabs>
                <w:tab w:val="clear" w:pos="567"/>
                <w:tab w:val="left" w:leader="dot" w:pos="3839"/>
              </w:tabs>
              <w:ind w:left="481" w:hanging="481"/>
            </w:pPr>
            <w:r>
              <w:t>(a)</w:t>
            </w:r>
            <w:r>
              <w:tab/>
              <w:t xml:space="preserve">For a copy of a transcript, for each page or part of a page </w:t>
            </w:r>
            <w:r>
              <w:tab/>
            </w:r>
          </w:p>
          <w:p>
            <w:pPr>
              <w:pStyle w:val="yTableNAm"/>
              <w:tabs>
                <w:tab w:val="clear" w:pos="567"/>
                <w:tab w:val="left" w:leader="dot" w:pos="3839"/>
              </w:tabs>
              <w:ind w:left="481" w:hanging="481"/>
            </w:pPr>
            <w:r>
              <w:t>(b)</w:t>
            </w:r>
            <w:r>
              <w:tab/>
              <w:t>For each copy of a transcript in electronic format if a fee has been paid under par. (a) by the applicant, for a copy of the transcript, for each day of transcript </w:t>
            </w:r>
            <w:r>
              <w:tab/>
            </w:r>
          </w:p>
          <w:p>
            <w:pPr>
              <w:pStyle w:val="yTableNAm"/>
              <w:tabs>
                <w:tab w:val="clear" w:pos="567"/>
                <w:tab w:val="left" w:leader="dot" w:pos="3839"/>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r>
              <w:rPr>
                <w:szCs w:val="22"/>
              </w:rPr>
              <w:t>6.35</w:t>
            </w:r>
          </w:p>
          <w:p>
            <w:pPr>
              <w:pStyle w:val="yTableNAm"/>
              <w:tabs>
                <w:tab w:val="clear" w:pos="567"/>
              </w:tabs>
              <w:ind w:right="206"/>
              <w:jc w:val="right"/>
            </w:pPr>
            <w:r>
              <w:br/>
            </w:r>
            <w:r>
              <w:br/>
            </w:r>
            <w:r>
              <w:br/>
            </w:r>
            <w:r>
              <w:br/>
            </w:r>
            <w:r>
              <w:br/>
            </w:r>
            <w:r>
              <w:rPr>
                <w:szCs w:val="22"/>
              </w:rPr>
              <w:t>15.75</w:t>
            </w:r>
          </w:p>
          <w:p>
            <w:pPr>
              <w:pStyle w:val="yTableNAm"/>
              <w:tabs>
                <w:tab w:val="clear" w:pos="567"/>
              </w:tabs>
              <w:ind w:right="206"/>
              <w:jc w:val="right"/>
            </w:pPr>
            <w:r>
              <w:br/>
            </w:r>
            <w:r>
              <w:br/>
            </w:r>
            <w:r>
              <w:br/>
            </w:r>
            <w:r>
              <w:br/>
              <w:t>1.50</w:t>
            </w:r>
          </w:p>
        </w:tc>
        <w:tc>
          <w:tcPr>
            <w:tcW w:w="1240" w:type="dxa"/>
          </w:tcPr>
          <w:p>
            <w:pPr>
              <w:pStyle w:val="yTableNAm"/>
              <w:tabs>
                <w:tab w:val="clear" w:pos="567"/>
              </w:tabs>
              <w:ind w:right="204"/>
              <w:jc w:val="right"/>
            </w:pPr>
            <w:r>
              <w:br/>
            </w:r>
            <w:r>
              <w:rPr>
                <w:szCs w:val="22"/>
              </w:rPr>
              <w:t>6.35</w:t>
            </w:r>
          </w:p>
          <w:p>
            <w:pPr>
              <w:pStyle w:val="yTableNAm"/>
              <w:tabs>
                <w:tab w:val="clear" w:pos="567"/>
              </w:tabs>
              <w:ind w:right="204"/>
              <w:jc w:val="right"/>
            </w:pPr>
            <w:r>
              <w:br/>
            </w:r>
            <w:r>
              <w:br/>
            </w:r>
            <w:r>
              <w:br/>
            </w:r>
            <w:r>
              <w:br/>
            </w:r>
            <w:r>
              <w:br/>
            </w:r>
            <w:r>
              <w:rPr>
                <w:szCs w:val="22"/>
              </w:rPr>
              <w:t>15.75</w:t>
            </w:r>
          </w:p>
          <w:p>
            <w:pPr>
              <w:pStyle w:val="yTableNAm"/>
              <w:tabs>
                <w:tab w:val="clear" w:pos="567"/>
              </w:tabs>
              <w:ind w:right="204"/>
              <w:jc w:val="right"/>
            </w:pPr>
            <w:r>
              <w:br/>
            </w:r>
            <w:r>
              <w:br/>
            </w:r>
            <w:r>
              <w:br/>
            </w:r>
            <w:r>
              <w:br/>
              <w:t>1.50</w:t>
            </w:r>
          </w:p>
        </w:tc>
      </w:tr>
    </w:tbl>
    <w:p>
      <w:pPr>
        <w:pStyle w:val="yFootnotesection"/>
      </w:pPr>
      <w:r>
        <w:tab/>
        <w:t>[Division 2 inserted in Gazette 4 Sep 2009 p. 3467-70; amended in Gazette 30 Jul 2010 p. 3497; 8 Mar 2011 p. 783</w:t>
      </w:r>
      <w:r>
        <w:noBreakHyphen/>
        <w:t>4; 20 Dec 2011 p. 5378; 30 Nov 2012 p. 5786</w:t>
      </w:r>
      <w:r>
        <w:noBreakHyphen/>
        <w:t>7; 15 Nov 2013 p. 5241; 27 Jun 2014 p. 2349.]</w:t>
      </w:r>
    </w:p>
    <w:p>
      <w:pPr>
        <w:pStyle w:val="yScheduleHeading"/>
      </w:pPr>
      <w:bookmarkStart w:id="20" w:name="_Toc379203663"/>
      <w:bookmarkStart w:id="21" w:name="_Toc391885695"/>
      <w:r>
        <w:rPr>
          <w:rStyle w:val="CharSchNo"/>
        </w:rPr>
        <w:t>Schedule 2</w:t>
      </w:r>
      <w:r>
        <w:rPr>
          <w:rStyle w:val="CharSDivNo"/>
        </w:rPr>
        <w:t> </w:t>
      </w:r>
      <w:r>
        <w:t>—</w:t>
      </w:r>
      <w:r>
        <w:rPr>
          <w:rStyle w:val="CharSDivText"/>
        </w:rPr>
        <w:t> </w:t>
      </w:r>
      <w:r>
        <w:rPr>
          <w:rStyle w:val="CharSchText"/>
        </w:rPr>
        <w:t>Sheriff’s fees</w:t>
      </w:r>
      <w:bookmarkEnd w:id="20"/>
      <w:bookmarkEnd w:id="21"/>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 xml:space="preserve">The fee under par. (a) includes — </w:t>
            </w:r>
          </w:p>
          <w:p>
            <w:pPr>
              <w:pStyle w:val="yTableNAm"/>
              <w:tabs>
                <w:tab w:val="clear" w:pos="567"/>
                <w:tab w:val="left" w:leader="dot" w:pos="5041"/>
              </w:tabs>
              <w:spacing w:before="80"/>
              <w:ind w:left="482" w:hanging="482"/>
              <w:rPr>
                <w:sz w:val="20"/>
              </w:rPr>
            </w:pPr>
            <w:r>
              <w:rPr>
                <w:sz w:val="20"/>
              </w:rPr>
              <w:t>(a)</w:t>
            </w:r>
            <w:r>
              <w:rPr>
                <w:sz w:val="20"/>
              </w:rPr>
              <w:tab/>
              <w:t>receipt of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pPr>
            <w:r>
              <w:rPr>
                <w:szCs w:val="22"/>
              </w:rPr>
              <w:t>102.50</w:t>
            </w:r>
          </w:p>
          <w:p>
            <w:pPr>
              <w:pStyle w:val="yTableNAm"/>
              <w:tabs>
                <w:tab w:val="clear" w:pos="567"/>
              </w:tabs>
              <w:spacing w:before="80"/>
              <w:ind w:right="241"/>
              <w:jc w:val="right"/>
            </w:pPr>
            <w:r>
              <w:br/>
            </w:r>
            <w:r>
              <w:br/>
            </w:r>
            <w:r>
              <w:rPr>
                <w:szCs w:val="22"/>
              </w:rPr>
              <w:t>102.50</w:t>
            </w:r>
          </w:p>
          <w:p>
            <w:pPr>
              <w:pStyle w:val="yTableNAm"/>
              <w:tabs>
                <w:tab w:val="clear" w:pos="567"/>
              </w:tabs>
              <w:spacing w:before="80"/>
              <w:ind w:right="241"/>
              <w:jc w:val="right"/>
              <w:rPr>
                <w:b/>
              </w:rPr>
            </w:pPr>
            <w:r>
              <w:br/>
            </w:r>
            <w:r>
              <w:br/>
            </w:r>
            <w:r>
              <w:br/>
            </w:r>
            <w:r>
              <w:br/>
            </w:r>
            <w:r>
              <w:rPr>
                <w:szCs w:val="22"/>
              </w:rPr>
              <w:t>27.20</w:t>
            </w:r>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rPr>
                <w:sz w:val="20"/>
              </w:rPr>
            </w:pPr>
            <w:r>
              <w:rPr>
                <w:sz w:val="20"/>
              </w:rPr>
              <w:t>NOTE:</w:t>
            </w:r>
          </w:p>
          <w:p>
            <w:pPr>
              <w:pStyle w:val="yTableNAm"/>
              <w:spacing w:before="80"/>
              <w:rPr>
                <w:sz w:val="20"/>
              </w:rPr>
            </w:pPr>
            <w:r>
              <w:rPr>
                <w:sz w:val="20"/>
              </w:rPr>
              <w:t>The fee is payable whether or not the service is successful and covers up to 3 attempts at service at the same address.</w:t>
            </w:r>
          </w:p>
        </w:tc>
        <w:tc>
          <w:tcPr>
            <w:tcW w:w="1382" w:type="dxa"/>
          </w:tcPr>
          <w:p>
            <w:pPr>
              <w:pStyle w:val="yTableNAm"/>
              <w:ind w:right="246"/>
              <w:jc w:val="right"/>
            </w:pPr>
            <w:r>
              <w:br/>
            </w:r>
            <w:r>
              <w:br/>
            </w:r>
            <w:r>
              <w:rPr>
                <w:szCs w:val="22"/>
              </w:rPr>
              <w:t>56.50</w:t>
            </w:r>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r>
            <w:r>
              <w:rPr>
                <w:szCs w:val="22"/>
              </w:rPr>
              <w:t>1.45</w:t>
            </w:r>
          </w:p>
          <w:p>
            <w:pPr>
              <w:pStyle w:val="yTableNAm"/>
              <w:ind w:right="246"/>
              <w:jc w:val="right"/>
            </w:pPr>
            <w:r>
              <w:br/>
            </w:r>
            <w:r>
              <w:rPr>
                <w:szCs w:val="22"/>
              </w:rPr>
              <w:t>1.60</w:t>
            </w:r>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r>
            <w:r>
              <w:rPr>
                <w:szCs w:val="22"/>
              </w:rPr>
              <w:t>54.50</w:t>
            </w:r>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r>
              <w:rPr>
                <w:szCs w:val="22"/>
              </w:rPr>
              <w:t>174.50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 amended in Gazette 8 Mar 2011 p. 784; 20 Dec 2011 p. 5379; 30 Nov 2012 p. 5787; 15 Nov 2013 p. 5242; 27 Jun 2014 p. 2350.]</w:t>
      </w:r>
    </w:p>
    <w:p>
      <w:pPr>
        <w:pStyle w:val="yScheduleHeading"/>
      </w:pPr>
      <w:bookmarkStart w:id="22" w:name="_Toc379203664"/>
      <w:bookmarkStart w:id="23" w:name="_Toc391885696"/>
      <w:r>
        <w:rPr>
          <w:rStyle w:val="CharSchNo"/>
        </w:rPr>
        <w:t>Schedule 3</w:t>
      </w:r>
      <w:r>
        <w:t> — </w:t>
      </w:r>
      <w:r>
        <w:rPr>
          <w:rStyle w:val="CharSchText"/>
        </w:rPr>
        <w:t>Probate fees</w:t>
      </w:r>
      <w:bookmarkEnd w:id="22"/>
      <w:bookmarkEnd w:id="23"/>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r>
            <w:r>
              <w:rPr>
                <w:szCs w:val="22"/>
              </w:rPr>
              <w:t>271.00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r>
            <w:r>
              <w:rPr>
                <w:szCs w:val="22"/>
              </w:rPr>
              <w:t>64.50</w:t>
            </w:r>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r>
            <w:r>
              <w:rPr>
                <w:szCs w:val="22"/>
              </w:rPr>
              <w:t>64.50</w:t>
            </w:r>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1.50</w:t>
            </w:r>
          </w:p>
          <w:p>
            <w:pPr>
              <w:pStyle w:val="yTableNAm"/>
              <w:ind w:right="246"/>
              <w:jc w:val="right"/>
            </w:pPr>
            <w:r>
              <w:br/>
            </w:r>
            <w:r>
              <w:br/>
            </w:r>
            <w:r>
              <w:rPr>
                <w:szCs w:val="22"/>
              </w:rPr>
              <w:t>15.75</w:t>
            </w:r>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r>
            <w:r>
              <w:rPr>
                <w:szCs w:val="22"/>
              </w:rPr>
              <w:t>81.00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r>
            <w:r>
              <w:rPr>
                <w:szCs w:val="22"/>
              </w:rPr>
              <w:t>32.70</w:t>
            </w:r>
          </w:p>
        </w:tc>
      </w:tr>
    </w:tbl>
    <w:p>
      <w:pPr>
        <w:pStyle w:val="yFootnotesection"/>
      </w:pPr>
      <w:r>
        <w:tab/>
        <w:t>[Schedule 3 inserted in Gazette 4 Sep 2009 p. 3471-2; amended in Gazette 8 Mar 2011 p. 784; 20 Dec 2011 p. 5379; 30 Nov 2012 p. 5787</w:t>
      </w:r>
      <w:r>
        <w:noBreakHyphen/>
        <w:t>8; 15 Nov 2013 p. 5242; 27 Jun 2014 p. 2350.]</w:t>
      </w:r>
    </w:p>
    <w:p>
      <w:pPr>
        <w:pStyle w:val="yScheduleHeading"/>
      </w:pPr>
      <w:bookmarkStart w:id="24" w:name="_Toc379203665"/>
      <w:bookmarkStart w:id="25" w:name="_Toc391885697"/>
      <w:r>
        <w:rPr>
          <w:rStyle w:val="CharSchNo"/>
        </w:rPr>
        <w:t>Schedule 4</w:t>
      </w:r>
      <w:r>
        <w:t xml:space="preserve"> — </w:t>
      </w:r>
      <w:r>
        <w:rPr>
          <w:rStyle w:val="CharSchText"/>
        </w:rPr>
        <w:t>Forms</w:t>
      </w:r>
      <w:bookmarkEnd w:id="24"/>
      <w:bookmarkEnd w:id="25"/>
    </w:p>
    <w:p>
      <w:pPr>
        <w:pStyle w:val="yShoulderClause"/>
        <w:spacing w:after="120"/>
      </w:pPr>
      <w:r>
        <w:t>[r. 4(7), 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NAm"/>
              <w:jc w:val="center"/>
              <w:rPr>
                <w:b/>
                <w:bCs/>
              </w:rPr>
            </w:pPr>
            <w:r>
              <w:rPr>
                <w:b/>
                <w:bCs/>
              </w:rPr>
              <w:t>Form 1</w:t>
            </w:r>
          </w:p>
        </w:tc>
      </w:tr>
      <w:tr>
        <w:trPr>
          <w:cantSplit/>
        </w:trPr>
        <w:tc>
          <w:tcPr>
            <w:tcW w:w="6662"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615"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tcPr>
          <w:p>
            <w:pPr>
              <w:pStyle w:val="yTableNAm"/>
            </w:pPr>
            <w:r>
              <w:t>No.         of  2   </w:t>
            </w:r>
          </w:p>
        </w:tc>
      </w:tr>
      <w:tr>
        <w:trPr>
          <w:cantSplit/>
        </w:trPr>
        <w:tc>
          <w:tcPr>
            <w:tcW w:w="6662"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662" w:type="dxa"/>
            <w:gridSpan w:val="4"/>
          </w:tcPr>
          <w:p>
            <w:pPr>
              <w:pStyle w:val="yTableNAm"/>
              <w:tabs>
                <w:tab w:val="left" w:pos="3710"/>
              </w:tabs>
            </w:pPr>
            <w:r>
              <w:rPr>
                <w:b/>
              </w:rPr>
              <w:t>Defendant/Respondent*:</w:t>
            </w:r>
            <w:r>
              <w:rPr>
                <w:bCs/>
              </w:rPr>
              <w:tab/>
            </w:r>
            <w:r>
              <w:t>................................................</w:t>
            </w:r>
          </w:p>
          <w:p>
            <w:pPr>
              <w:pStyle w:val="yTableNAm"/>
              <w:tabs>
                <w:tab w:val="left" w:pos="3710"/>
              </w:tabs>
              <w:spacing w:before="0"/>
            </w:pPr>
            <w:r>
              <w:rPr>
                <w:sz w:val="20"/>
              </w:rPr>
              <w:t>(*strike out word that is not applicable)</w:t>
            </w:r>
          </w:p>
        </w:tc>
      </w:tr>
      <w:tr>
        <w:trPr>
          <w:cantSplit/>
        </w:trPr>
        <w:tc>
          <w:tcPr>
            <w:tcW w:w="1701" w:type="dxa"/>
            <w:vMerge w:val="restart"/>
            <w:tcBorders>
              <w:bottom w:val="nil"/>
            </w:tcBorders>
          </w:tcPr>
          <w:p>
            <w:pPr>
              <w:pStyle w:val="yTableNAm"/>
              <w:rPr>
                <w:b/>
                <w:bCs/>
              </w:rPr>
            </w:pPr>
            <w:r>
              <w:rPr>
                <w:b/>
                <w:bCs/>
              </w:rPr>
              <w:t>Applicant:</w:t>
            </w:r>
          </w:p>
        </w:tc>
        <w:tc>
          <w:tcPr>
            <w:tcW w:w="4961" w:type="dxa"/>
            <w:gridSpan w:val="3"/>
            <w:tcBorders>
              <w:bottom w:val="single" w:sz="4" w:space="0" w:color="auto"/>
            </w:tcBorders>
          </w:tcPr>
          <w:p>
            <w:pPr>
              <w:pStyle w:val="yTableNAm"/>
            </w:pPr>
            <w:r>
              <w:t>......................................................................................</w:t>
            </w:r>
          </w:p>
          <w:p>
            <w:pPr>
              <w:pStyle w:val="yTableNAm"/>
              <w:spacing w:before="0"/>
            </w:pPr>
            <w:r>
              <w:t>Full name</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Address</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701" w:type="dxa"/>
            <w:vMerge/>
            <w:tcBorders>
              <w:bottom w:val="single" w:sz="4" w:space="0" w:color="auto"/>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662"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NAm"/>
              <w:rPr>
                <w:b/>
                <w:bCs/>
              </w:rPr>
            </w:pPr>
            <w:r>
              <w:rPr>
                <w:b/>
                <w:bCs/>
              </w:rPr>
              <w:t>Signature of applicant:</w:t>
            </w:r>
          </w:p>
        </w:tc>
        <w:tc>
          <w:tcPr>
            <w:tcW w:w="4110" w:type="dxa"/>
            <w:gridSpan w:val="2"/>
          </w:tcPr>
          <w:p>
            <w:pPr>
              <w:pStyle w:val="yTableNAm"/>
            </w:pPr>
          </w:p>
        </w:tc>
      </w:tr>
      <w:tr>
        <w:trPr>
          <w:cantSplit/>
        </w:trPr>
        <w:tc>
          <w:tcPr>
            <w:tcW w:w="2552" w:type="dxa"/>
            <w:gridSpan w:val="2"/>
          </w:tcPr>
          <w:p>
            <w:pPr>
              <w:pStyle w:val="yTableNAm"/>
              <w:rPr>
                <w:b/>
                <w:bCs/>
              </w:rPr>
            </w:pPr>
            <w:r>
              <w:rPr>
                <w:b/>
                <w:bCs/>
              </w:rPr>
              <w:t>Date:</w:t>
            </w:r>
          </w:p>
        </w:tc>
        <w:tc>
          <w:tcPr>
            <w:tcW w:w="4110" w:type="dxa"/>
            <w:gridSpan w:val="2"/>
          </w:tcPr>
          <w:p>
            <w:pPr>
              <w:pStyle w:val="yTableNAm"/>
            </w:pPr>
          </w:p>
        </w:tc>
      </w:tr>
      <w:tr>
        <w:trPr>
          <w:cantSplit/>
        </w:trPr>
        <w:tc>
          <w:tcPr>
            <w:tcW w:w="6662" w:type="dxa"/>
            <w:gridSpan w:val="4"/>
            <w:tcBorders>
              <w:bottom w:val="single" w:sz="4" w:space="0" w:color="auto"/>
            </w:tcBorders>
          </w:tcPr>
          <w:p>
            <w:pPr>
              <w:pStyle w:val="yTableNAm"/>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662" w:type="dxa"/>
            <w:gridSpan w:val="4"/>
            <w:tcBorders>
              <w:bottom w:val="single" w:sz="4" w:space="0" w:color="auto"/>
            </w:tcBorders>
          </w:tcPr>
          <w:p>
            <w:pPr>
              <w:pStyle w:val="yTableNAm"/>
              <w:rPr>
                <w:i/>
                <w:sz w:val="16"/>
              </w:rPr>
            </w:pPr>
            <w:r>
              <w:rPr>
                <w:sz w:val="16"/>
                <w:vertAlign w:val="superscript"/>
              </w:rPr>
              <w:t xml:space="preserve">1 </w:t>
            </w:r>
            <w:r>
              <w:rPr>
                <w:i/>
                <w:sz w:val="16"/>
              </w:rPr>
              <w:t xml:space="preserve">Under regulation 3 of the Supreme Court (Fees) Regulations 2002 a small business is — </w:t>
            </w:r>
          </w:p>
          <w:p>
            <w:pPr>
              <w:pStyle w:val="yTableNAm"/>
              <w:rPr>
                <w:i/>
                <w:sz w:val="16"/>
              </w:rPr>
            </w:pPr>
            <w:r>
              <w:rPr>
                <w:i/>
                <w:sz w:val="16"/>
              </w:rPr>
              <w:t>an individual or individuals in partnership who wholly own and operate a business undertaking that has less than 20 full-time equivalent employees and partners;</w:t>
            </w:r>
          </w:p>
          <w:p>
            <w:pPr>
              <w:pStyle w:val="yTableNAm"/>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662" w:type="dxa"/>
            <w:gridSpan w:val="4"/>
          </w:tcPr>
          <w:p>
            <w:pPr>
              <w:pStyle w:val="yTableNAm"/>
              <w:rPr>
                <w:i/>
                <w:sz w:val="16"/>
              </w:rPr>
            </w:pPr>
            <w:r>
              <w:rPr>
                <w:i/>
                <w:sz w:val="16"/>
              </w:rPr>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NAm"/>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yTableNAm"/>
              <w:rPr>
                <w:i/>
                <w:sz w:val="16"/>
              </w:rPr>
            </w:pPr>
            <w:r>
              <w:rPr>
                <w:i/>
                <w:sz w:val="16"/>
                <w:vertAlign w:val="superscript"/>
              </w:rPr>
              <w:t>2</w:t>
            </w:r>
            <w:r>
              <w:rPr>
                <w:i/>
                <w:sz w:val="16"/>
              </w:rPr>
              <w:t xml:space="preserve"> Under regulation 3 of the Supreme Court (Fees) Regulations 2002 a non</w:t>
            </w:r>
            <w:r>
              <w:rPr>
                <w:i/>
                <w:sz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in Gazette 30 Dec 2003 p. 5700; 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NAm"/>
              <w:pageBreakBefore/>
              <w:jc w:val="center"/>
              <w:rPr>
                <w:b/>
                <w:bCs/>
              </w:rPr>
            </w:pPr>
            <w:r>
              <w:rPr>
                <w:b/>
                <w:bCs/>
              </w:rPr>
              <w:t>Form 2</w:t>
            </w:r>
          </w:p>
          <w:p>
            <w:pPr>
              <w:pStyle w:val="yTableNAm"/>
              <w:jc w:val="center"/>
              <w:rPr>
                <w:b/>
                <w:bCs/>
              </w:rPr>
            </w:pPr>
            <w:r>
              <w:rPr>
                <w:b/>
                <w:bCs/>
              </w:rPr>
              <w:t>Application to remit fees</w:t>
            </w:r>
          </w:p>
        </w:tc>
      </w:tr>
      <w:tr>
        <w:trPr>
          <w:cantSplit/>
        </w:trPr>
        <w:tc>
          <w:tcPr>
            <w:tcW w:w="3615" w:type="dxa"/>
            <w:gridSpan w:val="4"/>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gridSpan w:val="5"/>
          </w:tcPr>
          <w:p>
            <w:pPr>
              <w:pStyle w:val="yTableNAm"/>
            </w:pPr>
            <w:r>
              <w:t>No.</w:t>
            </w:r>
            <w:r>
              <w:tab/>
              <w:t>of  2</w:t>
            </w:r>
          </w:p>
        </w:tc>
      </w:tr>
      <w:tr>
        <w:trPr>
          <w:cantSplit/>
        </w:trPr>
        <w:tc>
          <w:tcPr>
            <w:tcW w:w="6662" w:type="dxa"/>
            <w:gridSpan w:val="9"/>
          </w:tcPr>
          <w:p>
            <w:pPr>
              <w:pStyle w:val="yTableNAm"/>
              <w:tabs>
                <w:tab w:val="left" w:pos="3470"/>
              </w:tabs>
            </w:pPr>
            <w:r>
              <w:rPr>
                <w:b/>
              </w:rPr>
              <w:t>Plaintiff/Appellant*:</w:t>
            </w:r>
            <w:r>
              <w:rPr>
                <w:bCs/>
              </w:rPr>
              <w:tab/>
            </w:r>
            <w:r>
              <w:t>................................................</w:t>
            </w:r>
          </w:p>
          <w:p>
            <w:pPr>
              <w:pStyle w:val="yTableNAm"/>
              <w:tabs>
                <w:tab w:val="left" w:pos="3470"/>
              </w:tabs>
              <w:spacing w:before="0"/>
            </w:pPr>
            <w:r>
              <w:rPr>
                <w:sz w:val="20"/>
              </w:rPr>
              <w:t>(*strike out word that is not applicable)</w:t>
            </w:r>
          </w:p>
        </w:tc>
      </w:tr>
      <w:tr>
        <w:trPr>
          <w:cantSplit/>
        </w:trPr>
        <w:tc>
          <w:tcPr>
            <w:tcW w:w="6662" w:type="dxa"/>
            <w:gridSpan w:val="9"/>
          </w:tcPr>
          <w:p>
            <w:pPr>
              <w:pStyle w:val="yTableNAm"/>
              <w:tabs>
                <w:tab w:val="left" w:pos="3470"/>
              </w:tabs>
            </w:pPr>
            <w:r>
              <w:rPr>
                <w:b/>
              </w:rPr>
              <w:t>Defendant/Respondent*:</w:t>
            </w:r>
            <w:r>
              <w:rPr>
                <w:bCs/>
              </w:rPr>
              <w:tab/>
            </w:r>
            <w:r>
              <w:t>................................................</w:t>
            </w:r>
          </w:p>
          <w:p>
            <w:pPr>
              <w:pStyle w:val="yTableNAm"/>
              <w:tabs>
                <w:tab w:val="left" w:pos="3470"/>
              </w:tabs>
              <w:spacing w:before="0"/>
            </w:pPr>
            <w:r>
              <w:rPr>
                <w:sz w:val="20"/>
              </w:rPr>
              <w:t>(*strike out word that is not applicable)</w:t>
            </w:r>
          </w:p>
        </w:tc>
      </w:tr>
      <w:tr>
        <w:trPr>
          <w:cantSplit/>
          <w:trHeight w:val="433"/>
        </w:trPr>
        <w:tc>
          <w:tcPr>
            <w:tcW w:w="1701" w:type="dxa"/>
            <w:vMerge w:val="restart"/>
          </w:tcPr>
          <w:p>
            <w:pPr>
              <w:pStyle w:val="yTableNAm"/>
              <w:rPr>
                <w:b/>
                <w:bCs/>
              </w:rPr>
            </w:pPr>
            <w:r>
              <w:rPr>
                <w:b/>
                <w:bCs/>
              </w:rPr>
              <w:t>Applicant:</w:t>
            </w:r>
          </w:p>
        </w:tc>
        <w:tc>
          <w:tcPr>
            <w:tcW w:w="4961" w:type="dxa"/>
            <w:gridSpan w:val="8"/>
          </w:tcPr>
          <w:p>
            <w:pPr>
              <w:pStyle w:val="yTableNAm"/>
            </w:pPr>
            <w:r>
              <w:t>......................................................................................</w:t>
            </w:r>
          </w:p>
          <w:p>
            <w:pPr>
              <w:pStyle w:val="yTableNAm"/>
              <w:spacing w:before="0"/>
            </w:pPr>
            <w:r>
              <w:t>Full name</w:t>
            </w:r>
          </w:p>
        </w:tc>
      </w:tr>
      <w:tr>
        <w:trPr>
          <w:cantSplit/>
          <w:trHeight w:val="431"/>
        </w:trPr>
        <w:tc>
          <w:tcPr>
            <w:tcW w:w="1701" w:type="dxa"/>
            <w:vMerge/>
          </w:tcPr>
          <w:p>
            <w:pPr>
              <w:pStyle w:val="yTableNAm"/>
            </w:pPr>
          </w:p>
        </w:tc>
        <w:tc>
          <w:tcPr>
            <w:tcW w:w="4961" w:type="dxa"/>
            <w:gridSpan w:val="8"/>
          </w:tcPr>
          <w:p>
            <w:pPr>
              <w:pStyle w:val="yTableNAm"/>
            </w:pPr>
            <w:r>
              <w:t>......................................................................................</w:t>
            </w:r>
          </w:p>
          <w:p>
            <w:pPr>
              <w:pStyle w:val="yTableNAm"/>
              <w:spacing w:before="0"/>
            </w:pPr>
            <w:r>
              <w:t>Address</w:t>
            </w:r>
          </w:p>
        </w:tc>
      </w:tr>
      <w:tr>
        <w:trPr>
          <w:cantSplit/>
          <w:trHeight w:val="431"/>
        </w:trPr>
        <w:tc>
          <w:tcPr>
            <w:tcW w:w="1701" w:type="dxa"/>
            <w:vMerge/>
          </w:tcPr>
          <w:p>
            <w:pPr>
              <w:pStyle w:val="yTableNAm"/>
            </w:pPr>
          </w:p>
        </w:tc>
        <w:tc>
          <w:tcPr>
            <w:tcW w:w="2622" w:type="dxa"/>
            <w:gridSpan w:val="5"/>
          </w:tcPr>
          <w:p>
            <w:pPr>
              <w:pStyle w:val="yTableNAm"/>
            </w:pPr>
            <w:r>
              <w:t>...........................................</w:t>
            </w:r>
          </w:p>
          <w:p>
            <w:pPr>
              <w:pStyle w:val="yTableNAm"/>
              <w:spacing w:before="0"/>
            </w:pPr>
            <w:r>
              <w:t>Date of birth</w:t>
            </w:r>
          </w:p>
        </w:tc>
        <w:tc>
          <w:tcPr>
            <w:tcW w:w="2339" w:type="dxa"/>
            <w:gridSpan w:val="3"/>
          </w:tcPr>
          <w:p>
            <w:pPr>
              <w:pStyle w:val="yTableNAm"/>
            </w:pPr>
            <w:r>
              <w:t>......................................</w:t>
            </w:r>
          </w:p>
          <w:p>
            <w:pPr>
              <w:pStyle w:val="yTableNAm"/>
              <w:spacing w:before="0"/>
            </w:pPr>
            <w:r>
              <w:t>MDL No.</w:t>
            </w:r>
          </w:p>
        </w:tc>
      </w:tr>
      <w:tr>
        <w:trPr>
          <w:cantSplit/>
          <w:trHeight w:val="431"/>
        </w:trPr>
        <w:tc>
          <w:tcPr>
            <w:tcW w:w="6662" w:type="dxa"/>
            <w:gridSpan w:val="9"/>
          </w:tcPr>
          <w:p>
            <w:pPr>
              <w:pStyle w:val="yTableNAm"/>
            </w:pPr>
            <w:r>
              <w:t>The following reasons are the special reasons for applying to have the fees in relation to the above matter waived/ reduced/ refunded/ deferred*.</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rPr>
                <w:i/>
              </w:rPr>
            </w:pPr>
            <w:r>
              <w:rPr>
                <w:i/>
              </w:rPr>
              <w:t>*</w:t>
            </w:r>
            <w:r>
              <w:rPr>
                <w:i/>
              </w:rPr>
              <w:tab/>
            </w:r>
            <w:r>
              <w:rPr>
                <w:i/>
                <w:sz w:val="16"/>
              </w:rPr>
              <w:t>Strike out those that are not applicable.</w:t>
            </w:r>
          </w:p>
        </w:tc>
      </w:tr>
      <w:tr>
        <w:trPr>
          <w:cantSplit/>
          <w:trHeight w:val="431"/>
        </w:trPr>
        <w:tc>
          <w:tcPr>
            <w:tcW w:w="6662" w:type="dxa"/>
            <w:gridSpan w:val="9"/>
          </w:tcPr>
          <w:p>
            <w:pPr>
              <w:pStyle w:val="yTableNAm"/>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31"/>
        </w:trPr>
        <w:tc>
          <w:tcPr>
            <w:tcW w:w="6662" w:type="dxa"/>
            <w:gridSpan w:val="9"/>
          </w:tcPr>
          <w:p>
            <w:pPr>
              <w:pStyle w:val="yTableNAm"/>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29"/>
        </w:trPr>
        <w:tc>
          <w:tcPr>
            <w:tcW w:w="6662" w:type="dxa"/>
            <w:gridSpan w:val="9"/>
          </w:tcPr>
          <w:p>
            <w:pPr>
              <w:pStyle w:val="yTableNAm"/>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NAm"/>
            </w:pPr>
            <w:r>
              <w:t>I am employed as a ................................ by ............................................* Their business address is .........................................................................*</w:t>
            </w:r>
          </w:p>
        </w:tc>
      </w:tr>
      <w:tr>
        <w:trPr>
          <w:cantSplit/>
          <w:trHeight w:val="429"/>
        </w:trPr>
        <w:tc>
          <w:tcPr>
            <w:tcW w:w="6662" w:type="dxa"/>
            <w:gridSpan w:val="9"/>
          </w:tcPr>
          <w:p>
            <w:pPr>
              <w:pStyle w:val="yTableNAm"/>
            </w:pPr>
            <w:r>
              <w:t>I am unemployed/ a pensioner* and registered with the Department of Social Security at .......................................................................................</w:t>
            </w:r>
          </w:p>
        </w:tc>
      </w:tr>
      <w:tr>
        <w:trPr>
          <w:cantSplit/>
          <w:trHeight w:val="429"/>
        </w:trPr>
        <w:tc>
          <w:tcPr>
            <w:tcW w:w="6662" w:type="dxa"/>
            <w:gridSpan w:val="9"/>
          </w:tcPr>
          <w:p>
            <w:pPr>
              <w:pStyle w:val="yTableNAm"/>
            </w:pPr>
            <w:r>
              <w:t>I am single/ married/ in a de facto relationship/ separated.*</w:t>
            </w:r>
          </w:p>
        </w:tc>
      </w:tr>
      <w:tr>
        <w:trPr>
          <w:cantSplit/>
          <w:trHeight w:val="429"/>
        </w:trPr>
        <w:tc>
          <w:tcPr>
            <w:tcW w:w="6662" w:type="dxa"/>
            <w:gridSpan w:val="9"/>
          </w:tcPr>
          <w:p>
            <w:pPr>
              <w:pStyle w:val="yTableNAm"/>
              <w:spacing w:before="80"/>
            </w:pPr>
            <w:r>
              <w:t>I have/ do not have* a dependant wife/ husband/ de facto partner* and .............. dependant children.</w:t>
            </w:r>
          </w:p>
        </w:tc>
      </w:tr>
      <w:tr>
        <w:trPr>
          <w:cantSplit/>
          <w:trHeight w:val="429"/>
        </w:trPr>
        <w:tc>
          <w:tcPr>
            <w:tcW w:w="6662" w:type="dxa"/>
            <w:gridSpan w:val="9"/>
          </w:tcPr>
          <w:p>
            <w:pPr>
              <w:pStyle w:val="yTableNAm"/>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NAm"/>
            </w:pPr>
            <w:r>
              <w:t>Income</w:t>
            </w:r>
          </w:p>
        </w:tc>
        <w:tc>
          <w:tcPr>
            <w:tcW w:w="3260" w:type="dxa"/>
            <w:gridSpan w:val="6"/>
            <w:tcBorders>
              <w:bottom w:val="single" w:sz="4" w:space="0" w:color="auto"/>
            </w:tcBorders>
          </w:tcPr>
          <w:p>
            <w:pPr>
              <w:pStyle w:val="yTableNAm"/>
            </w:pPr>
            <w:r>
              <w:t>Expenditure</w:t>
            </w:r>
          </w:p>
        </w:tc>
      </w:tr>
      <w:tr>
        <w:trPr>
          <w:cantSplit/>
          <w:trHeight w:val="442"/>
        </w:trPr>
        <w:tc>
          <w:tcPr>
            <w:tcW w:w="2552" w:type="dxa"/>
            <w:gridSpan w:val="2"/>
            <w:tcBorders>
              <w:bottom w:val="single" w:sz="4" w:space="0" w:color="auto"/>
            </w:tcBorders>
          </w:tcPr>
          <w:p>
            <w:pPr>
              <w:pStyle w:val="yTableNAm"/>
            </w:pPr>
            <w:r>
              <w:t>Wage/salary/benefit (net)</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Rent/board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Mortgage payment</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Maintenance for dependants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Food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Electricity/gas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Money in bank or other financial institution</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Telephone</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Water</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Rates and taxes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Court orders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Lease or other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Income from investments</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Other debts owing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Other income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2"/>
        </w:trPr>
        <w:tc>
          <w:tcPr>
            <w:tcW w:w="2552" w:type="dxa"/>
            <w:gridSpan w:val="2"/>
            <w:tcBorders>
              <w:bottom w:val="single" w:sz="4" w:space="0" w:color="auto"/>
            </w:tcBorders>
          </w:tcPr>
          <w:p>
            <w:pPr>
              <w:pStyle w:val="yTableNAm"/>
            </w:pPr>
            <w:r>
              <w:t>Money owed to 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2552" w:type="dxa"/>
            <w:gridSpan w:val="2"/>
          </w:tcPr>
          <w:p>
            <w:pPr>
              <w:pStyle w:val="yTableNAm"/>
            </w:pPr>
            <w:r>
              <w:t>TOTAL</w:t>
            </w:r>
          </w:p>
        </w:tc>
        <w:tc>
          <w:tcPr>
            <w:tcW w:w="850" w:type="dxa"/>
          </w:tcPr>
          <w:p>
            <w:pPr>
              <w:pStyle w:val="yTableNAm"/>
            </w:pPr>
          </w:p>
        </w:tc>
        <w:tc>
          <w:tcPr>
            <w:tcW w:w="2410" w:type="dxa"/>
            <w:gridSpan w:val="5"/>
          </w:tcPr>
          <w:p>
            <w:pPr>
              <w:pStyle w:val="yTableNAm"/>
            </w:pPr>
            <w:r>
              <w:t>TOTAL</w:t>
            </w:r>
          </w:p>
        </w:tc>
        <w:tc>
          <w:tcPr>
            <w:tcW w:w="850" w:type="dxa"/>
          </w:tcPr>
          <w:p>
            <w:pPr>
              <w:pStyle w:val="yTableNAm"/>
            </w:pPr>
          </w:p>
        </w:tc>
      </w:tr>
      <w:tr>
        <w:trPr>
          <w:cantSplit/>
          <w:trHeight w:val="429"/>
        </w:trPr>
        <w:tc>
          <w:tcPr>
            <w:tcW w:w="3402" w:type="dxa"/>
            <w:gridSpan w:val="3"/>
          </w:tcPr>
          <w:p>
            <w:pPr>
              <w:pStyle w:val="yTableNAm"/>
            </w:pPr>
            <w:r>
              <w:t>ASSETS</w:t>
            </w:r>
          </w:p>
        </w:tc>
        <w:tc>
          <w:tcPr>
            <w:tcW w:w="3260" w:type="dxa"/>
            <w:gridSpan w:val="6"/>
          </w:tcPr>
          <w:p>
            <w:pPr>
              <w:pStyle w:val="yTableNAm"/>
            </w:pPr>
            <w:r>
              <w:t>VALUE</w:t>
            </w:r>
          </w:p>
          <w:p>
            <w:pPr>
              <w:pStyle w:val="yTableNAm"/>
              <w:spacing w:before="80"/>
            </w:pPr>
            <w:r>
              <w:t>$   </w:t>
            </w:r>
          </w:p>
        </w:tc>
      </w:tr>
      <w:tr>
        <w:trPr>
          <w:cantSplit/>
          <w:trHeight w:val="429"/>
        </w:trPr>
        <w:tc>
          <w:tcPr>
            <w:tcW w:w="6662" w:type="dxa"/>
            <w:gridSpan w:val="9"/>
          </w:tcPr>
          <w:p>
            <w:pPr>
              <w:pStyle w:val="yTableNAm"/>
            </w:pPr>
            <w:r>
              <w:t xml:space="preserve">My assets and liabilities are as follows — </w:t>
            </w:r>
          </w:p>
        </w:tc>
      </w:tr>
      <w:tr>
        <w:trPr>
          <w:cantSplit/>
          <w:trHeight w:val="429"/>
        </w:trPr>
        <w:tc>
          <w:tcPr>
            <w:tcW w:w="6662" w:type="dxa"/>
            <w:gridSpan w:val="9"/>
          </w:tcPr>
          <w:p>
            <w:pPr>
              <w:pStyle w:val="yTableNAm"/>
            </w:pPr>
            <w:r>
              <w:t>House or other real property (give addresses)</w:t>
            </w:r>
          </w:p>
        </w:tc>
      </w:tr>
      <w:tr>
        <w:trPr>
          <w:cantSplit/>
          <w:trHeight w:val="429"/>
        </w:trPr>
        <w:tc>
          <w:tcPr>
            <w:tcW w:w="5812" w:type="dxa"/>
            <w:gridSpan w:val="8"/>
          </w:tcPr>
          <w:p>
            <w:pPr>
              <w:pStyle w:val="yTableNAm"/>
            </w:pPr>
            <w:r>
              <w:t>................................................................................................</w:t>
            </w:r>
          </w:p>
          <w:p>
            <w:pPr>
              <w:pStyle w:val="yTableNAm"/>
              <w:spacing w:before="80"/>
            </w:pPr>
            <w:r>
              <w:t>................................................................................................</w:t>
            </w:r>
          </w:p>
        </w:tc>
        <w:tc>
          <w:tcPr>
            <w:tcW w:w="850" w:type="dxa"/>
          </w:tcPr>
          <w:p>
            <w:pPr>
              <w:pStyle w:val="yTableNAm"/>
            </w:pPr>
            <w:r>
              <w:t>...........</w:t>
            </w:r>
          </w:p>
          <w:p>
            <w:pPr>
              <w:pStyle w:val="yTableNAm"/>
              <w:spacing w:before="80"/>
            </w:pPr>
            <w:r>
              <w:t>...........</w:t>
            </w:r>
          </w:p>
        </w:tc>
      </w:tr>
      <w:tr>
        <w:trPr>
          <w:cantSplit/>
          <w:trHeight w:val="429"/>
        </w:trPr>
        <w:tc>
          <w:tcPr>
            <w:tcW w:w="5812" w:type="dxa"/>
            <w:gridSpan w:val="8"/>
          </w:tcPr>
          <w:p>
            <w:pPr>
              <w:pStyle w:val="yTableNAm"/>
            </w:pPr>
            <w:r>
              <w:t>TOTAL</w:t>
            </w:r>
          </w:p>
        </w:tc>
        <w:tc>
          <w:tcPr>
            <w:tcW w:w="850" w:type="dxa"/>
          </w:tcPr>
          <w:p>
            <w:pPr>
              <w:pStyle w:val="yTableNAm"/>
              <w:rPr>
                <w:u w:val="single"/>
              </w:rPr>
            </w:pPr>
          </w:p>
        </w:tc>
      </w:tr>
      <w:tr>
        <w:trPr>
          <w:cantSplit/>
          <w:trHeight w:val="429"/>
        </w:trPr>
        <w:tc>
          <w:tcPr>
            <w:tcW w:w="6662" w:type="dxa"/>
            <w:gridSpan w:val="9"/>
          </w:tcPr>
          <w:p>
            <w:pPr>
              <w:pStyle w:val="yTableNAm"/>
            </w:pPr>
            <w:r>
              <w:t>Motor vehicles (car, utility, motor cycle, truck, etc.)</w:t>
            </w:r>
          </w:p>
        </w:tc>
      </w:tr>
      <w:tr>
        <w:trPr>
          <w:cantSplit/>
          <w:trHeight w:val="442"/>
        </w:trPr>
        <w:tc>
          <w:tcPr>
            <w:tcW w:w="3686" w:type="dxa"/>
            <w:gridSpan w:val="5"/>
            <w:tcBorders>
              <w:bottom w:val="single" w:sz="4" w:space="0" w:color="auto"/>
            </w:tcBorders>
          </w:tcPr>
          <w:p>
            <w:pPr>
              <w:pStyle w:val="yTableNAm"/>
            </w:pPr>
            <w:r>
              <w:t>Make and model</w:t>
            </w:r>
          </w:p>
        </w:tc>
        <w:tc>
          <w:tcPr>
            <w:tcW w:w="2126" w:type="dxa"/>
            <w:gridSpan w:val="3"/>
            <w:tcBorders>
              <w:bottom w:val="single" w:sz="4" w:space="0" w:color="auto"/>
            </w:tcBorders>
          </w:tcPr>
          <w:p>
            <w:pPr>
              <w:pStyle w:val="yTableNAm"/>
            </w:pPr>
            <w:r>
              <w:t>Reg. No</w:t>
            </w: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6662" w:type="dxa"/>
            <w:gridSpan w:val="9"/>
          </w:tcPr>
          <w:p>
            <w:pPr>
              <w:pStyle w:val="yTableNAm"/>
            </w:pPr>
            <w:r>
              <w:t>Home contents</w:t>
            </w:r>
          </w:p>
        </w:tc>
      </w:tr>
      <w:tr>
        <w:trPr>
          <w:cantSplit/>
          <w:trHeight w:val="443"/>
        </w:trPr>
        <w:tc>
          <w:tcPr>
            <w:tcW w:w="3686" w:type="dxa"/>
            <w:gridSpan w:val="5"/>
            <w:tcBorders>
              <w:bottom w:val="single" w:sz="4" w:space="0" w:color="auto"/>
            </w:tcBorders>
          </w:tcPr>
          <w:p>
            <w:pPr>
              <w:pStyle w:val="yTableNAm"/>
            </w:pPr>
            <w:r>
              <w:t>Television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Video recorder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Stereo system</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Furniture</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Dishwasher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Microwave oven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Collection of coins, stamps, etc</w:t>
            </w:r>
          </w:p>
        </w:tc>
        <w:tc>
          <w:tcPr>
            <w:tcW w:w="850" w:type="dxa"/>
          </w:tcPr>
          <w:p>
            <w:pPr>
              <w:pStyle w:val="yTableNAm"/>
            </w:pPr>
          </w:p>
        </w:tc>
      </w:tr>
      <w:tr>
        <w:trPr>
          <w:cantSplit/>
          <w:trHeight w:val="429"/>
        </w:trPr>
        <w:tc>
          <w:tcPr>
            <w:tcW w:w="5812" w:type="dxa"/>
            <w:gridSpan w:val="8"/>
          </w:tcPr>
          <w:p>
            <w:pPr>
              <w:pStyle w:val="yTableNAm"/>
            </w:pPr>
            <w:r>
              <w:t>Other collectables</w:t>
            </w:r>
          </w:p>
        </w:tc>
        <w:tc>
          <w:tcPr>
            <w:tcW w:w="850" w:type="dxa"/>
          </w:tcPr>
          <w:p>
            <w:pPr>
              <w:pStyle w:val="yTableNAm"/>
            </w:pPr>
          </w:p>
        </w:tc>
      </w:tr>
      <w:tr>
        <w:trPr>
          <w:cantSplit/>
          <w:trHeight w:val="429"/>
        </w:trPr>
        <w:tc>
          <w:tcPr>
            <w:tcW w:w="5812" w:type="dxa"/>
            <w:gridSpan w:val="8"/>
          </w:tcPr>
          <w:p>
            <w:pPr>
              <w:pStyle w:val="yTableNAm"/>
            </w:pPr>
            <w:r>
              <w:t>Interest in business or company</w:t>
            </w:r>
          </w:p>
        </w:tc>
        <w:tc>
          <w:tcPr>
            <w:tcW w:w="850" w:type="dxa"/>
          </w:tcPr>
          <w:p>
            <w:pPr>
              <w:pStyle w:val="yTableNAm"/>
            </w:pPr>
          </w:p>
        </w:tc>
      </w:tr>
      <w:tr>
        <w:trPr>
          <w:cantSplit/>
          <w:trHeight w:val="429"/>
        </w:trPr>
        <w:tc>
          <w:tcPr>
            <w:tcW w:w="5812" w:type="dxa"/>
            <w:gridSpan w:val="8"/>
          </w:tcPr>
          <w:p>
            <w:pPr>
              <w:pStyle w:val="yTableNAm"/>
            </w:pPr>
            <w:r>
              <w:t>Other assets</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5812" w:type="dxa"/>
            <w:gridSpan w:val="8"/>
          </w:tcPr>
          <w:p>
            <w:pPr>
              <w:pStyle w:val="yTableNAm"/>
            </w:pPr>
            <w:r>
              <w:t>LIABILITIES</w:t>
            </w:r>
          </w:p>
        </w:tc>
        <w:tc>
          <w:tcPr>
            <w:tcW w:w="850" w:type="dxa"/>
          </w:tcPr>
          <w:p>
            <w:pPr>
              <w:pStyle w:val="yTableNAm"/>
            </w:pPr>
          </w:p>
        </w:tc>
      </w:tr>
      <w:tr>
        <w:trPr>
          <w:cantSplit/>
          <w:trHeight w:val="429"/>
        </w:trPr>
        <w:tc>
          <w:tcPr>
            <w:tcW w:w="5812" w:type="dxa"/>
            <w:gridSpan w:val="8"/>
          </w:tcPr>
          <w:p>
            <w:pPr>
              <w:pStyle w:val="yTableNAm"/>
            </w:pPr>
            <w:r>
              <w:t>Mortgage to ....................................................... for $</w:t>
            </w:r>
          </w:p>
        </w:tc>
        <w:tc>
          <w:tcPr>
            <w:tcW w:w="850" w:type="dxa"/>
          </w:tcPr>
          <w:p>
            <w:pPr>
              <w:pStyle w:val="yTableNAm"/>
            </w:pPr>
          </w:p>
        </w:tc>
      </w:tr>
      <w:tr>
        <w:trPr>
          <w:cantSplit/>
          <w:trHeight w:val="429"/>
        </w:trPr>
        <w:tc>
          <w:tcPr>
            <w:tcW w:w="5812" w:type="dxa"/>
            <w:gridSpan w:val="8"/>
          </w:tcPr>
          <w:p>
            <w:pPr>
              <w:pStyle w:val="yTableNAm"/>
            </w:pPr>
            <w:r>
              <w:t>Other to ............................................................. for $</w:t>
            </w:r>
          </w:p>
        </w:tc>
        <w:tc>
          <w:tcPr>
            <w:tcW w:w="850" w:type="dxa"/>
          </w:tcPr>
          <w:p>
            <w:pPr>
              <w:pStyle w:val="yTableNAm"/>
            </w:pPr>
          </w:p>
        </w:tc>
      </w:tr>
      <w:tr>
        <w:trPr>
          <w:cantSplit/>
          <w:trHeight w:val="429"/>
        </w:trPr>
        <w:tc>
          <w:tcPr>
            <w:tcW w:w="5812" w:type="dxa"/>
            <w:gridSpan w:val="8"/>
          </w:tcPr>
          <w:p>
            <w:pPr>
              <w:pStyle w:val="yTableNAm"/>
            </w:pPr>
            <w:r>
              <w:t>Time to pay order ............................................. for $</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Pr>
        <w:tc>
          <w:tcPr>
            <w:tcW w:w="5812" w:type="dxa"/>
            <w:gridSpan w:val="8"/>
          </w:tcPr>
          <w:p>
            <w:pPr>
              <w:pStyle w:val="yTableNAm"/>
              <w:spacing w:before="80"/>
            </w:pPr>
          </w:p>
        </w:tc>
        <w:tc>
          <w:tcPr>
            <w:tcW w:w="850" w:type="dxa"/>
          </w:tcPr>
          <w:p>
            <w:pPr>
              <w:pStyle w:val="yTableNAm"/>
              <w:spacing w:before="0"/>
            </w:pPr>
          </w:p>
        </w:tc>
      </w:tr>
      <w:tr>
        <w:trPr>
          <w:cantSplit/>
        </w:trPr>
        <w:tc>
          <w:tcPr>
            <w:tcW w:w="6662" w:type="dxa"/>
            <w:gridSpan w:val="9"/>
          </w:tcPr>
          <w:p>
            <w:pPr>
              <w:pStyle w:val="yTableNAm"/>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NAm"/>
            </w:pPr>
            <w:r>
              <w:t>INCOME</w:t>
            </w:r>
          </w:p>
        </w:tc>
        <w:tc>
          <w:tcPr>
            <w:tcW w:w="1417" w:type="dxa"/>
            <w:gridSpan w:val="2"/>
          </w:tcPr>
          <w:p>
            <w:pPr>
              <w:pStyle w:val="yTableNAm"/>
            </w:pPr>
            <w:r>
              <w:t>$</w:t>
            </w:r>
          </w:p>
        </w:tc>
      </w:tr>
      <w:tr>
        <w:tc>
          <w:tcPr>
            <w:tcW w:w="5245" w:type="dxa"/>
            <w:gridSpan w:val="7"/>
          </w:tcPr>
          <w:p>
            <w:pPr>
              <w:pStyle w:val="yTableNAm"/>
            </w:pPr>
            <w:r>
              <w:t>LIABILITIES</w:t>
            </w:r>
          </w:p>
        </w:tc>
        <w:tc>
          <w:tcPr>
            <w:tcW w:w="1417" w:type="dxa"/>
            <w:gridSpan w:val="2"/>
          </w:tcPr>
          <w:p>
            <w:pPr>
              <w:pStyle w:val="yTableNAm"/>
            </w:pPr>
            <w:r>
              <w:t>$</w:t>
            </w:r>
          </w:p>
        </w:tc>
      </w:tr>
      <w:tr>
        <w:tc>
          <w:tcPr>
            <w:tcW w:w="5245" w:type="dxa"/>
            <w:gridSpan w:val="7"/>
          </w:tcPr>
          <w:p>
            <w:pPr>
              <w:pStyle w:val="yTableNAm"/>
            </w:pPr>
            <w:r>
              <w:t>ASSETS</w:t>
            </w:r>
          </w:p>
        </w:tc>
        <w:tc>
          <w:tcPr>
            <w:tcW w:w="1417" w:type="dxa"/>
            <w:gridSpan w:val="2"/>
          </w:tcPr>
          <w:p>
            <w:pPr>
              <w:pStyle w:val="yTableNAm"/>
            </w:pPr>
            <w:r>
              <w:t>VALUE</w:t>
            </w:r>
          </w:p>
          <w:p>
            <w:pPr>
              <w:pStyle w:val="yTableNAm"/>
              <w:spacing w:before="80"/>
            </w:pPr>
            <w:r>
              <w:t>$</w:t>
            </w:r>
          </w:p>
        </w:tc>
      </w:tr>
      <w:tr>
        <w:trPr>
          <w:cantSplit/>
          <w:trHeight w:val="429"/>
        </w:trPr>
        <w:tc>
          <w:tcPr>
            <w:tcW w:w="2552" w:type="dxa"/>
            <w:gridSpan w:val="2"/>
          </w:tcPr>
          <w:p>
            <w:pPr>
              <w:pStyle w:val="yTableNAm"/>
            </w:pPr>
            <w:r>
              <w:t>Signature of applicant:</w:t>
            </w:r>
          </w:p>
        </w:tc>
        <w:tc>
          <w:tcPr>
            <w:tcW w:w="4110" w:type="dxa"/>
            <w:gridSpan w:val="7"/>
          </w:tcPr>
          <w:p>
            <w:pPr>
              <w:pStyle w:val="yTableNAm"/>
            </w:pPr>
          </w:p>
        </w:tc>
      </w:tr>
      <w:tr>
        <w:trPr>
          <w:cantSplit/>
          <w:trHeight w:val="429"/>
        </w:trPr>
        <w:tc>
          <w:tcPr>
            <w:tcW w:w="2552" w:type="dxa"/>
            <w:gridSpan w:val="2"/>
          </w:tcPr>
          <w:p>
            <w:pPr>
              <w:pStyle w:val="yTableNAm"/>
            </w:pPr>
            <w:r>
              <w:t>Date:</w:t>
            </w:r>
          </w:p>
        </w:tc>
        <w:tc>
          <w:tcPr>
            <w:tcW w:w="4110" w:type="dxa"/>
            <w:gridSpan w:val="7"/>
          </w:tcPr>
          <w:p>
            <w:pPr>
              <w:pStyle w:val="yTableNAm"/>
            </w:pPr>
          </w:p>
        </w:tc>
      </w:tr>
      <w:tr>
        <w:trPr>
          <w:cantSplit/>
          <w:trHeight w:val="429"/>
        </w:trPr>
        <w:tc>
          <w:tcPr>
            <w:tcW w:w="6662" w:type="dxa"/>
            <w:gridSpan w:val="9"/>
            <w:tcBorders>
              <w:bottom w:val="single" w:sz="4" w:space="0" w:color="auto"/>
            </w:tcBorders>
          </w:tcPr>
          <w:p>
            <w:pPr>
              <w:pStyle w:val="yTableNAm"/>
              <w:rPr>
                <w:i/>
                <w:sz w:val="16"/>
              </w:rPr>
            </w:pPr>
            <w:r>
              <w:rPr>
                <w:i/>
              </w:rPr>
              <w:t>*</w:t>
            </w:r>
            <w:r>
              <w:rPr>
                <w:i/>
              </w:rPr>
              <w:tab/>
            </w:r>
            <w:r>
              <w:rPr>
                <w:i/>
                <w:sz w:val="16"/>
              </w:rPr>
              <w:t>Strike out words that are not applicable.</w:t>
            </w:r>
          </w:p>
          <w:p>
            <w:pPr>
              <w:pStyle w:val="yTableNAm"/>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NAm"/>
              <w:pageBreakBefore/>
              <w:jc w:val="center"/>
              <w:rPr>
                <w:b/>
                <w:bCs/>
              </w:rPr>
            </w:pPr>
            <w:r>
              <w:rPr>
                <w:b/>
                <w:bCs/>
              </w:rPr>
              <w:t>Form 3</w:t>
            </w:r>
          </w:p>
          <w:p>
            <w:pPr>
              <w:pStyle w:val="yTableNAm"/>
              <w:jc w:val="center"/>
              <w:rPr>
                <w:b/>
                <w:bCs/>
              </w:rPr>
            </w:pPr>
            <w:r>
              <w:rPr>
                <w:b/>
                <w:bCs/>
              </w:rPr>
              <w:t>Application for determination of dispute about fees</w:t>
            </w:r>
          </w:p>
        </w:tc>
      </w:tr>
      <w:tr>
        <w:trPr>
          <w:cantSplit/>
        </w:trPr>
        <w:tc>
          <w:tcPr>
            <w:tcW w:w="3615"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gridSpan w:val="2"/>
          </w:tcPr>
          <w:p>
            <w:pPr>
              <w:pStyle w:val="yTableNAm"/>
            </w:pPr>
            <w:r>
              <w:t xml:space="preserve">No.       of             20    </w:t>
            </w:r>
          </w:p>
        </w:tc>
      </w:tr>
      <w:tr>
        <w:trPr>
          <w:cantSplit/>
        </w:trPr>
        <w:tc>
          <w:tcPr>
            <w:tcW w:w="6662"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6662"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701" w:type="dxa"/>
          </w:tcPr>
          <w:p>
            <w:pPr>
              <w:pStyle w:val="yTableNAm"/>
              <w:rPr>
                <w:b/>
                <w:bCs/>
              </w:rPr>
            </w:pPr>
            <w:r>
              <w:rPr>
                <w:b/>
                <w:bCs/>
              </w:rPr>
              <w:t>Application:</w:t>
            </w:r>
          </w:p>
        </w:tc>
        <w:tc>
          <w:tcPr>
            <w:tcW w:w="4961"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NAm"/>
              <w:rPr>
                <w:b/>
                <w:bCs/>
              </w:rPr>
            </w:pPr>
            <w:r>
              <w:rPr>
                <w:b/>
                <w:bCs/>
              </w:rPr>
              <w:t>Applicant:</w:t>
            </w:r>
          </w:p>
        </w:tc>
        <w:tc>
          <w:tcPr>
            <w:tcW w:w="4961" w:type="dxa"/>
            <w:gridSpan w:val="3"/>
          </w:tcPr>
          <w:p>
            <w:pPr>
              <w:pStyle w:val="yTableNAm"/>
            </w:pPr>
            <w:r>
              <w:t>......................................................................................</w:t>
            </w:r>
            <w:r>
              <w:br/>
              <w:t>Full name</w:t>
            </w:r>
          </w:p>
        </w:tc>
      </w:tr>
      <w:tr>
        <w:trPr>
          <w:cantSplit/>
        </w:trPr>
        <w:tc>
          <w:tcPr>
            <w:tcW w:w="1701" w:type="dxa"/>
            <w:vMerge/>
          </w:tcPr>
          <w:p>
            <w:pPr>
              <w:pStyle w:val="yTableNAm"/>
            </w:pPr>
          </w:p>
        </w:tc>
        <w:tc>
          <w:tcPr>
            <w:tcW w:w="4961" w:type="dxa"/>
            <w:gridSpan w:val="3"/>
          </w:tcPr>
          <w:p>
            <w:pPr>
              <w:pStyle w:val="yTableNAm"/>
            </w:pPr>
            <w:r>
              <w:t>......................................................................................</w:t>
            </w:r>
            <w:r>
              <w:br/>
              <w:t>Address</w:t>
            </w:r>
          </w:p>
        </w:tc>
      </w:tr>
      <w:tr>
        <w:trPr>
          <w:cantSplit/>
        </w:trPr>
        <w:tc>
          <w:tcPr>
            <w:tcW w:w="1701" w:type="dxa"/>
            <w:vMerge/>
          </w:tcPr>
          <w:p>
            <w:pPr>
              <w:pStyle w:val="yTableNAm"/>
            </w:pPr>
          </w:p>
        </w:tc>
        <w:tc>
          <w:tcPr>
            <w:tcW w:w="2622" w:type="dxa"/>
            <w:gridSpan w:val="2"/>
          </w:tcPr>
          <w:p>
            <w:pPr>
              <w:pStyle w:val="yTableNAm"/>
            </w:pPr>
            <w:r>
              <w:t>...........................................</w:t>
            </w:r>
            <w:r>
              <w:br/>
              <w:t>Date of birth</w:t>
            </w:r>
          </w:p>
        </w:tc>
        <w:tc>
          <w:tcPr>
            <w:tcW w:w="2339" w:type="dxa"/>
          </w:tcPr>
          <w:p>
            <w:pPr>
              <w:pStyle w:val="yTableNAm"/>
            </w:pPr>
            <w:r>
              <w:t>......................................</w:t>
            </w:r>
            <w:r>
              <w:br/>
              <w:t>MDL No.</w:t>
            </w:r>
          </w:p>
        </w:tc>
      </w:tr>
      <w:tr>
        <w:trPr>
          <w:cantSplit/>
        </w:trPr>
        <w:tc>
          <w:tcPr>
            <w:tcW w:w="1701" w:type="dxa"/>
            <w:vMerge w:val="restart"/>
          </w:tcPr>
          <w:p>
            <w:pPr>
              <w:pStyle w:val="yTableNAm"/>
              <w:rPr>
                <w:b/>
                <w:bCs/>
              </w:rPr>
            </w:pPr>
            <w:r>
              <w:rPr>
                <w:b/>
                <w:bCs/>
              </w:rPr>
              <w:t>Disputed fee:</w:t>
            </w:r>
          </w:p>
        </w:tc>
        <w:tc>
          <w:tcPr>
            <w:tcW w:w="4961"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701" w:type="dxa"/>
            <w:vMerge/>
          </w:tcPr>
          <w:p>
            <w:pPr>
              <w:pStyle w:val="yTableNAm"/>
            </w:pPr>
          </w:p>
        </w:tc>
        <w:tc>
          <w:tcPr>
            <w:tcW w:w="4961"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701" w:type="dxa"/>
            <w:vMerge/>
          </w:tcPr>
          <w:p>
            <w:pPr>
              <w:pStyle w:val="yTableNAm"/>
            </w:pPr>
          </w:p>
        </w:tc>
        <w:tc>
          <w:tcPr>
            <w:tcW w:w="4961"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w:t>
            </w:r>
          </w:p>
          <w:p>
            <w:pPr>
              <w:pStyle w:val="yTableNAm"/>
              <w:spacing w:before="80"/>
            </w:pPr>
            <w:r>
              <w:tab/>
              <w:t>...........................................................................</w:t>
            </w:r>
          </w:p>
        </w:tc>
      </w:tr>
      <w:tr>
        <w:trPr>
          <w:cantSplit/>
        </w:trPr>
        <w:tc>
          <w:tcPr>
            <w:tcW w:w="6662"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701" w:type="dxa"/>
          </w:tcPr>
          <w:p>
            <w:pPr>
              <w:pStyle w:val="yTableNAm"/>
              <w:rPr>
                <w:b/>
                <w:bCs/>
              </w:rPr>
            </w:pPr>
            <w:r>
              <w:rPr>
                <w:b/>
                <w:bCs/>
              </w:rPr>
              <w:t>Signature of applicant:</w:t>
            </w:r>
          </w:p>
        </w:tc>
        <w:tc>
          <w:tcPr>
            <w:tcW w:w="4961" w:type="dxa"/>
            <w:gridSpan w:val="3"/>
          </w:tcPr>
          <w:p>
            <w:pPr>
              <w:pStyle w:val="yTableNAm"/>
            </w:pPr>
            <w:r>
              <w:br/>
              <w:t>......................................................................................</w:t>
            </w:r>
          </w:p>
        </w:tc>
      </w:tr>
      <w:tr>
        <w:trPr>
          <w:cantSplit/>
        </w:trPr>
        <w:tc>
          <w:tcPr>
            <w:tcW w:w="1701" w:type="dxa"/>
          </w:tcPr>
          <w:p>
            <w:pPr>
              <w:pStyle w:val="yTableNAm"/>
              <w:rPr>
                <w:b/>
                <w:bCs/>
              </w:rPr>
            </w:pPr>
            <w:r>
              <w:rPr>
                <w:b/>
                <w:bCs/>
              </w:rPr>
              <w:t>Date:</w:t>
            </w:r>
          </w:p>
        </w:tc>
        <w:tc>
          <w:tcPr>
            <w:tcW w:w="4961"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6" w:name="_Toc379203666"/>
      <w:bookmarkStart w:id="27" w:name="_Toc391885698"/>
      <w:r>
        <w:t>Notes</w:t>
      </w:r>
      <w:bookmarkEnd w:id="26"/>
      <w:bookmarkEnd w:id="27"/>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28" w:name="_Toc391885699"/>
      <w:r>
        <w:t>Compilation table</w:t>
      </w:r>
      <w:bookmarkEnd w:id="28"/>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11"/>
        <w:gridCol w:w="2682"/>
        <w:gridCol w:w="12"/>
      </w:tblGrid>
      <w:tr>
        <w:trPr>
          <w:tblHeader/>
        </w:trPr>
        <w:tc>
          <w:tcPr>
            <w:tcW w:w="3122" w:type="dxa"/>
            <w:tcBorders>
              <w:top w:val="single" w:sz="8" w:space="0" w:color="auto"/>
              <w:bottom w:val="single" w:sz="8" w:space="0" w:color="auto"/>
            </w:tcBorders>
          </w:tcPr>
          <w:p>
            <w:pPr>
              <w:pStyle w:val="nTable"/>
              <w:spacing w:after="40"/>
              <w:rPr>
                <w:b/>
                <w:sz w:val="19"/>
              </w:rPr>
            </w:pPr>
            <w:r>
              <w:rPr>
                <w:b/>
                <w:sz w:val="19"/>
              </w:rPr>
              <w:t>Citation</w:t>
            </w:r>
          </w:p>
        </w:tc>
        <w:tc>
          <w:tcPr>
            <w:tcW w:w="1277" w:type="dxa"/>
            <w:tcBorders>
              <w:top w:val="single" w:sz="8" w:space="0" w:color="auto"/>
              <w:bottom w:val="single" w:sz="8" w:space="0" w:color="auto"/>
            </w:tcBorders>
          </w:tcPr>
          <w:p>
            <w:pPr>
              <w:pStyle w:val="nTable"/>
              <w:spacing w:after="40"/>
              <w:rPr>
                <w:b/>
                <w:sz w:val="19"/>
              </w:rPr>
            </w:pPr>
            <w:r>
              <w:rPr>
                <w:b/>
                <w:sz w:val="19"/>
              </w:rPr>
              <w:t>Gazettal</w:t>
            </w:r>
          </w:p>
        </w:tc>
        <w:tc>
          <w:tcPr>
            <w:tcW w:w="2705"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3122" w:type="dxa"/>
            <w:tcBorders>
              <w:top w:val="single" w:sz="8" w:space="0" w:color="auto"/>
            </w:tcBorders>
          </w:tcPr>
          <w:p>
            <w:pPr>
              <w:pStyle w:val="nTable"/>
              <w:spacing w:after="40"/>
              <w:rPr>
                <w:sz w:val="19"/>
              </w:rPr>
            </w:pPr>
            <w:r>
              <w:rPr>
                <w:i/>
                <w:sz w:val="19"/>
              </w:rPr>
              <w:t>Supreme Court (Fees) Regulations 2002</w:t>
            </w:r>
          </w:p>
        </w:tc>
        <w:tc>
          <w:tcPr>
            <w:tcW w:w="1277" w:type="dxa"/>
            <w:tcBorders>
              <w:top w:val="single" w:sz="8" w:space="0" w:color="auto"/>
            </w:tcBorders>
          </w:tcPr>
          <w:p>
            <w:pPr>
              <w:pStyle w:val="nTable"/>
              <w:spacing w:after="40"/>
              <w:rPr>
                <w:sz w:val="19"/>
              </w:rPr>
            </w:pPr>
            <w:r>
              <w:rPr>
                <w:sz w:val="19"/>
              </w:rPr>
              <w:t>27 Dec 2001 p. 6583-616</w:t>
            </w:r>
          </w:p>
        </w:tc>
        <w:tc>
          <w:tcPr>
            <w:tcW w:w="2705" w:type="dxa"/>
            <w:gridSpan w:val="3"/>
            <w:tcBorders>
              <w:top w:val="single" w:sz="8" w:space="0" w:color="auto"/>
            </w:tcBorders>
          </w:tcPr>
          <w:p>
            <w:pPr>
              <w:pStyle w:val="nTable"/>
              <w:spacing w:after="40"/>
              <w:rPr>
                <w:sz w:val="19"/>
              </w:rPr>
            </w:pPr>
            <w:r>
              <w:rPr>
                <w:sz w:val="19"/>
              </w:rPr>
              <w:t>1 Jan 2002 (see r. 2)</w:t>
            </w:r>
          </w:p>
        </w:tc>
      </w:tr>
      <w:tr>
        <w:tc>
          <w:tcPr>
            <w:tcW w:w="3122" w:type="dxa"/>
          </w:tcPr>
          <w:p>
            <w:pPr>
              <w:pStyle w:val="nTable"/>
              <w:spacing w:after="40"/>
              <w:rPr>
                <w:i/>
                <w:sz w:val="19"/>
              </w:rPr>
            </w:pPr>
            <w:r>
              <w:rPr>
                <w:i/>
                <w:sz w:val="19"/>
              </w:rPr>
              <w:t>Supreme Court (Fees) Amendment Regulations 2002</w:t>
            </w:r>
          </w:p>
        </w:tc>
        <w:tc>
          <w:tcPr>
            <w:tcW w:w="1277" w:type="dxa"/>
          </w:tcPr>
          <w:p>
            <w:pPr>
              <w:pStyle w:val="nTable"/>
              <w:spacing w:after="40"/>
              <w:rPr>
                <w:sz w:val="19"/>
              </w:rPr>
            </w:pPr>
            <w:r>
              <w:rPr>
                <w:sz w:val="19"/>
              </w:rPr>
              <w:t>15 Feb 2002 p. 643</w:t>
            </w:r>
          </w:p>
        </w:tc>
        <w:tc>
          <w:tcPr>
            <w:tcW w:w="2705" w:type="dxa"/>
            <w:gridSpan w:val="3"/>
          </w:tcPr>
          <w:p>
            <w:pPr>
              <w:pStyle w:val="nTable"/>
              <w:spacing w:after="40"/>
              <w:rPr>
                <w:sz w:val="19"/>
              </w:rPr>
            </w:pPr>
            <w:r>
              <w:rPr>
                <w:sz w:val="19"/>
              </w:rPr>
              <w:t>15 Feb 2002</w:t>
            </w:r>
          </w:p>
        </w:tc>
      </w:tr>
      <w:tr>
        <w:trPr>
          <w:cantSplit/>
        </w:trPr>
        <w:tc>
          <w:tcPr>
            <w:tcW w:w="3122" w:type="dxa"/>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tcPr>
          <w:p>
            <w:pPr>
              <w:pStyle w:val="nTable"/>
              <w:spacing w:after="40"/>
              <w:rPr>
                <w:spacing w:val="-2"/>
                <w:sz w:val="19"/>
              </w:rPr>
            </w:pPr>
            <w:r>
              <w:rPr>
                <w:sz w:val="19"/>
              </w:rPr>
              <w:t>30 Jun 2003 p. 2581</w:t>
            </w:r>
            <w:r>
              <w:rPr>
                <w:sz w:val="19"/>
              </w:rPr>
              <w:noBreakHyphen/>
              <w:t>638</w:t>
            </w:r>
          </w:p>
        </w:tc>
        <w:tc>
          <w:tcPr>
            <w:tcW w:w="2705" w:type="dxa"/>
            <w:gridSpan w:val="3"/>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22" w:type="dxa"/>
          </w:tcPr>
          <w:p>
            <w:pPr>
              <w:pStyle w:val="nTable"/>
              <w:spacing w:after="40"/>
              <w:ind w:right="113"/>
              <w:rPr>
                <w:i/>
                <w:sz w:val="19"/>
              </w:rPr>
            </w:pPr>
            <w:r>
              <w:rPr>
                <w:i/>
                <w:sz w:val="19"/>
              </w:rPr>
              <w:t>Supreme Court (Fees) Amendment Regulations 2003</w:t>
            </w:r>
          </w:p>
        </w:tc>
        <w:tc>
          <w:tcPr>
            <w:tcW w:w="1277" w:type="dxa"/>
          </w:tcPr>
          <w:p>
            <w:pPr>
              <w:pStyle w:val="nTable"/>
              <w:spacing w:after="40"/>
              <w:rPr>
                <w:sz w:val="19"/>
              </w:rPr>
            </w:pPr>
            <w:r>
              <w:rPr>
                <w:sz w:val="19"/>
              </w:rPr>
              <w:t>30 Dec 2003 p. 5693-701</w:t>
            </w:r>
          </w:p>
        </w:tc>
        <w:tc>
          <w:tcPr>
            <w:tcW w:w="2705" w:type="dxa"/>
            <w:gridSpan w:val="3"/>
          </w:tcPr>
          <w:p>
            <w:pPr>
              <w:pStyle w:val="nTable"/>
              <w:spacing w:after="40"/>
              <w:rPr>
                <w:i/>
                <w:sz w:val="19"/>
              </w:rPr>
            </w:pPr>
            <w:r>
              <w:rPr>
                <w:sz w:val="19"/>
              </w:rPr>
              <w:t>1 Jan 2004 (see r. 2)</w:t>
            </w:r>
          </w:p>
        </w:tc>
      </w:tr>
      <w:tr>
        <w:trPr>
          <w:cantSplit/>
        </w:trPr>
        <w:tc>
          <w:tcPr>
            <w:tcW w:w="3122" w:type="dxa"/>
          </w:tcPr>
          <w:p>
            <w:pPr>
              <w:pStyle w:val="nTable"/>
              <w:spacing w:after="40"/>
              <w:ind w:right="113"/>
              <w:rPr>
                <w:i/>
                <w:sz w:val="19"/>
              </w:rPr>
            </w:pPr>
            <w:r>
              <w:rPr>
                <w:i/>
                <w:sz w:val="19"/>
              </w:rPr>
              <w:t>Supreme Court (Fees) Amendment Regulations 2005</w:t>
            </w:r>
          </w:p>
        </w:tc>
        <w:tc>
          <w:tcPr>
            <w:tcW w:w="1277" w:type="dxa"/>
          </w:tcPr>
          <w:p>
            <w:pPr>
              <w:pStyle w:val="nTable"/>
              <w:spacing w:after="40"/>
              <w:rPr>
                <w:sz w:val="19"/>
              </w:rPr>
            </w:pPr>
            <w:r>
              <w:rPr>
                <w:sz w:val="19"/>
              </w:rPr>
              <w:t>28 Apr 2005 p. 1758-63</w:t>
            </w:r>
          </w:p>
        </w:tc>
        <w:tc>
          <w:tcPr>
            <w:tcW w:w="2705" w:type="dxa"/>
            <w:gridSpan w:val="3"/>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cantSplit/>
        </w:trPr>
        <w:tc>
          <w:tcPr>
            <w:tcW w:w="3122" w:type="dxa"/>
          </w:tcPr>
          <w:p>
            <w:pPr>
              <w:pStyle w:val="nTable"/>
              <w:spacing w:after="40"/>
              <w:ind w:right="113"/>
              <w:rPr>
                <w:i/>
                <w:sz w:val="19"/>
              </w:rPr>
            </w:pPr>
            <w:r>
              <w:rPr>
                <w:i/>
                <w:sz w:val="19"/>
              </w:rPr>
              <w:t>Supreme Court (Fees) Amendment Regulations (No. 2) 2005</w:t>
            </w:r>
          </w:p>
        </w:tc>
        <w:tc>
          <w:tcPr>
            <w:tcW w:w="1277" w:type="dxa"/>
          </w:tcPr>
          <w:p>
            <w:pPr>
              <w:pStyle w:val="nTable"/>
              <w:spacing w:after="40"/>
              <w:rPr>
                <w:sz w:val="19"/>
              </w:rPr>
            </w:pPr>
            <w:r>
              <w:rPr>
                <w:sz w:val="19"/>
              </w:rPr>
              <w:t>23 Jun 2005 p. 2693-701</w:t>
            </w:r>
          </w:p>
        </w:tc>
        <w:tc>
          <w:tcPr>
            <w:tcW w:w="2705" w:type="dxa"/>
            <w:gridSpan w:val="3"/>
          </w:tcPr>
          <w:p>
            <w:pPr>
              <w:pStyle w:val="nTable"/>
              <w:spacing w:after="40"/>
              <w:rPr>
                <w:sz w:val="19"/>
              </w:rPr>
            </w:pPr>
            <w:r>
              <w:rPr>
                <w:sz w:val="19"/>
              </w:rPr>
              <w:t>1 Jul 2005 (see r. 2)</w:t>
            </w:r>
          </w:p>
        </w:tc>
      </w:tr>
      <w:tr>
        <w:trPr>
          <w:cantSplit/>
        </w:trPr>
        <w:tc>
          <w:tcPr>
            <w:tcW w:w="3122" w:type="dxa"/>
          </w:tcPr>
          <w:p>
            <w:pPr>
              <w:pStyle w:val="nTable"/>
              <w:spacing w:after="40"/>
              <w:ind w:right="113"/>
              <w:rPr>
                <w:i/>
                <w:sz w:val="19"/>
              </w:rPr>
            </w:pPr>
            <w:r>
              <w:rPr>
                <w:i/>
                <w:sz w:val="19"/>
              </w:rPr>
              <w:t>Supreme Court (Fees) Amendment Regulations 2006</w:t>
            </w:r>
          </w:p>
        </w:tc>
        <w:tc>
          <w:tcPr>
            <w:tcW w:w="1277" w:type="dxa"/>
          </w:tcPr>
          <w:p>
            <w:pPr>
              <w:pStyle w:val="nTable"/>
              <w:spacing w:after="40"/>
              <w:rPr>
                <w:sz w:val="19"/>
              </w:rPr>
            </w:pPr>
            <w:r>
              <w:rPr>
                <w:sz w:val="19"/>
              </w:rPr>
              <w:t>23 Jun 2006 p. 2184</w:t>
            </w:r>
            <w:r>
              <w:rPr>
                <w:sz w:val="19"/>
              </w:rPr>
              <w:noBreakHyphen/>
              <w:t>7</w:t>
            </w:r>
          </w:p>
        </w:tc>
        <w:tc>
          <w:tcPr>
            <w:tcW w:w="2705" w:type="dxa"/>
            <w:gridSpan w:val="3"/>
          </w:tcPr>
          <w:p>
            <w:pPr>
              <w:pStyle w:val="nTable"/>
              <w:spacing w:after="40"/>
              <w:rPr>
                <w:sz w:val="19"/>
              </w:rPr>
            </w:pPr>
            <w:r>
              <w:rPr>
                <w:sz w:val="19"/>
              </w:rPr>
              <w:t>1 Jul 2006 (see r. 2)</w:t>
            </w:r>
          </w:p>
        </w:tc>
      </w:tr>
      <w:tr>
        <w:trPr>
          <w:cantSplit/>
        </w:trPr>
        <w:tc>
          <w:tcPr>
            <w:tcW w:w="7104" w:type="dxa"/>
            <w:gridSpan w:val="5"/>
          </w:tcPr>
          <w:p>
            <w:pPr>
              <w:pStyle w:val="nTable"/>
              <w:spacing w:after="40"/>
              <w:rPr>
                <w:sz w:val="19"/>
              </w:rPr>
            </w:pPr>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2007</w:t>
            </w:r>
          </w:p>
        </w:tc>
        <w:tc>
          <w:tcPr>
            <w:tcW w:w="1277" w:type="dxa"/>
          </w:tcPr>
          <w:p>
            <w:pPr>
              <w:pStyle w:val="nTable"/>
              <w:spacing w:after="40"/>
              <w:rPr>
                <w:sz w:val="19"/>
              </w:rPr>
            </w:pPr>
            <w:r>
              <w:rPr>
                <w:sz w:val="19"/>
              </w:rPr>
              <w:t>26 Jun 2007 p. 3042-4</w:t>
            </w:r>
          </w:p>
        </w:tc>
        <w:tc>
          <w:tcPr>
            <w:tcW w:w="2705" w:type="dxa"/>
            <w:gridSpan w:val="3"/>
          </w:tcPr>
          <w:p>
            <w:pPr>
              <w:pStyle w:val="nTable"/>
              <w:spacing w:after="40"/>
              <w:rPr>
                <w:sz w:val="19"/>
              </w:rPr>
            </w:pPr>
            <w:r>
              <w:rPr>
                <w:sz w:val="19"/>
              </w:rPr>
              <w:t>r. 1 and 2: 26 Jun 2007 (see r. 2(a));</w:t>
            </w:r>
            <w:r>
              <w:rPr>
                <w:sz w:val="19"/>
              </w:rPr>
              <w:br/>
              <w:t>Regulations other than r. 1 and 2: 1 Jul 2007 (see r. 2(b)(i))</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2008</w:t>
            </w:r>
          </w:p>
        </w:tc>
        <w:tc>
          <w:tcPr>
            <w:tcW w:w="1277" w:type="dxa"/>
          </w:tcPr>
          <w:p>
            <w:pPr>
              <w:pStyle w:val="nTable"/>
              <w:spacing w:after="40"/>
              <w:rPr>
                <w:sz w:val="19"/>
              </w:rPr>
            </w:pPr>
            <w:r>
              <w:rPr>
                <w:sz w:val="19"/>
              </w:rPr>
              <w:t>8 Feb 2008 p. 313-14</w:t>
            </w:r>
          </w:p>
        </w:tc>
        <w:tc>
          <w:tcPr>
            <w:tcW w:w="2693" w:type="dxa"/>
            <w:gridSpan w:val="2"/>
          </w:tcPr>
          <w:p>
            <w:pPr>
              <w:pStyle w:val="nTable"/>
              <w:spacing w:after="40"/>
              <w:rPr>
                <w:sz w:val="19"/>
              </w:rPr>
            </w:pPr>
            <w:r>
              <w:rPr>
                <w:sz w:val="19"/>
              </w:rPr>
              <w:t>r. 1 and 2: 8 Feb 2008 (see r. 2(a));</w:t>
            </w:r>
            <w:r>
              <w:rPr>
                <w:sz w:val="19"/>
              </w:rPr>
              <w:br/>
              <w:t xml:space="preserve">Regulations other than r. 1 and 2: 9 Feb 2008 (see r. 2(b) and </w:t>
            </w:r>
            <w:r>
              <w:rPr>
                <w:i/>
                <w:iCs/>
                <w:sz w:val="19"/>
              </w:rPr>
              <w:t>Gazette</w:t>
            </w:r>
            <w:r>
              <w:rPr>
                <w:sz w:val="19"/>
              </w:rPr>
              <w:t xml:space="preserve"> 8 Feb 2008 p. 313)</w:t>
            </w:r>
          </w:p>
        </w:tc>
      </w:tr>
      <w:tr>
        <w:trPr>
          <w:gridAfter w:val="1"/>
          <w:wAfter w:w="12" w:type="dxa"/>
          <w:cantSplit/>
        </w:trPr>
        <w:tc>
          <w:tcPr>
            <w:tcW w:w="3122" w:type="dxa"/>
          </w:tcPr>
          <w:p>
            <w:pPr>
              <w:pStyle w:val="nTable"/>
              <w:spacing w:after="40"/>
              <w:ind w:right="113"/>
              <w:rPr>
                <w:i/>
                <w:sz w:val="19"/>
              </w:rPr>
            </w:pPr>
            <w:r>
              <w:rPr>
                <w:i/>
                <w:sz w:val="19"/>
              </w:rPr>
              <w:t>Supreme Court (Fees) Amendment Regulations (No. 2) 2008</w:t>
            </w:r>
          </w:p>
        </w:tc>
        <w:tc>
          <w:tcPr>
            <w:tcW w:w="1277" w:type="dxa"/>
          </w:tcPr>
          <w:p>
            <w:pPr>
              <w:pStyle w:val="nTable"/>
              <w:spacing w:after="40"/>
              <w:rPr>
                <w:sz w:val="19"/>
              </w:rPr>
            </w:pPr>
            <w:r>
              <w:rPr>
                <w:sz w:val="19"/>
              </w:rPr>
              <w:t>27 Jun 2008 p. 3059-62</w:t>
            </w:r>
          </w:p>
        </w:tc>
        <w:tc>
          <w:tcPr>
            <w:tcW w:w="2693" w:type="dxa"/>
            <w:gridSpan w:val="2"/>
          </w:tcPr>
          <w:p>
            <w:pPr>
              <w:pStyle w:val="nTable"/>
              <w:spacing w:after="40"/>
              <w:rPr>
                <w:sz w:val="19"/>
              </w:rPr>
            </w:pPr>
            <w:r>
              <w:rPr>
                <w:snapToGrid w:val="0"/>
                <w:sz w:val="19"/>
              </w:rPr>
              <w:t>r. 1 and 2: 27 Jun 2008 (see r. 2(a));</w:t>
            </w:r>
            <w:r>
              <w:rPr>
                <w:snapToGrid w:val="0"/>
                <w:sz w:val="19"/>
              </w:rPr>
              <w:br/>
              <w:t>Regulations other than r. 1 and 2: 1 Jul 2008 (see r. 2(b))</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2009</w:t>
            </w:r>
          </w:p>
        </w:tc>
        <w:tc>
          <w:tcPr>
            <w:tcW w:w="1277" w:type="dxa"/>
          </w:tcPr>
          <w:p>
            <w:pPr>
              <w:pStyle w:val="nTable"/>
              <w:spacing w:after="40"/>
              <w:rPr>
                <w:sz w:val="19"/>
              </w:rPr>
            </w:pPr>
            <w:r>
              <w:rPr>
                <w:sz w:val="19"/>
              </w:rPr>
              <w:t>9 Jun 2009 p. 1921</w:t>
            </w:r>
            <w:r>
              <w:rPr>
                <w:sz w:val="19"/>
              </w:rPr>
              <w:noBreakHyphen/>
              <w:t>2</w:t>
            </w:r>
          </w:p>
        </w:tc>
        <w:tc>
          <w:tcPr>
            <w:tcW w:w="2693" w:type="dxa"/>
            <w:gridSpan w:val="2"/>
          </w:tcPr>
          <w:p>
            <w:pPr>
              <w:pStyle w:val="nTable"/>
              <w:spacing w:after="40"/>
              <w:rPr>
                <w:snapToGrid w:val="0"/>
                <w:sz w:val="19"/>
              </w:rPr>
            </w:pPr>
            <w:r>
              <w:rPr>
                <w:snapToGrid w:val="0"/>
                <w:spacing w:val="-2"/>
                <w:sz w:val="19"/>
              </w:rPr>
              <w:t>r. 1 and 2: 9 Jun 2009 (see r. 2(a));</w:t>
            </w:r>
            <w:r>
              <w:rPr>
                <w:snapToGrid w:val="0"/>
                <w:spacing w:val="-2"/>
                <w:sz w:val="19"/>
              </w:rPr>
              <w:br/>
              <w:t>Regulations other than r. 1 and 2: 10 Jun 2009 (see r. 2(b))</w:t>
            </w:r>
          </w:p>
        </w:tc>
      </w:tr>
      <w:tr>
        <w:trPr>
          <w:cantSplit/>
        </w:trPr>
        <w:tc>
          <w:tcPr>
            <w:tcW w:w="3122" w:type="dxa"/>
          </w:tcPr>
          <w:p>
            <w:pPr>
              <w:pStyle w:val="nTable"/>
              <w:spacing w:after="40"/>
              <w:ind w:right="113"/>
              <w:rPr>
                <w:i/>
                <w:sz w:val="19"/>
              </w:rPr>
            </w:pPr>
            <w:r>
              <w:rPr>
                <w:i/>
                <w:sz w:val="19"/>
              </w:rPr>
              <w:t>Supreme Court (Fees) Amendment Regulations (No. 2) 2009</w:t>
            </w:r>
          </w:p>
        </w:tc>
        <w:tc>
          <w:tcPr>
            <w:tcW w:w="1288" w:type="dxa"/>
            <w:gridSpan w:val="2"/>
          </w:tcPr>
          <w:p>
            <w:pPr>
              <w:pStyle w:val="nTable"/>
              <w:spacing w:after="40"/>
              <w:rPr>
                <w:sz w:val="19"/>
              </w:rPr>
            </w:pPr>
            <w:r>
              <w:rPr>
                <w:sz w:val="19"/>
              </w:rPr>
              <w:t>4 Sep 2009 p. 3461-72</w:t>
            </w:r>
          </w:p>
        </w:tc>
        <w:tc>
          <w:tcPr>
            <w:tcW w:w="2694" w:type="dxa"/>
            <w:gridSpan w:val="2"/>
          </w:tcPr>
          <w:p>
            <w:pPr>
              <w:pStyle w:val="nTable"/>
              <w:spacing w:after="40"/>
              <w:rPr>
                <w:snapToGrid w:val="0"/>
                <w:spacing w:val="-2"/>
                <w:sz w:val="19"/>
              </w:rPr>
            </w:pPr>
            <w:r>
              <w:rPr>
                <w:snapToGrid w:val="0"/>
                <w:spacing w:val="-2"/>
                <w:sz w:val="19"/>
              </w:rPr>
              <w:t>r. 1 and 2: 4 Sep 2009 (see r. 2(a));</w:t>
            </w:r>
            <w:r>
              <w:rPr>
                <w:snapToGrid w:val="0"/>
                <w:spacing w:val="-2"/>
                <w:sz w:val="19"/>
              </w:rPr>
              <w:br/>
              <w:t>Regulations other than r. 1 and 2: 5 Sep 2009 (see r. 2(b))</w:t>
            </w:r>
          </w:p>
        </w:tc>
      </w:tr>
      <w:tr>
        <w:trPr>
          <w:gridAfter w:val="1"/>
          <w:wAfter w:w="12" w:type="dxa"/>
          <w:cantSplit/>
        </w:trPr>
        <w:tc>
          <w:tcPr>
            <w:tcW w:w="7092" w:type="dxa"/>
            <w:gridSpan w:val="4"/>
          </w:tcPr>
          <w:p>
            <w:pPr>
              <w:pStyle w:val="nTable"/>
              <w:spacing w:after="40"/>
              <w:rPr>
                <w:snapToGrid w:val="0"/>
                <w:spacing w:val="-2"/>
                <w:sz w:val="19"/>
              </w:rPr>
            </w:pPr>
            <w:r>
              <w:rPr>
                <w:b/>
                <w:bCs/>
                <w:sz w:val="19"/>
              </w:rPr>
              <w:t xml:space="preserve">Reprint 2: The </w:t>
            </w:r>
            <w:r>
              <w:rPr>
                <w:b/>
                <w:bCs/>
                <w:i/>
                <w:sz w:val="19"/>
              </w:rPr>
              <w:t>Supreme Court (Fees) Regulations 2002</w:t>
            </w:r>
            <w:r>
              <w:rPr>
                <w:b/>
                <w:bCs/>
                <w:sz w:val="19"/>
              </w:rPr>
              <w:t xml:space="preserve"> as at 13 Nov 2009</w:t>
            </w:r>
            <w:r>
              <w:rPr>
                <w:sz w:val="19"/>
              </w:rPr>
              <w:t xml:space="preserve"> (includes amendments listed above)</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2010</w:t>
            </w:r>
          </w:p>
        </w:tc>
        <w:tc>
          <w:tcPr>
            <w:tcW w:w="1288" w:type="dxa"/>
            <w:gridSpan w:val="2"/>
          </w:tcPr>
          <w:p>
            <w:pPr>
              <w:pStyle w:val="nTable"/>
              <w:spacing w:after="40"/>
              <w:rPr>
                <w:rFonts w:ascii="Times" w:hAnsi="Times"/>
                <w:sz w:val="19"/>
              </w:rPr>
            </w:pPr>
            <w:r>
              <w:rPr>
                <w:rFonts w:ascii="Times" w:hAnsi="Times"/>
                <w:sz w:val="19"/>
              </w:rPr>
              <w:t>30 Jul 2010 p. 3496-7</w:t>
            </w:r>
          </w:p>
        </w:tc>
        <w:tc>
          <w:tcPr>
            <w:tcW w:w="2694" w:type="dxa"/>
            <w:gridSpan w:val="2"/>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30 Jul 2010</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31 Jul 2010</w:t>
            </w:r>
            <w:r>
              <w:rPr>
                <w:rFonts w:ascii="Times" w:hAnsi="Times"/>
                <w:snapToGrid w:val="0"/>
                <w:sz w:val="19"/>
              </w:rPr>
              <w:t xml:space="preserve">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2011</w:t>
            </w:r>
          </w:p>
        </w:tc>
        <w:tc>
          <w:tcPr>
            <w:tcW w:w="1288" w:type="dxa"/>
            <w:gridSpan w:val="2"/>
          </w:tcPr>
          <w:p>
            <w:pPr>
              <w:pStyle w:val="nTable"/>
              <w:spacing w:after="40"/>
              <w:rPr>
                <w:rFonts w:ascii="Times" w:hAnsi="Times"/>
                <w:sz w:val="19"/>
              </w:rPr>
            </w:pPr>
            <w:r>
              <w:rPr>
                <w:rFonts w:ascii="Times" w:hAnsi="Times"/>
                <w:sz w:val="19"/>
              </w:rPr>
              <w:t>8 Mar 2011 p. 781</w:t>
            </w:r>
            <w:r>
              <w:rPr>
                <w:rFonts w:ascii="Times" w:hAnsi="Times"/>
                <w:sz w:val="19"/>
              </w:rPr>
              <w:noBreakHyphen/>
              <w:t>4</w:t>
            </w:r>
          </w:p>
        </w:tc>
        <w:tc>
          <w:tcPr>
            <w:tcW w:w="2694" w:type="dxa"/>
            <w:gridSpan w:val="2"/>
          </w:tcPr>
          <w:p>
            <w:pPr>
              <w:pStyle w:val="nTable"/>
              <w:spacing w:after="40"/>
              <w:rPr>
                <w:rFonts w:ascii="Times" w:hAnsi="Times"/>
                <w:snapToGrid w:val="0"/>
                <w:sz w:val="19"/>
              </w:rPr>
            </w:pPr>
            <w:r>
              <w:rPr>
                <w:rFonts w:ascii="Times" w:hAnsi="Times"/>
                <w:snapToGrid w:val="0"/>
                <w:sz w:val="19"/>
              </w:rPr>
              <w:t>r. 1 and 2: 8 Mar 2011 (see r. 2(a));</w:t>
            </w:r>
            <w:r>
              <w:rPr>
                <w:rFonts w:ascii="Times" w:hAnsi="Times"/>
                <w:snapToGrid w:val="0"/>
                <w:sz w:val="19"/>
              </w:rPr>
              <w:br/>
              <w:t>Regulations other than r. 1 and 2: 9 Mar 2011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(No. 2) 2011</w:t>
            </w:r>
          </w:p>
        </w:tc>
        <w:tc>
          <w:tcPr>
            <w:tcW w:w="1288" w:type="dxa"/>
            <w:gridSpan w:val="2"/>
          </w:tcPr>
          <w:p>
            <w:pPr>
              <w:pStyle w:val="nTable"/>
              <w:spacing w:after="40"/>
              <w:rPr>
                <w:rFonts w:ascii="Times" w:hAnsi="Times"/>
                <w:sz w:val="19"/>
              </w:rPr>
            </w:pPr>
            <w:r>
              <w:rPr>
                <w:rFonts w:ascii="Times" w:hAnsi="Times"/>
                <w:sz w:val="19"/>
              </w:rPr>
              <w:t>20 Dec 2011 p. 5376-9</w:t>
            </w:r>
          </w:p>
        </w:tc>
        <w:tc>
          <w:tcPr>
            <w:tcW w:w="2694" w:type="dxa"/>
            <w:gridSpan w:val="2"/>
          </w:tcPr>
          <w:p>
            <w:pPr>
              <w:pStyle w:val="nTable"/>
              <w:spacing w:after="40"/>
              <w:rPr>
                <w:rFonts w:ascii="Times" w:hAnsi="Times"/>
                <w:snapToGrid w:val="0"/>
                <w:sz w:val="19"/>
              </w:rPr>
            </w:pPr>
            <w:r>
              <w:rPr>
                <w:rFonts w:ascii="Times" w:hAnsi="Times"/>
                <w:snapToGrid w:val="0"/>
                <w:sz w:val="19"/>
              </w:rPr>
              <w:t>r. 1 and 2: 20 Dec 2011 (see r. 2(a));</w:t>
            </w:r>
            <w:r>
              <w:rPr>
                <w:rFonts w:ascii="Times" w:hAnsi="Times"/>
                <w:snapToGrid w:val="0"/>
                <w:sz w:val="19"/>
              </w:rPr>
              <w:br/>
              <w:t>Regulations other than r. 1 and 2: 21 Dec 2011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2012</w:t>
            </w:r>
          </w:p>
        </w:tc>
        <w:tc>
          <w:tcPr>
            <w:tcW w:w="1288" w:type="dxa"/>
            <w:gridSpan w:val="2"/>
          </w:tcPr>
          <w:p>
            <w:pPr>
              <w:pStyle w:val="nTable"/>
              <w:spacing w:after="40"/>
              <w:rPr>
                <w:rFonts w:ascii="Times" w:hAnsi="Times"/>
                <w:sz w:val="19"/>
              </w:rPr>
            </w:pPr>
            <w:r>
              <w:rPr>
                <w:rFonts w:ascii="Times" w:hAnsi="Times"/>
                <w:sz w:val="19"/>
              </w:rPr>
              <w:t>27 Mar 2012 p. 1508</w:t>
            </w:r>
          </w:p>
        </w:tc>
        <w:tc>
          <w:tcPr>
            <w:tcW w:w="2694" w:type="dxa"/>
            <w:gridSpan w:val="2"/>
          </w:tcPr>
          <w:p>
            <w:pPr>
              <w:pStyle w:val="nTable"/>
              <w:spacing w:after="40"/>
              <w:rPr>
                <w:rFonts w:ascii="Times" w:hAnsi="Times"/>
                <w:snapToGrid w:val="0"/>
                <w:sz w:val="19"/>
              </w:rPr>
            </w:pPr>
            <w:r>
              <w:rPr>
                <w:rFonts w:ascii="Times" w:hAnsi="Times"/>
                <w:snapToGrid w:val="0"/>
                <w:sz w:val="19"/>
              </w:rPr>
              <w:t>r. 1 and 2: 27 Mar 2012 (see r. 2(a));</w:t>
            </w:r>
            <w:r>
              <w:rPr>
                <w:rFonts w:ascii="Times" w:hAnsi="Times"/>
                <w:snapToGrid w:val="0"/>
                <w:sz w:val="19"/>
              </w:rPr>
              <w:br/>
              <w:t>Regulations other than r. 1 and 2: 28 Mar 2012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(No. 3) 2012</w:t>
            </w:r>
          </w:p>
        </w:tc>
        <w:tc>
          <w:tcPr>
            <w:tcW w:w="1288" w:type="dxa"/>
            <w:gridSpan w:val="2"/>
          </w:tcPr>
          <w:p>
            <w:pPr>
              <w:pStyle w:val="nTable"/>
              <w:spacing w:after="40"/>
              <w:rPr>
                <w:rFonts w:ascii="Times" w:hAnsi="Times"/>
                <w:sz w:val="19"/>
              </w:rPr>
            </w:pPr>
            <w:r>
              <w:rPr>
                <w:rFonts w:ascii="Times" w:hAnsi="Times"/>
                <w:sz w:val="19"/>
              </w:rPr>
              <w:t>30 Nov 2012 p. 5784</w:t>
            </w:r>
            <w:r>
              <w:rPr>
                <w:rFonts w:ascii="Times" w:hAnsi="Times"/>
                <w:sz w:val="19"/>
              </w:rPr>
              <w:noBreakHyphen/>
              <w:t>8</w:t>
            </w:r>
          </w:p>
        </w:tc>
        <w:tc>
          <w:tcPr>
            <w:tcW w:w="2694" w:type="dxa"/>
            <w:gridSpan w:val="2"/>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rPr>
          <w:cantSplit/>
        </w:trPr>
        <w:tc>
          <w:tcPr>
            <w:tcW w:w="3122" w:type="dxa"/>
          </w:tcPr>
          <w:p>
            <w:pPr>
              <w:pStyle w:val="nTable"/>
              <w:spacing w:after="40"/>
              <w:ind w:right="113"/>
              <w:rPr>
                <w:rFonts w:ascii="Times" w:hAnsi="Times"/>
                <w:i/>
                <w:sz w:val="19"/>
              </w:rPr>
            </w:pPr>
            <w:r>
              <w:rPr>
                <w:i/>
                <w:sz w:val="19"/>
              </w:rPr>
              <w:t>Supreme Court (Fees) Amendment Regulations 2013</w:t>
            </w:r>
          </w:p>
        </w:tc>
        <w:tc>
          <w:tcPr>
            <w:tcW w:w="1288" w:type="dxa"/>
            <w:gridSpan w:val="2"/>
          </w:tcPr>
          <w:p>
            <w:pPr>
              <w:pStyle w:val="nTable"/>
              <w:spacing w:after="40"/>
              <w:rPr>
                <w:rFonts w:ascii="Times" w:hAnsi="Times"/>
                <w:sz w:val="19"/>
              </w:rPr>
            </w:pPr>
            <w:r>
              <w:rPr>
                <w:sz w:val="19"/>
              </w:rPr>
              <w:t>19 Jul 2013 p. 3268-9</w:t>
            </w:r>
          </w:p>
        </w:tc>
        <w:tc>
          <w:tcPr>
            <w:tcW w:w="2694" w:type="dxa"/>
            <w:gridSpan w:val="2"/>
          </w:tcPr>
          <w:p>
            <w:pPr>
              <w:pStyle w:val="nTable"/>
              <w:spacing w:after="40"/>
              <w:rPr>
                <w:rFonts w:ascii="Times" w:hAnsi="Times"/>
                <w:snapToGrid w:val="0"/>
                <w:sz w:val="19"/>
              </w:rPr>
            </w:pPr>
            <w:r>
              <w:rPr>
                <w:sz w:val="19"/>
              </w:rPr>
              <w:t>r. 1 and 2: 19 Jul 2013 (see r. 2(a));</w:t>
            </w:r>
            <w:r>
              <w:rPr>
                <w:sz w:val="19"/>
              </w:rPr>
              <w:br/>
              <w:t xml:space="preserve">Regulations other than r. 1 and 2: 7 Aug 2013 (see r. 2(b) and </w:t>
            </w:r>
            <w:r>
              <w:rPr>
                <w:i/>
                <w:sz w:val="19"/>
              </w:rPr>
              <w:t>Gazette</w:t>
            </w:r>
            <w:r>
              <w:rPr>
                <w:sz w:val="19"/>
              </w:rPr>
              <w:t xml:space="preserve"> 6 Aug 2013 p. 3677)</w:t>
            </w:r>
          </w:p>
        </w:tc>
      </w:tr>
      <w:tr>
        <w:trPr>
          <w:cantSplit/>
        </w:trPr>
        <w:tc>
          <w:tcPr>
            <w:tcW w:w="3122" w:type="dxa"/>
          </w:tcPr>
          <w:p>
            <w:pPr>
              <w:pStyle w:val="nTable"/>
              <w:spacing w:after="40"/>
              <w:ind w:right="113"/>
              <w:rPr>
                <w:i/>
                <w:sz w:val="19"/>
              </w:rPr>
            </w:pPr>
            <w:r>
              <w:rPr>
                <w:rFonts w:ascii="Times" w:hAnsi="Times"/>
                <w:i/>
                <w:sz w:val="19"/>
              </w:rPr>
              <w:t>Supreme Court (Fees) Amendment Regulations (No. 2) 2013</w:t>
            </w:r>
          </w:p>
        </w:tc>
        <w:tc>
          <w:tcPr>
            <w:tcW w:w="1288" w:type="dxa"/>
            <w:gridSpan w:val="2"/>
          </w:tcPr>
          <w:p>
            <w:pPr>
              <w:pStyle w:val="nTable"/>
              <w:spacing w:after="40"/>
              <w:rPr>
                <w:sz w:val="19"/>
              </w:rPr>
            </w:pPr>
            <w:r>
              <w:rPr>
                <w:sz w:val="19"/>
              </w:rPr>
              <w:t>15 Nov 2013 p. 5239-42</w:t>
            </w:r>
          </w:p>
        </w:tc>
        <w:tc>
          <w:tcPr>
            <w:tcW w:w="2694" w:type="dxa"/>
            <w:gridSpan w:val="2"/>
          </w:tcPr>
          <w:p>
            <w:pPr>
              <w:pStyle w:val="nTable"/>
              <w:spacing w:after="40"/>
              <w:rPr>
                <w:sz w:val="19"/>
              </w:rPr>
            </w:pPr>
            <w:r>
              <w:rPr>
                <w:rFonts w:ascii="Times" w:hAnsi="Times"/>
                <w:snapToGrid w:val="0"/>
                <w:sz w:val="19"/>
              </w:rPr>
              <w:t>r. 1 and 2: 15 Nov 2013 (see r. 2(a));</w:t>
            </w:r>
            <w:r>
              <w:rPr>
                <w:rFonts w:ascii="Times" w:hAnsi="Times"/>
                <w:snapToGrid w:val="0"/>
                <w:sz w:val="19"/>
              </w:rPr>
              <w:br/>
              <w:t>Regulations other than r. 1 and 2: 16 Nov 2013 (see r. 2(b))</w:t>
            </w:r>
          </w:p>
        </w:tc>
      </w:tr>
      <w:tr>
        <w:trPr>
          <w:cantSplit/>
        </w:trPr>
        <w:tc>
          <w:tcPr>
            <w:tcW w:w="3122" w:type="dxa"/>
            <w:tcBorders>
              <w:bottom w:val="single" w:sz="4" w:space="0" w:color="auto"/>
            </w:tcBorders>
          </w:tcPr>
          <w:p>
            <w:pPr>
              <w:pStyle w:val="nTable"/>
              <w:spacing w:after="40"/>
              <w:ind w:right="113"/>
              <w:rPr>
                <w:rFonts w:ascii="Times" w:hAnsi="Times"/>
                <w:i/>
                <w:sz w:val="19"/>
              </w:rPr>
            </w:pPr>
            <w:r>
              <w:rPr>
                <w:rFonts w:ascii="Times" w:hAnsi="Times"/>
                <w:i/>
                <w:sz w:val="19"/>
              </w:rPr>
              <w:t>Supreme Court (Fees) Amendment Regulations (No. 2) 2014</w:t>
            </w:r>
          </w:p>
        </w:tc>
        <w:tc>
          <w:tcPr>
            <w:tcW w:w="1288" w:type="dxa"/>
            <w:gridSpan w:val="2"/>
            <w:tcBorders>
              <w:bottom w:val="single" w:sz="4" w:space="0" w:color="auto"/>
            </w:tcBorders>
          </w:tcPr>
          <w:p>
            <w:pPr>
              <w:pStyle w:val="nTable"/>
              <w:spacing w:after="40"/>
              <w:rPr>
                <w:sz w:val="19"/>
              </w:rPr>
            </w:pPr>
            <w:r>
              <w:rPr>
                <w:sz w:val="19"/>
              </w:rPr>
              <w:t>27 Jun 2014 p. 2347-50</w:t>
            </w:r>
          </w:p>
        </w:tc>
        <w:tc>
          <w:tcPr>
            <w:tcW w:w="2694" w:type="dxa"/>
            <w:gridSpan w:val="2"/>
            <w:tcBorders>
              <w:bottom w:val="single" w:sz="4" w:space="0" w:color="auto"/>
            </w:tcBorders>
          </w:tcPr>
          <w:p>
            <w:pPr>
              <w:pStyle w:val="nTable"/>
              <w:spacing w:after="40"/>
              <w:rPr>
                <w:rFonts w:ascii="Times" w:hAnsi="Times"/>
                <w:snapToGrid w:val="0"/>
                <w:sz w:val="19"/>
              </w:rPr>
            </w:pPr>
            <w:r>
              <w:rPr>
                <w:rFonts w:ascii="Times" w:hAnsi="Times"/>
                <w:snapToGrid w:val="0"/>
                <w:sz w:val="19"/>
              </w:rPr>
              <w:t>r. 1 and 2: 27 Jun 2014 (see r. 2(a));</w:t>
            </w:r>
            <w:r>
              <w:rPr>
                <w:rFonts w:ascii="Times" w:hAnsi="Times"/>
                <w:snapToGrid w:val="0"/>
                <w:sz w:val="19"/>
              </w:rPr>
              <w:br/>
              <w:t>Regulations other than r. 1 and 2: 1 Jul 2014 (see r. 2(b)(i))</w:t>
            </w:r>
          </w:p>
        </w:tc>
      </w:tr>
    </w:tbl>
    <w:p/>
    <w:p>
      <w:pPr>
        <w:sectPr>
          <w:headerReference w:type="even" r:id="rId30"/>
          <w:headerReference w:type="default" r:id="rId31"/>
          <w:pgSz w:w="11906" w:h="16838" w:code="9"/>
          <w:pgMar w:top="2376" w:right="2404" w:bottom="3544" w:left="2404" w:header="720" w:footer="3380" w:gutter="0"/>
          <w:cols w:space="720"/>
          <w:noEndnote/>
          <w:docGrid w:linePitch="326"/>
        </w:sectPr>
      </w:pPr>
    </w:p>
    <w:p>
      <w:pPr>
        <w:pStyle w:val="nHeading2"/>
        <w:rPr>
          <w:sz w:val="28"/>
        </w:rPr>
      </w:pPr>
      <w:bookmarkStart w:id="29" w:name="_Toc379203668"/>
      <w:bookmarkStart w:id="30" w:name="_Toc391885700"/>
      <w:r>
        <w:rPr>
          <w:sz w:val="28"/>
        </w:rPr>
        <w:t>Defined terms</w:t>
      </w:r>
      <w:bookmarkEnd w:id="29"/>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1" w:name="DefinedTerms"/>
      <w:bookmarkEnd w:id="31"/>
      <w:r>
        <w:t>corporation</w:t>
      </w:r>
      <w:r>
        <w:tab/>
        <w:t>3</w:t>
      </w:r>
    </w:p>
    <w:p>
      <w:pPr>
        <w:pStyle w:val="DefinedTerms"/>
      </w:pPr>
      <w:r>
        <w:t>enforcement officer</w:t>
      </w:r>
      <w:r>
        <w:tab/>
        <w:t>3</w:t>
      </w:r>
    </w:p>
    <w:p>
      <w:pPr>
        <w:pStyle w:val="DefinedTerms"/>
      </w:pPr>
      <w:r>
        <w:t>fee</w:t>
      </w:r>
      <w:r>
        <w:tab/>
        <w:t>9(1), 9A(1)</w:t>
      </w:r>
    </w:p>
    <w:p>
      <w:pPr>
        <w:pStyle w:val="DefinedTerms"/>
      </w:pPr>
      <w:r>
        <w:t>grant</w:t>
      </w:r>
      <w:r>
        <w:tab/>
        <w:t>Sch. 3</w:t>
      </w:r>
    </w:p>
    <w:p>
      <w:pPr>
        <w:pStyle w:val="DefinedTerms"/>
      </w:pPr>
      <w:r>
        <w:t>individual</w:t>
      </w:r>
      <w:r>
        <w:tab/>
        <w:t>3</w:t>
      </w:r>
    </w:p>
    <w:p>
      <w:pPr>
        <w:pStyle w:val="DefinedTerms"/>
      </w:pPr>
      <w:r>
        <w:t>non</w:t>
      </w:r>
      <w:r>
        <w:noBreakHyphen/>
        <w:t>profit association</w:t>
      </w:r>
      <w:r>
        <w:tab/>
        <w:t>3</w:t>
      </w:r>
    </w:p>
    <w:p>
      <w:pPr>
        <w:pStyle w:val="DefinedTerms"/>
      </w:pPr>
      <w:r>
        <w:t>Rules</w:t>
      </w:r>
      <w:r>
        <w:tab/>
        <w:t>3</w:t>
      </w:r>
    </w:p>
    <w:p>
      <w:pPr>
        <w:pStyle w:val="DefinedTerms"/>
      </w:pPr>
      <w:r>
        <w:t>small business</w:t>
      </w:r>
      <w:r>
        <w:tab/>
        <w:t>3</w:t>
      </w:r>
    </w:p>
    <w:p>
      <w:pPr>
        <w:pStyle w:val="DefinedTerms"/>
      </w:pPr>
      <w:r>
        <w:t>special reasons</w:t>
      </w:r>
      <w:r>
        <w:tab/>
        <w:t>7(1a)</w:t>
      </w:r>
    </w:p>
    <w:p>
      <w:pPr>
        <w:pStyle w:val="DefinedTerms"/>
      </w:pPr>
      <w:r>
        <w:t>subsidiary</w:t>
      </w:r>
      <w:r>
        <w:tab/>
        <w:t>3</w:t>
      </w:r>
    </w:p>
    <w:p/>
    <w:p>
      <w:pPr>
        <w:sectPr>
          <w:headerReference w:type="even" r:id="rId32"/>
          <w:headerReference w:type="default" r:id="rId33"/>
          <w:pgSz w:w="11906" w:h="16838" w:code="9"/>
          <w:pgMar w:top="2376" w:right="2404" w:bottom="3544" w:left="2404" w:header="720" w:footer="3380" w:gutter="0"/>
          <w:cols w:space="720"/>
          <w:noEndnote/>
          <w:docGrid w:linePitch="326"/>
        </w:sectPr>
      </w:pPr>
    </w:p>
    <w:p/>
    <w:sectPr>
      <w:headerReference w:type="even"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General Division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 Division fees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62E70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29F4C04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3145216"/>
    <w:docVar w:name="WAFER_20140203143929" w:val="RemoveTocBookmarks,RemoveUnusedBookmarks,RemoveLanguageTags,UsedStyles,ResetPageSize,UpdateArrangement"/>
    <w:docVar w:name="WAFER_20140203143929_GUID" w:val="1158bcd0-1680-4115-97fc-3d54906ac9b6"/>
    <w:docVar w:name="WAFER_20140203145216" w:val="RemoveTocBookmarks,RunningHeaders"/>
    <w:docVar w:name="WAFER_20140203145216_GUID" w:val="6da47f7c-4ccb-40a9-9632-5de13bafb5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1D0F92-625E-4F2F-B1DE-701F8F782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8264</Words>
  <Characters>41739</Characters>
  <Application>Microsoft Office Word</Application>
  <DocSecurity>0</DocSecurity>
  <Lines>1897</Lines>
  <Paragraphs>980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49023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2002 - 02-j0-00</dc:title>
  <dc:subject/>
  <dc:creator/>
  <cp:keywords/>
  <dc:description/>
  <cp:lastModifiedBy>svcMRProcess</cp:lastModifiedBy>
  <cp:revision>4</cp:revision>
  <cp:lastPrinted>2009-11-13T03:17:00Z</cp:lastPrinted>
  <dcterms:created xsi:type="dcterms:W3CDTF">2018-09-16T22:27:00Z</dcterms:created>
  <dcterms:modified xsi:type="dcterms:W3CDTF">2018-09-16T22:27:00Z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3576</vt:i4>
  </property>
  <property fmtid="{D5CDD505-2E9C-101B-9397-08002B2CF9AE}" pid="6" name="ReprintNo">
    <vt:lpwstr>2</vt:lpwstr>
  </property>
  <property fmtid="{D5CDD505-2E9C-101B-9397-08002B2CF9AE}" pid="7" name="AsAtDate">
    <vt:lpwstr>01 Jul 2014</vt:lpwstr>
  </property>
  <property fmtid="{D5CDD505-2E9C-101B-9397-08002B2CF9AE}" pid="8" name="Suffix">
    <vt:lpwstr>02-j0-00</vt:lpwstr>
  </property>
</Properties>
</file>