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Agencies (Powers) Act 1984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Water Agencies (Charges) By-laws 1987</w:t>
      </w:r>
      <w:r>
        <w:fldChar w:fldCharType="end"/>
      </w:r>
    </w:p>
    <w:p>
      <w:pPr>
        <w:pStyle w:val="Subsection"/>
        <w:rPr>
          <w:color w:val="000000"/>
          <w:sz w:val="22"/>
          <w:szCs w:val="22"/>
        </w:rPr>
      </w:pPr>
      <w:r>
        <w:rPr>
          <w:color w:val="000000"/>
          <w:sz w:val="22"/>
          <w:szCs w:val="22"/>
        </w:rPr>
        <w:tab/>
      </w:r>
      <w:r>
        <w:rPr>
          <w:color w:val="000000"/>
          <w:sz w:val="22"/>
          <w:szCs w:val="22"/>
        </w:rPr>
        <w:tab/>
        <w:t xml:space="preserve">These by-laws were repealed by the </w:t>
      </w:r>
      <w:r>
        <w:rPr>
          <w:i/>
          <w:iCs/>
          <w:color w:val="000000"/>
          <w:sz w:val="22"/>
          <w:szCs w:val="22"/>
        </w:rPr>
        <w:t xml:space="preserve">Water Services Legislation Amendment and Repeal Act 2012 </w:t>
      </w:r>
      <w:r>
        <w:rPr>
          <w:color w:val="000000"/>
          <w:sz w:val="22"/>
          <w:szCs w:val="22"/>
        </w:rPr>
        <w:t xml:space="preserve">s. 202(b) (No. 25 of 2012) as at 1 Jul 2014 (see s. 2(b) and </w:t>
      </w:r>
      <w:r>
        <w:rPr>
          <w:i/>
          <w:color w:val="000000"/>
          <w:sz w:val="22"/>
          <w:szCs w:val="22"/>
        </w:rPr>
        <w:t>Gazette</w:t>
      </w:r>
      <w:r>
        <w:rPr>
          <w:color w:val="000000"/>
          <w:sz w:val="22"/>
          <w:szCs w:val="22"/>
        </w:rPr>
        <w:t xml:space="preserve"> 14 Nov 2013 p. 5028).</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_Toc426119738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_Toc426119739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General</w:t>
      </w:r>
    </w:p>
    <w:p>
      <w:pPr>
        <w:pStyle w:val="TOC8"/>
        <w:rPr>
          <w:rFonts w:asciiTheme="minorHAnsi" w:eastAsiaTheme="minorEastAsia" w:hAnsiTheme="minorHAnsi" w:cstheme="minorBidi"/>
          <w:szCs w:val="22"/>
        </w:rPr>
      </w:pPr>
      <w:r>
        <w:t>3</w:t>
      </w:r>
      <w:r>
        <w:rPr>
          <w:snapToGrid w:val="0"/>
        </w:rPr>
        <w:t>.</w:t>
      </w:r>
      <w:r>
        <w:rPr>
          <w:snapToGrid w:val="0"/>
        </w:rPr>
        <w:tab/>
        <w:t>Proportionate charges for part of year</w:t>
      </w:r>
      <w:r>
        <w:tab/>
      </w:r>
      <w:r>
        <w:fldChar w:fldCharType="begin"/>
      </w:r>
      <w:r>
        <w:instrText xml:space="preserve"> PAGEREF _Toc426119741 \h </w:instrText>
      </w:r>
      <w:r>
        <w:fldChar w:fldCharType="separate"/>
      </w:r>
      <w:r>
        <w:t>9</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Minimum charge prior to revaluation</w:t>
      </w:r>
      <w:r>
        <w:tab/>
      </w:r>
      <w:r>
        <w:fldChar w:fldCharType="begin"/>
      </w:r>
      <w:r>
        <w:instrText xml:space="preserve"> PAGEREF _Toc426119742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 land</w:t>
      </w:r>
      <w:r>
        <w:tab/>
      </w:r>
      <w:r>
        <w:fldChar w:fldCharType="begin"/>
      </w:r>
      <w:r>
        <w:instrText xml:space="preserve"> PAGEREF _Toc426119743 \h </w:instrText>
      </w:r>
      <w:r>
        <w:fldChar w:fldCharType="separate"/>
      </w:r>
      <w:r>
        <w:t>10</w:t>
      </w:r>
      <w:r>
        <w:fldChar w:fldCharType="end"/>
      </w:r>
    </w:p>
    <w:p>
      <w:pPr>
        <w:pStyle w:val="TOC8"/>
        <w:rPr>
          <w:rFonts w:asciiTheme="minorHAnsi" w:eastAsiaTheme="minorEastAsia" w:hAnsiTheme="minorHAnsi" w:cstheme="minorBidi"/>
          <w:szCs w:val="22"/>
        </w:rPr>
      </w:pPr>
      <w:r>
        <w:t>5A.</w:t>
      </w:r>
      <w:r>
        <w:tab/>
        <w:t>Exempt land, amount of exemption calculated</w:t>
      </w:r>
      <w:r>
        <w:tab/>
      </w:r>
      <w:r>
        <w:fldChar w:fldCharType="begin"/>
      </w:r>
      <w:r>
        <w:instrText xml:space="preserve"> PAGEREF _Toc426119744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Separately assessable residential land</w:t>
      </w:r>
      <w:r>
        <w:tab/>
      </w:r>
      <w:r>
        <w:fldChar w:fldCharType="begin"/>
      </w:r>
      <w:r>
        <w:instrText xml:space="preserve"> PAGEREF _Toc426119745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Estimation upon meter malfunction or of non</w:t>
      </w:r>
      <w:r>
        <w:rPr>
          <w:snapToGrid w:val="0"/>
        </w:rPr>
        <w:noBreakHyphen/>
        <w:t>metered quantity</w:t>
      </w:r>
      <w:r>
        <w:tab/>
      </w:r>
      <w:r>
        <w:fldChar w:fldCharType="begin"/>
      </w:r>
      <w:r>
        <w:instrText xml:space="preserve"> PAGEREF _Toc426119746 \h </w:instrText>
      </w:r>
      <w:r>
        <w:fldChar w:fldCharType="separate"/>
      </w:r>
      <w:r>
        <w:t>14</w:t>
      </w:r>
      <w:r>
        <w:fldChar w:fldCharType="end"/>
      </w:r>
    </w:p>
    <w:p>
      <w:pPr>
        <w:pStyle w:val="TOC8"/>
        <w:rPr>
          <w:rFonts w:asciiTheme="minorHAnsi" w:eastAsiaTheme="minorEastAsia" w:hAnsiTheme="minorHAnsi" w:cstheme="minorBidi"/>
          <w:szCs w:val="22"/>
        </w:rPr>
      </w:pPr>
      <w:r>
        <w:t>7A.</w:t>
      </w:r>
      <w:r>
        <w:tab/>
        <w:t>Determination of quality and quantity of trade waste discharged</w:t>
      </w:r>
      <w:r>
        <w:tab/>
      </w:r>
      <w:r>
        <w:fldChar w:fldCharType="begin"/>
      </w:r>
      <w:r>
        <w:instrText xml:space="preserve"> PAGEREF _Toc426119747 \h </w:instrText>
      </w:r>
      <w:r>
        <w:fldChar w:fldCharType="separate"/>
      </w:r>
      <w:r>
        <w:t>15</w:t>
      </w:r>
      <w:r>
        <w:fldChar w:fldCharType="end"/>
      </w:r>
    </w:p>
    <w:p>
      <w:pPr>
        <w:pStyle w:val="TOC8"/>
        <w:rPr>
          <w:rFonts w:asciiTheme="minorHAnsi" w:eastAsiaTheme="minorEastAsia" w:hAnsiTheme="minorHAnsi" w:cstheme="minorBidi"/>
          <w:szCs w:val="22"/>
        </w:rPr>
      </w:pPr>
      <w:r>
        <w:t>7.</w:t>
      </w:r>
      <w:r>
        <w:tab/>
        <w:t>Payment of charges</w:t>
      </w:r>
      <w:r>
        <w:tab/>
      </w:r>
      <w:r>
        <w:fldChar w:fldCharType="begin"/>
      </w:r>
      <w:r>
        <w:instrText xml:space="preserve"> PAGEREF _Toc426119748 \h </w:instrText>
      </w:r>
      <w:r>
        <w:fldChar w:fldCharType="separate"/>
      </w:r>
      <w:r>
        <w:t>16</w:t>
      </w:r>
      <w:r>
        <w:fldChar w:fldCharType="end"/>
      </w:r>
    </w:p>
    <w:p>
      <w:pPr>
        <w:pStyle w:val="TOC8"/>
        <w:rPr>
          <w:rFonts w:asciiTheme="minorHAnsi" w:eastAsiaTheme="minorEastAsia" w:hAnsiTheme="minorHAnsi" w:cstheme="minorBidi"/>
          <w:szCs w:val="22"/>
        </w:rPr>
      </w:pPr>
      <w:r>
        <w:t>8.</w:t>
      </w:r>
      <w:r>
        <w:tab/>
        <w:t>Special arrangements</w:t>
      </w:r>
      <w:r>
        <w:tab/>
      </w:r>
      <w:r>
        <w:fldChar w:fldCharType="begin"/>
      </w:r>
      <w:r>
        <w:instrText xml:space="preserve"> PAGEREF _Toc426119749 \h </w:instrText>
      </w:r>
      <w:r>
        <w:fldChar w:fldCharType="separate"/>
      </w:r>
      <w:r>
        <w:t>17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Concessional charges for retirement village residents</w:t>
      </w:r>
      <w:r>
        <w:tab/>
      </w:r>
      <w:r>
        <w:fldChar w:fldCharType="begin"/>
      </w:r>
      <w:r>
        <w:instrText xml:space="preserve"> PAGEREF _Toc426119750 \h </w:instrText>
      </w:r>
      <w:r>
        <w:fldChar w:fldCharType="separate"/>
      </w:r>
      <w:r>
        <w:t>18</w:t>
      </w:r>
      <w:r>
        <w:fldChar w:fldCharType="end"/>
      </w:r>
    </w:p>
    <w:p>
      <w:pPr>
        <w:pStyle w:val="TOC8"/>
        <w:rPr>
          <w:rFonts w:asciiTheme="minorHAnsi" w:eastAsiaTheme="minorEastAsia" w:hAnsiTheme="minorHAnsi" w:cstheme="minorBidi"/>
          <w:szCs w:val="22"/>
        </w:rPr>
      </w:pPr>
      <w:r>
        <w:t>8B.</w:t>
      </w:r>
      <w:r>
        <w:tab/>
        <w:t>Government trading organisation and non</w:t>
      </w:r>
      <w:r>
        <w:noBreakHyphen/>
        <w:t>commercial Government property</w:t>
      </w:r>
      <w:r>
        <w:tab/>
      </w:r>
      <w:r>
        <w:fldChar w:fldCharType="begin"/>
      </w:r>
      <w:r>
        <w:instrText xml:space="preserve"> PAGEREF _Toc426119751 \h </w:instrText>
      </w:r>
      <w:r>
        <w:fldChar w:fldCharType="separate"/>
      </w:r>
      <w:r>
        <w:t>19</w:t>
      </w:r>
      <w:r>
        <w:fldChar w:fldCharType="end"/>
      </w:r>
    </w:p>
    <w:p>
      <w:pPr>
        <w:pStyle w:val="TOC8"/>
        <w:rPr>
          <w:rFonts w:asciiTheme="minorHAnsi" w:eastAsiaTheme="minorEastAsia" w:hAnsiTheme="minorHAnsi" w:cstheme="minorBidi"/>
          <w:szCs w:val="22"/>
        </w:rPr>
      </w:pPr>
      <w:r>
        <w:t>8BA</w:t>
      </w:r>
      <w:r>
        <w:rPr>
          <w:snapToGrid w:val="0"/>
        </w:rPr>
        <w:t>.</w:t>
      </w:r>
      <w:r>
        <w:rPr>
          <w:snapToGrid w:val="0"/>
        </w:rPr>
        <w:tab/>
        <w:t>Annual charges to Government trading organisations that supply water to lessees or ships</w:t>
      </w:r>
      <w:r>
        <w:tab/>
      </w:r>
      <w:r>
        <w:fldChar w:fldCharType="begin"/>
      </w:r>
      <w:r>
        <w:instrText xml:space="preserve"> PAGEREF _Toc426119752 \h </w:instrText>
      </w:r>
      <w:r>
        <w:fldChar w:fldCharType="separate"/>
      </w:r>
      <w:r>
        <w:t>19</w:t>
      </w:r>
      <w:r>
        <w:fldChar w:fldCharType="end"/>
      </w:r>
    </w:p>
    <w:p>
      <w:pPr>
        <w:pStyle w:val="TOC8"/>
        <w:rPr>
          <w:rFonts w:asciiTheme="minorHAnsi" w:eastAsiaTheme="minorEastAsia" w:hAnsiTheme="minorHAnsi" w:cstheme="minorBidi"/>
          <w:szCs w:val="22"/>
        </w:rPr>
      </w:pPr>
      <w:r>
        <w:t>9.</w:t>
      </w:r>
      <w:r>
        <w:tab/>
        <w:t>Interest on overdue amounts</w:t>
      </w:r>
      <w:r>
        <w:tab/>
      </w:r>
      <w:r>
        <w:fldChar w:fldCharType="begin"/>
      </w:r>
      <w:r>
        <w:instrText xml:space="preserve"> PAGEREF _Toc426119753 \h </w:instrText>
      </w:r>
      <w:r>
        <w:fldChar w:fldCharType="separate"/>
      </w:r>
      <w:r>
        <w:t>21</w:t>
      </w:r>
      <w:r>
        <w:fldChar w:fldCharType="end"/>
      </w:r>
    </w:p>
    <w:p>
      <w:pPr>
        <w:pStyle w:val="TOC8"/>
        <w:rPr>
          <w:rFonts w:asciiTheme="minorHAnsi" w:eastAsiaTheme="minorEastAsia" w:hAnsiTheme="minorHAnsi" w:cstheme="minorBidi"/>
          <w:szCs w:val="22"/>
        </w:rPr>
      </w:pPr>
      <w:r>
        <w:t>9B.</w:t>
      </w:r>
      <w:r>
        <w:tab/>
        <w:t>Calculations, including maxima, for various GRV based charges</w:t>
      </w:r>
      <w:r>
        <w:tab/>
      </w:r>
      <w:r>
        <w:fldChar w:fldCharType="begin"/>
      </w:r>
      <w:r>
        <w:instrText xml:space="preserve"> PAGEREF _Toc426119754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2 — Water supply</w:t>
      </w:r>
    </w:p>
    <w:p>
      <w:pPr>
        <w:pStyle w:val="TOC4"/>
        <w:tabs>
          <w:tab w:val="right" w:leader="dot" w:pos="7077"/>
        </w:tabs>
        <w:rPr>
          <w:rFonts w:asciiTheme="minorHAnsi" w:eastAsiaTheme="minorEastAsia" w:hAnsiTheme="minorHAnsi" w:cstheme="minorBidi"/>
          <w:b w:val="0"/>
          <w:szCs w:val="22"/>
        </w:rPr>
      </w:pPr>
      <w:r>
        <w:t>Division 1 — Water supplied other than from irrigation works</w:t>
      </w:r>
    </w:p>
    <w:p>
      <w:pPr>
        <w:pStyle w:val="TOC8"/>
        <w:rPr>
          <w:rFonts w:asciiTheme="minorHAnsi" w:eastAsiaTheme="minorEastAsia" w:hAnsiTheme="minorHAnsi" w:cstheme="minorBidi"/>
          <w:szCs w:val="22"/>
        </w:rPr>
      </w:pPr>
      <w:r>
        <w:t>10.</w:t>
      </w:r>
      <w:r>
        <w:tab/>
        <w:t>Application of Division</w:t>
      </w:r>
      <w:r>
        <w:tab/>
      </w:r>
      <w:r>
        <w:fldChar w:fldCharType="begin"/>
      </w:r>
      <w:r>
        <w:instrText xml:space="preserve"> PAGEREF _Toc426119757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Land subject to water supply charges under this Division</w:t>
      </w:r>
      <w:r>
        <w:tab/>
      </w:r>
      <w:r>
        <w:fldChar w:fldCharType="begin"/>
      </w:r>
      <w:r>
        <w:instrText xml:space="preserve"> PAGEREF _Toc426119758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Exempt land</w:t>
      </w:r>
      <w:r>
        <w:tab/>
      </w:r>
      <w:r>
        <w:fldChar w:fldCharType="begin"/>
      </w:r>
      <w:r>
        <w:instrText xml:space="preserve"> PAGEREF _Toc426119759 \h </w:instrText>
      </w:r>
      <w:r>
        <w:fldChar w:fldCharType="separate"/>
      </w:r>
      <w:r>
        <w:t>23</w:t>
      </w:r>
      <w:r>
        <w:fldChar w:fldCharType="end"/>
      </w:r>
    </w:p>
    <w:p>
      <w:pPr>
        <w:pStyle w:val="TOC8"/>
        <w:rPr>
          <w:rFonts w:asciiTheme="minorHAnsi" w:eastAsiaTheme="minorEastAsia" w:hAnsiTheme="minorHAnsi" w:cstheme="minorBidi"/>
          <w:szCs w:val="22"/>
        </w:rPr>
      </w:pPr>
      <w:r>
        <w:t>13.</w:t>
      </w:r>
      <w:r>
        <w:tab/>
        <w:t>Classification of land</w:t>
      </w:r>
      <w:r>
        <w:tab/>
      </w:r>
      <w:r>
        <w:fldChar w:fldCharType="begin"/>
      </w:r>
      <w:r>
        <w:instrText xml:space="preserve"> PAGEREF _Toc426119760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Discrete residential units</w:t>
      </w:r>
      <w:r>
        <w:tab/>
      </w:r>
      <w:r>
        <w:fldChar w:fldCharType="begin"/>
      </w:r>
      <w:r>
        <w:instrText xml:space="preserve"> PAGEREF _Toc426119761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Quantity charges for the supply of water</w:t>
      </w:r>
      <w:r>
        <w:tab/>
      </w:r>
      <w:r>
        <w:fldChar w:fldCharType="begin"/>
      </w:r>
      <w:r>
        <w:instrText xml:space="preserve"> PAGEREF _Toc426119762 \h </w:instrText>
      </w:r>
      <w:r>
        <w:fldChar w:fldCharType="separate"/>
      </w:r>
      <w:r>
        <w:t>27</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Caravan parks</w:t>
      </w:r>
      <w:r>
        <w:tab/>
      </w:r>
      <w:r>
        <w:fldChar w:fldCharType="begin"/>
      </w:r>
      <w:r>
        <w:instrText xml:space="preserve"> PAGEREF _Toc426119763 \h </w:instrText>
      </w:r>
      <w:r>
        <w:fldChar w:fldCharType="separate"/>
      </w:r>
      <w:r>
        <w:t>28</w:t>
      </w:r>
      <w:r>
        <w:fldChar w:fldCharType="end"/>
      </w:r>
    </w:p>
    <w:p>
      <w:pPr>
        <w:pStyle w:val="TOC8"/>
        <w:rPr>
          <w:rFonts w:asciiTheme="minorHAnsi" w:eastAsiaTheme="minorEastAsia" w:hAnsiTheme="minorHAnsi" w:cstheme="minorBidi"/>
          <w:szCs w:val="22"/>
        </w:rPr>
      </w:pPr>
      <w:r>
        <w:t>17B.</w:t>
      </w:r>
      <w:r>
        <w:tab/>
      </w:r>
      <w:r>
        <w:rPr>
          <w:snapToGrid w:val="0"/>
        </w:rPr>
        <w:t>Metropolitan non</w:t>
      </w:r>
      <w:r>
        <w:rPr>
          <w:snapToGrid w:val="0"/>
        </w:rPr>
        <w:noBreakHyphen/>
        <w:t xml:space="preserve">residential </w:t>
      </w:r>
      <w:r>
        <w:t>or commercial residential</w:t>
      </w:r>
      <w:r>
        <w:rPr>
          <w:snapToGrid w:val="0"/>
        </w:rPr>
        <w:t xml:space="preserve"> property water supply charges</w:t>
      </w:r>
      <w:r>
        <w:tab/>
      </w:r>
      <w:r>
        <w:fldChar w:fldCharType="begin"/>
      </w:r>
      <w:r>
        <w:instrText xml:space="preserve"> PAGEREF _Toc426119764 \h </w:instrText>
      </w:r>
      <w:r>
        <w:fldChar w:fldCharType="separate"/>
      </w:r>
      <w:r>
        <w:t>30</w:t>
      </w:r>
      <w:r>
        <w:fldChar w:fldCharType="end"/>
      </w:r>
    </w:p>
    <w:p>
      <w:pPr>
        <w:pStyle w:val="TOC8"/>
        <w:rPr>
          <w:rFonts w:asciiTheme="minorHAnsi" w:eastAsiaTheme="minorEastAsia" w:hAnsiTheme="minorHAnsi" w:cstheme="minorBidi"/>
          <w:szCs w:val="22"/>
        </w:rPr>
      </w:pPr>
      <w:r>
        <w:t>17C.</w:t>
      </w:r>
      <w:r>
        <w:tab/>
        <w:t>Non</w:t>
      </w:r>
      <w:r>
        <w:noBreakHyphen/>
        <w:t>metropolitan, non</w:t>
      </w:r>
      <w:r>
        <w:noBreakHyphen/>
        <w:t>strata titled, commercial or industrial property water supply charges</w:t>
      </w:r>
      <w:r>
        <w:tab/>
      </w:r>
      <w:r>
        <w:fldChar w:fldCharType="begin"/>
      </w:r>
      <w:r>
        <w:instrText xml:space="preserve"> PAGEREF _Toc426119765 \h </w:instrText>
      </w:r>
      <w:r>
        <w:fldChar w:fldCharType="separate"/>
      </w:r>
      <w:r>
        <w:t>30</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t>Various non</w:t>
      </w:r>
      <w:r>
        <w:rPr>
          <w:snapToGrid w:val="0"/>
        </w:rPr>
        <w:noBreakHyphen/>
        <w:t>metropolitan water supply charges and classifications</w:t>
      </w:r>
      <w:r>
        <w:tab/>
      </w:r>
      <w:r>
        <w:fldChar w:fldCharType="begin"/>
      </w:r>
      <w:r>
        <w:instrText xml:space="preserve"> PAGEREF _Toc426119766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Concessional non</w:t>
      </w:r>
      <w:r>
        <w:rPr>
          <w:snapToGrid w:val="0"/>
        </w:rPr>
        <w:noBreakHyphen/>
        <w:t>metropolitan quantity charge</w:t>
      </w:r>
      <w:r>
        <w:tab/>
      </w:r>
      <w:r>
        <w:fldChar w:fldCharType="begin"/>
      </w:r>
      <w:r>
        <w:instrText xml:space="preserve"> PAGEREF _Toc426119767 \h </w:instrText>
      </w:r>
      <w:r>
        <w:fldChar w:fldCharType="separate"/>
      </w:r>
      <w:r>
        <w:t>32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Concessional metropolitan quantity charge</w:t>
      </w:r>
      <w:r>
        <w:tab/>
      </w:r>
      <w:r>
        <w:fldChar w:fldCharType="begin"/>
      </w:r>
      <w:r>
        <w:instrText xml:space="preserve"> PAGEREF _Toc426119768 \h </w:instrText>
      </w:r>
      <w:r>
        <w:fldChar w:fldCharType="separate"/>
      </w:r>
      <w:r>
        <w:t>33</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Residential multi</w:t>
      </w:r>
      <w:r>
        <w:rPr>
          <w:snapToGrid w:val="0"/>
        </w:rPr>
        <w:noBreakHyphen/>
        <w:t>unit properties — rebates for eligible pensioners</w:t>
      </w:r>
      <w:r>
        <w:tab/>
      </w:r>
      <w:r>
        <w:fldChar w:fldCharType="begin"/>
      </w:r>
      <w:r>
        <w:instrText xml:space="preserve"> PAGEREF _Toc426119769 \h </w:instrText>
      </w:r>
      <w:r>
        <w:fldChar w:fldCharType="separate"/>
      </w:r>
      <w:r>
        <w:t>35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Capital infrastructure charges</w:t>
      </w:r>
      <w:r>
        <w:tab/>
      </w:r>
      <w:r>
        <w:fldChar w:fldCharType="begin"/>
      </w:r>
      <w:r>
        <w:instrText xml:space="preserve"> PAGEREF _Toc426119770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Water supplied from certain irrigation works, other than for irrigation</w:t>
      </w:r>
    </w:p>
    <w:p>
      <w:pPr>
        <w:pStyle w:val="TOC8"/>
        <w:rPr>
          <w:rFonts w:asciiTheme="minorHAnsi" w:eastAsiaTheme="minorEastAsia" w:hAnsiTheme="minorHAnsi" w:cstheme="minorBidi"/>
          <w:szCs w:val="22"/>
        </w:rPr>
      </w:pPr>
      <w:r>
        <w:t>20.</w:t>
      </w:r>
      <w:r>
        <w:tab/>
        <w:t>Land subject to water supply charges under this Division</w:t>
      </w:r>
      <w:r>
        <w:tab/>
      </w:r>
      <w:r>
        <w:fldChar w:fldCharType="begin"/>
      </w:r>
      <w:r>
        <w:instrText xml:space="preserve"> PAGEREF _Toc426119772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Sewerage</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_Toc426119774 \h </w:instrText>
      </w:r>
      <w:r>
        <w:fldChar w:fldCharType="separate"/>
      </w:r>
      <w:r>
        <w:t>40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Land subject to sewerage charges</w:t>
      </w:r>
      <w:r>
        <w:tab/>
      </w:r>
      <w:r>
        <w:fldChar w:fldCharType="begin"/>
      </w:r>
      <w:r>
        <w:instrText xml:space="preserve"> PAGEREF _Toc426119775 \h </w:instrText>
      </w:r>
      <w:r>
        <w:fldChar w:fldCharType="separate"/>
      </w:r>
      <w:r>
        <w:t>40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 land</w:t>
      </w:r>
      <w:r>
        <w:tab/>
      </w:r>
      <w:r>
        <w:fldChar w:fldCharType="begin"/>
      </w:r>
      <w:r>
        <w:instrText xml:space="preserve"> PAGEREF _Toc426119776 \h </w:instrText>
      </w:r>
      <w:r>
        <w:fldChar w:fldCharType="separate"/>
      </w:r>
      <w:r>
        <w:t>41</w:t>
      </w:r>
      <w:r>
        <w:fldChar w:fldCharType="end"/>
      </w:r>
    </w:p>
    <w:p>
      <w:pPr>
        <w:pStyle w:val="TOC8"/>
        <w:rPr>
          <w:rFonts w:asciiTheme="minorHAnsi" w:eastAsiaTheme="minorEastAsia" w:hAnsiTheme="minorHAnsi" w:cstheme="minorBidi"/>
          <w:szCs w:val="22"/>
        </w:rPr>
      </w:pPr>
      <w:r>
        <w:t>23.</w:t>
      </w:r>
      <w:r>
        <w:tab/>
        <w:t>Classification of land</w:t>
      </w:r>
      <w:r>
        <w:tab/>
      </w:r>
      <w:r>
        <w:fldChar w:fldCharType="begin"/>
      </w:r>
      <w:r>
        <w:instrText xml:space="preserve"> PAGEREF _Toc426119777 \h </w:instrText>
      </w:r>
      <w:r>
        <w:fldChar w:fldCharType="separate"/>
      </w:r>
      <w:r>
        <w:t>41</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Metered metropolitan non</w:t>
      </w:r>
      <w:r>
        <w:rPr>
          <w:snapToGrid w:val="0"/>
        </w:rPr>
        <w:noBreakHyphen/>
        <w:t>residential property sewerage charges</w:t>
      </w:r>
      <w:r>
        <w:tab/>
      </w:r>
      <w:r>
        <w:fldChar w:fldCharType="begin"/>
      </w:r>
      <w:r>
        <w:instrText xml:space="preserve"> PAGEREF _Toc426119778 \h </w:instrText>
      </w:r>
      <w:r>
        <w:fldChar w:fldCharType="separate"/>
      </w:r>
      <w:r>
        <w:t>43</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r>
        <w:tab/>
      </w:r>
      <w:r>
        <w:fldChar w:fldCharType="begin"/>
      </w:r>
      <w:r>
        <w:instrText xml:space="preserve"> PAGEREF _Toc426119779 \h </w:instrText>
      </w:r>
      <w:r>
        <w:fldChar w:fldCharType="separate"/>
      </w:r>
      <w:r>
        <w:t>45</w:t>
      </w:r>
      <w:r>
        <w:fldChar w:fldCharType="end"/>
      </w:r>
    </w:p>
    <w:p>
      <w:pPr>
        <w:pStyle w:val="TOC8"/>
        <w:rPr>
          <w:rFonts w:asciiTheme="minorHAnsi" w:eastAsiaTheme="minorEastAsia" w:hAnsiTheme="minorHAnsi" w:cstheme="minorBidi"/>
          <w:szCs w:val="22"/>
        </w:rPr>
      </w:pPr>
      <w:r>
        <w:t>25C</w:t>
      </w:r>
      <w:r>
        <w:rPr>
          <w:snapToGrid w:val="0"/>
        </w:rPr>
        <w:t>.</w:t>
      </w:r>
      <w:r>
        <w:rPr>
          <w:snapToGrid w:val="0"/>
        </w:rPr>
        <w:tab/>
        <w:t>Charging for shared sewerage fixtures on metropolitan non</w:t>
      </w:r>
      <w:r>
        <w:rPr>
          <w:snapToGrid w:val="0"/>
        </w:rPr>
        <w:noBreakHyphen/>
        <w:t>residential property</w:t>
      </w:r>
      <w:r>
        <w:tab/>
      </w:r>
      <w:r>
        <w:fldChar w:fldCharType="begin"/>
      </w:r>
      <w:r>
        <w:instrText xml:space="preserve"> PAGEREF _Toc426119780 \h </w:instrText>
      </w:r>
      <w:r>
        <w:fldChar w:fldCharType="separate"/>
      </w:r>
      <w:r>
        <w:t>46</w:t>
      </w:r>
      <w:r>
        <w:fldChar w:fldCharType="end"/>
      </w:r>
    </w:p>
    <w:p>
      <w:pPr>
        <w:pStyle w:val="TOC8"/>
        <w:rPr>
          <w:rFonts w:asciiTheme="minorHAnsi" w:eastAsiaTheme="minorEastAsia" w:hAnsiTheme="minorHAnsi" w:cstheme="minorBidi"/>
          <w:szCs w:val="22"/>
        </w:rPr>
      </w:pPr>
      <w:r>
        <w:t>26.</w:t>
      </w:r>
      <w:r>
        <w:tab/>
      </w:r>
      <w:r>
        <w:rPr>
          <w:snapToGrid w:val="0"/>
        </w:rPr>
        <w:t xml:space="preserve">Metered country </w:t>
      </w:r>
      <w:r>
        <w:t>non</w:t>
      </w:r>
      <w:r>
        <w:noBreakHyphen/>
        <w:t>residential or commercial residential</w:t>
      </w:r>
      <w:r>
        <w:rPr>
          <w:snapToGrid w:val="0"/>
        </w:rPr>
        <w:t xml:space="preserve"> property sewerage charges</w:t>
      </w:r>
      <w:r>
        <w:tab/>
      </w:r>
      <w:r>
        <w:fldChar w:fldCharType="begin"/>
      </w:r>
      <w:r>
        <w:instrText xml:space="preserve"> PAGEREF _Toc426119781 \h </w:instrText>
      </w:r>
      <w:r>
        <w:fldChar w:fldCharType="separate"/>
      </w:r>
      <w:r>
        <w:t>46</w:t>
      </w:r>
      <w:r>
        <w:fldChar w:fldCharType="end"/>
      </w:r>
    </w:p>
    <w:p>
      <w:pPr>
        <w:pStyle w:val="TOC8"/>
        <w:rPr>
          <w:rFonts w:asciiTheme="minorHAnsi" w:eastAsiaTheme="minorEastAsia" w:hAnsiTheme="minorHAnsi" w:cstheme="minorBidi"/>
          <w:szCs w:val="22"/>
        </w:rPr>
      </w:pPr>
      <w:r>
        <w:t>26A.</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r>
        <w:tab/>
      </w:r>
      <w:r>
        <w:fldChar w:fldCharType="begin"/>
      </w:r>
      <w:r>
        <w:instrText xml:space="preserve"> PAGEREF _Toc426119782 \h </w:instrText>
      </w:r>
      <w:r>
        <w:fldChar w:fldCharType="separate"/>
      </w:r>
      <w:r>
        <w:t>48</w:t>
      </w:r>
      <w:r>
        <w:fldChar w:fldCharType="end"/>
      </w:r>
    </w:p>
    <w:p>
      <w:pPr>
        <w:pStyle w:val="TOC8"/>
        <w:rPr>
          <w:rFonts w:asciiTheme="minorHAnsi" w:eastAsiaTheme="minorEastAsia" w:hAnsiTheme="minorHAnsi" w:cstheme="minorBidi"/>
          <w:szCs w:val="22"/>
        </w:rPr>
      </w:pPr>
      <w:r>
        <w:t>26B.</w:t>
      </w:r>
      <w:r>
        <w:tab/>
        <w:t xml:space="preserve">Charging for shared sewerage fixtures on </w:t>
      </w:r>
      <w:r>
        <w:rPr>
          <w:snapToGrid w:val="0"/>
        </w:rPr>
        <w:t xml:space="preserve">country </w:t>
      </w:r>
      <w:r>
        <w:t>non</w:t>
      </w:r>
      <w:r>
        <w:noBreakHyphen/>
        <w:t>residential or commercial residential property</w:t>
      </w:r>
      <w:r>
        <w:tab/>
      </w:r>
      <w:r>
        <w:fldChar w:fldCharType="begin"/>
      </w:r>
      <w:r>
        <w:instrText xml:space="preserve"> PAGEREF _Toc426119783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4 — Drainage</w:t>
      </w:r>
    </w:p>
    <w:p>
      <w:pPr>
        <w:pStyle w:val="TOC8"/>
        <w:rPr>
          <w:rFonts w:asciiTheme="minorHAnsi" w:eastAsiaTheme="minorEastAsia" w:hAnsiTheme="minorHAnsi" w:cstheme="minorBidi"/>
          <w:szCs w:val="22"/>
        </w:rPr>
      </w:pPr>
      <w:r>
        <w:t>27</w:t>
      </w:r>
      <w:r>
        <w:rPr>
          <w:snapToGrid w:val="0"/>
        </w:rPr>
        <w:t>.</w:t>
      </w:r>
      <w:r>
        <w:rPr>
          <w:snapToGrid w:val="0"/>
        </w:rPr>
        <w:tab/>
        <w:t>Land subject to drainage charges</w:t>
      </w:r>
      <w:r>
        <w:tab/>
      </w:r>
      <w:r>
        <w:fldChar w:fldCharType="begin"/>
      </w:r>
      <w:r>
        <w:instrText xml:space="preserve"> PAGEREF _Toc426119785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Exempt land</w:t>
      </w:r>
      <w:r>
        <w:tab/>
      </w:r>
      <w:r>
        <w:fldChar w:fldCharType="begin"/>
      </w:r>
      <w:r>
        <w:instrText xml:space="preserve"> PAGEREF _Toc426119786 \h </w:instrText>
      </w:r>
      <w:r>
        <w:fldChar w:fldCharType="separate"/>
      </w:r>
      <w:r>
        <w:t>50</w:t>
      </w:r>
      <w:r>
        <w:fldChar w:fldCharType="end"/>
      </w:r>
    </w:p>
    <w:p>
      <w:pPr>
        <w:pStyle w:val="TOC8"/>
        <w:rPr>
          <w:rFonts w:asciiTheme="minorHAnsi" w:eastAsiaTheme="minorEastAsia" w:hAnsiTheme="minorHAnsi" w:cstheme="minorBidi"/>
          <w:szCs w:val="22"/>
        </w:rPr>
      </w:pPr>
      <w:r>
        <w:t>29.</w:t>
      </w:r>
      <w:r>
        <w:tab/>
        <w:t>Classification of land</w:t>
      </w:r>
      <w:r>
        <w:tab/>
      </w:r>
      <w:r>
        <w:fldChar w:fldCharType="begin"/>
      </w:r>
      <w:r>
        <w:instrText xml:space="preserve"> PAGEREF _Toc426119787 \h </w:instrText>
      </w:r>
      <w:r>
        <w:fldChar w:fldCharType="separate"/>
      </w:r>
      <w:r>
        <w:t>51</w:t>
      </w:r>
      <w:r>
        <w:fldChar w:fldCharType="end"/>
      </w:r>
    </w:p>
    <w:p>
      <w:pPr>
        <w:pStyle w:val="TOC8"/>
        <w:rPr>
          <w:rFonts w:asciiTheme="minorHAnsi" w:eastAsiaTheme="minorEastAsia" w:hAnsiTheme="minorHAnsi" w:cstheme="minorBidi"/>
          <w:szCs w:val="22"/>
        </w:rPr>
      </w:pPr>
      <w:r>
        <w:t>30.</w:t>
      </w:r>
      <w:r>
        <w:tab/>
        <w:t>Declaration of drainage areas and transitional provision</w:t>
      </w:r>
      <w:r>
        <w:tab/>
      </w:r>
      <w:r>
        <w:fldChar w:fldCharType="begin"/>
      </w:r>
      <w:r>
        <w:instrText xml:space="preserve"> PAGEREF _Toc426119788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Irrigation</w:t>
      </w:r>
    </w:p>
    <w:p>
      <w:pPr>
        <w:pStyle w:val="TOC8"/>
        <w:rPr>
          <w:rFonts w:asciiTheme="minorHAnsi" w:eastAsiaTheme="minorEastAsia" w:hAnsiTheme="minorHAnsi" w:cstheme="minorBidi"/>
          <w:szCs w:val="22"/>
        </w:rPr>
      </w:pPr>
      <w:r>
        <w:t>31.</w:t>
      </w:r>
      <w:r>
        <w:tab/>
        <w:t>Land subject to irrigation charges</w:t>
      </w:r>
      <w:r>
        <w:tab/>
      </w:r>
      <w:r>
        <w:fldChar w:fldCharType="begin"/>
      </w:r>
      <w:r>
        <w:instrText xml:space="preserve"> PAGEREF _Toc426119790 \h </w:instrText>
      </w:r>
      <w:r>
        <w:fldChar w:fldCharType="separate"/>
      </w:r>
      <w:r>
        <w:t>53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Exempt land</w:t>
      </w:r>
      <w:r>
        <w:tab/>
      </w:r>
      <w:r>
        <w:fldChar w:fldCharType="begin"/>
      </w:r>
      <w:r>
        <w:instrText xml:space="preserve"> PAGEREF _Toc426119791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Charges for water supply, other than from certain irrigation works, for 2013/2014</w:t>
      </w:r>
    </w:p>
    <w:p>
      <w:pPr>
        <w:pStyle w:val="TOC4"/>
        <w:tabs>
          <w:tab w:val="right" w:leader="dot" w:pos="7077"/>
        </w:tabs>
        <w:rPr>
          <w:rFonts w:asciiTheme="minorHAnsi" w:eastAsiaTheme="minorEastAsia" w:hAnsiTheme="minorHAnsi" w:cstheme="minorBidi"/>
          <w:b w:val="0"/>
          <w:szCs w:val="22"/>
        </w:rPr>
      </w:pPr>
      <w:r>
        <w:t>Division 1</w:t>
      </w:r>
      <w:r>
        <w:rPr>
          <w:b w:val="0"/>
        </w:rPr>
        <w:t> — </w:t>
      </w:r>
      <w:r>
        <w:t>Fixed charges</w:t>
      </w:r>
    </w:p>
    <w:p>
      <w:pPr>
        <w:pStyle w:val="TOC8"/>
        <w:rPr>
          <w:rFonts w:asciiTheme="minorHAnsi" w:eastAsiaTheme="minorEastAsia" w:hAnsiTheme="minorHAnsi" w:cstheme="minorBidi"/>
          <w:szCs w:val="22"/>
        </w:rPr>
      </w:pPr>
      <w:r>
        <w:t>1.</w:t>
      </w:r>
      <w:r>
        <w:tab/>
        <w:t>Residential</w:t>
      </w:r>
      <w:r>
        <w:tab/>
      </w:r>
      <w:r>
        <w:fldChar w:fldCharType="begin"/>
      </w:r>
      <w:r>
        <w:instrText xml:space="preserve"> PAGEREF _Toc426119794 \h </w:instrText>
      </w:r>
      <w:r>
        <w:fldChar w:fldCharType="separate"/>
      </w:r>
      <w:r>
        <w:t>54</w:t>
      </w:r>
      <w:r>
        <w:fldChar w:fldCharType="end"/>
      </w:r>
    </w:p>
    <w:p>
      <w:pPr>
        <w:pStyle w:val="TOC8"/>
        <w:rPr>
          <w:rFonts w:asciiTheme="minorHAnsi" w:eastAsiaTheme="minorEastAsia" w:hAnsiTheme="minorHAnsi" w:cstheme="minorBidi"/>
          <w:szCs w:val="22"/>
        </w:rPr>
      </w:pPr>
      <w:r>
        <w:t>2</w:t>
      </w:r>
      <w:r>
        <w:rPr>
          <w:bCs/>
        </w:rPr>
        <w:t>.</w:t>
      </w:r>
      <w:r>
        <w:tab/>
        <w:t>Metropolitan</w:t>
      </w:r>
      <w:r>
        <w:rPr>
          <w:bCs/>
        </w:rPr>
        <w:t xml:space="preserve"> residential garden supply</w:t>
      </w:r>
      <w:r>
        <w:tab/>
      </w:r>
      <w:r>
        <w:fldChar w:fldCharType="begin"/>
      </w:r>
      <w:r>
        <w:instrText xml:space="preserve"> PAGEREF _Toc426119795 \h </w:instrText>
      </w:r>
      <w:r>
        <w:fldChar w:fldCharType="separate"/>
      </w:r>
      <w:r>
        <w:t>54</w:t>
      </w:r>
      <w:r>
        <w:fldChar w:fldCharType="end"/>
      </w:r>
    </w:p>
    <w:p>
      <w:pPr>
        <w:pStyle w:val="TOC8"/>
        <w:rPr>
          <w:rFonts w:asciiTheme="minorHAnsi" w:eastAsiaTheme="minorEastAsia" w:hAnsiTheme="minorHAnsi" w:cstheme="minorBidi"/>
          <w:szCs w:val="22"/>
        </w:rPr>
      </w:pPr>
      <w:r>
        <w:t>3</w:t>
      </w:r>
      <w:r>
        <w:rPr>
          <w:bCs/>
        </w:rPr>
        <w:t>.</w:t>
      </w:r>
      <w:r>
        <w:tab/>
      </w:r>
      <w:r>
        <w:rPr>
          <w:bCs/>
        </w:rPr>
        <w:t>Connected metropolitan exempt</w:t>
      </w:r>
      <w:r>
        <w:tab/>
      </w:r>
      <w:r>
        <w:fldChar w:fldCharType="begin"/>
      </w:r>
      <w:r>
        <w:instrText xml:space="preserve"> PAGEREF _Toc426119796 \h </w:instrText>
      </w:r>
      <w:r>
        <w:fldChar w:fldCharType="separate"/>
      </w:r>
      <w:r>
        <w:t>55</w:t>
      </w:r>
      <w:r>
        <w:fldChar w:fldCharType="end"/>
      </w:r>
    </w:p>
    <w:p>
      <w:pPr>
        <w:pStyle w:val="TOC8"/>
        <w:rPr>
          <w:rFonts w:asciiTheme="minorHAnsi" w:eastAsiaTheme="minorEastAsia" w:hAnsiTheme="minorHAnsi" w:cstheme="minorBidi"/>
          <w:szCs w:val="22"/>
        </w:rPr>
      </w:pPr>
      <w:r>
        <w:t>4.</w:t>
      </w:r>
      <w:r>
        <w:tab/>
        <w:t>Strata</w:t>
      </w:r>
      <w:r>
        <w:noBreakHyphen/>
        <w:t>titled (or long</w:t>
      </w:r>
      <w:r>
        <w:noBreakHyphen/>
        <w:t>term residential) caravan bays</w:t>
      </w:r>
      <w:r>
        <w:tab/>
      </w:r>
      <w:r>
        <w:fldChar w:fldCharType="begin"/>
      </w:r>
      <w:r>
        <w:instrText xml:space="preserve"> PAGEREF _Toc426119797 \h </w:instrText>
      </w:r>
      <w:r>
        <w:fldChar w:fldCharType="separate"/>
      </w:r>
      <w:r>
        <w:t>55</w:t>
      </w:r>
      <w:r>
        <w:fldChar w:fldCharType="end"/>
      </w:r>
    </w:p>
    <w:p>
      <w:pPr>
        <w:pStyle w:val="TOC8"/>
        <w:rPr>
          <w:rFonts w:asciiTheme="minorHAnsi" w:eastAsiaTheme="minorEastAsia" w:hAnsiTheme="minorHAnsi" w:cstheme="minorBidi"/>
          <w:szCs w:val="22"/>
        </w:rPr>
      </w:pPr>
      <w:r>
        <w:t>5</w:t>
      </w:r>
      <w:r>
        <w:rPr>
          <w:bCs/>
        </w:rPr>
        <w:t>.</w:t>
      </w:r>
      <w:r>
        <w:tab/>
        <w:t>Strata</w:t>
      </w:r>
      <w:r>
        <w:rPr>
          <w:bCs/>
        </w:rPr>
        <w:noBreakHyphen/>
        <w:t>titled storage unit and strata</w:t>
      </w:r>
      <w:r>
        <w:rPr>
          <w:bCs/>
        </w:rPr>
        <w:noBreakHyphen/>
        <w:t>titled parking bay</w:t>
      </w:r>
      <w:r>
        <w:tab/>
      </w:r>
      <w:r>
        <w:fldChar w:fldCharType="begin"/>
      </w:r>
      <w:r>
        <w:instrText xml:space="preserve"> PAGEREF _Toc426119798 \h </w:instrText>
      </w:r>
      <w:r>
        <w:fldChar w:fldCharType="separate"/>
      </w:r>
      <w:r>
        <w:t>56</w:t>
      </w:r>
      <w:r>
        <w:fldChar w:fldCharType="end"/>
      </w:r>
    </w:p>
    <w:p>
      <w:pPr>
        <w:pStyle w:val="TOC8"/>
        <w:rPr>
          <w:rFonts w:asciiTheme="minorHAnsi" w:eastAsiaTheme="minorEastAsia" w:hAnsiTheme="minorHAnsi" w:cstheme="minorBidi"/>
          <w:szCs w:val="22"/>
        </w:rPr>
      </w:pPr>
      <w:r>
        <w:t>6.</w:t>
      </w:r>
      <w:r>
        <w:tab/>
        <w:t>Non</w:t>
      </w:r>
      <w:r>
        <w:noBreakHyphen/>
        <w:t>residential strata</w:t>
      </w:r>
      <w:r>
        <w:noBreakHyphen/>
        <w:t>titled units that share a service</w:t>
      </w:r>
      <w:r>
        <w:tab/>
      </w:r>
      <w:r>
        <w:fldChar w:fldCharType="begin"/>
      </w:r>
      <w:r>
        <w:instrText xml:space="preserve"> PAGEREF _Toc426119799 \h </w:instrText>
      </w:r>
      <w:r>
        <w:fldChar w:fldCharType="separate"/>
      </w:r>
      <w:r>
        <w:t>56</w:t>
      </w:r>
      <w:r>
        <w:fldChar w:fldCharType="end"/>
      </w:r>
    </w:p>
    <w:p>
      <w:pPr>
        <w:pStyle w:val="TOC8"/>
        <w:rPr>
          <w:rFonts w:asciiTheme="minorHAnsi" w:eastAsiaTheme="minorEastAsia" w:hAnsiTheme="minorHAnsi" w:cstheme="minorBidi"/>
          <w:szCs w:val="22"/>
        </w:rPr>
      </w:pPr>
      <w:r>
        <w:t>7.</w:t>
      </w:r>
      <w:r>
        <w:tab/>
        <w:t>Community residential</w:t>
      </w:r>
      <w:r>
        <w:tab/>
      </w:r>
      <w:r>
        <w:fldChar w:fldCharType="begin"/>
      </w:r>
      <w:r>
        <w:instrText xml:space="preserve"> PAGEREF _Toc426119800 \h </w:instrText>
      </w:r>
      <w:r>
        <w:fldChar w:fldCharType="separate"/>
      </w:r>
      <w:r>
        <w:t>56</w:t>
      </w:r>
      <w:r>
        <w:fldChar w:fldCharType="end"/>
      </w:r>
    </w:p>
    <w:p>
      <w:pPr>
        <w:pStyle w:val="TOC8"/>
        <w:rPr>
          <w:rFonts w:asciiTheme="minorHAnsi" w:eastAsiaTheme="minorEastAsia" w:hAnsiTheme="minorHAnsi" w:cstheme="minorBidi"/>
          <w:szCs w:val="22"/>
        </w:rPr>
      </w:pPr>
      <w:r>
        <w:t>8.</w:t>
      </w:r>
      <w:r>
        <w:tab/>
        <w:t>Semi</w:t>
      </w:r>
      <w:r>
        <w:noBreakHyphen/>
        <w:t>rural residential</w:t>
      </w:r>
      <w:r>
        <w:tab/>
      </w:r>
      <w:r>
        <w:fldChar w:fldCharType="begin"/>
      </w:r>
      <w:r>
        <w:instrText xml:space="preserve"> PAGEREF _Toc426119801 \h </w:instrText>
      </w:r>
      <w:r>
        <w:fldChar w:fldCharType="separate"/>
      </w:r>
      <w:r>
        <w:t>56</w:t>
      </w:r>
      <w:r>
        <w:fldChar w:fldCharType="end"/>
      </w:r>
    </w:p>
    <w:p>
      <w:pPr>
        <w:pStyle w:val="TOC8"/>
        <w:rPr>
          <w:rFonts w:asciiTheme="minorHAnsi" w:eastAsiaTheme="minorEastAsia" w:hAnsiTheme="minorHAnsi" w:cstheme="minorBidi"/>
          <w:szCs w:val="22"/>
        </w:rPr>
      </w:pPr>
      <w:r>
        <w:t>9.</w:t>
      </w:r>
      <w:r>
        <w:tab/>
        <w:t>Connected non</w:t>
      </w:r>
      <w:r>
        <w:noBreakHyphen/>
        <w:t>metropolitan exempt</w:t>
      </w:r>
      <w:r>
        <w:tab/>
      </w:r>
      <w:r>
        <w:fldChar w:fldCharType="begin"/>
      </w:r>
      <w:r>
        <w:instrText xml:space="preserve"> PAGEREF _Toc426119802 \h </w:instrText>
      </w:r>
      <w:r>
        <w:fldChar w:fldCharType="separate"/>
      </w:r>
      <w:r>
        <w:t>56</w:t>
      </w:r>
      <w:r>
        <w:fldChar w:fldCharType="end"/>
      </w:r>
    </w:p>
    <w:p>
      <w:pPr>
        <w:pStyle w:val="TOC8"/>
        <w:rPr>
          <w:rFonts w:asciiTheme="minorHAnsi" w:eastAsiaTheme="minorEastAsia" w:hAnsiTheme="minorHAnsi" w:cstheme="minorBidi"/>
          <w:szCs w:val="22"/>
        </w:rPr>
      </w:pPr>
      <w:r>
        <w:t>10.</w:t>
      </w:r>
      <w:r>
        <w:tab/>
        <w:t>Non</w:t>
      </w:r>
      <w:r>
        <w:noBreakHyphen/>
        <w:t>metropolitan non</w:t>
      </w:r>
      <w:r>
        <w:noBreakHyphen/>
        <w:t>residential or commercial residential</w:t>
      </w:r>
      <w:r>
        <w:tab/>
      </w:r>
      <w:r>
        <w:fldChar w:fldCharType="begin"/>
      </w:r>
      <w:r>
        <w:instrText xml:space="preserve"> PAGEREF _Toc426119803 \h </w:instrText>
      </w:r>
      <w:r>
        <w:fldChar w:fldCharType="separate"/>
      </w:r>
      <w:r>
        <w:t>57</w:t>
      </w:r>
      <w:r>
        <w:fldChar w:fldCharType="end"/>
      </w:r>
    </w:p>
    <w:p>
      <w:pPr>
        <w:pStyle w:val="TOC8"/>
        <w:rPr>
          <w:rFonts w:asciiTheme="minorHAnsi" w:eastAsiaTheme="minorEastAsia" w:hAnsiTheme="minorHAnsi" w:cstheme="minorBidi"/>
          <w:szCs w:val="22"/>
        </w:rPr>
      </w:pPr>
      <w:r>
        <w:t>11.</w:t>
      </w:r>
      <w:r>
        <w:tab/>
        <w:t>Stock</w:t>
      </w:r>
      <w:r>
        <w:tab/>
      </w:r>
      <w:r>
        <w:fldChar w:fldCharType="begin"/>
      </w:r>
      <w:r>
        <w:instrText xml:space="preserve"> PAGEREF _Toc426119804 \h </w:instrText>
      </w:r>
      <w:r>
        <w:fldChar w:fldCharType="separate"/>
      </w:r>
      <w:r>
        <w:t>58</w:t>
      </w:r>
      <w:r>
        <w:fldChar w:fldCharType="end"/>
      </w:r>
    </w:p>
    <w:p>
      <w:pPr>
        <w:pStyle w:val="TOC8"/>
        <w:rPr>
          <w:rFonts w:asciiTheme="minorHAnsi" w:eastAsiaTheme="minorEastAsia" w:hAnsiTheme="minorHAnsi" w:cstheme="minorBidi"/>
          <w:szCs w:val="22"/>
        </w:rPr>
      </w:pPr>
      <w:r>
        <w:t>12.</w:t>
      </w:r>
      <w:r>
        <w:tab/>
        <w:t>Additional connections</w:t>
      </w:r>
      <w:r>
        <w:tab/>
      </w:r>
      <w:r>
        <w:fldChar w:fldCharType="begin"/>
      </w:r>
      <w:r>
        <w:instrText xml:space="preserve"> PAGEREF _Toc426119805 \h </w:instrText>
      </w:r>
      <w:r>
        <w:fldChar w:fldCharType="separate"/>
      </w:r>
      <w:r>
        <w:t>58</w:t>
      </w:r>
      <w:r>
        <w:fldChar w:fldCharType="end"/>
      </w:r>
    </w:p>
    <w:p>
      <w:pPr>
        <w:pStyle w:val="TOC8"/>
        <w:rPr>
          <w:rFonts w:asciiTheme="minorHAnsi" w:eastAsiaTheme="minorEastAsia" w:hAnsiTheme="minorHAnsi" w:cstheme="minorBidi"/>
          <w:szCs w:val="22"/>
        </w:rPr>
      </w:pPr>
      <w:r>
        <w:t>13.</w:t>
      </w:r>
      <w:r>
        <w:tab/>
        <w:t>Shipping (non</w:t>
      </w:r>
      <w:r>
        <w:noBreakHyphen/>
        <w:t>metropolitan)</w:t>
      </w:r>
      <w:r>
        <w:tab/>
      </w:r>
      <w:r>
        <w:fldChar w:fldCharType="begin"/>
      </w:r>
      <w:r>
        <w:instrText xml:space="preserve"> PAGEREF _Toc426119806 \h </w:instrText>
      </w:r>
      <w:r>
        <w:fldChar w:fldCharType="separate"/>
      </w:r>
      <w:r>
        <w:t>59</w:t>
      </w:r>
      <w:r>
        <w:fldChar w:fldCharType="end"/>
      </w:r>
    </w:p>
    <w:p>
      <w:pPr>
        <w:pStyle w:val="TOC8"/>
        <w:rPr>
          <w:rFonts w:asciiTheme="minorHAnsi" w:eastAsiaTheme="minorEastAsia" w:hAnsiTheme="minorHAnsi" w:cstheme="minorBidi"/>
          <w:szCs w:val="22"/>
        </w:rPr>
      </w:pPr>
      <w:r>
        <w:t>14.</w:t>
      </w:r>
      <w:r>
        <w:tab/>
        <w:t>Local government standpipes</w:t>
      </w:r>
      <w:r>
        <w:tab/>
      </w:r>
      <w:r>
        <w:fldChar w:fldCharType="begin"/>
      </w:r>
      <w:r>
        <w:instrText xml:space="preserve"> PAGEREF _Toc426119807 \h </w:instrText>
      </w:r>
      <w:r>
        <w:fldChar w:fldCharType="separate"/>
      </w:r>
      <w:r>
        <w:t>59</w:t>
      </w:r>
      <w:r>
        <w:fldChar w:fldCharType="end"/>
      </w:r>
    </w:p>
    <w:p>
      <w:pPr>
        <w:pStyle w:val="TOC8"/>
        <w:rPr>
          <w:rFonts w:asciiTheme="minorHAnsi" w:eastAsiaTheme="minorEastAsia" w:hAnsiTheme="minorHAnsi" w:cstheme="minorBidi"/>
          <w:szCs w:val="22"/>
        </w:rPr>
      </w:pPr>
      <w:r>
        <w:t>15.</w:t>
      </w:r>
      <w:r>
        <w:tab/>
        <w:t>Firefighting connections</w:t>
      </w:r>
      <w:r>
        <w:tab/>
      </w:r>
      <w:r>
        <w:fldChar w:fldCharType="begin"/>
      </w:r>
      <w:r>
        <w:instrText xml:space="preserve"> PAGEREF _Toc426119808 \h </w:instrText>
      </w:r>
      <w:r>
        <w:fldChar w:fldCharType="separate"/>
      </w:r>
      <w:r>
        <w:t>60</w:t>
      </w:r>
      <w:r>
        <w:fldChar w:fldCharType="end"/>
      </w:r>
    </w:p>
    <w:p>
      <w:pPr>
        <w:pStyle w:val="TOC8"/>
        <w:rPr>
          <w:rFonts w:asciiTheme="minorHAnsi" w:eastAsiaTheme="minorEastAsia" w:hAnsiTheme="minorHAnsi" w:cstheme="minorBidi"/>
          <w:szCs w:val="22"/>
        </w:rPr>
      </w:pPr>
      <w:r>
        <w:t>16.</w:t>
      </w:r>
      <w:r>
        <w:tab/>
        <w:t>Farmland</w:t>
      </w:r>
      <w:r>
        <w:tab/>
      </w:r>
      <w:r>
        <w:fldChar w:fldCharType="begin"/>
      </w:r>
      <w:r>
        <w:instrText xml:space="preserve"> PAGEREF _Toc426119809 \h </w:instrText>
      </w:r>
      <w:r>
        <w:fldChar w:fldCharType="separate"/>
      </w:r>
      <w:r>
        <w:t>60</w:t>
      </w:r>
      <w:r>
        <w:fldChar w:fldCharType="end"/>
      </w:r>
    </w:p>
    <w:p>
      <w:pPr>
        <w:pStyle w:val="TOC8"/>
        <w:rPr>
          <w:rFonts w:asciiTheme="minorHAnsi" w:eastAsiaTheme="minorEastAsia" w:hAnsiTheme="minorHAnsi" w:cstheme="minorBidi"/>
          <w:szCs w:val="22"/>
        </w:rPr>
      </w:pPr>
      <w:r>
        <w:t>17.</w:t>
      </w:r>
      <w:r>
        <w:tab/>
        <w:t>Metropolitan non</w:t>
      </w:r>
      <w:r>
        <w:noBreakHyphen/>
        <w:t>residential (except strata</w:t>
      </w:r>
      <w:r>
        <w:noBreakHyphen/>
        <w:t>titled units that share a service)</w:t>
      </w:r>
      <w:r>
        <w:tab/>
      </w:r>
      <w:r>
        <w:fldChar w:fldCharType="begin"/>
      </w:r>
      <w:r>
        <w:instrText xml:space="preserve"> PAGEREF _Toc426119810 \h </w:instrText>
      </w:r>
      <w:r>
        <w:fldChar w:fldCharType="separate"/>
      </w:r>
      <w:r>
        <w:t>60</w:t>
      </w:r>
      <w:r>
        <w:fldChar w:fldCharType="end"/>
      </w:r>
    </w:p>
    <w:p>
      <w:pPr>
        <w:pStyle w:val="TOC8"/>
        <w:rPr>
          <w:rFonts w:asciiTheme="minorHAnsi" w:eastAsiaTheme="minorEastAsia" w:hAnsiTheme="minorHAnsi" w:cstheme="minorBidi"/>
          <w:szCs w:val="22"/>
        </w:rPr>
      </w:pPr>
      <w:r>
        <w:t>18.</w:t>
      </w:r>
      <w:r>
        <w:tab/>
        <w:t>Vacant land</w:t>
      </w:r>
      <w:r>
        <w:tab/>
      </w:r>
      <w:r>
        <w:fldChar w:fldCharType="begin"/>
      </w:r>
      <w:r>
        <w:instrText xml:space="preserve"> PAGEREF _Toc426119811 \h </w:instrText>
      </w:r>
      <w:r>
        <w:fldChar w:fldCharType="separate"/>
      </w:r>
      <w:r>
        <w:t>60</w:t>
      </w:r>
      <w:r>
        <w:fldChar w:fldCharType="end"/>
      </w:r>
    </w:p>
    <w:p>
      <w:pPr>
        <w:pStyle w:val="TOC8"/>
        <w:rPr>
          <w:rFonts w:asciiTheme="minorHAnsi" w:eastAsiaTheme="minorEastAsia" w:hAnsiTheme="minorHAnsi" w:cstheme="minorBidi"/>
          <w:szCs w:val="22"/>
        </w:rPr>
      </w:pPr>
      <w:r>
        <w:t>19.</w:t>
      </w:r>
      <w:r>
        <w:tab/>
        <w:t>Garden supply for metropolitan vacant land</w:t>
      </w:r>
      <w:r>
        <w:tab/>
      </w:r>
      <w:r>
        <w:fldChar w:fldCharType="begin"/>
      </w:r>
      <w:r>
        <w:instrText xml:space="preserve"> PAGEREF _Toc426119812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Quantity charges</w:t>
      </w:r>
    </w:p>
    <w:p>
      <w:pPr>
        <w:pStyle w:val="TOC8"/>
        <w:rPr>
          <w:rFonts w:asciiTheme="minorHAnsi" w:eastAsiaTheme="minorEastAsia" w:hAnsiTheme="minorHAnsi" w:cstheme="minorBidi"/>
          <w:szCs w:val="22"/>
        </w:rPr>
      </w:pPr>
      <w:r>
        <w:t>20.</w:t>
      </w:r>
      <w:r>
        <w:tab/>
        <w:t>Metropolitan residential</w:t>
      </w:r>
      <w:r>
        <w:tab/>
      </w:r>
      <w:r>
        <w:fldChar w:fldCharType="begin"/>
      </w:r>
      <w:r>
        <w:instrText xml:space="preserve"> PAGEREF _Toc426119814 \h </w:instrText>
      </w:r>
      <w:r>
        <w:fldChar w:fldCharType="separate"/>
      </w:r>
      <w:r>
        <w:t>61</w:t>
      </w:r>
      <w:r>
        <w:fldChar w:fldCharType="end"/>
      </w:r>
    </w:p>
    <w:p>
      <w:pPr>
        <w:pStyle w:val="TOC8"/>
        <w:rPr>
          <w:rFonts w:asciiTheme="minorHAnsi" w:eastAsiaTheme="minorEastAsia" w:hAnsiTheme="minorHAnsi" w:cstheme="minorBidi"/>
          <w:szCs w:val="22"/>
        </w:rPr>
      </w:pPr>
      <w:r>
        <w:t>21</w:t>
      </w:r>
      <w:r>
        <w:rPr>
          <w:bCs/>
        </w:rPr>
        <w:t>.</w:t>
      </w:r>
      <w:r>
        <w:tab/>
        <w:t>Metropolitan</w:t>
      </w:r>
      <w:r>
        <w:rPr>
          <w:bCs/>
        </w:rPr>
        <w:t xml:space="preserve"> semi</w:t>
      </w:r>
      <w:r>
        <w:rPr>
          <w:bCs/>
        </w:rPr>
        <w:noBreakHyphen/>
        <w:t>rural residential</w:t>
      </w:r>
      <w:r>
        <w:tab/>
      </w:r>
      <w:r>
        <w:fldChar w:fldCharType="begin"/>
      </w:r>
      <w:r>
        <w:instrText xml:space="preserve"> PAGEREF _Toc426119815 \h </w:instrText>
      </w:r>
      <w:r>
        <w:fldChar w:fldCharType="separate"/>
      </w:r>
      <w:r>
        <w:t>62</w:t>
      </w:r>
      <w:r>
        <w:fldChar w:fldCharType="end"/>
      </w:r>
    </w:p>
    <w:p>
      <w:pPr>
        <w:pStyle w:val="TOC8"/>
        <w:rPr>
          <w:rFonts w:asciiTheme="minorHAnsi" w:eastAsiaTheme="minorEastAsia" w:hAnsiTheme="minorHAnsi" w:cstheme="minorBidi"/>
          <w:szCs w:val="22"/>
        </w:rPr>
      </w:pPr>
      <w:r>
        <w:t>22.</w:t>
      </w:r>
      <w:r>
        <w:tab/>
        <w:t>Non</w:t>
      </w:r>
      <w:r>
        <w:noBreakHyphen/>
        <w:t>metropolitan residential</w:t>
      </w:r>
      <w:r>
        <w:tab/>
      </w:r>
      <w:r>
        <w:fldChar w:fldCharType="begin"/>
      </w:r>
      <w:r>
        <w:instrText xml:space="preserve"> PAGEREF _Toc426119816 \h </w:instrText>
      </w:r>
      <w:r>
        <w:fldChar w:fldCharType="separate"/>
      </w:r>
      <w:r>
        <w:t>62</w:t>
      </w:r>
      <w:r>
        <w:fldChar w:fldCharType="end"/>
      </w:r>
    </w:p>
    <w:p>
      <w:pPr>
        <w:pStyle w:val="TOC8"/>
        <w:rPr>
          <w:rFonts w:asciiTheme="minorHAnsi" w:eastAsiaTheme="minorEastAsia" w:hAnsiTheme="minorHAnsi" w:cstheme="minorBidi"/>
          <w:szCs w:val="22"/>
        </w:rPr>
      </w:pPr>
      <w:r>
        <w:t>23.</w:t>
      </w:r>
      <w:r>
        <w:tab/>
        <w:t>Community residential</w:t>
      </w:r>
      <w:r>
        <w:tab/>
      </w:r>
      <w:r>
        <w:fldChar w:fldCharType="begin"/>
      </w:r>
      <w:r>
        <w:instrText xml:space="preserve"> PAGEREF _Toc426119817 \h </w:instrText>
      </w:r>
      <w:r>
        <w:fldChar w:fldCharType="separate"/>
      </w:r>
      <w:r>
        <w:t>63</w:t>
      </w:r>
      <w:r>
        <w:fldChar w:fldCharType="end"/>
      </w:r>
    </w:p>
    <w:p>
      <w:pPr>
        <w:pStyle w:val="TOC8"/>
        <w:rPr>
          <w:rFonts w:asciiTheme="minorHAnsi" w:eastAsiaTheme="minorEastAsia" w:hAnsiTheme="minorHAnsi" w:cstheme="minorBidi"/>
          <w:szCs w:val="22"/>
        </w:rPr>
      </w:pPr>
      <w:r>
        <w:t>24.</w:t>
      </w:r>
      <w:r>
        <w:tab/>
        <w:t>Metropolitan non</w:t>
      </w:r>
      <w:r>
        <w:noBreakHyphen/>
        <w:t>residential</w:t>
      </w:r>
      <w:r>
        <w:tab/>
      </w:r>
      <w:r>
        <w:fldChar w:fldCharType="begin"/>
      </w:r>
      <w:r>
        <w:instrText xml:space="preserve"> PAGEREF _Toc426119818 \h </w:instrText>
      </w:r>
      <w:r>
        <w:fldChar w:fldCharType="separate"/>
      </w:r>
      <w:r>
        <w:t>64</w:t>
      </w:r>
      <w:r>
        <w:fldChar w:fldCharType="end"/>
      </w:r>
    </w:p>
    <w:p>
      <w:pPr>
        <w:pStyle w:val="TOC8"/>
        <w:rPr>
          <w:rFonts w:asciiTheme="minorHAnsi" w:eastAsiaTheme="minorEastAsia" w:hAnsiTheme="minorHAnsi" w:cstheme="minorBidi"/>
          <w:szCs w:val="22"/>
        </w:rPr>
      </w:pPr>
      <w:r>
        <w:t>25.</w:t>
      </w:r>
      <w:r>
        <w:tab/>
        <w:t>Connected metropolitan exempt</w:t>
      </w:r>
      <w:r>
        <w:tab/>
      </w:r>
      <w:r>
        <w:fldChar w:fldCharType="begin"/>
      </w:r>
      <w:r>
        <w:instrText xml:space="preserve"> PAGEREF _Toc426119819 \h </w:instrText>
      </w:r>
      <w:r>
        <w:fldChar w:fldCharType="separate"/>
      </w:r>
      <w:r>
        <w:t>65</w:t>
      </w:r>
      <w:r>
        <w:fldChar w:fldCharType="end"/>
      </w:r>
    </w:p>
    <w:p>
      <w:pPr>
        <w:pStyle w:val="TOC8"/>
        <w:rPr>
          <w:rFonts w:asciiTheme="minorHAnsi" w:eastAsiaTheme="minorEastAsia" w:hAnsiTheme="minorHAnsi" w:cstheme="minorBidi"/>
          <w:szCs w:val="22"/>
        </w:rPr>
      </w:pPr>
      <w:r>
        <w:t>26.</w:t>
      </w:r>
      <w:r>
        <w:tab/>
        <w:t>Connected non</w:t>
      </w:r>
      <w:r>
        <w:noBreakHyphen/>
        <w:t>metropolitan residential exempt</w:t>
      </w:r>
      <w:r>
        <w:tab/>
      </w:r>
      <w:r>
        <w:fldChar w:fldCharType="begin"/>
      </w:r>
      <w:r>
        <w:instrText xml:space="preserve"> PAGEREF _Toc426119820 \h </w:instrText>
      </w:r>
      <w:r>
        <w:fldChar w:fldCharType="separate"/>
      </w:r>
      <w:r>
        <w:t>65</w:t>
      </w:r>
      <w:r>
        <w:fldChar w:fldCharType="end"/>
      </w:r>
    </w:p>
    <w:p>
      <w:pPr>
        <w:pStyle w:val="TOC8"/>
        <w:rPr>
          <w:rFonts w:asciiTheme="minorHAnsi" w:eastAsiaTheme="minorEastAsia" w:hAnsiTheme="minorHAnsi" w:cstheme="minorBidi"/>
          <w:szCs w:val="22"/>
        </w:rPr>
      </w:pPr>
      <w:r>
        <w:t>27.</w:t>
      </w:r>
      <w:r>
        <w:tab/>
        <w:t>Non</w:t>
      </w:r>
      <w:r>
        <w:noBreakHyphen/>
        <w:t>metropolitan non</w:t>
      </w:r>
      <w:r>
        <w:noBreakHyphen/>
        <w:t>residential</w:t>
      </w:r>
      <w:r>
        <w:tab/>
      </w:r>
      <w:r>
        <w:fldChar w:fldCharType="begin"/>
      </w:r>
      <w:r>
        <w:instrText xml:space="preserve"> PAGEREF _Toc426119821 \h </w:instrText>
      </w:r>
      <w:r>
        <w:fldChar w:fldCharType="separate"/>
      </w:r>
      <w:r>
        <w:t>65</w:t>
      </w:r>
      <w:r>
        <w:fldChar w:fldCharType="end"/>
      </w:r>
    </w:p>
    <w:p>
      <w:pPr>
        <w:pStyle w:val="TOC8"/>
        <w:rPr>
          <w:rFonts w:asciiTheme="minorHAnsi" w:eastAsiaTheme="minorEastAsia" w:hAnsiTheme="minorHAnsi" w:cstheme="minorBidi"/>
          <w:szCs w:val="22"/>
        </w:rPr>
      </w:pPr>
      <w:r>
        <w:t>28.</w:t>
      </w:r>
      <w:r>
        <w:tab/>
        <w:t>Coral Bay desalinated</w:t>
      </w:r>
      <w:r>
        <w:tab/>
      </w:r>
      <w:r>
        <w:fldChar w:fldCharType="begin"/>
      </w:r>
      <w:r>
        <w:instrText xml:space="preserve"> PAGEREF _Toc426119822 \h </w:instrText>
      </w:r>
      <w:r>
        <w:fldChar w:fldCharType="separate"/>
      </w:r>
      <w:r>
        <w:t>67</w:t>
      </w:r>
      <w:r>
        <w:fldChar w:fldCharType="end"/>
      </w:r>
    </w:p>
    <w:p>
      <w:pPr>
        <w:pStyle w:val="TOC8"/>
        <w:rPr>
          <w:rFonts w:asciiTheme="minorHAnsi" w:eastAsiaTheme="minorEastAsia" w:hAnsiTheme="minorHAnsi" w:cstheme="minorBidi"/>
          <w:szCs w:val="22"/>
        </w:rPr>
      </w:pPr>
      <w:r>
        <w:t>29.</w:t>
      </w:r>
      <w:r>
        <w:tab/>
        <w:t>Denham desalinated</w:t>
      </w:r>
      <w:r>
        <w:tab/>
      </w:r>
      <w:r>
        <w:fldChar w:fldCharType="begin"/>
      </w:r>
      <w:r>
        <w:instrText xml:space="preserve"> PAGEREF _Toc426119823 \h </w:instrText>
      </w:r>
      <w:r>
        <w:fldChar w:fldCharType="separate"/>
      </w:r>
      <w:r>
        <w:t>67</w:t>
      </w:r>
      <w:r>
        <w:fldChar w:fldCharType="end"/>
      </w:r>
    </w:p>
    <w:p>
      <w:pPr>
        <w:pStyle w:val="TOC8"/>
        <w:rPr>
          <w:rFonts w:asciiTheme="minorHAnsi" w:eastAsiaTheme="minorEastAsia" w:hAnsiTheme="minorHAnsi" w:cstheme="minorBidi"/>
          <w:szCs w:val="22"/>
        </w:rPr>
      </w:pPr>
      <w:r>
        <w:t>30.</w:t>
      </w:r>
      <w:r>
        <w:tab/>
        <w:t>Local government standpipes</w:t>
      </w:r>
      <w:r>
        <w:tab/>
      </w:r>
      <w:r>
        <w:fldChar w:fldCharType="begin"/>
      </w:r>
      <w:r>
        <w:instrText xml:space="preserve"> PAGEREF _Toc426119824 \h </w:instrText>
      </w:r>
      <w:r>
        <w:fldChar w:fldCharType="separate"/>
      </w:r>
      <w:r>
        <w:t>68</w:t>
      </w:r>
      <w:r>
        <w:fldChar w:fldCharType="end"/>
      </w:r>
    </w:p>
    <w:p>
      <w:pPr>
        <w:pStyle w:val="TOC8"/>
        <w:rPr>
          <w:rFonts w:asciiTheme="minorHAnsi" w:eastAsiaTheme="minorEastAsia" w:hAnsiTheme="minorHAnsi" w:cstheme="minorBidi"/>
          <w:szCs w:val="22"/>
        </w:rPr>
      </w:pPr>
      <w:r>
        <w:t>31.</w:t>
      </w:r>
      <w:r>
        <w:tab/>
        <w:t>Shipping</w:t>
      </w:r>
      <w:r>
        <w:tab/>
      </w:r>
      <w:r>
        <w:fldChar w:fldCharType="begin"/>
      </w:r>
      <w:r>
        <w:instrText xml:space="preserve"> PAGEREF _Toc426119825 \h </w:instrText>
      </w:r>
      <w:r>
        <w:fldChar w:fldCharType="separate"/>
      </w:r>
      <w:r>
        <w:t>68</w:t>
      </w:r>
      <w:r>
        <w:fldChar w:fldCharType="end"/>
      </w:r>
    </w:p>
    <w:p>
      <w:pPr>
        <w:pStyle w:val="TOC8"/>
        <w:rPr>
          <w:rFonts w:asciiTheme="minorHAnsi" w:eastAsiaTheme="minorEastAsia" w:hAnsiTheme="minorHAnsi" w:cstheme="minorBidi"/>
          <w:szCs w:val="22"/>
        </w:rPr>
      </w:pPr>
      <w:r>
        <w:t>32.</w:t>
      </w:r>
      <w:r>
        <w:tab/>
        <w:t>Stock</w:t>
      </w:r>
      <w:r>
        <w:tab/>
      </w:r>
      <w:r>
        <w:fldChar w:fldCharType="begin"/>
      </w:r>
      <w:r>
        <w:instrText xml:space="preserve"> PAGEREF _Toc426119826 \h </w:instrText>
      </w:r>
      <w:r>
        <w:fldChar w:fldCharType="separate"/>
      </w:r>
      <w:r>
        <w:t>69</w:t>
      </w:r>
      <w:r>
        <w:fldChar w:fldCharType="end"/>
      </w:r>
    </w:p>
    <w:p>
      <w:pPr>
        <w:pStyle w:val="TOC8"/>
        <w:rPr>
          <w:rFonts w:asciiTheme="minorHAnsi" w:eastAsiaTheme="minorEastAsia" w:hAnsiTheme="minorHAnsi" w:cstheme="minorBidi"/>
          <w:szCs w:val="22"/>
        </w:rPr>
      </w:pPr>
      <w:r>
        <w:t>33.</w:t>
      </w:r>
      <w:r>
        <w:tab/>
        <w:t>Building</w:t>
      </w:r>
      <w:r>
        <w:tab/>
      </w:r>
      <w:r>
        <w:fldChar w:fldCharType="begin"/>
      </w:r>
      <w:r>
        <w:instrText xml:space="preserve"> PAGEREF _Toc426119827 \h </w:instrText>
      </w:r>
      <w:r>
        <w:fldChar w:fldCharType="separate"/>
      </w:r>
      <w:r>
        <w:t>69</w:t>
      </w:r>
      <w:r>
        <w:fldChar w:fldCharType="end"/>
      </w:r>
    </w:p>
    <w:p>
      <w:pPr>
        <w:pStyle w:val="TOC8"/>
        <w:rPr>
          <w:rFonts w:asciiTheme="minorHAnsi" w:eastAsiaTheme="minorEastAsia" w:hAnsiTheme="minorHAnsi" w:cstheme="minorBidi"/>
          <w:szCs w:val="22"/>
        </w:rPr>
      </w:pPr>
      <w:r>
        <w:t>34.</w:t>
      </w:r>
      <w:r>
        <w:tab/>
        <w:t>Metropolitan hydrant standpipes</w:t>
      </w:r>
      <w:r>
        <w:tab/>
      </w:r>
      <w:r>
        <w:fldChar w:fldCharType="begin"/>
      </w:r>
      <w:r>
        <w:instrText xml:space="preserve"> PAGEREF _Toc426119828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Formula for the purposes of by</w:t>
      </w:r>
      <w:r>
        <w:noBreakHyphen/>
        <w:t>law 17(3)</w:t>
      </w:r>
    </w:p>
    <w:p>
      <w:pPr>
        <w:pStyle w:val="TOC8"/>
        <w:rPr>
          <w:rFonts w:asciiTheme="minorHAnsi" w:eastAsiaTheme="minorEastAsia" w:hAnsiTheme="minorHAnsi" w:cstheme="minorBidi"/>
          <w:szCs w:val="22"/>
        </w:rPr>
      </w:pPr>
      <w:r>
        <w:t>35.</w:t>
      </w:r>
      <w:r>
        <w:tab/>
        <w:t>Formula for the purposes of by</w:t>
      </w:r>
      <w:r>
        <w:noBreakHyphen/>
        <w:t>law 17(3)</w:t>
      </w:r>
      <w:r>
        <w:tab/>
      </w:r>
      <w:r>
        <w:fldChar w:fldCharType="begin"/>
      </w:r>
      <w:r>
        <w:instrText xml:space="preserve"> PAGEREF _Toc426119830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Capital infrastructure charges determined under by</w:t>
      </w:r>
      <w:r>
        <w:noBreakHyphen/>
        <w:t>law 19A</w:t>
      </w:r>
    </w:p>
    <w:p>
      <w:pPr>
        <w:pStyle w:val="TOC8"/>
        <w:rPr>
          <w:rFonts w:asciiTheme="minorHAnsi" w:eastAsiaTheme="minorEastAsia" w:hAnsiTheme="minorHAnsi" w:cstheme="minorBidi"/>
          <w:szCs w:val="22"/>
        </w:rPr>
      </w:pPr>
      <w:r>
        <w:t>36.</w:t>
      </w:r>
      <w:r>
        <w:tab/>
        <w:t>Capital infrastructure charges determined under by</w:t>
      </w:r>
      <w:r>
        <w:noBreakHyphen/>
        <w:t>law 19A</w:t>
      </w:r>
      <w:r>
        <w:tab/>
      </w:r>
      <w:r>
        <w:fldChar w:fldCharType="begin"/>
      </w:r>
      <w:r>
        <w:instrText xml:space="preserve"> PAGEREF _Toc426119832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2 — Charges for water supply from certain irrigation works, other than for irrigation, for 2013/2014</w:t>
      </w:r>
    </w:p>
    <w:p>
      <w:pPr>
        <w:pStyle w:val="TOC8"/>
        <w:rPr>
          <w:rFonts w:asciiTheme="minorHAnsi" w:eastAsiaTheme="minorEastAsia" w:hAnsiTheme="minorHAnsi" w:cstheme="minorBidi"/>
          <w:szCs w:val="22"/>
        </w:rPr>
      </w:pPr>
      <w:r>
        <w:t>1.</w:t>
      </w:r>
      <w:r>
        <w:tab/>
        <w:t>Supply other than for stock</w:t>
      </w:r>
      <w:r>
        <w:noBreakHyphen/>
        <w:t>water or dust prevention</w:t>
      </w:r>
      <w:r>
        <w:tab/>
      </w:r>
      <w:r>
        <w:fldChar w:fldCharType="begin"/>
      </w:r>
      <w:r>
        <w:instrText xml:space="preserve"> PAGEREF _Toc426119834 \h </w:instrText>
      </w:r>
      <w:r>
        <w:fldChar w:fldCharType="separate"/>
      </w:r>
      <w:r>
        <w:t>72</w:t>
      </w:r>
      <w:r>
        <w:fldChar w:fldCharType="end"/>
      </w:r>
    </w:p>
    <w:p>
      <w:pPr>
        <w:pStyle w:val="TOC8"/>
        <w:rPr>
          <w:rFonts w:asciiTheme="minorHAnsi" w:eastAsiaTheme="minorEastAsia" w:hAnsiTheme="minorHAnsi" w:cstheme="minorBidi"/>
          <w:szCs w:val="22"/>
        </w:rPr>
      </w:pPr>
      <w:r>
        <w:t>2.</w:t>
      </w:r>
      <w:r>
        <w:tab/>
        <w:t>Supply for stock</w:t>
      </w:r>
      <w:r>
        <w:noBreakHyphen/>
        <w:t>water or dust prevention</w:t>
      </w:r>
      <w:r>
        <w:tab/>
      </w:r>
      <w:r>
        <w:fldChar w:fldCharType="begin"/>
      </w:r>
      <w:r>
        <w:instrText xml:space="preserve"> PAGEREF _Toc426119835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3 — Charges for sewerage for 2013/2014</w:t>
      </w:r>
    </w:p>
    <w:p>
      <w:pPr>
        <w:pStyle w:val="TOC4"/>
        <w:tabs>
          <w:tab w:val="right" w:leader="dot" w:pos="7077"/>
        </w:tabs>
        <w:rPr>
          <w:rFonts w:asciiTheme="minorHAnsi" w:eastAsiaTheme="minorEastAsia" w:hAnsiTheme="minorHAnsi" w:cstheme="minorBidi"/>
          <w:b w:val="0"/>
          <w:szCs w:val="22"/>
        </w:rPr>
      </w:pPr>
      <w:r>
        <w:t>Division 1</w:t>
      </w:r>
      <w:r>
        <w:rPr>
          <w:b w:val="0"/>
        </w:rPr>
        <w:t> — </w:t>
      </w:r>
      <w:r>
        <w:t>Fixed charges</w:t>
      </w:r>
    </w:p>
    <w:p>
      <w:pPr>
        <w:pStyle w:val="TOC8"/>
        <w:rPr>
          <w:rFonts w:asciiTheme="minorHAnsi" w:eastAsiaTheme="minorEastAsia" w:hAnsiTheme="minorHAnsi" w:cstheme="minorBidi"/>
          <w:szCs w:val="22"/>
        </w:rPr>
      </w:pPr>
      <w:r>
        <w:t>1.</w:t>
      </w:r>
      <w:r>
        <w:tab/>
        <w:t>Connected metropolitan exempt</w:t>
      </w:r>
      <w:r>
        <w:tab/>
      </w:r>
      <w:r>
        <w:fldChar w:fldCharType="begin"/>
      </w:r>
      <w:r>
        <w:instrText xml:space="preserve"> PAGEREF _Toc426119838 \h </w:instrText>
      </w:r>
      <w:r>
        <w:fldChar w:fldCharType="separate"/>
      </w:r>
      <w:r>
        <w:t>73</w:t>
      </w:r>
      <w:r>
        <w:fldChar w:fldCharType="end"/>
      </w:r>
    </w:p>
    <w:p>
      <w:pPr>
        <w:pStyle w:val="TOC8"/>
        <w:rPr>
          <w:rFonts w:asciiTheme="minorHAnsi" w:eastAsiaTheme="minorEastAsia" w:hAnsiTheme="minorHAnsi" w:cstheme="minorBidi"/>
          <w:szCs w:val="22"/>
        </w:rPr>
      </w:pPr>
      <w:r>
        <w:t>2.</w:t>
      </w:r>
      <w:r>
        <w:tab/>
        <w:t>Connected country exempt</w:t>
      </w:r>
      <w:r>
        <w:tab/>
      </w:r>
      <w:r>
        <w:fldChar w:fldCharType="begin"/>
      </w:r>
      <w:r>
        <w:instrText xml:space="preserve"> PAGEREF _Toc426119839 \h </w:instrText>
      </w:r>
      <w:r>
        <w:fldChar w:fldCharType="separate"/>
      </w:r>
      <w:r>
        <w:t>73</w:t>
      </w:r>
      <w:r>
        <w:fldChar w:fldCharType="end"/>
      </w:r>
    </w:p>
    <w:p>
      <w:pPr>
        <w:pStyle w:val="TOC8"/>
        <w:rPr>
          <w:rFonts w:asciiTheme="minorHAnsi" w:eastAsiaTheme="minorEastAsia" w:hAnsiTheme="minorHAnsi" w:cstheme="minorBidi"/>
          <w:szCs w:val="22"/>
        </w:rPr>
      </w:pPr>
      <w:r>
        <w:t>3.</w:t>
      </w:r>
      <w:r>
        <w:tab/>
        <w:t>Strata</w:t>
      </w:r>
      <w:r>
        <w:noBreakHyphen/>
        <w:t>titled caravan bay</w:t>
      </w:r>
      <w:r>
        <w:tab/>
      </w:r>
      <w:r>
        <w:fldChar w:fldCharType="begin"/>
      </w:r>
      <w:r>
        <w:instrText xml:space="preserve"> PAGEREF _Toc426119840 \h </w:instrText>
      </w:r>
      <w:r>
        <w:fldChar w:fldCharType="separate"/>
      </w:r>
      <w:r>
        <w:t>74</w:t>
      </w:r>
      <w:r>
        <w:fldChar w:fldCharType="end"/>
      </w:r>
    </w:p>
    <w:p>
      <w:pPr>
        <w:pStyle w:val="TOC8"/>
        <w:rPr>
          <w:rFonts w:asciiTheme="minorHAnsi" w:eastAsiaTheme="minorEastAsia" w:hAnsiTheme="minorHAnsi" w:cstheme="minorBidi"/>
          <w:szCs w:val="22"/>
        </w:rPr>
      </w:pPr>
      <w:r>
        <w:t>4.</w:t>
      </w:r>
      <w:r>
        <w:tab/>
        <w:t>Strata</w:t>
      </w:r>
      <w:r>
        <w:noBreakHyphen/>
        <w:t>titled storage unit and strata</w:t>
      </w:r>
      <w:r>
        <w:noBreakHyphen/>
        <w:t>titled parking bay</w:t>
      </w:r>
      <w:r>
        <w:tab/>
      </w:r>
      <w:r>
        <w:fldChar w:fldCharType="begin"/>
      </w:r>
      <w:r>
        <w:instrText xml:space="preserve"> PAGEREF _Toc426119841 \h </w:instrText>
      </w:r>
      <w:r>
        <w:fldChar w:fldCharType="separate"/>
      </w:r>
      <w:r>
        <w:t>74</w:t>
      </w:r>
      <w:r>
        <w:fldChar w:fldCharType="end"/>
      </w:r>
    </w:p>
    <w:p>
      <w:pPr>
        <w:pStyle w:val="TOC8"/>
        <w:rPr>
          <w:rFonts w:asciiTheme="minorHAnsi" w:eastAsiaTheme="minorEastAsia" w:hAnsiTheme="minorHAnsi" w:cstheme="minorBidi"/>
          <w:szCs w:val="22"/>
        </w:rPr>
      </w:pPr>
      <w:r>
        <w:t>5.</w:t>
      </w:r>
      <w:r>
        <w:tab/>
        <w:t>Non</w:t>
      </w:r>
      <w:r>
        <w:noBreakHyphen/>
        <w:t>residential strata</w:t>
      </w:r>
      <w:r>
        <w:noBreakHyphen/>
        <w:t>titled unit (except a storage unit or parking bay)</w:t>
      </w:r>
      <w:r>
        <w:tab/>
      </w:r>
      <w:r>
        <w:fldChar w:fldCharType="begin"/>
      </w:r>
      <w:r>
        <w:instrText xml:space="preserve"> PAGEREF _Toc426119842 \h </w:instrText>
      </w:r>
      <w:r>
        <w:fldChar w:fldCharType="separate"/>
      </w:r>
      <w:r>
        <w:t>74</w:t>
      </w:r>
      <w:r>
        <w:fldChar w:fldCharType="end"/>
      </w:r>
    </w:p>
    <w:p>
      <w:pPr>
        <w:pStyle w:val="TOC8"/>
        <w:rPr>
          <w:rFonts w:asciiTheme="minorHAnsi" w:eastAsiaTheme="minorEastAsia" w:hAnsiTheme="minorHAnsi" w:cstheme="minorBidi"/>
          <w:szCs w:val="22"/>
        </w:rPr>
      </w:pPr>
      <w:r>
        <w:t>6.</w:t>
      </w:r>
      <w:r>
        <w:tab/>
        <w:t>Land from which trade waste is discharged into a sewer of the Corporation</w:t>
      </w:r>
      <w:r>
        <w:tab/>
      </w:r>
      <w:r>
        <w:fldChar w:fldCharType="begin"/>
      </w:r>
      <w:r>
        <w:instrText xml:space="preserve"> PAGEREF _Toc426119843 \h </w:instrText>
      </w:r>
      <w:r>
        <w:fldChar w:fldCharType="separate"/>
      </w:r>
      <w:r>
        <w:t>75</w:t>
      </w:r>
      <w:r>
        <w:fldChar w:fldCharType="end"/>
      </w:r>
    </w:p>
    <w:p>
      <w:pPr>
        <w:pStyle w:val="TOC8"/>
        <w:rPr>
          <w:rFonts w:asciiTheme="minorHAnsi" w:eastAsiaTheme="minorEastAsia" w:hAnsiTheme="minorHAnsi" w:cstheme="minorBidi"/>
          <w:szCs w:val="22"/>
        </w:rPr>
      </w:pPr>
      <w:r>
        <w:t>7.</w:t>
      </w:r>
      <w:r>
        <w:tab/>
        <w:t>Land from which trade waste is discharged into a sewer of the Corporation through grease arrestor</w:t>
      </w:r>
      <w:r>
        <w:tab/>
      </w:r>
      <w:r>
        <w:fldChar w:fldCharType="begin"/>
      </w:r>
      <w:r>
        <w:instrText xml:space="preserve"> PAGEREF _Toc426119844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Variable charges and charges by way of a rate</w:t>
      </w:r>
    </w:p>
    <w:p>
      <w:pPr>
        <w:pStyle w:val="TOC8"/>
        <w:rPr>
          <w:rFonts w:asciiTheme="minorHAnsi" w:eastAsiaTheme="minorEastAsia" w:hAnsiTheme="minorHAnsi" w:cstheme="minorBidi"/>
          <w:szCs w:val="22"/>
        </w:rPr>
      </w:pPr>
      <w:r>
        <w:t>8.</w:t>
      </w:r>
      <w:r>
        <w:tab/>
        <w:t>Metropolitan residential</w:t>
      </w:r>
      <w:r>
        <w:tab/>
      </w:r>
      <w:r>
        <w:fldChar w:fldCharType="begin"/>
      </w:r>
      <w:r>
        <w:instrText xml:space="preserve"> PAGEREF _Toc426119846 \h </w:instrText>
      </w:r>
      <w:r>
        <w:fldChar w:fldCharType="separate"/>
      </w:r>
      <w:r>
        <w:t>76</w:t>
      </w:r>
      <w:r>
        <w:fldChar w:fldCharType="end"/>
      </w:r>
    </w:p>
    <w:p>
      <w:pPr>
        <w:pStyle w:val="TOC8"/>
        <w:rPr>
          <w:rFonts w:asciiTheme="minorHAnsi" w:eastAsiaTheme="minorEastAsia" w:hAnsiTheme="minorHAnsi" w:cstheme="minorBidi"/>
          <w:szCs w:val="22"/>
        </w:rPr>
      </w:pPr>
      <w:r>
        <w:t>9.</w:t>
      </w:r>
      <w:r>
        <w:tab/>
        <w:t>Metropolitan vacant land</w:t>
      </w:r>
      <w:r>
        <w:tab/>
      </w:r>
      <w:r>
        <w:fldChar w:fldCharType="begin"/>
      </w:r>
      <w:r>
        <w:instrText xml:space="preserve"> PAGEREF _Toc426119847 \h </w:instrText>
      </w:r>
      <w:r>
        <w:fldChar w:fldCharType="separate"/>
      </w:r>
      <w:r>
        <w:t>76</w:t>
      </w:r>
      <w:r>
        <w:fldChar w:fldCharType="end"/>
      </w:r>
    </w:p>
    <w:p>
      <w:pPr>
        <w:pStyle w:val="TOC8"/>
        <w:rPr>
          <w:rFonts w:asciiTheme="minorHAnsi" w:eastAsiaTheme="minorEastAsia" w:hAnsiTheme="minorHAnsi" w:cstheme="minorBidi"/>
          <w:szCs w:val="22"/>
        </w:rPr>
      </w:pPr>
      <w:r>
        <w:t>10.</w:t>
      </w:r>
      <w:r>
        <w:tab/>
        <w:t>Country</w:t>
      </w:r>
      <w:r>
        <w:tab/>
      </w:r>
      <w:r>
        <w:fldChar w:fldCharType="begin"/>
      </w:r>
      <w:r>
        <w:instrText xml:space="preserve"> PAGEREF _Toc426119848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Variable charges</w:t>
      </w:r>
    </w:p>
    <w:p>
      <w:pPr>
        <w:pStyle w:val="TOC8"/>
        <w:rPr>
          <w:rFonts w:asciiTheme="minorHAnsi" w:eastAsiaTheme="minorEastAsia" w:hAnsiTheme="minorHAnsi" w:cstheme="minorBidi"/>
          <w:szCs w:val="22"/>
        </w:rPr>
      </w:pPr>
      <w:r>
        <w:t>11.</w:t>
      </w:r>
      <w:r>
        <w:tab/>
        <w:t>Trade waste discharged into a sewer of the Corporation under an approval</w:t>
      </w:r>
      <w:r>
        <w:tab/>
      </w:r>
      <w:r>
        <w:fldChar w:fldCharType="begin"/>
      </w:r>
      <w:r>
        <w:instrText xml:space="preserve"> PAGEREF _Toc426119850 \h </w:instrText>
      </w:r>
      <w:r>
        <w:fldChar w:fldCharType="separate"/>
      </w:r>
      <w:r>
        <w:t>81</w:t>
      </w:r>
      <w:r>
        <w:fldChar w:fldCharType="end"/>
      </w:r>
    </w:p>
    <w:p>
      <w:pPr>
        <w:pStyle w:val="TOC8"/>
        <w:rPr>
          <w:rFonts w:asciiTheme="minorHAnsi" w:eastAsiaTheme="minorEastAsia" w:hAnsiTheme="minorHAnsi" w:cstheme="minorBidi"/>
          <w:szCs w:val="22"/>
        </w:rPr>
      </w:pPr>
      <w:r>
        <w:t>12.</w:t>
      </w:r>
      <w:r>
        <w:tab/>
        <w:t>Effluent discharged from a septic tank effluent pumping system into a sewer of the Corporation</w:t>
      </w:r>
      <w:r>
        <w:tab/>
      </w:r>
      <w:r>
        <w:fldChar w:fldCharType="begin"/>
      </w:r>
      <w:r>
        <w:instrText xml:space="preserve"> PAGEREF _Toc426119851 \h </w:instrText>
      </w:r>
      <w:r>
        <w:fldChar w:fldCharType="separate"/>
      </w:r>
      <w:r>
        <w:t>85</w:t>
      </w:r>
      <w:r>
        <w:fldChar w:fldCharType="end"/>
      </w:r>
    </w:p>
    <w:p>
      <w:pPr>
        <w:pStyle w:val="TOC8"/>
        <w:rPr>
          <w:rFonts w:asciiTheme="minorHAnsi" w:eastAsiaTheme="minorEastAsia" w:hAnsiTheme="minorHAnsi" w:cstheme="minorBidi"/>
          <w:szCs w:val="22"/>
        </w:rPr>
      </w:pPr>
      <w:r>
        <w:t>13A.</w:t>
      </w:r>
      <w:r>
        <w:tab/>
        <w:t>Trade waste discharged from open area</w:t>
      </w:r>
      <w:r>
        <w:tab/>
      </w:r>
      <w:r>
        <w:fldChar w:fldCharType="begin"/>
      </w:r>
      <w:r>
        <w:instrText xml:space="preserve"> PAGEREF _Toc426119852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Metropolitan combined charges</w:t>
      </w:r>
    </w:p>
    <w:p>
      <w:pPr>
        <w:pStyle w:val="TOC8"/>
        <w:rPr>
          <w:rFonts w:asciiTheme="minorHAnsi" w:eastAsiaTheme="minorEastAsia" w:hAnsiTheme="minorHAnsi" w:cstheme="minorBidi"/>
          <w:szCs w:val="22"/>
        </w:rPr>
      </w:pPr>
      <w:r>
        <w:t>13.</w:t>
      </w:r>
      <w:r>
        <w:tab/>
        <w:t>Metropolitan non</w:t>
      </w:r>
      <w:r>
        <w:noBreakHyphen/>
        <w:t>residential (other than vacant land)</w:t>
      </w:r>
      <w:r>
        <w:tab/>
      </w:r>
      <w:r>
        <w:fldChar w:fldCharType="begin"/>
      </w:r>
      <w:r>
        <w:instrText xml:space="preserve"> PAGEREF _Toc426119854 \h </w:instrText>
      </w:r>
      <w:r>
        <w:fldChar w:fldCharType="separate"/>
      </w:r>
      <w:r>
        <w:t>86</w:t>
      </w:r>
      <w:r>
        <w:fldChar w:fldCharType="end"/>
      </w:r>
    </w:p>
    <w:p>
      <w:pPr>
        <w:pStyle w:val="TOC8"/>
        <w:rPr>
          <w:rFonts w:asciiTheme="minorHAnsi" w:eastAsiaTheme="minorEastAsia" w:hAnsiTheme="minorHAnsi" w:cstheme="minorBidi"/>
          <w:szCs w:val="22"/>
        </w:rPr>
      </w:pPr>
      <w:r>
        <w:t>14.</w:t>
      </w:r>
      <w:r>
        <w:tab/>
        <w:t>Metropolitan Government trading organisation and non</w:t>
      </w:r>
      <w:r>
        <w:noBreakHyphen/>
        <w:t>commercial Government property</w:t>
      </w:r>
      <w:r>
        <w:tab/>
      </w:r>
      <w:r>
        <w:fldChar w:fldCharType="begin"/>
      </w:r>
      <w:r>
        <w:instrText xml:space="preserve"> PAGEREF _Toc426119855 \h </w:instrText>
      </w:r>
      <w:r>
        <w:fldChar w:fldCharType="separate"/>
      </w:r>
      <w:r>
        <w:t>87</w:t>
      </w:r>
      <w:r>
        <w:fldChar w:fldCharType="end"/>
      </w:r>
    </w:p>
    <w:p>
      <w:pPr>
        <w:pStyle w:val="TOC8"/>
        <w:rPr>
          <w:rFonts w:asciiTheme="minorHAnsi" w:eastAsiaTheme="minorEastAsia" w:hAnsiTheme="minorHAnsi" w:cstheme="minorBidi"/>
          <w:szCs w:val="22"/>
        </w:rPr>
      </w:pPr>
      <w:r>
        <w:t>15.</w:t>
      </w:r>
      <w:r>
        <w:tab/>
        <w:t>Metropolitan non strata</w:t>
      </w:r>
      <w:r>
        <w:noBreakHyphen/>
        <w:t>titled caravan park with long</w:t>
      </w:r>
      <w:r>
        <w:noBreakHyphen/>
        <w:t>term residential caravan bays</w:t>
      </w:r>
      <w:r>
        <w:tab/>
      </w:r>
      <w:r>
        <w:fldChar w:fldCharType="begin"/>
      </w:r>
      <w:r>
        <w:instrText xml:space="preserve"> PAGEREF _Toc426119856 \h </w:instrText>
      </w:r>
      <w:r>
        <w:fldChar w:fldCharType="separate"/>
      </w:r>
      <w:r>
        <w:t>88</w:t>
      </w:r>
      <w:r>
        <w:fldChar w:fldCharType="end"/>
      </w:r>
    </w:p>
    <w:p>
      <w:pPr>
        <w:pStyle w:val="TOC8"/>
        <w:rPr>
          <w:rFonts w:asciiTheme="minorHAnsi" w:eastAsiaTheme="minorEastAsia" w:hAnsiTheme="minorHAnsi" w:cstheme="minorBidi"/>
          <w:szCs w:val="22"/>
        </w:rPr>
      </w:pPr>
      <w:r>
        <w:t>16.</w:t>
      </w:r>
      <w:r>
        <w:tab/>
        <w:t>Metropolitan nursing home</w:t>
      </w:r>
      <w:r>
        <w:tab/>
      </w:r>
      <w:r>
        <w:fldChar w:fldCharType="begin"/>
      </w:r>
      <w:r>
        <w:instrText xml:space="preserve"> PAGEREF _Toc426119857 \h </w:instrText>
      </w:r>
      <w:r>
        <w:fldChar w:fldCharType="separate"/>
      </w:r>
      <w:r>
        <w:t>89</w:t>
      </w:r>
      <w:r>
        <w:fldChar w:fldCharType="end"/>
      </w:r>
    </w:p>
    <w:p>
      <w:pPr>
        <w:pStyle w:val="TOC8"/>
        <w:rPr>
          <w:rFonts w:asciiTheme="minorHAnsi" w:eastAsiaTheme="minorEastAsia" w:hAnsiTheme="minorHAnsi" w:cstheme="minorBidi"/>
          <w:szCs w:val="22"/>
        </w:rPr>
      </w:pPr>
      <w:r>
        <w:t>17.</w:t>
      </w:r>
      <w:r>
        <w:tab/>
        <w:t>Certain metropolitan strata</w:t>
      </w:r>
      <w:r>
        <w:noBreakHyphen/>
        <w:t>titled units</w:t>
      </w:r>
      <w:r>
        <w:tab/>
      </w:r>
      <w:r>
        <w:fldChar w:fldCharType="begin"/>
      </w:r>
      <w:r>
        <w:instrText xml:space="preserve"> PAGEREF _Toc426119858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Computation of combined metropolitan charges</w:t>
      </w:r>
    </w:p>
    <w:p>
      <w:pPr>
        <w:pStyle w:val="TOC8"/>
        <w:rPr>
          <w:rFonts w:asciiTheme="minorHAnsi" w:eastAsiaTheme="minorEastAsia" w:hAnsiTheme="minorHAnsi" w:cstheme="minorBidi"/>
          <w:szCs w:val="22"/>
        </w:rPr>
      </w:pPr>
      <w:r>
        <w:t>18.</w:t>
      </w:r>
      <w:r>
        <w:tab/>
        <w:t>Formula for annual charge</w:t>
      </w:r>
      <w:r>
        <w:tab/>
      </w:r>
      <w:r>
        <w:fldChar w:fldCharType="begin"/>
      </w:r>
      <w:r>
        <w:instrText xml:space="preserve"> PAGEREF _Toc426119860 \h </w:instrText>
      </w:r>
      <w:r>
        <w:fldChar w:fldCharType="separate"/>
      </w:r>
      <w:r>
        <w:t>91</w:t>
      </w:r>
      <w:r>
        <w:fldChar w:fldCharType="end"/>
      </w:r>
    </w:p>
    <w:p>
      <w:pPr>
        <w:pStyle w:val="TOC8"/>
        <w:rPr>
          <w:rFonts w:asciiTheme="minorHAnsi" w:eastAsiaTheme="minorEastAsia" w:hAnsiTheme="minorHAnsi" w:cstheme="minorBidi"/>
          <w:szCs w:val="22"/>
        </w:rPr>
      </w:pPr>
      <w:r>
        <w:t>19.</w:t>
      </w:r>
      <w:r>
        <w:tab/>
        <w:t>Formula for quantity charge</w:t>
      </w:r>
      <w:r>
        <w:tab/>
      </w:r>
      <w:r>
        <w:fldChar w:fldCharType="begin"/>
      </w:r>
      <w:r>
        <w:instrText xml:space="preserve"> PAGEREF _Toc426119861 \h </w:instrText>
      </w:r>
      <w:r>
        <w:fldChar w:fldCharType="separate"/>
      </w:r>
      <w:r>
        <w:t>92</w:t>
      </w:r>
      <w:r>
        <w:fldChar w:fldCharType="end"/>
      </w:r>
    </w:p>
    <w:p>
      <w:pPr>
        <w:pStyle w:val="TOC8"/>
        <w:rPr>
          <w:rFonts w:asciiTheme="minorHAnsi" w:eastAsiaTheme="minorEastAsia" w:hAnsiTheme="minorHAnsi" w:cstheme="minorBidi"/>
          <w:szCs w:val="22"/>
        </w:rPr>
      </w:pPr>
      <w:r>
        <w:t>20.</w:t>
      </w:r>
      <w:r>
        <w:tab/>
        <w:t>Discharge allowance</w:t>
      </w:r>
      <w:r>
        <w:tab/>
      </w:r>
      <w:r>
        <w:fldChar w:fldCharType="begin"/>
      </w:r>
      <w:r>
        <w:instrText xml:space="preserve"> PAGEREF _Toc426119862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6 — Service charges for trade waste</w:t>
      </w:r>
    </w:p>
    <w:p>
      <w:pPr>
        <w:pStyle w:val="TOC8"/>
        <w:rPr>
          <w:rFonts w:asciiTheme="minorHAnsi" w:eastAsiaTheme="minorEastAsia" w:hAnsiTheme="minorHAnsi" w:cstheme="minorBidi"/>
          <w:szCs w:val="22"/>
        </w:rPr>
      </w:pPr>
      <w:r>
        <w:t>21.</w:t>
      </w:r>
      <w:r>
        <w:tab/>
        <w:t>Inspection — routine programme</w:t>
      </w:r>
      <w:r>
        <w:tab/>
      </w:r>
      <w:r>
        <w:fldChar w:fldCharType="begin"/>
      </w:r>
      <w:r>
        <w:instrText xml:space="preserve"> PAGEREF _Toc426119864 \h </w:instrText>
      </w:r>
      <w:r>
        <w:fldChar w:fldCharType="separate"/>
      </w:r>
      <w:r>
        <w:t>93</w:t>
      </w:r>
      <w:r>
        <w:fldChar w:fldCharType="end"/>
      </w:r>
    </w:p>
    <w:p>
      <w:pPr>
        <w:pStyle w:val="TOC8"/>
        <w:rPr>
          <w:rFonts w:asciiTheme="minorHAnsi" w:eastAsiaTheme="minorEastAsia" w:hAnsiTheme="minorHAnsi" w:cstheme="minorBidi"/>
          <w:szCs w:val="22"/>
        </w:rPr>
      </w:pPr>
      <w:r>
        <w:t>22.</w:t>
      </w:r>
      <w:r>
        <w:tab/>
        <w:t>Meter reading — routine programme</w:t>
      </w:r>
      <w:r>
        <w:tab/>
      </w:r>
      <w:r>
        <w:fldChar w:fldCharType="begin"/>
      </w:r>
      <w:r>
        <w:instrText xml:space="preserve"> PAGEREF _Toc426119865 \h </w:instrText>
      </w:r>
      <w:r>
        <w:fldChar w:fldCharType="separate"/>
      </w:r>
      <w:r>
        <w:t>93</w:t>
      </w:r>
      <w:r>
        <w:fldChar w:fldCharType="end"/>
      </w:r>
    </w:p>
    <w:p>
      <w:pPr>
        <w:pStyle w:val="TOC8"/>
        <w:rPr>
          <w:rFonts w:asciiTheme="minorHAnsi" w:eastAsiaTheme="minorEastAsia" w:hAnsiTheme="minorHAnsi" w:cstheme="minorBidi"/>
          <w:szCs w:val="22"/>
        </w:rPr>
      </w:pPr>
      <w:r>
        <w:t>23.</w:t>
      </w:r>
      <w:r>
        <w:tab/>
        <w:t>Grab samples — routine programme</w:t>
      </w:r>
      <w:r>
        <w:tab/>
      </w:r>
      <w:r>
        <w:fldChar w:fldCharType="begin"/>
      </w:r>
      <w:r>
        <w:instrText xml:space="preserve"> PAGEREF _Toc426119866 \h </w:instrText>
      </w:r>
      <w:r>
        <w:fldChar w:fldCharType="separate"/>
      </w:r>
      <w:r>
        <w:t>93</w:t>
      </w:r>
      <w:r>
        <w:fldChar w:fldCharType="end"/>
      </w:r>
    </w:p>
    <w:p>
      <w:pPr>
        <w:pStyle w:val="TOC8"/>
        <w:rPr>
          <w:rFonts w:asciiTheme="minorHAnsi" w:eastAsiaTheme="minorEastAsia" w:hAnsiTheme="minorHAnsi" w:cstheme="minorBidi"/>
          <w:szCs w:val="22"/>
        </w:rPr>
      </w:pPr>
      <w:r>
        <w:t>24.</w:t>
      </w:r>
      <w:r>
        <w:tab/>
        <w:t>Composite samples — routine programme</w:t>
      </w:r>
      <w:r>
        <w:tab/>
      </w:r>
      <w:r>
        <w:fldChar w:fldCharType="begin"/>
      </w:r>
      <w:r>
        <w:instrText xml:space="preserve"> PAGEREF _Toc426119867 \h </w:instrText>
      </w:r>
      <w:r>
        <w:fldChar w:fldCharType="separate"/>
      </w:r>
      <w:r>
        <w:t>94</w:t>
      </w:r>
      <w:r>
        <w:fldChar w:fldCharType="end"/>
      </w:r>
    </w:p>
    <w:p>
      <w:pPr>
        <w:pStyle w:val="TOC8"/>
        <w:rPr>
          <w:rFonts w:asciiTheme="minorHAnsi" w:eastAsiaTheme="minorEastAsia" w:hAnsiTheme="minorHAnsi" w:cstheme="minorBidi"/>
          <w:szCs w:val="22"/>
        </w:rPr>
      </w:pPr>
      <w:r>
        <w:t>25.</w:t>
      </w:r>
      <w:r>
        <w:tab/>
        <w:t>Establishment charge — unscheduled visit</w:t>
      </w:r>
      <w:r>
        <w:tab/>
      </w:r>
      <w:r>
        <w:fldChar w:fldCharType="begin"/>
      </w:r>
      <w:r>
        <w:instrText xml:space="preserve"> PAGEREF _Toc426119868 \h </w:instrText>
      </w:r>
      <w:r>
        <w:fldChar w:fldCharType="separate"/>
      </w:r>
      <w:r>
        <w:t>94</w:t>
      </w:r>
      <w:r>
        <w:fldChar w:fldCharType="end"/>
      </w:r>
    </w:p>
    <w:p>
      <w:pPr>
        <w:pStyle w:val="TOC8"/>
        <w:rPr>
          <w:rFonts w:asciiTheme="minorHAnsi" w:eastAsiaTheme="minorEastAsia" w:hAnsiTheme="minorHAnsi" w:cstheme="minorBidi"/>
          <w:szCs w:val="22"/>
        </w:rPr>
      </w:pPr>
      <w:r>
        <w:t>26.</w:t>
      </w:r>
      <w:r>
        <w:tab/>
        <w:t>Product evaluation — unscheduled visit</w:t>
      </w:r>
      <w:r>
        <w:tab/>
      </w:r>
      <w:r>
        <w:fldChar w:fldCharType="begin"/>
      </w:r>
      <w:r>
        <w:instrText xml:space="preserve"> PAGEREF _Toc426119869 \h </w:instrText>
      </w:r>
      <w:r>
        <w:fldChar w:fldCharType="separate"/>
      </w:r>
      <w:r>
        <w:t>94</w:t>
      </w:r>
      <w:r>
        <w:fldChar w:fldCharType="end"/>
      </w:r>
    </w:p>
    <w:p>
      <w:pPr>
        <w:pStyle w:val="TOC8"/>
        <w:rPr>
          <w:rFonts w:asciiTheme="minorHAnsi" w:eastAsiaTheme="minorEastAsia" w:hAnsiTheme="minorHAnsi" w:cstheme="minorBidi"/>
          <w:szCs w:val="22"/>
        </w:rPr>
      </w:pPr>
      <w:r>
        <w:t>27.</w:t>
      </w:r>
      <w:r>
        <w:tab/>
        <w:t>Grab samples — unscheduled visit</w:t>
      </w:r>
      <w:r>
        <w:tab/>
      </w:r>
      <w:r>
        <w:fldChar w:fldCharType="begin"/>
      </w:r>
      <w:r>
        <w:instrText xml:space="preserve"> PAGEREF _Toc426119870 \h </w:instrText>
      </w:r>
      <w:r>
        <w:fldChar w:fldCharType="separate"/>
      </w:r>
      <w:r>
        <w:t>94</w:t>
      </w:r>
      <w:r>
        <w:fldChar w:fldCharType="end"/>
      </w:r>
    </w:p>
    <w:p>
      <w:pPr>
        <w:pStyle w:val="TOC8"/>
        <w:rPr>
          <w:rFonts w:asciiTheme="minorHAnsi" w:eastAsiaTheme="minorEastAsia" w:hAnsiTheme="minorHAnsi" w:cstheme="minorBidi"/>
          <w:szCs w:val="22"/>
        </w:rPr>
      </w:pPr>
      <w:r>
        <w:t>28.</w:t>
      </w:r>
      <w:r>
        <w:tab/>
        <w:t>Composite samples — unscheduled visit</w:t>
      </w:r>
      <w:r>
        <w:tab/>
      </w:r>
      <w:r>
        <w:fldChar w:fldCharType="begin"/>
      </w:r>
      <w:r>
        <w:instrText xml:space="preserve"> PAGEREF _Toc426119871 \h </w:instrText>
      </w:r>
      <w:r>
        <w:fldChar w:fldCharType="separate"/>
      </w:r>
      <w:r>
        <w:t>94</w:t>
      </w:r>
      <w:r>
        <w:fldChar w:fldCharType="end"/>
      </w:r>
    </w:p>
    <w:p>
      <w:pPr>
        <w:pStyle w:val="TOC8"/>
        <w:rPr>
          <w:rFonts w:asciiTheme="minorHAnsi" w:eastAsiaTheme="minorEastAsia" w:hAnsiTheme="minorHAnsi" w:cstheme="minorBidi"/>
          <w:szCs w:val="22"/>
        </w:rPr>
      </w:pPr>
      <w:r>
        <w:t>29.</w:t>
      </w:r>
      <w:r>
        <w:tab/>
        <w:t>One off discharge of trade waste</w:t>
      </w:r>
      <w:r>
        <w:tab/>
      </w:r>
      <w:r>
        <w:fldChar w:fldCharType="begin"/>
      </w:r>
      <w:r>
        <w:instrText xml:space="preserve"> PAGEREF _Toc426119872 \h </w:instrText>
      </w:r>
      <w:r>
        <w:fldChar w:fldCharType="separate"/>
      </w:r>
      <w:r>
        <w:t>94</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_Toc426119873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7 — Combined charges for country</w:t>
      </w:r>
    </w:p>
    <w:p>
      <w:pPr>
        <w:pStyle w:val="TOC8"/>
        <w:rPr>
          <w:rFonts w:asciiTheme="minorHAnsi" w:eastAsiaTheme="minorEastAsia" w:hAnsiTheme="minorHAnsi" w:cstheme="minorBidi"/>
          <w:szCs w:val="22"/>
        </w:rPr>
      </w:pPr>
      <w:r>
        <w:t>31.</w:t>
      </w:r>
      <w:r>
        <w:tab/>
        <w:t>Country non</w:t>
      </w:r>
      <w:r>
        <w:noBreakHyphen/>
        <w:t>residential or commercial residential property, Government trading organisations and non</w:t>
      </w:r>
      <w:r>
        <w:noBreakHyphen/>
        <w:t>commercial Government property</w:t>
      </w:r>
      <w:r>
        <w:tab/>
      </w:r>
      <w:r>
        <w:fldChar w:fldCharType="begin"/>
      </w:r>
      <w:r>
        <w:instrText xml:space="preserve"> PAGEREF _Toc426119875 \h </w:instrText>
      </w:r>
      <w:r>
        <w:fldChar w:fldCharType="separate"/>
      </w:r>
      <w:r>
        <w:t>94</w:t>
      </w:r>
      <w:r>
        <w:fldChar w:fldCharType="end"/>
      </w:r>
    </w:p>
    <w:p>
      <w:pPr>
        <w:pStyle w:val="TOC8"/>
        <w:rPr>
          <w:rFonts w:asciiTheme="minorHAnsi" w:eastAsiaTheme="minorEastAsia" w:hAnsiTheme="minorHAnsi" w:cstheme="minorBidi"/>
          <w:szCs w:val="22"/>
        </w:rPr>
      </w:pPr>
      <w:r>
        <w:t>32.</w:t>
      </w:r>
      <w:r>
        <w:tab/>
        <w:t>Country non strata</w:t>
      </w:r>
      <w:r>
        <w:noBreakHyphen/>
        <w:t>titled caravan park with long</w:t>
      </w:r>
      <w:r>
        <w:noBreakHyphen/>
        <w:t>term residential caravan bays</w:t>
      </w:r>
      <w:r>
        <w:tab/>
      </w:r>
      <w:r>
        <w:fldChar w:fldCharType="begin"/>
      </w:r>
      <w:r>
        <w:instrText xml:space="preserve"> PAGEREF _Toc426119876 \h </w:instrText>
      </w:r>
      <w:r>
        <w:fldChar w:fldCharType="separate"/>
      </w:r>
      <w:r>
        <w:t>95</w:t>
      </w:r>
      <w:r>
        <w:fldChar w:fldCharType="end"/>
      </w:r>
    </w:p>
    <w:p>
      <w:pPr>
        <w:pStyle w:val="TOC8"/>
        <w:rPr>
          <w:rFonts w:asciiTheme="minorHAnsi" w:eastAsiaTheme="minorEastAsia" w:hAnsiTheme="minorHAnsi" w:cstheme="minorBidi"/>
          <w:szCs w:val="22"/>
        </w:rPr>
      </w:pPr>
      <w:r>
        <w:t>33.</w:t>
      </w:r>
      <w:r>
        <w:tab/>
        <w:t>Country nursing home</w:t>
      </w:r>
      <w:r>
        <w:tab/>
      </w:r>
      <w:r>
        <w:fldChar w:fldCharType="begin"/>
      </w:r>
      <w:r>
        <w:instrText xml:space="preserve"> PAGEREF _Toc426119877 \h </w:instrText>
      </w:r>
      <w:r>
        <w:fldChar w:fldCharType="separate"/>
      </w:r>
      <w:r>
        <w:t>97</w:t>
      </w:r>
      <w:r>
        <w:fldChar w:fldCharType="end"/>
      </w:r>
    </w:p>
    <w:p>
      <w:pPr>
        <w:pStyle w:val="TOC8"/>
        <w:rPr>
          <w:rFonts w:asciiTheme="minorHAnsi" w:eastAsiaTheme="minorEastAsia" w:hAnsiTheme="minorHAnsi" w:cstheme="minorBidi"/>
          <w:szCs w:val="22"/>
        </w:rPr>
      </w:pPr>
      <w:r>
        <w:t>34.</w:t>
      </w:r>
      <w:r>
        <w:tab/>
        <w:t>Certain country strata</w:t>
      </w:r>
      <w:r>
        <w:noBreakHyphen/>
        <w:t>titled units</w:t>
      </w:r>
      <w:r>
        <w:tab/>
      </w:r>
      <w:r>
        <w:fldChar w:fldCharType="begin"/>
      </w:r>
      <w:r>
        <w:instrText xml:space="preserve"> PAGEREF _Toc426119878 \h </w:instrText>
      </w:r>
      <w:r>
        <w:fldChar w:fldCharType="separate"/>
      </w:r>
      <w:r>
        <w:t>97</w:t>
      </w:r>
      <w:r>
        <w:fldChar w:fldCharType="end"/>
      </w:r>
    </w:p>
    <w:p>
      <w:pPr>
        <w:pStyle w:val="TOC8"/>
        <w:rPr>
          <w:rFonts w:asciiTheme="minorHAnsi" w:eastAsiaTheme="minorEastAsia" w:hAnsiTheme="minorHAnsi" w:cstheme="minorBidi"/>
          <w:szCs w:val="22"/>
        </w:rPr>
      </w:pPr>
      <w:r>
        <w:t>35.</w:t>
      </w:r>
      <w:r>
        <w:tab/>
        <w:t>Limit on increase</w:t>
      </w:r>
      <w:r>
        <w:tab/>
      </w:r>
      <w:r>
        <w:fldChar w:fldCharType="begin"/>
      </w:r>
      <w:r>
        <w:instrText xml:space="preserve"> PAGEREF _Toc426119879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8 — Computation of combined charges for country</w:t>
      </w:r>
    </w:p>
    <w:p>
      <w:pPr>
        <w:pStyle w:val="TOC8"/>
        <w:rPr>
          <w:rFonts w:asciiTheme="minorHAnsi" w:eastAsiaTheme="minorEastAsia" w:hAnsiTheme="minorHAnsi" w:cstheme="minorBidi"/>
          <w:szCs w:val="22"/>
        </w:rPr>
      </w:pPr>
      <w:r>
        <w:t>36.</w:t>
      </w:r>
      <w:r>
        <w:tab/>
        <w:t>Formula for annual charge</w:t>
      </w:r>
      <w:r>
        <w:tab/>
      </w:r>
      <w:r>
        <w:fldChar w:fldCharType="begin"/>
      </w:r>
      <w:r>
        <w:instrText xml:space="preserve"> PAGEREF _Toc426119881 \h </w:instrText>
      </w:r>
      <w:r>
        <w:fldChar w:fldCharType="separate"/>
      </w:r>
      <w:r>
        <w:t>99</w:t>
      </w:r>
      <w:r>
        <w:fldChar w:fldCharType="end"/>
      </w:r>
    </w:p>
    <w:p>
      <w:pPr>
        <w:pStyle w:val="TOC8"/>
        <w:rPr>
          <w:rFonts w:asciiTheme="minorHAnsi" w:eastAsiaTheme="minorEastAsia" w:hAnsiTheme="minorHAnsi" w:cstheme="minorBidi"/>
          <w:szCs w:val="22"/>
        </w:rPr>
      </w:pPr>
      <w:r>
        <w:t>37.</w:t>
      </w:r>
      <w:r>
        <w:tab/>
        <w:t>Formula for quantity charge</w:t>
      </w:r>
      <w:r>
        <w:tab/>
      </w:r>
      <w:r>
        <w:fldChar w:fldCharType="begin"/>
      </w:r>
      <w:r>
        <w:instrText xml:space="preserve"> PAGEREF _Toc426119882 \h </w:instrText>
      </w:r>
      <w:r>
        <w:fldChar w:fldCharType="separate"/>
      </w:r>
      <w:r>
        <w:t>100</w:t>
      </w:r>
      <w:r>
        <w:fldChar w:fldCharType="end"/>
      </w:r>
    </w:p>
    <w:p>
      <w:pPr>
        <w:pStyle w:val="TOC8"/>
        <w:rPr>
          <w:rFonts w:asciiTheme="minorHAnsi" w:eastAsiaTheme="minorEastAsia" w:hAnsiTheme="minorHAnsi" w:cstheme="minorBidi"/>
          <w:szCs w:val="22"/>
        </w:rPr>
      </w:pPr>
      <w:r>
        <w:t>38.</w:t>
      </w:r>
      <w:r>
        <w:tab/>
        <w:t>Discharge allowance</w:t>
      </w:r>
      <w:r>
        <w:tab/>
      </w:r>
      <w:r>
        <w:fldChar w:fldCharType="begin"/>
      </w:r>
      <w:r>
        <w:instrText xml:space="preserve"> PAGEREF _Toc426119883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4 — Charges for drainage for 2013/2014</w:t>
      </w:r>
    </w:p>
    <w:p>
      <w:pPr>
        <w:pStyle w:val="TOC4"/>
        <w:tabs>
          <w:tab w:val="right" w:leader="dot" w:pos="7077"/>
        </w:tabs>
        <w:rPr>
          <w:rFonts w:asciiTheme="minorHAnsi" w:eastAsiaTheme="minorEastAsia" w:hAnsiTheme="minorHAnsi" w:cstheme="minorBidi"/>
          <w:b w:val="0"/>
          <w:szCs w:val="22"/>
        </w:rPr>
      </w:pPr>
      <w:r>
        <w:t>Division 1 — Fixed charges</w:t>
      </w:r>
    </w:p>
    <w:p>
      <w:pPr>
        <w:pStyle w:val="TOC8"/>
        <w:rPr>
          <w:rFonts w:asciiTheme="minorHAnsi" w:eastAsiaTheme="minorEastAsia" w:hAnsiTheme="minorHAnsi" w:cstheme="minorBidi"/>
          <w:szCs w:val="22"/>
        </w:rPr>
      </w:pPr>
      <w:r>
        <w:t>1.</w:t>
      </w:r>
      <w:r>
        <w:tab/>
        <w:t>Strata</w:t>
      </w:r>
      <w:r>
        <w:noBreakHyphen/>
        <w:t>titled caravan bay</w:t>
      </w:r>
      <w:r>
        <w:tab/>
      </w:r>
      <w:r>
        <w:fldChar w:fldCharType="begin"/>
      </w:r>
      <w:r>
        <w:instrText xml:space="preserve"> PAGEREF _Toc426119886 \h </w:instrText>
      </w:r>
      <w:r>
        <w:fldChar w:fldCharType="separate"/>
      </w:r>
      <w:r>
        <w:t>103</w:t>
      </w:r>
      <w:r>
        <w:fldChar w:fldCharType="end"/>
      </w:r>
    </w:p>
    <w:p>
      <w:pPr>
        <w:pStyle w:val="TOC8"/>
        <w:rPr>
          <w:rFonts w:asciiTheme="minorHAnsi" w:eastAsiaTheme="minorEastAsia" w:hAnsiTheme="minorHAnsi" w:cstheme="minorBidi"/>
          <w:szCs w:val="22"/>
        </w:rPr>
      </w:pPr>
      <w:r>
        <w:t>2.</w:t>
      </w:r>
      <w:r>
        <w:tab/>
        <w:t>Strata</w:t>
      </w:r>
      <w:r>
        <w:noBreakHyphen/>
        <w:t>titled storage unit and strata</w:t>
      </w:r>
      <w:r>
        <w:noBreakHyphen/>
        <w:t>titled parking bay</w:t>
      </w:r>
      <w:r>
        <w:tab/>
      </w:r>
      <w:r>
        <w:fldChar w:fldCharType="begin"/>
      </w:r>
      <w:r>
        <w:instrText xml:space="preserve"> PAGEREF _Toc426119887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Charges by way of rate</w:t>
      </w:r>
    </w:p>
    <w:p>
      <w:pPr>
        <w:pStyle w:val="TOC8"/>
        <w:rPr>
          <w:rFonts w:asciiTheme="minorHAnsi" w:eastAsiaTheme="minorEastAsia" w:hAnsiTheme="minorHAnsi" w:cstheme="minorBidi"/>
          <w:szCs w:val="22"/>
        </w:rPr>
      </w:pPr>
      <w:r>
        <w:t>3.</w:t>
      </w:r>
      <w:r>
        <w:tab/>
        <w:t>Land in a drainage area as referred to in by</w:t>
      </w:r>
      <w:r>
        <w:noBreakHyphen/>
        <w:t>law 27 classified as residential or semi</w:t>
      </w:r>
      <w:r>
        <w:noBreakHyphen/>
        <w:t>rural residential</w:t>
      </w:r>
      <w:r>
        <w:tab/>
      </w:r>
      <w:r>
        <w:fldChar w:fldCharType="begin"/>
      </w:r>
      <w:r>
        <w:instrText xml:space="preserve"> PAGEREF _Toc426119889 \h </w:instrText>
      </w:r>
      <w:r>
        <w:fldChar w:fldCharType="separate"/>
      </w:r>
      <w:r>
        <w:t>103</w:t>
      </w:r>
      <w:r>
        <w:fldChar w:fldCharType="end"/>
      </w:r>
    </w:p>
    <w:p>
      <w:pPr>
        <w:pStyle w:val="TOC8"/>
        <w:rPr>
          <w:rFonts w:asciiTheme="minorHAnsi" w:eastAsiaTheme="minorEastAsia" w:hAnsiTheme="minorHAnsi" w:cstheme="minorBidi"/>
          <w:szCs w:val="22"/>
        </w:rPr>
      </w:pPr>
      <w:r>
        <w:t>4.</w:t>
      </w:r>
      <w:r>
        <w:tab/>
        <w:t>Land in a drainage area classified as vacant land</w:t>
      </w:r>
      <w:r>
        <w:tab/>
      </w:r>
      <w:r>
        <w:fldChar w:fldCharType="begin"/>
      </w:r>
      <w:r>
        <w:instrText xml:space="preserve"> PAGEREF _Toc426119890 \h </w:instrText>
      </w:r>
      <w:r>
        <w:fldChar w:fldCharType="separate"/>
      </w:r>
      <w:r>
        <w:t>104</w:t>
      </w:r>
      <w:r>
        <w:fldChar w:fldCharType="end"/>
      </w:r>
    </w:p>
    <w:p>
      <w:pPr>
        <w:pStyle w:val="TOC8"/>
        <w:rPr>
          <w:rFonts w:asciiTheme="minorHAnsi" w:eastAsiaTheme="minorEastAsia" w:hAnsiTheme="minorHAnsi" w:cstheme="minorBidi"/>
          <w:szCs w:val="22"/>
        </w:rPr>
      </w:pPr>
      <w:r>
        <w:t>5.</w:t>
      </w:r>
      <w:r>
        <w:tab/>
        <w:t>Land in a drainage area as referred to in by</w:t>
      </w:r>
      <w:r>
        <w:noBreakHyphen/>
        <w:t>law 27 other than land to which item 1, 2, 3 or 4 applies</w:t>
      </w:r>
      <w:r>
        <w:tab/>
      </w:r>
      <w:r>
        <w:fldChar w:fldCharType="begin"/>
      </w:r>
      <w:r>
        <w:instrText xml:space="preserve"> PAGEREF _Toc426119891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Schedule 5 — Charges for irrigation for 2013/2014</w:t>
      </w:r>
    </w:p>
    <w:p>
      <w:pPr>
        <w:pStyle w:val="TOC8"/>
        <w:rPr>
          <w:rFonts w:asciiTheme="minorHAnsi" w:eastAsiaTheme="minorEastAsia" w:hAnsiTheme="minorHAnsi" w:cstheme="minorBidi"/>
          <w:szCs w:val="22"/>
        </w:rPr>
      </w:pPr>
      <w:r>
        <w:t>1.</w:t>
      </w:r>
      <w:r>
        <w:tab/>
        <w:t>Ord Irrigation District</w:t>
      </w:r>
      <w:r>
        <w:tab/>
      </w:r>
      <w:r>
        <w:fldChar w:fldCharType="begin"/>
      </w:r>
      <w:r>
        <w:instrText xml:space="preserve"> PAGEREF _Toc426119893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7 — Concessional charges and interest rates</w:t>
      </w:r>
    </w:p>
    <w:p>
      <w:pPr>
        <w:pStyle w:val="TOC8"/>
        <w:rPr>
          <w:rFonts w:asciiTheme="minorHAnsi" w:eastAsiaTheme="minorEastAsia" w:hAnsiTheme="minorHAnsi" w:cstheme="minorBidi"/>
          <w:szCs w:val="22"/>
        </w:rPr>
      </w:pPr>
      <w:r>
        <w:t>1.</w:t>
      </w:r>
      <w:r>
        <w:tab/>
        <w:t>Concession (by</w:t>
      </w:r>
      <w:r>
        <w:noBreakHyphen/>
        <w:t>law 8A(2))</w:t>
      </w:r>
      <w:r>
        <w:tab/>
      </w:r>
      <w:r>
        <w:fldChar w:fldCharType="begin"/>
      </w:r>
      <w:r>
        <w:instrText xml:space="preserve"> PAGEREF _Toc426119895 \h </w:instrText>
      </w:r>
      <w:r>
        <w:fldChar w:fldCharType="separate"/>
      </w:r>
      <w:r>
        <w:t>106</w:t>
      </w:r>
      <w:r>
        <w:fldChar w:fldCharType="end"/>
      </w:r>
    </w:p>
    <w:p>
      <w:pPr>
        <w:pStyle w:val="TOC8"/>
        <w:rPr>
          <w:rFonts w:asciiTheme="minorHAnsi" w:eastAsiaTheme="minorEastAsia" w:hAnsiTheme="minorHAnsi" w:cstheme="minorBidi"/>
          <w:szCs w:val="22"/>
        </w:rPr>
      </w:pPr>
      <w:r>
        <w:t>2.</w:t>
      </w:r>
      <w:r>
        <w:tab/>
        <w:t>Interest on overdue amounts (by</w:t>
      </w:r>
      <w:r>
        <w:noBreakHyphen/>
        <w:t>laws 8 and 9)</w:t>
      </w:r>
      <w:r>
        <w:tab/>
      </w:r>
      <w:r>
        <w:fldChar w:fldCharType="begin"/>
      </w:r>
      <w:r>
        <w:instrText xml:space="preserve"> PAGEREF _Toc426119896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Schedule 8 — Water supply charges for Government trading organisations and non</w:t>
      </w:r>
      <w:r>
        <w:noBreakHyphen/>
        <w:t>commercial Government property</w:t>
      </w:r>
    </w:p>
    <w:p>
      <w:pPr>
        <w:pStyle w:val="TOC8"/>
        <w:rPr>
          <w:rFonts w:asciiTheme="minorHAnsi" w:eastAsiaTheme="minorEastAsia" w:hAnsiTheme="minorHAnsi" w:cstheme="minorBidi"/>
          <w:szCs w:val="22"/>
        </w:rPr>
      </w:pPr>
      <w:r>
        <w:t>1.</w:t>
      </w:r>
      <w:r>
        <w:tab/>
        <w:t>Annual charge (based on meter size)</w:t>
      </w:r>
      <w:r>
        <w:tab/>
      </w:r>
      <w:r>
        <w:fldChar w:fldCharType="begin"/>
      </w:r>
      <w:r>
        <w:instrText xml:space="preserve"> PAGEREF _Toc426119898 \h </w:instrText>
      </w:r>
      <w:r>
        <w:fldChar w:fldCharType="separate"/>
      </w:r>
      <w:r>
        <w:t>107</w:t>
      </w:r>
      <w:r>
        <w:fldChar w:fldCharType="end"/>
      </w:r>
    </w:p>
    <w:p>
      <w:pPr>
        <w:pStyle w:val="TOC8"/>
        <w:rPr>
          <w:rFonts w:asciiTheme="minorHAnsi" w:eastAsiaTheme="minorEastAsia" w:hAnsiTheme="minorHAnsi" w:cstheme="minorBidi"/>
          <w:szCs w:val="22"/>
        </w:rPr>
      </w:pPr>
      <w:r>
        <w:t>2.</w:t>
      </w:r>
      <w:r>
        <w:tab/>
        <w:t>Volume charge (c/kL)</w:t>
      </w:r>
      <w:r>
        <w:tab/>
      </w:r>
      <w:r>
        <w:fldChar w:fldCharType="begin"/>
      </w:r>
      <w:r>
        <w:instrText xml:space="preserve"> PAGEREF _Toc426119899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of towns/areas for the purpose of determining quantity charges in the previous year</w:t>
      </w:r>
    </w:p>
    <w:p>
      <w:pPr>
        <w:pStyle w:val="TOC2"/>
        <w:tabs>
          <w:tab w:val="right" w:leader="dot" w:pos="7077"/>
        </w:tabs>
        <w:rPr>
          <w:rFonts w:asciiTheme="minorHAnsi" w:eastAsiaTheme="minorEastAsia" w:hAnsiTheme="minorHAnsi" w:cstheme="minorBidi"/>
          <w:b w:val="0"/>
          <w:sz w:val="22"/>
          <w:szCs w:val="22"/>
        </w:rPr>
      </w:pPr>
      <w:r>
        <w:t>Schedule 10 — Classification of towns/areas for the purpose of determining quantity charges in the current year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_Toc426119903 \h </w:instrText>
      </w:r>
      <w:r>
        <w:fldChar w:fldCharType="separate"/>
      </w:r>
      <w:r>
        <w:t>129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Water Agencies (Powers) Act 1984</w:t>
      </w:r>
    </w:p>
    <w:p>
      <w:pPr>
        <w:pStyle w:val="NameofActReg"/>
        <w:spacing w:before="600" w:after="720"/>
      </w:pPr>
      <w:r>
        <w:t>Water Agencies (Charges) By-laws 1987</w:t>
      </w:r>
    </w:p>
    <w:p>
      <w:pPr>
        <w:pStyle w:val="Heading5"/>
        <w:spacing w:before="160"/>
        <w:rPr>
          <w:snapToGrid w:val="0"/>
        </w:rPr>
      </w:pPr>
      <w:bookmarkStart w:id="3" w:name="_Toc391906877"/>
      <w:bookmarkStart w:id="4" w:name="_Toc426119738"/>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5" w:name="_Toc391906878"/>
      <w:bookmarkStart w:id="6" w:name="_Toc426119739"/>
      <w:r>
        <w:rPr>
          <w:rStyle w:val="CharSectno"/>
        </w:rPr>
        <w:t>2</w:t>
      </w:r>
      <w:r>
        <w:rPr>
          <w:snapToGrid w:val="0"/>
        </w:rPr>
        <w:t>.</w:t>
      </w:r>
      <w:r>
        <w:rPr>
          <w:snapToGrid w:val="0"/>
        </w:rPr>
        <w:tab/>
        <w:t>Terms used</w:t>
      </w:r>
      <w:bookmarkEnd w:id="5"/>
      <w:bookmarkEnd w:id="6"/>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aged home</w:t>
      </w:r>
      <w:r>
        <w:t xml:space="preserve"> means an institution that, in the opinion of the Corporation — </w:t>
      </w:r>
    </w:p>
    <w:p>
      <w:pPr>
        <w:pStyle w:val="Defpara"/>
      </w:pPr>
      <w:r>
        <w:tab/>
        <w:t>(a)</w:t>
      </w:r>
      <w:r>
        <w:tab/>
        <w:t>provides accommodation for aged persons; and</w:t>
      </w:r>
    </w:p>
    <w:p>
      <w:pPr>
        <w:pStyle w:val="Defpara"/>
      </w:pPr>
      <w:r>
        <w:tab/>
        <w:t>(b)</w:t>
      </w:r>
      <w:r>
        <w:tab/>
        <w:t>is not operated for the purpose of profit or gain;</w:t>
      </w:r>
    </w:p>
    <w:p>
      <w:pPr>
        <w:pStyle w:val="Defstart"/>
      </w:pPr>
      <w:r>
        <w:tab/>
      </w:r>
      <w:r>
        <w:rPr>
          <w:rStyle w:val="CharDefText"/>
        </w:rPr>
        <w:t>approval of the Corporation</w:t>
      </w:r>
      <w:r>
        <w:t xml:space="preserve">, in relation to the discharge of trade waste, means an approval of the Corporation described in the </w:t>
      </w:r>
      <w:r>
        <w:rPr>
          <w:i/>
        </w:rPr>
        <w:t>Water Services Act 2012</w:t>
      </w:r>
      <w:r>
        <w:t xml:space="preserve"> section 102;</w:t>
      </w:r>
    </w:p>
    <w:p>
      <w:pPr>
        <w:pStyle w:val="Defstart"/>
      </w:pPr>
      <w:r>
        <w:rPr>
          <w:b/>
        </w:rPr>
        <w:tab/>
      </w:r>
      <w:r>
        <w:rPr>
          <w:rStyle w:val="CharDefText"/>
        </w:rPr>
        <w:t>caravan bay</w:t>
      </w:r>
      <w:r>
        <w:t xml:space="preserve"> means </w:t>
      </w:r>
      <w:r>
        <w:rPr>
          <w:rStyle w:val="CharDefText"/>
        </w:rPr>
        <w:t>site</w:t>
      </w:r>
      <w:r>
        <w:t xml:space="preserve"> as that word is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tab/>
      </w:r>
      <w:r>
        <w:rPr>
          <w:rStyle w:val="CharDefText"/>
        </w:rPr>
        <w:t>Corporation</w:t>
      </w:r>
      <w:r>
        <w:t xml:space="preserve"> means the Water Corporation established by the </w:t>
      </w:r>
      <w:r>
        <w:rPr>
          <w:i/>
        </w:rPr>
        <w:t>Water Corporations Act 1995</w:t>
      </w:r>
      <w:r>
        <w:t xml:space="preserve"> section 4(1);</w:t>
      </w:r>
    </w:p>
    <w:p>
      <w:pPr>
        <w:pStyle w:val="Defstart"/>
      </w:pPr>
      <w:r>
        <w:tab/>
      </w:r>
      <w:r>
        <w:rPr>
          <w:rStyle w:val="CharDefText"/>
        </w:rPr>
        <w:t>country sewerage area</w:t>
      </w:r>
      <w:r>
        <w:t xml:space="preserve"> means a sewerage area under the </w:t>
      </w:r>
      <w:r>
        <w:rPr>
          <w:i/>
        </w:rPr>
        <w:t>Country Towns Sewerage Act 1948</w:t>
      </w:r>
      <w:r>
        <w:rPr>
          <w:vertAlign w:val="superscript"/>
        </w:rPr>
        <w:t> 2</w:t>
      </w:r>
      <w:r>
        <w:t xml:space="preserve"> section 4 as in force immediately before the day on which the </w:t>
      </w:r>
      <w:r>
        <w:rPr>
          <w:i/>
        </w:rPr>
        <w:t>Water Services Legislation Amendment and Repeal Act 2012</w:t>
      </w:r>
      <w:r>
        <w:t xml:space="preserve"> section 200(a) came into operation</w:t>
      </w:r>
      <w:r>
        <w:rPr>
          <w:vertAlign w:val="superscript"/>
        </w:rPr>
        <w:t> 3</w:t>
      </w:r>
      <w:r>
        <w:t>;</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 or</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tab/>
      </w:r>
      <w:r>
        <w:rPr>
          <w:rStyle w:val="CharDefText"/>
        </w:rPr>
        <w:t>drainage area</w:t>
      </w:r>
      <w:r>
        <w:t xml:space="preserve"> means a drainage area under by</w:t>
      </w:r>
      <w:r>
        <w:noBreakHyphen/>
        <w:t>law 30;</w:t>
      </w:r>
    </w:p>
    <w:p>
      <w:pPr>
        <w:pStyle w:val="Defstart"/>
      </w:pPr>
      <w:r>
        <w:tab/>
      </w:r>
      <w:r>
        <w:rPr>
          <w:rStyle w:val="CharDefText"/>
        </w:rPr>
        <w:t>garden purposes</w:t>
      </w:r>
      <w:r>
        <w:t>, in relation to the supply of water, means the use of water for watering lawns and gardens appurtenant to land, including lawns and gardens growing in a street or road adjoining the land;</w:t>
      </w:r>
    </w:p>
    <w:p>
      <w:pPr>
        <w:pStyle w:val="Defstart"/>
        <w:keepNex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smartTag w:uri="urn:schemas-microsoft-com:office:smarttags" w:element="place">
        <w:smartTag w:uri="urn:schemas-microsoft-com:office:smarttags" w:element="PlaceName">
          <w:r>
            <w:rPr>
              <w:i/>
            </w:rPr>
            <w:t>Albany</w:t>
          </w:r>
        </w:smartTag>
        <w:r>
          <w:rPr>
            <w:i/>
          </w:rPr>
          <w:t xml:space="preserve"> </w:t>
        </w:r>
        <w:smartTag w:uri="urn:schemas-microsoft-com:office:smarttags" w:element="PlaceType">
          <w:r>
            <w:rPr>
              <w:i/>
            </w:rPr>
            <w:t>Port</w:t>
          </w:r>
        </w:smartTag>
      </w:smartTag>
      <w:r>
        <w:rPr>
          <w:i/>
        </w:rPr>
        <w:t xml:space="preserve"> Authority Act 1926</w:t>
      </w:r>
      <w:r>
        <w:t xml:space="preserve"> </w:t>
      </w:r>
      <w:r>
        <w:rPr>
          <w:vertAlign w:val="superscript"/>
        </w:rPr>
        <w:t>4</w:t>
      </w:r>
      <w:r>
        <w:t>;</w:t>
      </w:r>
    </w:p>
    <w:p>
      <w:pPr>
        <w:pStyle w:val="Defpara"/>
      </w:pPr>
      <w:r>
        <w:tab/>
      </w:r>
      <w:r>
        <w:tab/>
        <w:t xml:space="preserve">Bunbury Port Authority — constituted under the </w:t>
      </w:r>
      <w:smartTag w:uri="urn:schemas-microsoft-com:office:smarttags" w:element="place">
        <w:smartTag w:uri="urn:schemas-microsoft-com:office:smarttags" w:element="PlaceName">
          <w:r>
            <w:rPr>
              <w:i/>
            </w:rPr>
            <w:t>Bunbury</w:t>
          </w:r>
        </w:smartTag>
        <w:r>
          <w:rPr>
            <w:i/>
          </w:rPr>
          <w:t xml:space="preserve"> </w:t>
        </w:r>
        <w:smartTag w:uri="urn:schemas-microsoft-com:office:smarttags" w:element="PlaceType">
          <w:r>
            <w:rPr>
              <w:i/>
            </w:rPr>
            <w:t>Port</w:t>
          </w:r>
        </w:smartTag>
      </w:smartTag>
      <w:r>
        <w:rPr>
          <w:i/>
        </w:rPr>
        <w:t xml:space="preserve"> Authority Act 1909</w:t>
      </w:r>
      <w:r>
        <w:t xml:space="preserve"> </w:t>
      </w:r>
      <w:r>
        <w:rPr>
          <w:vertAlign w:val="superscript"/>
        </w:rPr>
        <w:t>4</w:t>
      </w:r>
      <w:r>
        <w:t>;</w:t>
      </w:r>
    </w:p>
    <w:p>
      <w:pPr>
        <w:pStyle w:val="Defpara"/>
      </w:pPr>
      <w:r>
        <w:tab/>
      </w:r>
      <w:r>
        <w:tab/>
        <w:t xml:space="preserve">Dampier Port Authority — constituted under the </w:t>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 xml:space="preserve"> </w:t>
      </w:r>
      <w:r>
        <w:rPr>
          <w:vertAlign w:val="superscript"/>
        </w:rPr>
        <w:t>4</w:t>
      </w:r>
      <w:r>
        <w:t>;</w:t>
      </w:r>
    </w:p>
    <w:p>
      <w:pPr>
        <w:pStyle w:val="Defpara"/>
      </w:pPr>
      <w:r>
        <w:tab/>
      </w:r>
      <w:r>
        <w:tab/>
        <w:t>Department of Marine and Harbours </w:t>
      </w:r>
      <w:r>
        <w:rPr>
          <w:vertAlign w:val="superscript"/>
        </w:rPr>
        <w:t>5</w:t>
      </w:r>
      <w:r>
        <w:t xml:space="preserve"> — established under section 4 of the </w:t>
      </w:r>
      <w:r>
        <w:rPr>
          <w:i/>
        </w:rPr>
        <w:t>Marine and Harbours Act 1981</w:t>
      </w:r>
      <w:r>
        <w:t>;</w:t>
      </w:r>
    </w:p>
    <w:p>
      <w:pPr>
        <w:pStyle w:val="Defpara"/>
      </w:pPr>
      <w:r>
        <w:tab/>
      </w:r>
      <w:r>
        <w:tab/>
        <w:t xml:space="preserve">Electricity Generation and Retail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Esperance Port Authority — constituted under the </w:t>
      </w:r>
      <w:smartTag w:uri="urn:schemas-microsoft-com:office:smarttags" w:element="place">
        <w:smartTag w:uri="urn:schemas-microsoft-com:office:smarttags" w:element="PlaceName">
          <w:r>
            <w:rPr>
              <w:i/>
            </w:rPr>
            <w:t>Esperance</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4</w:t>
      </w:r>
      <w:r>
        <w:t>;</w:t>
      </w:r>
    </w:p>
    <w:p>
      <w:pPr>
        <w:pStyle w:val="Defpara"/>
      </w:pPr>
      <w:r>
        <w:tab/>
      </w:r>
      <w:r>
        <w:tab/>
        <w:t xml:space="preserve">Fremantle Port Authority — constituted under the </w:t>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Port</w:t>
          </w:r>
        </w:smartTag>
      </w:smartTag>
      <w:r>
        <w:rPr>
          <w:i/>
        </w:rPr>
        <w:t xml:space="preserve"> Authority Act 1902</w:t>
      </w:r>
      <w:r>
        <w:t xml:space="preserve"> </w:t>
      </w:r>
      <w:r>
        <w:rPr>
          <w:vertAlign w:val="superscript"/>
        </w:rPr>
        <w:t>4</w:t>
      </w:r>
      <w:r>
        <w:t>;</w:t>
      </w:r>
    </w:p>
    <w:p>
      <w:pPr>
        <w:pStyle w:val="Defpara"/>
      </w:pPr>
      <w:r>
        <w:tab/>
      </w:r>
      <w:r>
        <w:tab/>
        <w:t xml:space="preserve">Gas Corporation — established under section 4 of the </w:t>
      </w:r>
      <w:r>
        <w:rPr>
          <w:i/>
        </w:rPr>
        <w:t>Gas Corporation Act 1994 </w:t>
      </w:r>
      <w:r>
        <w:rPr>
          <w:vertAlign w:val="superscript"/>
        </w:rPr>
        <w:t>6</w:t>
      </w:r>
      <w:r>
        <w:t>;</w:t>
      </w:r>
    </w:p>
    <w:p>
      <w:pPr>
        <w:pStyle w:val="Defpara"/>
      </w:pPr>
      <w:r>
        <w:tab/>
      </w:r>
      <w:r>
        <w:tab/>
        <w:t xml:space="preserve">Geraldton Port Authority — constituted under the </w:t>
      </w:r>
      <w:smartTag w:uri="urn:schemas-microsoft-com:office:smarttags" w:element="place">
        <w:smartTag w:uri="urn:schemas-microsoft-com:office:smarttags" w:element="PlaceName">
          <w:r>
            <w:rPr>
              <w:i/>
            </w:rPr>
            <w:t>Geraldton</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4</w:t>
      </w:r>
      <w:r>
        <w:t>;</w:t>
      </w:r>
    </w:p>
    <w:p>
      <w:pPr>
        <w:pStyle w:val="Defpara"/>
      </w:pPr>
      <w:r>
        <w:tab/>
      </w:r>
      <w:r>
        <w:tab/>
        <w:t xml:space="preserve">Joondalup Development Corporation — established under the </w:t>
      </w:r>
      <w:r>
        <w:rPr>
          <w:i/>
        </w:rPr>
        <w:t>Joondalup Centre Act 1976</w:t>
      </w:r>
      <w:r>
        <w:t xml:space="preserve"> </w:t>
      </w:r>
      <w:r>
        <w:rPr>
          <w:vertAlign w:val="superscript"/>
        </w:rPr>
        <w:t>7</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Metropolitan (</w:t>
      </w:r>
      <w:smartTag w:uri="urn:schemas-microsoft-com:office:smarttags" w:element="City">
        <w:r>
          <w:t>Perth</w:t>
        </w:r>
      </w:smartTag>
      <w:r>
        <w:t>) Passenger Transport Trust</w:t>
      </w:r>
      <w:r>
        <w:rPr>
          <w:vertAlign w:val="superscript"/>
        </w:rPr>
        <w:t> 8</w:t>
      </w:r>
      <w:r>
        <w:t xml:space="preserve"> — constituted under the </w:t>
      </w:r>
      <w:r>
        <w:rPr>
          <w:i/>
        </w:rPr>
        <w:t>Metropolitan (</w:t>
      </w:r>
      <w:smartTag w:uri="urn:schemas-microsoft-com:office:smarttags" w:element="place">
        <w:smartTag w:uri="urn:schemas-microsoft-com:office:smarttags" w:element="City">
          <w:r>
            <w:rPr>
              <w:i/>
            </w:rPr>
            <w:t>Perth</w:t>
          </w:r>
        </w:smartTag>
      </w:smartTag>
      <w:r>
        <w:rPr>
          <w:i/>
        </w:rPr>
        <w:t>) Passenger Transport Trust Act 1957</w:t>
      </w:r>
      <w:r>
        <w:t xml:space="preserve"> </w:t>
      </w:r>
      <w:r>
        <w:rPr>
          <w:vertAlign w:val="superscript"/>
        </w:rPr>
        <w:t>9</w:t>
      </w:r>
      <w:r>
        <w:t>;</w:t>
      </w:r>
    </w:p>
    <w:p>
      <w:pPr>
        <w:pStyle w:val="Defpara"/>
      </w:pPr>
      <w:r>
        <w:tab/>
      </w:r>
      <w:r>
        <w:tab/>
        <w:t xml:space="preserve">Perth Market Authority —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Defpara"/>
      </w:pPr>
      <w:r>
        <w:tab/>
      </w:r>
      <w:r>
        <w:tab/>
        <w:t xml:space="preserve">Perth Theatre Trust — established under the </w:t>
      </w:r>
      <w:r>
        <w:rPr>
          <w:i/>
        </w:rPr>
        <w:t>Perth Theatre Trust Act 1979</w:t>
      </w:r>
      <w:r>
        <w:t>;</w:t>
      </w:r>
    </w:p>
    <w:p>
      <w:pPr>
        <w:pStyle w:val="Defpara"/>
      </w:pPr>
      <w:r>
        <w:tab/>
      </w:r>
      <w:r>
        <w:tab/>
      </w:r>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r>
        <w:t xml:space="preserve"> Authority — constituted under the </w:t>
      </w:r>
      <w:smartTag w:uri="urn:schemas-microsoft-com:office:smarttags" w:element="place">
        <w:smartTag w:uri="urn:schemas-microsoft-com:office:smarttags" w:element="PlaceType">
          <w:r>
            <w:rPr>
              <w:i/>
            </w:rPr>
            <w:t>Port</w:t>
          </w:r>
        </w:smartTag>
        <w:r>
          <w:rPr>
            <w:i/>
          </w:rPr>
          <w:t xml:space="preserve"> </w:t>
        </w:r>
        <w:smartTag w:uri="urn:schemas-microsoft-com:office:smarttags" w:element="PlaceName">
          <w:r>
            <w:rPr>
              <w:i/>
            </w:rPr>
            <w:t>Hedland</w:t>
          </w:r>
        </w:smartTag>
        <w:r>
          <w:rPr>
            <w:i/>
          </w:rPr>
          <w:t xml:space="preserve"> </w:t>
        </w:r>
        <w:smartTag w:uri="urn:schemas-microsoft-com:office:smarttags" w:element="PlaceType">
          <w:r>
            <w:rPr>
              <w:i/>
            </w:rPr>
            <w:t>Port</w:t>
          </w:r>
        </w:smartTag>
      </w:smartTag>
      <w:r>
        <w:rPr>
          <w:i/>
        </w:rPr>
        <w:t xml:space="preserve"> Authority Act 1970</w:t>
      </w:r>
      <w:r>
        <w:t xml:space="preserve"> </w:t>
      </w:r>
      <w:r>
        <w:rPr>
          <w:vertAlign w:val="superscript"/>
        </w:rPr>
        <w:t>4</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10</w:t>
      </w:r>
      <w:r>
        <w:t>;</w:t>
      </w:r>
    </w:p>
    <w:p>
      <w:pPr>
        <w:pStyle w:val="Defpara"/>
      </w:pPr>
      <w:r>
        <w:tab/>
      </w:r>
      <w:r>
        <w:tab/>
        <w:t xml:space="preserve">Western Australian Land Authority —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11</w:t>
      </w:r>
      <w:r>
        <w:t>;</w:t>
      </w:r>
    </w:p>
    <w:p>
      <w:pPr>
        <w:pStyle w:val="Defpara"/>
      </w:pPr>
      <w:r>
        <w:tab/>
      </w:r>
      <w:r>
        <w:tab/>
        <w:t xml:space="preserve">Western Australian Mint — preserved and continued under the </w:t>
      </w:r>
      <w:r>
        <w:rPr>
          <w:i/>
        </w:rPr>
        <w:t>Gold Corporation Act 1987</w:t>
      </w:r>
      <w:r>
        <w:t>, including —</w:t>
      </w:r>
    </w:p>
    <w:p>
      <w:pPr>
        <w:pStyle w:val="Defsubpara"/>
      </w:pPr>
      <w:r>
        <w:tab/>
        <w:t>(a)</w:t>
      </w:r>
      <w:r>
        <w:tab/>
        <w:t xml:space="preserve">GoldCorp Australia — constituted under the </w:t>
      </w:r>
      <w:r>
        <w:rPr>
          <w:i/>
        </w:rPr>
        <w:t>Gold Corporation Act 1987</w:t>
      </w:r>
      <w:r>
        <w:t>; and</w:t>
      </w:r>
    </w:p>
    <w:p>
      <w:pPr>
        <w:pStyle w:val="Defsubpara"/>
      </w:pPr>
      <w:r>
        <w:tab/>
        <w:t>(b)</w:t>
      </w:r>
      <w:r>
        <w:tab/>
        <w:t xml:space="preserve">Gold Corporation — constituted under the </w:t>
      </w:r>
      <w:r>
        <w:rPr>
          <w:i/>
        </w:rPr>
        <w:t>Gold Corporation Act 1987</w:t>
      </w:r>
      <w:r>
        <w:t>; and</w:t>
      </w:r>
    </w:p>
    <w:p>
      <w:pPr>
        <w:pStyle w:val="Defsubpara"/>
      </w:pPr>
      <w:r>
        <w:tab/>
        <w:t>(c)</w:t>
      </w:r>
      <w:r>
        <w:tab/>
        <w:t xml:space="preserve">the Perth Branch of the Royal Mint — established by proclamation under the </w:t>
      </w:r>
      <w:r>
        <w:rPr>
          <w:i/>
        </w:rPr>
        <w:t>Coinage Act 1870</w:t>
      </w:r>
      <w:r>
        <w:t xml:space="preserve"> of the Parliament of the </w:t>
      </w:r>
      <w:smartTag w:uri="urn:schemas-microsoft-com:office:smarttags" w:element="place">
        <w:smartTag w:uri="urn:schemas-microsoft-com:office:smarttags" w:element="country-region">
          <w:r>
            <w:t>United Kingdom</w:t>
          </w:r>
        </w:smartTag>
      </w:smartTag>
      <w:r>
        <w:t>;</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12</w:t>
      </w:r>
      <w:r>
        <w:t>;</w:t>
      </w:r>
    </w:p>
    <w:p>
      <w:pPr>
        <w:pStyle w:val="Defstart"/>
      </w:pPr>
      <w:r>
        <w:rPr>
          <w:b/>
        </w:rPr>
        <w:tab/>
      </w:r>
      <w:r>
        <w:rPr>
          <w:rStyle w:val="CharDefText"/>
        </w:rPr>
        <w:t>GRV</w:t>
      </w:r>
      <w:r>
        <w:t>, in relation to land, means the gross rental value of the land;</w:t>
      </w:r>
    </w:p>
    <w:p>
      <w:pPr>
        <w:pStyle w:val="Defstart"/>
        <w:keepNex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tab/>
      </w:r>
      <w:r>
        <w:rPr>
          <w:rStyle w:val="CharDefText"/>
        </w:rPr>
        <w:t>irrigation works</w:t>
      </w:r>
      <w:r>
        <w:t>, of a person, include a dam, reservoir or other non</w:t>
      </w:r>
      <w:r>
        <w:noBreakHyphen/>
        <w:t>reticulated works of the person used in the provision of an irrigation service;</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 and</w:t>
      </w:r>
    </w:p>
    <w:p>
      <w:pPr>
        <w:pStyle w:val="Defpara"/>
      </w:pPr>
      <w:r>
        <w:tab/>
        <w:t>(b)</w:t>
      </w:r>
      <w:r>
        <w:tab/>
        <w:t>each urinal outlet contained within a floor mounted urinal; and</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tab/>
      </w:r>
      <w:r>
        <w:rPr>
          <w:rStyle w:val="CharDefText"/>
        </w:rPr>
        <w:t>metropolitan area</w:t>
      </w:r>
      <w:r>
        <w:t xml:space="preserve"> has the meaning given in the </w:t>
      </w:r>
      <w:r>
        <w:rPr>
          <w:i/>
        </w:rPr>
        <w:t>Water Services Regulations 2013</w:t>
      </w:r>
      <w:r>
        <w:t xml:space="preserve"> regulation 3(1);</w:t>
      </w:r>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 and</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pPr>
      <w:r>
        <w:tab/>
      </w:r>
      <w:r>
        <w:rPr>
          <w:rStyle w:val="CharDefText"/>
        </w:rPr>
        <w:t>quantity charge</w:t>
      </w:r>
      <w:r>
        <w:t xml:space="preserve"> means quality/quantity charge as defined in the </w:t>
      </w:r>
      <w:r>
        <w:rPr>
          <w:i/>
        </w:rPr>
        <w:t>Water Services Act 2012</w:t>
      </w:r>
      <w:r>
        <w:t xml:space="preserve"> section 71(1);</w:t>
      </w:r>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tab/>
      </w:r>
      <w:r>
        <w:rPr>
          <w:rStyle w:val="CharDefText"/>
        </w:rPr>
        <w:t>trade waste</w:t>
      </w:r>
      <w:r>
        <w:t xml:space="preserve"> has the meaning given in the </w:t>
      </w:r>
      <w:r>
        <w:rPr>
          <w:i/>
        </w:rPr>
        <w:t>Water Services Act 2012</w:t>
      </w:r>
      <w:r>
        <w:t xml:space="preserve"> section 3(1);</w:t>
      </w:r>
    </w:p>
    <w:p>
      <w:pPr>
        <w:pStyle w:val="Defstart"/>
      </w:pPr>
      <w:r>
        <w:tab/>
      </w:r>
      <w:r>
        <w:rPr>
          <w:rStyle w:val="CharDefText"/>
        </w:rPr>
        <w:t>wastewater</w:t>
      </w:r>
      <w:r>
        <w:t xml:space="preserve"> has the meaning given in the </w:t>
      </w:r>
      <w:r>
        <w:rPr>
          <w:i/>
        </w:rPr>
        <w:t>Water Services Act 2012</w:t>
      </w:r>
      <w:r>
        <w:t xml:space="preserve"> section 3(1);</w:t>
      </w:r>
    </w:p>
    <w:p>
      <w:pPr>
        <w:pStyle w:val="Defstart"/>
      </w:pPr>
      <w:r>
        <w:tab/>
      </w:r>
      <w:r>
        <w:rPr>
          <w:rStyle w:val="CharDefText"/>
        </w:rPr>
        <w:t>water supply</w:t>
      </w:r>
      <w:r>
        <w:t xml:space="preserve"> does not include the supply of water from irrigation works of a licensee for the purpose of irrigation;</w:t>
      </w:r>
    </w:p>
    <w:p>
      <w:pPr>
        <w:pStyle w:val="Defstart"/>
      </w:pPr>
      <w:r>
        <w:rPr>
          <w:b/>
        </w:rPr>
        <w:tab/>
      </w:r>
      <w:r>
        <w:rPr>
          <w:rStyle w:val="CharDefText"/>
        </w:rPr>
        <w:t>year</w:t>
      </w:r>
      <w:r>
        <w:t>, preceded by a reference to 2 calendar years (for example, 1987/88 or 1999/2000), subject to sub</w:t>
      </w:r>
      <w:r>
        <w:noBreakHyphen/>
        <w:t>bylaw (2A),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pPr>
      <w:r>
        <w:tab/>
        <w:t>(i)</w:t>
      </w:r>
      <w:r>
        <w:tab/>
        <w:t>that relates to water supplied in a non</w:t>
      </w:r>
      <w:r>
        <w:noBreakHyphen/>
        <w:t>metropolitan area, the period commencing on a day determined by the Corporation, being a day between 1 July and 31 August, inclusive, in the first of the years referred to and ending on a day determined by the Corporation, being a day within 20 days of the expiration of one year after the commencement of the period; and</w:t>
      </w:r>
    </w:p>
    <w:p>
      <w:pPr>
        <w:pStyle w:val="Defsubpara"/>
      </w:pPr>
      <w:r>
        <w:tab/>
        <w:t>(ii)</w:t>
      </w:r>
      <w:r>
        <w:tab/>
        <w:t>that relates to water supplied in the metropolitan area, the period commencing on a day determined by the Corporation, being a day between 1 January and 30 June in the first of the years referred to and ending on a day determined by the Corporation, being a day within 20 days of the expiration of one year after the commencement of the period; and</w:t>
      </w:r>
    </w:p>
    <w:p>
      <w:pPr>
        <w:pStyle w:val="Defsubpara"/>
        <w:keepLines w:val="0"/>
      </w:pPr>
      <w:r>
        <w:tab/>
        <w:t>(iii)</w:t>
      </w:r>
      <w:r>
        <w:tab/>
        <w:t>that relates to the discharge of trade waste,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pPr>
      <w:r>
        <w:tab/>
        <w:t>(iv)</w:t>
      </w:r>
      <w:r>
        <w:tab/>
        <w:t>that relates to wastewater (other than trade waste) discharged into the Corporation’s sewer, the period under subparagraphs (i) or (ii).</w:t>
      </w:r>
    </w:p>
    <w:p>
      <w:pPr>
        <w:pStyle w:val="Subsection"/>
      </w:pPr>
      <w:r>
        <w:tab/>
        <w:t>(2A)</w:t>
      </w:r>
      <w:r>
        <w:tab/>
        <w:t xml:space="preserve">For the purposes of the definition of </w:t>
      </w:r>
      <w:r>
        <w:rPr>
          <w:b/>
          <w:i/>
        </w:rPr>
        <w:t>year</w:t>
      </w:r>
      <w:r>
        <w:t>, for the 2012/2013 year the period set out in paragraph (b)(i) is to end on a day determined by the Corporation, being a day no earlier than 8 months after the commencement of the period.</w:t>
      </w:r>
    </w:p>
    <w:p>
      <w:pPr>
        <w:pStyle w:val="Ednotesubsection"/>
      </w:pPr>
      <w:r>
        <w:tab/>
        <w:t>[(2)</w:t>
      </w:r>
      <w:r>
        <w:tab/>
        <w:t>deleted]</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 20 Jun 2012 p. 2695</w:t>
      </w:r>
      <w:r>
        <w:noBreakHyphen/>
        <w:t>6; 19 Jun 2013 p. 2347-8; 14 Nov 2013 p. 5081-3; 27 Dec 2013 p. 6479.]</w:t>
      </w:r>
    </w:p>
    <w:p>
      <w:pPr>
        <w:pStyle w:val="Heading2"/>
      </w:pPr>
      <w:bookmarkStart w:id="7" w:name="_Toc390772012"/>
      <w:bookmarkStart w:id="8" w:name="_Toc391906879"/>
      <w:bookmarkStart w:id="9" w:name="_Toc426119740"/>
      <w:r>
        <w:rPr>
          <w:rStyle w:val="CharPartNo"/>
        </w:rPr>
        <w:t>Part 1</w:t>
      </w:r>
      <w:r>
        <w:rPr>
          <w:rStyle w:val="CharDivNo"/>
        </w:rPr>
        <w:t> </w:t>
      </w:r>
      <w:r>
        <w:t>—</w:t>
      </w:r>
      <w:r>
        <w:rPr>
          <w:rStyle w:val="CharDivText"/>
        </w:rPr>
        <w:t> </w:t>
      </w:r>
      <w:r>
        <w:rPr>
          <w:rStyle w:val="CharPartText"/>
        </w:rPr>
        <w:t>General</w:t>
      </w:r>
      <w:bookmarkEnd w:id="7"/>
      <w:bookmarkEnd w:id="8"/>
      <w:bookmarkEnd w:id="9"/>
    </w:p>
    <w:p>
      <w:pPr>
        <w:pStyle w:val="Heading5"/>
        <w:rPr>
          <w:snapToGrid w:val="0"/>
        </w:rPr>
      </w:pPr>
      <w:bookmarkStart w:id="10" w:name="_Toc391906880"/>
      <w:bookmarkStart w:id="11" w:name="_Toc426119741"/>
      <w:r>
        <w:rPr>
          <w:rStyle w:val="CharSectno"/>
        </w:rPr>
        <w:t>3</w:t>
      </w:r>
      <w:r>
        <w:rPr>
          <w:snapToGrid w:val="0"/>
        </w:rPr>
        <w:t>.</w:t>
      </w:r>
      <w:r>
        <w:rPr>
          <w:snapToGrid w:val="0"/>
        </w:rPr>
        <w:tab/>
        <w:t>Proportionate charges for part of year</w:t>
      </w:r>
      <w:bookmarkEnd w:id="10"/>
      <w:bookmarkEnd w:id="11"/>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12" w:name="_Toc391906881"/>
      <w:bookmarkStart w:id="13" w:name="_Toc426119742"/>
      <w:r>
        <w:rPr>
          <w:rStyle w:val="CharSectno"/>
        </w:rPr>
        <w:t>3A</w:t>
      </w:r>
      <w:r>
        <w:rPr>
          <w:snapToGrid w:val="0"/>
        </w:rPr>
        <w:t>.</w:t>
      </w:r>
      <w:r>
        <w:rPr>
          <w:snapToGrid w:val="0"/>
        </w:rPr>
        <w:tab/>
        <w:t>Minimum charge prior to revaluation</w:t>
      </w:r>
      <w:bookmarkEnd w:id="12"/>
      <w:bookmarkEnd w:id="13"/>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 and</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 and</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14" w:name="_Toc391906882"/>
      <w:bookmarkStart w:id="15" w:name="_Toc426119743"/>
      <w:r>
        <w:rPr>
          <w:rStyle w:val="CharSectno"/>
        </w:rPr>
        <w:t>4</w:t>
      </w:r>
      <w:r>
        <w:rPr>
          <w:snapToGrid w:val="0"/>
        </w:rPr>
        <w:t>.</w:t>
      </w:r>
      <w:r>
        <w:rPr>
          <w:snapToGrid w:val="0"/>
        </w:rPr>
        <w:tab/>
        <w:t>Exempt land</w:t>
      </w:r>
      <w:bookmarkEnd w:id="14"/>
      <w:bookmarkEnd w:id="15"/>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 or</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r>
      <w:r>
        <w:rPr>
          <w:snapToGrid w:val="0"/>
          <w:spacing w:val="-4"/>
        </w:rPr>
        <w:tab/>
        <w:t>or</w:t>
      </w:r>
    </w:p>
    <w:p>
      <w:pPr>
        <w:pStyle w:val="Indenta"/>
        <w:rPr>
          <w:snapToGrid w:val="0"/>
          <w:spacing w:val="-4"/>
        </w:rPr>
      </w:pPr>
      <w:r>
        <w:rPr>
          <w:snapToGrid w:val="0"/>
          <w:spacing w:val="-4"/>
        </w:rPr>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 or</w:t>
      </w:r>
    </w:p>
    <w:p>
      <w:pPr>
        <w:pStyle w:val="Indenta"/>
        <w:spacing w:before="70"/>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 or</w:t>
      </w:r>
    </w:p>
    <w:p>
      <w:pPr>
        <w:pStyle w:val="Indenta"/>
        <w:spacing w:before="70"/>
        <w:rPr>
          <w:snapToGrid w:val="0"/>
        </w:rPr>
      </w:pPr>
      <w:r>
        <w:rPr>
          <w:snapToGrid w:val="0"/>
        </w:rPr>
        <w:tab/>
        <w:t>(e)</w:t>
      </w:r>
      <w:r>
        <w:rPr>
          <w:snapToGrid w:val="0"/>
        </w:rPr>
        <w:tab/>
        <w:t>land used, occupied, or held exclusively for charitable purposes, not being land leased or occupied for any private purpose; or</w:t>
      </w:r>
    </w:p>
    <w:p>
      <w:pPr>
        <w:pStyle w:val="Indenta"/>
        <w:spacing w:before="70"/>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 or</w:t>
      </w:r>
    </w:p>
    <w:p>
      <w:pPr>
        <w:pStyle w:val="Indenta"/>
        <w:keepNext/>
        <w:keepLines/>
        <w:spacing w:before="70"/>
        <w:rPr>
          <w:snapToGrid w:val="0"/>
        </w:rPr>
      </w:pPr>
      <w:r>
        <w:rPr>
          <w:snapToGrid w:val="0"/>
        </w:rPr>
        <w:tab/>
        <w:t>(fa)</w:t>
      </w:r>
      <w:r>
        <w:rPr>
          <w:snapToGrid w:val="0"/>
        </w:rPr>
        <w:tab/>
        <w:t>land used, occupied or held exclusively for the purposes of societies, clubs, associations and other bodies that —</w:t>
      </w:r>
    </w:p>
    <w:p>
      <w:pPr>
        <w:pStyle w:val="Indenti"/>
        <w:spacing w:before="70"/>
        <w:rPr>
          <w:snapToGrid w:val="0"/>
        </w:rPr>
      </w:pPr>
      <w:r>
        <w:rPr>
          <w:snapToGrid w:val="0"/>
        </w:rPr>
        <w:tab/>
        <w:t>(i)</w:t>
      </w:r>
      <w:r>
        <w:rPr>
          <w:snapToGrid w:val="0"/>
        </w:rPr>
        <w:tab/>
        <w:t>conduct sporting, hobby or like activities as their sole or principal activities; and</w:t>
      </w:r>
    </w:p>
    <w:p>
      <w:pPr>
        <w:pStyle w:val="Indenti"/>
        <w:spacing w:before="70"/>
      </w:pPr>
      <w:r>
        <w:rPr>
          <w:snapToGrid w:val="0"/>
        </w:rPr>
        <w:tab/>
        <w:t>(ii)</w:t>
      </w:r>
      <w:r>
        <w:rPr>
          <w:snapToGrid w:val="0"/>
        </w:rPr>
        <w:tab/>
        <w:t>in the opinion of the Corporation, are not operated for the purpose of profit or gain to individual members, shareholders or owners; and</w:t>
      </w:r>
    </w:p>
    <w:p>
      <w:pPr>
        <w:pStyle w:val="Indenti"/>
        <w:keepNext/>
        <w:spacing w:before="70"/>
        <w:rPr>
          <w:snapToGrid w:val="0"/>
        </w:rPr>
      </w:pPr>
      <w:r>
        <w:rPr>
          <w:snapToGrid w:val="0"/>
        </w:rPr>
        <w:tab/>
        <w:t>(iii)</w:t>
      </w:r>
      <w:r>
        <w:rPr>
          <w:snapToGrid w:val="0"/>
        </w:rPr>
        <w:tab/>
        <w:t>are not listed in the following table —</w:t>
      </w:r>
    </w:p>
    <w:p>
      <w:pPr>
        <w:pStyle w:val="THeadingNAm"/>
        <w:spacing w:before="120" w:after="0"/>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c>
          <w:tcPr>
            <w:tcW w:w="4880" w:type="dxa"/>
          </w:tcPr>
          <w:p>
            <w:pPr>
              <w:pStyle w:val="TableNAm"/>
              <w:spacing w:before="80"/>
              <w:ind w:left="568" w:hanging="568"/>
              <w:rPr>
                <w:snapToGrid w:val="0"/>
              </w:rPr>
            </w:pPr>
            <w:r>
              <w:rPr>
                <w:snapToGrid w:val="0"/>
              </w:rPr>
              <w:t>1.</w:t>
            </w:r>
            <w:r>
              <w:rPr>
                <w:snapToGrid w:val="0"/>
              </w:rPr>
              <w:tab/>
              <w:t xml:space="preserve">the body known as The Western Australian Turf Club, and any club or association formed for the conduct or promotion of galloping horse races in </w:t>
            </w:r>
            <w:smartTag w:uri="urn:schemas-microsoft-com:office:smarttags" w:element="place">
              <w:smartTag w:uri="urn:schemas-microsoft-com:office:smarttags" w:element="State">
                <w:r>
                  <w:rPr>
                    <w:snapToGrid w:val="0"/>
                  </w:rPr>
                  <w:t>Western Australia</w:t>
                </w:r>
              </w:smartTag>
            </w:smartTag>
            <w:r>
              <w:rPr>
                <w:snapToGrid w:val="0"/>
              </w:rPr>
              <w:t>;</w:t>
            </w:r>
          </w:p>
        </w:tc>
      </w:tr>
      <w:tr>
        <w:trPr>
          <w:cantSplit/>
        </w:trPr>
        <w:tc>
          <w:tcPr>
            <w:tcW w:w="4880" w:type="dxa"/>
          </w:tcPr>
          <w:p>
            <w:pPr>
              <w:pStyle w:val="TableNAm"/>
              <w:spacing w:before="80"/>
              <w:ind w:left="568" w:hanging="568"/>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spacing w:before="80"/>
              <w:ind w:left="568" w:hanging="568"/>
              <w:rPr>
                <w:rFonts w:ascii="Arial" w:hAnsi="Arial"/>
                <w:b/>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13</w:t>
            </w:r>
            <w:r>
              <w:rPr>
                <w:snapToGrid w:val="0"/>
              </w:rPr>
              <w:t xml:space="preserve"> and any greyhound club or association formed for the conduct or promotion of greyhound racing in Western Australia;</w:t>
            </w:r>
          </w:p>
        </w:tc>
      </w:tr>
    </w:tbl>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 or</w:t>
      </w:r>
    </w:p>
    <w:p>
      <w:pPr>
        <w:pStyle w:val="Indenta"/>
        <w:keepLines/>
        <w:spacing w:before="60"/>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spacing w:before="60"/>
        <w:rPr>
          <w:snapToGrid w:val="0"/>
        </w:rPr>
      </w:pPr>
      <w:r>
        <w:rPr>
          <w:snapToGrid w:val="0"/>
        </w:rPr>
        <w:tab/>
        <w:t>(i)</w:t>
      </w:r>
      <w:r>
        <w:rPr>
          <w:snapToGrid w:val="0"/>
        </w:rPr>
        <w:tab/>
        <w:t>the land is used principally for horse or greyhound racing; and</w:t>
      </w:r>
    </w:p>
    <w:p>
      <w:pPr>
        <w:pStyle w:val="Indenti"/>
        <w:spacing w:before="60"/>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vertAlign w:val="superscript"/>
        </w:rPr>
        <w:t> 14</w:t>
      </w:r>
      <w:r>
        <w:rPr>
          <w:snapToGrid w:val="0"/>
        </w:rPr>
        <w:t xml:space="preserve"> for any of the race meetings conducted on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(g)</w:t>
      </w:r>
      <w:r>
        <w:rPr>
          <w:snapToGrid w:val="0"/>
        </w:rPr>
        <w:tab/>
        <w:t>land used or held as a cemetery; or</w:t>
      </w:r>
    </w:p>
    <w:p>
      <w:pPr>
        <w:pStyle w:val="Indenta"/>
        <w:spacing w:before="60"/>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pPr>
      <w:bookmarkStart w:id="16" w:name="_Toc391906883"/>
      <w:bookmarkStart w:id="17" w:name="_Toc426119744"/>
      <w:r>
        <w:rPr>
          <w:rStyle w:val="CharSectno"/>
        </w:rPr>
        <w:t>5A</w:t>
      </w:r>
      <w:r>
        <w:t>.</w:t>
      </w:r>
      <w:r>
        <w:tab/>
        <w:t>Exempt land, amount of exemption calculated</w:t>
      </w:r>
      <w:bookmarkEnd w:id="16"/>
      <w:bookmarkEnd w:id="17"/>
    </w:p>
    <w:p>
      <w:pPr>
        <w:pStyle w:val="Subsection"/>
      </w:pPr>
      <w:r>
        <w:tab/>
        <w:t>(1)</w:t>
      </w:r>
      <w:r>
        <w:tab/>
        <w:t>In this by</w:t>
      </w:r>
      <w:r>
        <w:noBreakHyphen/>
        <w:t xml:space="preserve">law — </w:t>
      </w:r>
    </w:p>
    <w:p>
      <w:pPr>
        <w:pStyle w:val="Defstart"/>
      </w:pPr>
      <w:r>
        <w:tab/>
      </w:r>
      <w:r>
        <w:rPr>
          <w:rStyle w:val="CharDefText"/>
        </w:rPr>
        <w:t>exempt land</w:t>
      </w:r>
      <w:r>
        <w:t xml:space="preserve"> means land — </w:t>
      </w:r>
    </w:p>
    <w:p>
      <w:pPr>
        <w:pStyle w:val="Defpara"/>
      </w:pPr>
      <w:r>
        <w:tab/>
        <w:t>(a)</w:t>
      </w:r>
      <w:r>
        <w:tab/>
        <w:t>which is exempt from a charge for a water service; or</w:t>
      </w:r>
    </w:p>
    <w:p>
      <w:pPr>
        <w:pStyle w:val="Defpara"/>
      </w:pPr>
      <w:r>
        <w:tab/>
        <w:t>(b)</w:t>
      </w:r>
      <w:r>
        <w:tab/>
        <w:t>for which a discount is prescribed for a water service.</w:t>
      </w:r>
    </w:p>
    <w:p>
      <w:pPr>
        <w:pStyle w:val="Subsection"/>
      </w:pPr>
      <w:r>
        <w:tab/>
        <w:t>(2)</w:t>
      </w:r>
      <w:r>
        <w:tab/>
        <w:t>The Corporation may provide a person with an account in respect of exempt land showing the charge that would have been payable for a water service if the exemption or discount did not apply.</w:t>
      </w:r>
    </w:p>
    <w:p>
      <w:pPr>
        <w:pStyle w:val="Subsection"/>
      </w:pPr>
      <w:r>
        <w:tab/>
        <w:t>(3)</w:t>
      </w:r>
      <w:r>
        <w:tab/>
        <w:t xml:space="preserve">For the purposes of the definition of </w:t>
      </w:r>
      <w:r>
        <w:rPr>
          <w:b/>
          <w:i/>
        </w:rPr>
        <w:t>exempt land</w:t>
      </w:r>
      <w:r>
        <w:t xml:space="preserve"> paragraph (a) in this by</w:t>
      </w:r>
      <w:r>
        <w:noBreakHyphen/>
        <w:t>law, the amount of the exemption is to be calculated by reference to the quantity of water or wastewater concerned or the gross rental value, unimproved value or area of the land in respect of which the water service is provided.</w:t>
      </w:r>
    </w:p>
    <w:p>
      <w:pPr>
        <w:pStyle w:val="Footnotesection"/>
        <w:spacing w:before="100"/>
      </w:pPr>
      <w:r>
        <w:tab/>
        <w:t>[By-law 5A inserted in Gazette 20 Jun 2012 p. 2696-7.]</w:t>
      </w:r>
    </w:p>
    <w:p>
      <w:pPr>
        <w:pStyle w:val="Heading5"/>
        <w:rPr>
          <w:snapToGrid w:val="0"/>
        </w:rPr>
      </w:pPr>
      <w:bookmarkStart w:id="18" w:name="_Toc391906884"/>
      <w:bookmarkStart w:id="19" w:name="_Toc426119745"/>
      <w:r>
        <w:rPr>
          <w:rStyle w:val="CharSectno"/>
        </w:rPr>
        <w:t>5</w:t>
      </w:r>
      <w:r>
        <w:rPr>
          <w:snapToGrid w:val="0"/>
        </w:rPr>
        <w:t>.</w:t>
      </w:r>
      <w:r>
        <w:rPr>
          <w:snapToGrid w:val="0"/>
        </w:rPr>
        <w:tab/>
        <w:t>Separately assessable residential land</w:t>
      </w:r>
      <w:bookmarkEnd w:id="18"/>
      <w:bookmarkEnd w:id="19"/>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spacing w:before="100"/>
      </w:pPr>
      <w:r>
        <w:tab/>
        <w:t>[By</w:t>
      </w:r>
      <w:r>
        <w:noBreakHyphen/>
        <w:t xml:space="preserve">law 5 amended in Gazette 29 Jun 2007 p. 3246.] </w:t>
      </w:r>
    </w:p>
    <w:p>
      <w:pPr>
        <w:pStyle w:val="Heading5"/>
        <w:rPr>
          <w:snapToGrid w:val="0"/>
        </w:rPr>
      </w:pPr>
      <w:bookmarkStart w:id="20" w:name="_Toc391906885"/>
      <w:bookmarkStart w:id="21" w:name="_Toc426119746"/>
      <w:r>
        <w:rPr>
          <w:rStyle w:val="CharSectno"/>
        </w:rPr>
        <w:t>6</w:t>
      </w:r>
      <w:r>
        <w:rPr>
          <w:snapToGrid w:val="0"/>
        </w:rPr>
        <w:t>.</w:t>
      </w:r>
      <w:r>
        <w:rPr>
          <w:snapToGrid w:val="0"/>
        </w:rPr>
        <w:tab/>
        <w:t>Estimation upon meter malfunction or of non</w:t>
      </w:r>
      <w:r>
        <w:rPr>
          <w:snapToGrid w:val="0"/>
        </w:rPr>
        <w:noBreakHyphen/>
        <w:t>metered quantity</w:t>
      </w:r>
      <w:bookmarkEnd w:id="20"/>
      <w:bookmarkEnd w:id="21"/>
    </w:p>
    <w:p>
      <w:pPr>
        <w:pStyle w:val="Subsection"/>
      </w:pPr>
      <w:r>
        <w:tab/>
        <w:t>(1)</w:t>
      </w:r>
      <w:r>
        <w:tab/>
        <w:t>Where a charge is to be assessed by reference to the quantity of water concerned and, because of a circumstance specified in sub</w:t>
      </w:r>
      <w:r>
        <w:noBreakHyphen/>
        <w:t xml:space="preserve">bylaw (2A), an accurate meter reading measuring that quantity cannot be obtained the charge is to be assessed by reference to a quantity of water estimated by the Corporation — </w:t>
      </w:r>
    </w:p>
    <w:p>
      <w:pPr>
        <w:pStyle w:val="Indenta"/>
        <w:spacing w:before="70"/>
      </w:pPr>
      <w:r>
        <w:tab/>
        <w:t>(a)</w:t>
      </w:r>
      <w:r>
        <w:tab/>
        <w:t xml:space="preserve">by reference to a daily average of the quantity of water supplied in another period; or </w:t>
      </w:r>
    </w:p>
    <w:p>
      <w:pPr>
        <w:pStyle w:val="Indenta"/>
        <w:spacing w:before="70"/>
      </w:pPr>
      <w:r>
        <w:tab/>
        <w:t>(b)</w:t>
      </w:r>
      <w:r>
        <w:tab/>
        <w:t>by adjusting the quantity registered by the meter to take account of an error found on testing the meter; or</w:t>
      </w:r>
    </w:p>
    <w:p>
      <w:pPr>
        <w:pStyle w:val="Indenta"/>
        <w:spacing w:before="70"/>
      </w:pPr>
      <w:r>
        <w:tab/>
        <w:t>(c)</w:t>
      </w:r>
      <w:r>
        <w:tab/>
        <w:t>on such other basis as the Corporation may determine.</w:t>
      </w:r>
    </w:p>
    <w:p>
      <w:pPr>
        <w:pStyle w:val="Subsection"/>
      </w:pPr>
      <w:r>
        <w:tab/>
        <w:t>(2A)</w:t>
      </w:r>
      <w:r>
        <w:tab/>
        <w:t>For the purposes of sub</w:t>
      </w:r>
      <w:r>
        <w:noBreakHyphen/>
        <w:t xml:space="preserve">bylaw (1), the following circumstances are specified — </w:t>
      </w:r>
    </w:p>
    <w:p>
      <w:pPr>
        <w:pStyle w:val="Indenta"/>
        <w:spacing w:before="70"/>
      </w:pPr>
      <w:r>
        <w:tab/>
        <w:t>(a)</w:t>
      </w:r>
      <w:r>
        <w:tab/>
        <w:t xml:space="preserve">the meter is found not to be in proper order; </w:t>
      </w:r>
    </w:p>
    <w:p>
      <w:pPr>
        <w:pStyle w:val="Indenta"/>
        <w:spacing w:before="70"/>
      </w:pPr>
      <w:r>
        <w:tab/>
        <w:t>(b)</w:t>
      </w:r>
      <w:r>
        <w:tab/>
        <w:t xml:space="preserve">the meter has been removed for repair; </w:t>
      </w:r>
    </w:p>
    <w:p>
      <w:pPr>
        <w:pStyle w:val="Indenta"/>
        <w:spacing w:before="70"/>
      </w:pPr>
      <w:r>
        <w:tab/>
        <w:t>(c)</w:t>
      </w:r>
      <w:r>
        <w:tab/>
        <w:t xml:space="preserve">a physical obstruction, adverse weather or other unforeseen circumstances prevents practicable access to the meter; </w:t>
      </w:r>
    </w:p>
    <w:p>
      <w:pPr>
        <w:pStyle w:val="Indenta"/>
      </w:pPr>
      <w:r>
        <w:tab/>
        <w:t>(d)</w:t>
      </w:r>
      <w:r>
        <w:tab/>
        <w:t>the meter cannot be read because the face of the meter is obscured by damage, marking, dirt or any other substance.</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 19 Jun 2013 p. 2348-9.]</w:t>
      </w:r>
    </w:p>
    <w:p>
      <w:pPr>
        <w:pStyle w:val="Heading5"/>
      </w:pPr>
      <w:bookmarkStart w:id="22" w:name="_Toc391906886"/>
      <w:bookmarkStart w:id="23" w:name="_Toc426119747"/>
      <w:r>
        <w:rPr>
          <w:rStyle w:val="CharSectno"/>
        </w:rPr>
        <w:t>7A</w:t>
      </w:r>
      <w:r>
        <w:t>.</w:t>
      </w:r>
      <w:r>
        <w:tab/>
        <w:t>Determination of quality and quantity of trade waste discharged</w:t>
      </w:r>
      <w:bookmarkEnd w:id="22"/>
      <w:bookmarkEnd w:id="23"/>
    </w:p>
    <w:p>
      <w:pPr>
        <w:pStyle w:val="Subsection"/>
      </w:pPr>
      <w:r>
        <w:tab/>
        <w:t>(1)</w:t>
      </w:r>
      <w:r>
        <w:tab/>
        <w:t>In this by</w:t>
      </w:r>
      <w:r>
        <w:noBreakHyphen/>
        <w:t xml:space="preserve">law — </w:t>
      </w:r>
    </w:p>
    <w:p>
      <w:pPr>
        <w:pStyle w:val="Defstart"/>
      </w:pPr>
      <w:r>
        <w:tab/>
      </w:r>
      <w:r>
        <w:rPr>
          <w:rStyle w:val="CharDefText"/>
        </w:rPr>
        <w:t>approved meter</w:t>
      </w:r>
      <w:r>
        <w:t xml:space="preserve"> means a meter approved of by the Corporation.</w:t>
      </w:r>
    </w:p>
    <w:p>
      <w:pPr>
        <w:pStyle w:val="Subsection"/>
      </w:pPr>
      <w:r>
        <w:tab/>
        <w:t>(2)</w:t>
      </w:r>
      <w:r>
        <w:tab/>
        <w:t>Sub</w:t>
      </w:r>
      <w:r>
        <w:noBreakHyphen/>
        <w:t>bylaw (3) applies to the extent to which the volume of the trade waste discharged is not accurately measured by an approved meter.</w:t>
      </w:r>
    </w:p>
    <w:p>
      <w:pPr>
        <w:pStyle w:val="Subsection"/>
      </w:pPr>
      <w:r>
        <w:tab/>
        <w:t>(3)</w:t>
      </w:r>
      <w:r>
        <w:tab/>
        <w:t xml:space="preserve">For the purposes of assessing a charge for the discharge of trade waste from land into a sewer of the Corporation, the Corporation may determine the quality and volume of trade waste discharged in accordance with one or more of the following paragraphs — </w:t>
      </w:r>
    </w:p>
    <w:p>
      <w:pPr>
        <w:pStyle w:val="Indenta"/>
      </w:pPr>
      <w:r>
        <w:tab/>
        <w:t>(a)</w:t>
      </w:r>
      <w:r>
        <w:tab/>
        <w:t>if the volume of wastewater discharged from the land into the sewer is accurately measured by an approved meter — by deducting from the volume an allowance for wastewater discharged that was not trade waste;</w:t>
      </w:r>
    </w:p>
    <w:p>
      <w:pPr>
        <w:pStyle w:val="Indenta"/>
        <w:keepNext/>
        <w:keepLines/>
      </w:pPr>
      <w:r>
        <w:tab/>
        <w:t>(b)</w:t>
      </w:r>
      <w:r>
        <w:tab/>
        <w:t>by deducting from the volume of water supplied to the land, or a particular part of the land, an allowance for the volume of water supplied that was not discharged to the sewer and an allowance for wastewater discharged that was not trade waste;</w:t>
      </w:r>
    </w:p>
    <w:p>
      <w:pPr>
        <w:pStyle w:val="Indenta"/>
      </w:pPr>
      <w:r>
        <w:tab/>
        <w:t>(c)</w:t>
      </w:r>
      <w:r>
        <w:tab/>
        <w:t>by reference to a waste discharge profile determined by the Corporation to be applicable to the type of trade, industry, business or calling from which the trade waste is discharged;</w:t>
      </w:r>
    </w:p>
    <w:p>
      <w:pPr>
        <w:pStyle w:val="Indenta"/>
      </w:pPr>
      <w:r>
        <w:tab/>
        <w:t>(d)</w:t>
      </w:r>
      <w:r>
        <w:tab/>
        <w:t>by reference to historical data relating to the discharge of wastewater or trade waste from the land;</w:t>
      </w:r>
    </w:p>
    <w:p>
      <w:pPr>
        <w:pStyle w:val="Indenta"/>
      </w:pPr>
      <w:r>
        <w:tab/>
        <w:t>(e)</w:t>
      </w:r>
      <w:r>
        <w:tab/>
        <w:t xml:space="preserve">by reference to information given to the Corporation in relation to the discharge of industrial waste under a permit under the </w:t>
      </w:r>
      <w:r>
        <w:rPr>
          <w:i/>
        </w:rPr>
        <w:t>Country Towns Sewerage By</w:t>
      </w:r>
      <w:r>
        <w:rPr>
          <w:i/>
        </w:rPr>
        <w:noBreakHyphen/>
        <w:t>laws 1952</w:t>
      </w:r>
      <w:r>
        <w:rPr>
          <w:vertAlign w:val="superscript"/>
        </w:rPr>
        <w:t> 2</w:t>
      </w:r>
      <w:r>
        <w:t xml:space="preserve"> or the </w:t>
      </w:r>
      <w:r>
        <w:rPr>
          <w:i/>
        </w:rPr>
        <w:t>Metropolitan Water Supply, Sewerage and Drainage By</w:t>
      </w:r>
      <w:r>
        <w:rPr>
          <w:i/>
        </w:rPr>
        <w:noBreakHyphen/>
        <w:t>laws 1981</w:t>
      </w:r>
      <w:r>
        <w:rPr>
          <w:vertAlign w:val="superscript"/>
        </w:rPr>
        <w:t> 2</w:t>
      </w:r>
      <w:r>
        <w:t xml:space="preserve"> or the discharge of trade waste under an approval of the Corporation (under the </w:t>
      </w:r>
      <w:r>
        <w:rPr>
          <w:i/>
        </w:rPr>
        <w:t>Water Services Act 2012</w:t>
      </w:r>
      <w:r>
        <w:t>).</w:t>
      </w:r>
    </w:p>
    <w:p>
      <w:pPr>
        <w:pStyle w:val="Footnotesection"/>
      </w:pPr>
      <w:r>
        <w:tab/>
        <w:t>[By</w:t>
      </w:r>
      <w:r>
        <w:noBreakHyphen/>
        <w:t>law 7A inserted in Gazette 14 Nov 2013 p. 5084-5.]</w:t>
      </w:r>
    </w:p>
    <w:p>
      <w:pPr>
        <w:pStyle w:val="Heading5"/>
      </w:pPr>
      <w:bookmarkStart w:id="24" w:name="_Toc391906887"/>
      <w:bookmarkStart w:id="25" w:name="_Toc426119748"/>
      <w:r>
        <w:rPr>
          <w:rStyle w:val="CharSectno"/>
        </w:rPr>
        <w:t>7</w:t>
      </w:r>
      <w:r>
        <w:t>.</w:t>
      </w:r>
      <w:r>
        <w:tab/>
        <w:t>Payment of charges</w:t>
      </w:r>
      <w:bookmarkEnd w:id="24"/>
      <w:bookmarkEnd w:id="25"/>
    </w:p>
    <w:p>
      <w:pPr>
        <w:pStyle w:val="Subsection"/>
      </w:pPr>
      <w:r>
        <w:tab/>
        <w:t>(1)</w:t>
      </w:r>
      <w:r>
        <w:tab/>
        <w:t>In this by</w:t>
      </w:r>
      <w:r>
        <w:noBreakHyphen/>
        <w:t xml:space="preserve">law — </w:t>
      </w:r>
    </w:p>
    <w:p>
      <w:pPr>
        <w:pStyle w:val="Defstart"/>
      </w:pPr>
      <w:r>
        <w:tab/>
      </w:r>
      <w:r>
        <w:rPr>
          <w:rStyle w:val="CharDefText"/>
        </w:rPr>
        <w:t>annual charge</w:t>
      </w:r>
      <w:r>
        <w:t xml:space="preserve"> means a charge other than a quantity charge or an trade waste charge;</w:t>
      </w:r>
    </w:p>
    <w:p>
      <w:pPr>
        <w:pStyle w:val="Defstart"/>
      </w:pPr>
      <w:r>
        <w:tab/>
      </w:r>
      <w:r>
        <w:rPr>
          <w:rStyle w:val="CharDefText"/>
        </w:rPr>
        <w:t>trade waste charge</w:t>
      </w:r>
      <w:r>
        <w:t xml:space="preserve"> means a charge under Schedule 3 Division 1 items 6 or 7 or Division 3 or 6.</w:t>
      </w:r>
    </w:p>
    <w:p>
      <w:pPr>
        <w:pStyle w:val="Subsection"/>
      </w:pPr>
      <w:r>
        <w:tab/>
        <w:t>(2)</w:t>
      </w:r>
      <w:r>
        <w:tab/>
        <w:t>A charge, or a portion of a charge, is due for payment to the Corporation on the day specified in an invoice for the charge or the portion.</w:t>
      </w:r>
    </w:p>
    <w:p>
      <w:pPr>
        <w:pStyle w:val="Subsection"/>
        <w:keepNext/>
      </w:pPr>
      <w:r>
        <w:tab/>
        <w:t>(3)</w:t>
      </w:r>
      <w:r>
        <w:tab/>
        <w:t xml:space="preserve">The day specified must be — </w:t>
      </w:r>
    </w:p>
    <w:p>
      <w:pPr>
        <w:pStyle w:val="Indenta"/>
      </w:pPr>
      <w:r>
        <w:tab/>
        <w:t>(a)</w:t>
      </w:r>
      <w:r>
        <w:tab/>
        <w:t>for an trade waste charge or a single capital infrastructure charge — at least 28 days after the day on which the invoice is issued; or</w:t>
      </w:r>
    </w:p>
    <w:p>
      <w:pPr>
        <w:pStyle w:val="Indenta"/>
      </w:pPr>
      <w:r>
        <w:tab/>
        <w:t>(b)</w:t>
      </w:r>
      <w:r>
        <w:tab/>
        <w:t>for all other charges — at least 16 days after the day on which the invoice is issued.</w:t>
      </w:r>
    </w:p>
    <w:p>
      <w:pPr>
        <w:pStyle w:val="Subsection"/>
      </w:pPr>
      <w:r>
        <w:tab/>
        <w:t>(4)</w:t>
      </w:r>
      <w:r>
        <w:tab/>
        <w:t>An annual charge may be due for payment, in whole or in part, in advance, but not before the beginning of the year for which the charge applies.</w:t>
      </w:r>
    </w:p>
    <w:p>
      <w:pPr>
        <w:pStyle w:val="Subsection"/>
      </w:pPr>
      <w:r>
        <w:tab/>
        <w:t>(5)</w:t>
      </w:r>
      <w:r>
        <w:tab/>
        <w:t>This by</w:t>
      </w:r>
      <w:r>
        <w:noBreakHyphen/>
        <w:t>law is subject to a special payment arrangement under by</w:t>
      </w:r>
      <w:r>
        <w:noBreakHyphen/>
        <w:t>law 8.</w:t>
      </w:r>
    </w:p>
    <w:p>
      <w:pPr>
        <w:pStyle w:val="Footnotesection"/>
      </w:pPr>
      <w:r>
        <w:tab/>
        <w:t>[By</w:t>
      </w:r>
      <w:r>
        <w:noBreakHyphen/>
        <w:t>law 7 inserted in Gazette 19 Jun 2013 p. 2349-50; amended in Gazette 14 Nov 2013 p. 5085-6.]</w:t>
      </w:r>
    </w:p>
    <w:p>
      <w:pPr>
        <w:pStyle w:val="Ednotesection"/>
      </w:pPr>
      <w:r>
        <w:t>[</w:t>
      </w:r>
      <w:r>
        <w:rPr>
          <w:b/>
        </w:rPr>
        <w:t>7B.</w:t>
      </w:r>
      <w:r>
        <w:tab/>
        <w:t>Deleted in Gazette 19 Jun 2013 p. 2349.]</w:t>
      </w:r>
    </w:p>
    <w:p>
      <w:pPr>
        <w:pStyle w:val="Heading5"/>
      </w:pPr>
      <w:bookmarkStart w:id="26" w:name="_Toc391906888"/>
      <w:bookmarkStart w:id="27" w:name="_Toc426119749"/>
      <w:r>
        <w:rPr>
          <w:rStyle w:val="CharSectno"/>
        </w:rPr>
        <w:t>8</w:t>
      </w:r>
      <w:r>
        <w:t>.</w:t>
      </w:r>
      <w:r>
        <w:tab/>
        <w:t>Special arrangements</w:t>
      </w:r>
      <w:bookmarkEnd w:id="26"/>
      <w:bookmarkEnd w:id="27"/>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Ednotepara"/>
      </w:pPr>
      <w:r>
        <w:tab/>
        <w:t>[(b)</w:t>
      </w:r>
      <w:r>
        <w:tab/>
        <w:t>deleted]</w:t>
      </w:r>
    </w:p>
    <w:p>
      <w:pPr>
        <w:pStyle w:val="Indenta"/>
      </w:pPr>
      <w:r>
        <w:tab/>
        <w:t>(c)</w:t>
      </w:r>
      <w:r>
        <w:tab/>
        <w:t>if interest is payable under the arrangement — the rate at which the interest is calculated must not exceed the amount set out in Schedule 7 item 2.</w:t>
      </w:r>
    </w:p>
    <w:p>
      <w:pPr>
        <w:pStyle w:val="Footnotesection"/>
      </w:pPr>
      <w:r>
        <w:tab/>
        <w:t>[By-law 8 inserted in Gazette 27 Jun 2008 p. 2984; amended in Gazette 19 Jun 2013 p. 2350.]</w:t>
      </w:r>
    </w:p>
    <w:p>
      <w:pPr>
        <w:pStyle w:val="Heading5"/>
        <w:rPr>
          <w:snapToGrid w:val="0"/>
        </w:rPr>
      </w:pPr>
      <w:bookmarkStart w:id="28" w:name="_Toc391906889"/>
      <w:bookmarkStart w:id="29" w:name="_Toc426119750"/>
      <w:r>
        <w:rPr>
          <w:rStyle w:val="CharSectno"/>
        </w:rPr>
        <w:t>8A</w:t>
      </w:r>
      <w:r>
        <w:rPr>
          <w:snapToGrid w:val="0"/>
        </w:rPr>
        <w:t>.</w:t>
      </w:r>
      <w:r>
        <w:rPr>
          <w:snapToGrid w:val="0"/>
        </w:rPr>
        <w:tab/>
        <w:t>Concessional charges for retirement village residents</w:t>
      </w:r>
      <w:bookmarkEnd w:id="28"/>
      <w:bookmarkEnd w:id="29"/>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r>
        <w:t>.</w:t>
      </w:r>
    </w:p>
    <w:p>
      <w:pPr>
        <w:pStyle w:val="Subsection"/>
      </w:pPr>
      <w:r>
        <w:tab/>
        <w:t>(1a)</w:t>
      </w:r>
      <w:r>
        <w:tab/>
        <w:t>Where a person was liable, immediately prior to 1 July 2005, to pay a charge under —</w:t>
      </w:r>
    </w:p>
    <w:p>
      <w:pPr>
        <w:pStyle w:val="Indenta"/>
      </w:pPr>
      <w:r>
        <w:tab/>
        <w:t>(a)</w:t>
      </w:r>
      <w:r>
        <w:tab/>
        <w:t>Schedule 1 item 1; or</w:t>
      </w:r>
    </w:p>
    <w:p>
      <w:pPr>
        <w:pStyle w:val="Indenta"/>
      </w:pPr>
      <w:r>
        <w:tab/>
        <w:t>(b)</w:t>
      </w:r>
      <w:r>
        <w:tab/>
        <w:t>Schedule 3 item 8; or</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1 </w:t>
      </w:r>
      <w:r>
        <w:rPr>
          <w:snapToGrid w:val="0"/>
        </w:rPr>
        <w:t>opposite the particular kind of charge, whichever is the lesser amount.</w:t>
      </w:r>
    </w:p>
    <w:p>
      <w:pPr>
        <w:pStyle w:val="Subsection"/>
      </w:pPr>
      <w:r>
        <w:rPr>
          <w:snapToGrid w:val="0"/>
        </w:rPr>
        <w:tab/>
        <w:t>(3)</w:t>
      </w:r>
      <w:r>
        <w:rPr>
          <w:snapToGrid w:val="0"/>
        </w:rPr>
        <w:tab/>
        <w:t>In this by</w:t>
      </w:r>
      <w:r>
        <w:rPr>
          <w:snapToGrid w:val="0"/>
        </w:rPr>
        <w:noBreakHyphen/>
        <w:t xml:space="preserve">law, </w:t>
      </w:r>
      <w:r>
        <w:rPr>
          <w:rStyle w:val="CharDefText"/>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 19 Jun 2013 p. 2350.]</w:t>
      </w:r>
    </w:p>
    <w:p>
      <w:pPr>
        <w:pStyle w:val="Heading5"/>
      </w:pPr>
      <w:bookmarkStart w:id="30" w:name="_Toc391906890"/>
      <w:bookmarkStart w:id="31" w:name="_Toc426119751"/>
      <w:r>
        <w:rPr>
          <w:rStyle w:val="CharSectno"/>
        </w:rPr>
        <w:t>8B</w:t>
      </w:r>
      <w:r>
        <w:t>.</w:t>
      </w:r>
      <w:r>
        <w:tab/>
        <w:t>Government trading organisation and non</w:t>
      </w:r>
      <w:r>
        <w:noBreakHyphen/>
        <w:t>commercial Government property</w:t>
      </w:r>
      <w:bookmarkEnd w:id="30"/>
      <w:bookmarkEnd w:id="31"/>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for each water service provided to property held by that body or organisation, with the exception of services that are provided exclusively for firefighting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32" w:name="_Toc391906891"/>
      <w:bookmarkStart w:id="33" w:name="_Toc426119752"/>
      <w:r>
        <w:rPr>
          <w:rStyle w:val="CharSectno"/>
        </w:rPr>
        <w:t>8BA</w:t>
      </w:r>
      <w:r>
        <w:rPr>
          <w:snapToGrid w:val="0"/>
        </w:rPr>
        <w:t>.</w:t>
      </w:r>
      <w:r>
        <w:rPr>
          <w:snapToGrid w:val="0"/>
        </w:rPr>
        <w:tab/>
        <w:t>Annual charges to Government trading organisations that supply water to lessees or ships</w:t>
      </w:r>
      <w:bookmarkEnd w:id="32"/>
      <w:bookmarkEnd w:id="33"/>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pPr>
      <w:bookmarkStart w:id="34" w:name="_Toc391906892"/>
      <w:bookmarkStart w:id="35" w:name="_Toc426119753"/>
      <w:r>
        <w:rPr>
          <w:rStyle w:val="CharSectno"/>
        </w:rPr>
        <w:t>9</w:t>
      </w:r>
      <w:r>
        <w:t>.</w:t>
      </w:r>
      <w:r>
        <w:tab/>
        <w:t>Interest on overdue amounts</w:t>
      </w:r>
      <w:bookmarkEnd w:id="34"/>
      <w:bookmarkEnd w:id="35"/>
    </w:p>
    <w:p>
      <w:pPr>
        <w:pStyle w:val="Subsection"/>
      </w:pPr>
      <w:r>
        <w:tab/>
        <w:t>(1)</w:t>
      </w:r>
      <w:r>
        <w:tab/>
        <w:t xml:space="preserve">For the purposes of section 41L — </w:t>
      </w:r>
    </w:p>
    <w:p>
      <w:pPr>
        <w:pStyle w:val="Indenta"/>
      </w:pPr>
      <w:r>
        <w:tab/>
        <w:t>(a)</w:t>
      </w:r>
      <w:r>
        <w:tab/>
        <w:t>the time from which interest is to be calculated on overdue amounts is one day after the amount was due and payable; and</w:t>
      </w:r>
    </w:p>
    <w:p>
      <w:pPr>
        <w:pStyle w:val="Indenta"/>
      </w:pPr>
      <w:r>
        <w:tab/>
        <w:t>(b)</w:t>
      </w:r>
      <w:r>
        <w:tab/>
        <w:t>interest is to be calculated at the rate set out in Schedule 7 item 2.</w:t>
      </w:r>
    </w:p>
    <w:p>
      <w:pPr>
        <w:pStyle w:val="Subsection"/>
      </w:pPr>
      <w:r>
        <w:tab/>
        <w:t>(2)</w:t>
      </w:r>
      <w:r>
        <w:tab/>
        <w:t xml:space="preserve">For the purposes of the </w:t>
      </w:r>
      <w:r>
        <w:rPr>
          <w:i/>
        </w:rPr>
        <w:t>Land Drainage Act 1925</w:t>
      </w:r>
      <w:r>
        <w:rPr>
          <w:vertAlign w:val="superscript"/>
        </w:rPr>
        <w:t> 2</w:t>
      </w:r>
      <w:r>
        <w:t xml:space="preserve"> section 100B — </w:t>
      </w:r>
    </w:p>
    <w:p>
      <w:pPr>
        <w:pStyle w:val="Indenta"/>
      </w:pPr>
      <w:r>
        <w:tab/>
        <w:t>(a)</w:t>
      </w:r>
      <w:r>
        <w:tab/>
        <w:t>the period prescribed is one day after rates become due and payable; and</w:t>
      </w:r>
    </w:p>
    <w:p>
      <w:pPr>
        <w:pStyle w:val="Indenta"/>
      </w:pPr>
      <w:r>
        <w:tab/>
        <w:t>(b)</w:t>
      </w:r>
      <w:r>
        <w:tab/>
        <w:t>interest is to be payable at the rate set out in Schedule 7 item 2.</w:t>
      </w:r>
    </w:p>
    <w:p>
      <w:pPr>
        <w:pStyle w:val="Footnotesection"/>
      </w:pPr>
      <w:r>
        <w:tab/>
        <w:t>[By</w:t>
      </w:r>
      <w:r>
        <w:noBreakHyphen/>
        <w:t>law 9 inserted in Gazette 19 Jun 2013 p. 2351.]</w:t>
      </w:r>
    </w:p>
    <w:p>
      <w:pPr>
        <w:pStyle w:val="Ednotesection"/>
      </w:pPr>
      <w:r>
        <w:t>[</w:t>
      </w:r>
      <w:r>
        <w:rPr>
          <w:b/>
        </w:rPr>
        <w:t>9A.</w:t>
      </w:r>
      <w:r>
        <w:tab/>
        <w:t>Deleted in Gazette 19 Jun 2013 p. 2351.]</w:t>
      </w:r>
    </w:p>
    <w:p>
      <w:pPr>
        <w:pStyle w:val="Heading5"/>
      </w:pPr>
      <w:bookmarkStart w:id="36" w:name="_Toc391906893"/>
      <w:bookmarkStart w:id="37" w:name="_Toc426119754"/>
      <w:r>
        <w:rPr>
          <w:rStyle w:val="CharSectno"/>
        </w:rPr>
        <w:t>9B</w:t>
      </w:r>
      <w:r>
        <w:t>.</w:t>
      </w:r>
      <w:r>
        <w:tab/>
        <w:t>Calculations, including maxima, for various GRV based charges</w:t>
      </w:r>
      <w:bookmarkEnd w:id="36"/>
      <w:bookmarkEnd w:id="37"/>
    </w:p>
    <w:p>
      <w:pPr>
        <w:pStyle w:val="Subsection"/>
      </w:pPr>
      <w:r>
        <w:tab/>
        <w:t>(1)</w:t>
      </w:r>
      <w:r>
        <w:tab/>
        <w:t>Where a charge that is determined by reference to the GRV of the relevant land under Schedule 3 item 8 or 10, or Schedule 4 item 5, for the current year, is more than 12% greater than the charge calculated for the same service (and under the same circumstances) in the previous year, the charge is only payable up to that 12% increase.</w:t>
      </w:r>
    </w:p>
    <w:p>
      <w:pPr>
        <w:pStyle w:val="Subsection"/>
      </w:pPr>
      <w:r>
        <w:tab/>
        <w:t>(2)</w:t>
      </w:r>
      <w:r>
        <w:tab/>
        <w:t>Where a charge that is determined by reference to the GRV of the relevant land under Schedule 4 item 3 or 4, for the current year, is more than $25.00 greater than the charge calculated for the same service (and under the same circumstances) in the previous year, the charge is only payable up to that $25.00 increase per residential unit in the case of residential land, or per lot in the case of vacant land.</w:t>
      </w:r>
    </w:p>
    <w:p>
      <w:pPr>
        <w:pStyle w:val="Subsection"/>
      </w:pPr>
      <w:r>
        <w:tab/>
        <w:t>(3)</w:t>
      </w:r>
      <w:r>
        <w:tab/>
        <w:t xml:space="preserve">Where, for a portion of the current year (the </w:t>
      </w:r>
      <w:r>
        <w:rPr>
          <w:rStyle w:val="CharDefText"/>
        </w:rPr>
        <w:t>part year</w:t>
      </w:r>
      <w:r>
        <w:t xml:space="preserve">), in respect of property subject to a charge that is determined by reference to the GRV of the relevant land under Schedule 3 item 8 or 10, or Schedule 4 item 3, 4 or 5, there is a change in the circumstances that affects the method of calculating the charge for that property, the charge payable for the part year is to be determined as follows — </w:t>
      </w:r>
    </w:p>
    <w:p>
      <w:pPr>
        <w:pStyle w:val="Indenta"/>
      </w:pPr>
      <w:r>
        <w:tab/>
        <w:t>(a)</w:t>
      </w:r>
      <w:r>
        <w:tab/>
        <w:t>the charge is to be determined for the whole of the current year on the basis of the changed circumstances;</w:t>
      </w:r>
    </w:p>
    <w:p>
      <w:pPr>
        <w:pStyle w:val="Indenta"/>
      </w:pPr>
      <w:r>
        <w:tab/>
        <w:t>(b)</w:t>
      </w:r>
      <w:r>
        <w:tab/>
        <w:t>the Corporation may estimate a notional charge for the previous year in respect of that property, being the charge that would have been payable for that year if the matters and circumstances currently prevailing had prevailed for the whole of that year;</w:t>
      </w:r>
    </w:p>
    <w:p>
      <w:pPr>
        <w:pStyle w:val="Indenta"/>
      </w:pPr>
      <w:r>
        <w:tab/>
        <w:t>(c)</w:t>
      </w:r>
      <w:r>
        <w:tab/>
        <w:t>the charge determined in accordance with paragraph (a) is to be limited (where relevant) in accordance with sub</w:t>
      </w:r>
      <w:r>
        <w:noBreakHyphen/>
        <w:t>bylaw (1) or (2) (whichever is relevant), using the notional charge estimated in accordance with paragraph (b);</w:t>
      </w:r>
    </w:p>
    <w:p>
      <w:pPr>
        <w:pStyle w:val="Indenta"/>
      </w:pPr>
      <w:r>
        <w:tab/>
        <w:t>(d)</w:t>
      </w:r>
      <w:r>
        <w:tab/>
        <w:t>the charge determined in accordance with paragraph (a) (as limited in accordance with paragraph (c) where relevant) is to be reduced by the same proportion that the part year bears to the whole of the current year.</w:t>
      </w:r>
    </w:p>
    <w:p>
      <w:pPr>
        <w:pStyle w:val="Footnotesection"/>
      </w:pPr>
      <w:r>
        <w:tab/>
        <w:t>[By-law 9B inserted in Gazette 25 Jun 2010 p. 2901</w:t>
      </w:r>
      <w:r>
        <w:noBreakHyphen/>
        <w:t>3; amended in Gazette 23 Jun 2011 p. 2417; 20 Jun 2012 p. 2697; 19 Jun 2013 p. 2351.]</w:t>
      </w:r>
    </w:p>
    <w:p>
      <w:pPr>
        <w:pStyle w:val="Heading2"/>
      </w:pPr>
      <w:bookmarkStart w:id="38" w:name="_Toc390772027"/>
      <w:bookmarkStart w:id="39" w:name="_Toc391906894"/>
      <w:bookmarkStart w:id="40" w:name="_Toc426119755"/>
      <w:r>
        <w:rPr>
          <w:rStyle w:val="CharPartNo"/>
        </w:rPr>
        <w:t>Part 2</w:t>
      </w:r>
      <w:r>
        <w:t> — </w:t>
      </w:r>
      <w:r>
        <w:rPr>
          <w:rStyle w:val="CharPartText"/>
        </w:rPr>
        <w:t>Water supply</w:t>
      </w:r>
      <w:bookmarkEnd w:id="38"/>
      <w:bookmarkEnd w:id="39"/>
      <w:bookmarkEnd w:id="40"/>
    </w:p>
    <w:p>
      <w:pPr>
        <w:pStyle w:val="Heading3"/>
        <w:spacing w:before="260"/>
      </w:pPr>
      <w:bookmarkStart w:id="41" w:name="_Toc390772028"/>
      <w:bookmarkStart w:id="42" w:name="_Toc391906895"/>
      <w:bookmarkStart w:id="43" w:name="_Toc426119756"/>
      <w:r>
        <w:rPr>
          <w:rStyle w:val="CharDivNo"/>
        </w:rPr>
        <w:t>Division 1</w:t>
      </w:r>
      <w:r>
        <w:t> — </w:t>
      </w:r>
      <w:r>
        <w:rPr>
          <w:rStyle w:val="CharDivText"/>
        </w:rPr>
        <w:t>Water supplied other than from irrigation works</w:t>
      </w:r>
      <w:bookmarkEnd w:id="41"/>
      <w:bookmarkEnd w:id="42"/>
      <w:bookmarkEnd w:id="43"/>
    </w:p>
    <w:p>
      <w:pPr>
        <w:pStyle w:val="Footnoteheading"/>
      </w:pPr>
      <w:r>
        <w:tab/>
        <w:t>[Heading inserted in Gazette 14 Nov 2013 p. 5086.]</w:t>
      </w:r>
    </w:p>
    <w:p>
      <w:pPr>
        <w:pStyle w:val="Heading5"/>
        <w:spacing w:before="260"/>
      </w:pPr>
      <w:bookmarkStart w:id="44" w:name="_Toc391906896"/>
      <w:bookmarkStart w:id="45" w:name="_Toc426119757"/>
      <w:r>
        <w:rPr>
          <w:rStyle w:val="CharSectno"/>
        </w:rPr>
        <w:t>10</w:t>
      </w:r>
      <w:r>
        <w:t>.</w:t>
      </w:r>
      <w:r>
        <w:tab/>
        <w:t>Application of Division</w:t>
      </w:r>
      <w:bookmarkEnd w:id="44"/>
      <w:bookmarkEnd w:id="45"/>
    </w:p>
    <w:p>
      <w:pPr>
        <w:pStyle w:val="Subsection"/>
        <w:spacing w:before="180"/>
      </w:pPr>
      <w:r>
        <w:tab/>
      </w:r>
      <w:r>
        <w:tab/>
        <w:t>This Division does not apply to, or in relation to, the supply or possible supply of water in the circumstances described in by</w:t>
      </w:r>
      <w:r>
        <w:noBreakHyphen/>
        <w:t>law 20 or 31, or any other thing done or provided in relation to that supply.</w:t>
      </w:r>
    </w:p>
    <w:p>
      <w:pPr>
        <w:pStyle w:val="Footnotesection"/>
      </w:pPr>
      <w:r>
        <w:tab/>
        <w:t>[By-law 10 inserted in Gazette 14 Nov 2013 p. 5086.]</w:t>
      </w:r>
    </w:p>
    <w:p>
      <w:pPr>
        <w:pStyle w:val="Heading5"/>
        <w:spacing w:before="260"/>
        <w:rPr>
          <w:snapToGrid w:val="0"/>
        </w:rPr>
      </w:pPr>
      <w:bookmarkStart w:id="46" w:name="_Toc391906897"/>
      <w:bookmarkStart w:id="47" w:name="_Toc426119758"/>
      <w:r>
        <w:rPr>
          <w:rStyle w:val="CharSectno"/>
        </w:rPr>
        <w:t>11</w:t>
      </w:r>
      <w:r>
        <w:rPr>
          <w:snapToGrid w:val="0"/>
        </w:rPr>
        <w:t>.</w:t>
      </w:r>
      <w:r>
        <w:rPr>
          <w:snapToGrid w:val="0"/>
        </w:rPr>
        <w:tab/>
        <w:t>Land subject to water supply charges under this Division</w:t>
      </w:r>
      <w:bookmarkEnd w:id="46"/>
      <w:bookmarkEnd w:id="47"/>
    </w:p>
    <w:p>
      <w:pPr>
        <w:pStyle w:val="Subsection"/>
        <w:spacing w:before="180"/>
        <w:rPr>
          <w:snapToGrid w:val="0"/>
        </w:rPr>
      </w:pPr>
      <w:r>
        <w:rPr>
          <w:snapToGrid w:val="0"/>
        </w:rPr>
        <w:tab/>
      </w:r>
      <w:r>
        <w:rPr>
          <w:snapToGrid w:val="0"/>
        </w:rPr>
        <w:tab/>
        <w:t>Land that is actually supplied or, although not actually supplied, is in the opinion of the Corporation reasonably capable of being supplied with water by the Corporation shall be taken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 14 Nov 2013 p. 5086.]</w:t>
      </w:r>
    </w:p>
    <w:p>
      <w:pPr>
        <w:pStyle w:val="Heading5"/>
        <w:spacing w:before="260"/>
        <w:rPr>
          <w:snapToGrid w:val="0"/>
        </w:rPr>
      </w:pPr>
      <w:bookmarkStart w:id="48" w:name="_Toc391906898"/>
      <w:bookmarkStart w:id="49" w:name="_Toc426119759"/>
      <w:r>
        <w:rPr>
          <w:rStyle w:val="CharSectno"/>
        </w:rPr>
        <w:t>12</w:t>
      </w:r>
      <w:r>
        <w:rPr>
          <w:snapToGrid w:val="0"/>
        </w:rPr>
        <w:t>.</w:t>
      </w:r>
      <w:r>
        <w:rPr>
          <w:snapToGrid w:val="0"/>
        </w:rPr>
        <w:tab/>
        <w:t>Exempt land</w:t>
      </w:r>
      <w:bookmarkEnd w:id="48"/>
      <w:bookmarkEnd w:id="49"/>
    </w:p>
    <w:p>
      <w:pPr>
        <w:pStyle w:val="Subsection"/>
        <w:spacing w:before="180"/>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spacing w:before="180"/>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w:t>
      </w:r>
      <w:r>
        <w:t xml:space="preserve"> to the extent set out in that Schedule</w:t>
      </w:r>
      <w:r>
        <w:rPr>
          <w:snapToGrid w:val="0"/>
        </w:rPr>
        <w:t xml:space="preserve">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 20 Jun 2012 p. 2697.]</w:t>
      </w:r>
    </w:p>
    <w:p>
      <w:pPr>
        <w:pStyle w:val="Heading5"/>
      </w:pPr>
      <w:bookmarkStart w:id="50" w:name="_Toc391906899"/>
      <w:bookmarkStart w:id="51" w:name="_Toc426119760"/>
      <w:r>
        <w:rPr>
          <w:rStyle w:val="CharSectno"/>
        </w:rPr>
        <w:t>13</w:t>
      </w:r>
      <w:r>
        <w:t>.</w:t>
      </w:r>
      <w:r>
        <w:tab/>
        <w:t>Classification of land</w:t>
      </w:r>
      <w:bookmarkEnd w:id="50"/>
      <w:bookmarkEnd w:id="51"/>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r>
        <w:rPr>
          <w:b/>
          <w:i/>
        </w:rPr>
        <w:t>farmland</w:t>
      </w:r>
      <w:r>
        <w:t xml:space="preserve"> in the </w:t>
      </w:r>
      <w:r>
        <w:rPr>
          <w:i/>
        </w:rPr>
        <w:t>Water Services Regulations 2013</w:t>
      </w:r>
      <w:r>
        <w:t xml:space="preserve"> regulation 3(1) and is within 2.5 km of a main or other pipe from which the Corporation is prepared to supply water to the land;</w:t>
      </w:r>
    </w:p>
    <w:p>
      <w:pPr>
        <w:pStyle w:val="Ednotepara"/>
        <w:spacing w:before="80"/>
      </w:pPr>
      <w:r>
        <w:tab/>
        <w:t>[(g)</w:t>
      </w:r>
      <w:r>
        <w:tab/>
        <w:t>deleted]</w:t>
      </w:r>
    </w:p>
    <w:p>
      <w:pPr>
        <w:pStyle w:val="Indenta"/>
      </w:pPr>
      <w:r>
        <w:tab/>
        <w:t>(h)</w:t>
      </w:r>
      <w:r>
        <w:tab/>
        <w:t>local government, if the land is not in the metropolitan area and is used by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spacing w:before="60"/>
      </w:pPr>
      <w:r>
        <w:tab/>
        <w:t>(i)</w:t>
      </w:r>
      <w:r>
        <w:tab/>
        <w:t>providing relief or assistance to sick, aged, disadvantaged, unemployed or young persons; or</w:t>
      </w:r>
    </w:p>
    <w:p>
      <w:pPr>
        <w:pStyle w:val="Indenti"/>
        <w:spacing w:before="60"/>
      </w:pPr>
      <w:r>
        <w:tab/>
        <w:t>(ii)</w:t>
      </w:r>
      <w:r>
        <w:tab/>
        <w:t>conducting other activities for the benefit of the public or in the interests of social welfare,</w:t>
      </w:r>
    </w:p>
    <w:p>
      <w:pPr>
        <w:pStyle w:val="Indenta"/>
        <w:spacing w:before="60"/>
      </w:pPr>
      <w:r>
        <w:tab/>
      </w:r>
      <w:r>
        <w:tab/>
        <w:t>by a private organisation that is not operated for the purpose of profit or gain to individual members, shareholders or owners;</w:t>
      </w:r>
    </w:p>
    <w:p>
      <w:pPr>
        <w:pStyle w:val="Indenta"/>
        <w:spacing w:before="60"/>
      </w:pPr>
      <w:r>
        <w:tab/>
        <w:t>(m)</w:t>
      </w:r>
      <w:r>
        <w:tab/>
        <w:t>aged home, if the land is in the metropolitan area and the classification of the land is not otherwise specifically provided for in this by</w:t>
      </w:r>
      <w:r>
        <w:noBreakHyphen/>
        <w:t>law.</w:t>
      </w:r>
    </w:p>
    <w:p>
      <w:pPr>
        <w:pStyle w:val="Subsection"/>
        <w:spacing w:before="130"/>
      </w:pPr>
      <w:r>
        <w:tab/>
        <w:t>(2A)</w:t>
      </w:r>
      <w:r>
        <w:tab/>
        <w:t>For the purposes of this Division, land described in by</w:t>
      </w:r>
      <w:r>
        <w:noBreakHyphen/>
        <w:t xml:space="preserve">law 4 that is — </w:t>
      </w:r>
    </w:p>
    <w:p>
      <w:pPr>
        <w:pStyle w:val="Indenta"/>
        <w:spacing w:before="60"/>
      </w:pPr>
      <w:r>
        <w:tab/>
        <w:t>(a)</w:t>
      </w:r>
      <w:r>
        <w:tab/>
        <w:t xml:space="preserve">provided with a water supply connection; and </w:t>
      </w:r>
    </w:p>
    <w:p>
      <w:pPr>
        <w:pStyle w:val="Indenta"/>
        <w:spacing w:before="60"/>
      </w:pPr>
      <w:r>
        <w:tab/>
        <w:t>(b)</w:t>
      </w:r>
      <w:r>
        <w:tab/>
        <w:t>not otherwise classified under sub</w:t>
      </w:r>
      <w:r>
        <w:noBreakHyphen/>
        <w:t xml:space="preserve">bylaw (1), </w:t>
      </w:r>
    </w:p>
    <w:p>
      <w:pPr>
        <w:pStyle w:val="Subsection"/>
        <w:spacing w:before="120"/>
      </w:pPr>
      <w:r>
        <w:tab/>
      </w:r>
      <w:r>
        <w:tab/>
        <w:t>is classified as community purpose irrespective of any other classification under these by</w:t>
      </w:r>
      <w:r>
        <w:noBreakHyphen/>
        <w:t>laws.</w:t>
      </w:r>
    </w:p>
    <w:p>
      <w:pPr>
        <w:pStyle w:val="Subsection"/>
        <w:spacing w:before="130"/>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spacing w:before="130"/>
      </w:pPr>
      <w:r>
        <w:tab/>
        <w:t>(3)</w:t>
      </w:r>
      <w:r>
        <w:tab/>
        <w:t>For the purposes of this Division, land may, irrespective of any other classification under sub</w:t>
      </w:r>
      <w:r>
        <w:noBreakHyphen/>
        <w:t>bylaw (1), be classified by the Corporation as capital infrastructure if —</w:t>
      </w:r>
    </w:p>
    <w:p>
      <w:pPr>
        <w:pStyle w:val="Indenta"/>
        <w:spacing w:before="60"/>
      </w:pPr>
      <w:r>
        <w:tab/>
        <w:t>(a)</w:t>
      </w:r>
      <w:r>
        <w:tab/>
        <w:t>the Corporation determines that the land is in an area specified in Column 1 of the Table to Schedule 1 item 36; and</w:t>
      </w:r>
    </w:p>
    <w:p>
      <w:pPr>
        <w:pStyle w:val="Indenta"/>
        <w:spacing w:before="60"/>
      </w:pPr>
      <w:r>
        <w:tab/>
        <w:t>(b)</w:t>
      </w:r>
      <w:r>
        <w:tab/>
        <w:t>the Corporation provides or is to provide works to ensure the supply of water to the land.</w:t>
      </w:r>
    </w:p>
    <w:p>
      <w:pPr>
        <w:pStyle w:val="Footnotesection"/>
        <w:spacing w:before="100"/>
      </w:pPr>
      <w:r>
        <w:tab/>
        <w:t>[By</w:t>
      </w:r>
      <w:r>
        <w:noBreakHyphen/>
        <w:t>law 13 inserted in Gazette 29 Jun 2007 p. 3247</w:t>
      </w:r>
      <w:r>
        <w:noBreakHyphen/>
        <w:t>8; amended in Gazette 19 Jun 2009 p. 2322; 25 Jun 2010 p. 2903; 20 Jun 2012 p. 2697</w:t>
      </w:r>
      <w:r>
        <w:noBreakHyphen/>
        <w:t xml:space="preserve">8; 14 Nov 2013 p. 5087.] </w:t>
      </w:r>
    </w:p>
    <w:p>
      <w:pPr>
        <w:pStyle w:val="Ednotesection"/>
        <w:spacing w:before="180"/>
      </w:pPr>
      <w:r>
        <w:t>[</w:t>
      </w:r>
      <w:r>
        <w:rPr>
          <w:b/>
        </w:rPr>
        <w:t>13A.</w:t>
      </w:r>
      <w:r>
        <w:tab/>
        <w:t>Deleted in Gazette 29 Jun 1988 p. 2113.]</w:t>
      </w:r>
    </w:p>
    <w:p>
      <w:pPr>
        <w:pStyle w:val="Ednotesection"/>
      </w:pPr>
      <w:r>
        <w:t>[</w:t>
      </w:r>
      <w:r>
        <w:rPr>
          <w:b/>
        </w:rPr>
        <w:t>14.</w:t>
      </w:r>
      <w:r>
        <w:tab/>
        <w:t>Deleted in Gazette 19 Jun 2013 p. 2351.]</w:t>
      </w:r>
    </w:p>
    <w:p>
      <w:pPr>
        <w:pStyle w:val="Ednotesection"/>
      </w:pPr>
      <w:r>
        <w:t>[</w:t>
      </w:r>
      <w:r>
        <w:rPr>
          <w:b/>
        </w:rPr>
        <w:t>15.</w:t>
      </w:r>
      <w:r>
        <w:tab/>
        <w:t>Deleted in Gazette 1 Jul 2002 p. 3156.]</w:t>
      </w:r>
    </w:p>
    <w:p>
      <w:pPr>
        <w:pStyle w:val="Heading5"/>
        <w:rPr>
          <w:snapToGrid w:val="0"/>
        </w:rPr>
      </w:pPr>
      <w:bookmarkStart w:id="52" w:name="_Toc391906900"/>
      <w:bookmarkStart w:id="53" w:name="_Toc426119761"/>
      <w:r>
        <w:rPr>
          <w:rStyle w:val="CharSectno"/>
        </w:rPr>
        <w:t>16</w:t>
      </w:r>
      <w:r>
        <w:rPr>
          <w:snapToGrid w:val="0"/>
        </w:rPr>
        <w:t>.</w:t>
      </w:r>
      <w:r>
        <w:rPr>
          <w:snapToGrid w:val="0"/>
        </w:rPr>
        <w:tab/>
        <w:t>Discrete residential units</w:t>
      </w:r>
      <w:bookmarkEnd w:id="52"/>
      <w:bookmarkEnd w:id="53"/>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spacing w:before="100"/>
      </w:pPr>
      <w:r>
        <w:tab/>
        <w:t>[By</w:t>
      </w:r>
      <w:r>
        <w:noBreakHyphen/>
        <w:t>law 16 amended in Gazette 29 Dec 1995 p. 6331; 29 Jun 2007 p. 3248; 27 Jun 2008 p. 2985.]</w:t>
      </w:r>
    </w:p>
    <w:p>
      <w:pPr>
        <w:pStyle w:val="Heading5"/>
        <w:spacing w:before="240"/>
        <w:rPr>
          <w:snapToGrid w:val="0"/>
        </w:rPr>
      </w:pPr>
      <w:bookmarkStart w:id="54" w:name="_Toc391906901"/>
      <w:bookmarkStart w:id="55" w:name="_Toc426119762"/>
      <w:r>
        <w:rPr>
          <w:rStyle w:val="CharSectno"/>
        </w:rPr>
        <w:t>17</w:t>
      </w:r>
      <w:r>
        <w:rPr>
          <w:snapToGrid w:val="0"/>
        </w:rPr>
        <w:t>.</w:t>
      </w:r>
      <w:r>
        <w:rPr>
          <w:snapToGrid w:val="0"/>
        </w:rPr>
        <w:tab/>
        <w:t>Quantity charges for the supply of water</w:t>
      </w:r>
      <w:bookmarkEnd w:id="54"/>
      <w:bookmarkEnd w:id="55"/>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56" w:name="_Toc391906902"/>
      <w:bookmarkStart w:id="57" w:name="_Toc426119763"/>
      <w:r>
        <w:rPr>
          <w:rStyle w:val="CharSectno"/>
        </w:rPr>
        <w:t>17A</w:t>
      </w:r>
      <w:r>
        <w:rPr>
          <w:snapToGrid w:val="0"/>
        </w:rPr>
        <w:t>.</w:t>
      </w:r>
      <w:r>
        <w:rPr>
          <w:snapToGrid w:val="0"/>
        </w:rPr>
        <w:tab/>
        <w:t>Caravan parks</w:t>
      </w:r>
      <w:bookmarkEnd w:id="56"/>
      <w:bookmarkEnd w:id="57"/>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24(b);</w:t>
      </w:r>
    </w:p>
    <w:p>
      <w:pPr>
        <w:pStyle w:val="Indenta"/>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rPr>
      </w:pPr>
      <w:r>
        <w:rPr>
          <w:snapToGrid w:val="0"/>
        </w:rPr>
        <w:tab/>
        <w:t>(a)</w:t>
      </w:r>
      <w:r>
        <w:rPr>
          <w:snapToGrid w:val="0"/>
        </w:rPr>
        <w:tab/>
        <w:t>those bays will be treated as if they were strata</w:t>
      </w:r>
      <w:r>
        <w:rPr>
          <w:snapToGrid w:val="0"/>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 25 Jun 2010 p. 2903.]</w:t>
      </w:r>
    </w:p>
    <w:p>
      <w:pPr>
        <w:pStyle w:val="Heading5"/>
        <w:rPr>
          <w:snapToGrid w:val="0"/>
        </w:rPr>
      </w:pPr>
      <w:bookmarkStart w:id="58" w:name="_Toc391906903"/>
      <w:bookmarkStart w:id="59" w:name="_Toc42611976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58"/>
      <w:bookmarkEnd w:id="59"/>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Footnotesection"/>
      </w:pPr>
      <w:r>
        <w:tab/>
        <w:t>[By</w:t>
      </w:r>
      <w:r>
        <w:noBreakHyphen/>
        <w:t>law 17B inserted in Gazette 1 Jul 2002 p. 3156</w:t>
      </w:r>
      <w:r>
        <w:noBreakHyphen/>
        <w:t>7; amended in Gazette 29 Jun 2007 p. 3250; 19 Jun 2013 p. 2352.]</w:t>
      </w:r>
    </w:p>
    <w:p>
      <w:pPr>
        <w:pStyle w:val="Heading5"/>
      </w:pPr>
      <w:bookmarkStart w:id="60" w:name="_Toc391906904"/>
      <w:bookmarkStart w:id="61" w:name="_Toc426119765"/>
      <w:r>
        <w:rPr>
          <w:rStyle w:val="CharSectno"/>
        </w:rPr>
        <w:t>17C</w:t>
      </w:r>
      <w:r>
        <w:t>.</w:t>
      </w:r>
      <w:r>
        <w:tab/>
        <w:t>Non</w:t>
      </w:r>
      <w:r>
        <w:noBreakHyphen/>
        <w:t>metropolitan, non</w:t>
      </w:r>
      <w:r>
        <w:noBreakHyphen/>
        <w:t>strata titled, commercial or industrial property water supply charges</w:t>
      </w:r>
      <w:bookmarkEnd w:id="60"/>
      <w:bookmarkEnd w:id="61"/>
    </w:p>
    <w:p>
      <w:pPr>
        <w:pStyle w:val="Subsection"/>
      </w:pPr>
      <w:r>
        <w:tab/>
        <w:t>(1)</w:t>
      </w:r>
      <w:r>
        <w:tab/>
        <w:t>Where a property referred to in Schedule 1 item 10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Where a property referred to in Schedule 1 item 10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 25 Jun 2010 p. 2903; 23 Jun 2011 p. 2418; 20 Jun 2012 p. 2698; 19 Jun 2013 p. 2352.]</w:t>
      </w:r>
    </w:p>
    <w:p>
      <w:pPr>
        <w:pStyle w:val="Heading5"/>
        <w:rPr>
          <w:snapToGrid w:val="0"/>
        </w:rPr>
      </w:pPr>
      <w:bookmarkStart w:id="62" w:name="_Toc391906905"/>
      <w:bookmarkStart w:id="63" w:name="_Toc426119766"/>
      <w:r>
        <w:rPr>
          <w:rStyle w:val="CharSectno"/>
        </w:rPr>
        <w:t>17D</w:t>
      </w:r>
      <w:r>
        <w:rPr>
          <w:snapToGrid w:val="0"/>
        </w:rPr>
        <w:t>.</w:t>
      </w:r>
      <w:r>
        <w:rPr>
          <w:snapToGrid w:val="0"/>
        </w:rPr>
        <w:tab/>
        <w:t>Various non</w:t>
      </w:r>
      <w:r>
        <w:rPr>
          <w:snapToGrid w:val="0"/>
        </w:rPr>
        <w:noBreakHyphen/>
        <w:t>metropolitan water supply charges and classifications</w:t>
      </w:r>
      <w:bookmarkEnd w:id="62"/>
      <w:bookmarkEnd w:id="63"/>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64" w:name="_Toc391906906"/>
      <w:bookmarkStart w:id="65" w:name="_Toc426119767"/>
      <w:r>
        <w:rPr>
          <w:rStyle w:val="CharSectno"/>
        </w:rPr>
        <w:t>18</w:t>
      </w:r>
      <w:r>
        <w:rPr>
          <w:snapToGrid w:val="0"/>
        </w:rPr>
        <w:t>.</w:t>
      </w:r>
      <w:r>
        <w:rPr>
          <w:snapToGrid w:val="0"/>
        </w:rPr>
        <w:tab/>
        <w:t>Concessional non</w:t>
      </w:r>
      <w:r>
        <w:rPr>
          <w:snapToGrid w:val="0"/>
        </w:rPr>
        <w:noBreakHyphen/>
        <w:t>metropolitan quantity charge</w:t>
      </w:r>
      <w:bookmarkEnd w:id="64"/>
      <w:bookmarkEnd w:id="65"/>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subject to sub</w:t>
      </w:r>
      <w:r>
        <w:rPr>
          <w:snapToGrid w:val="0"/>
        </w:rPr>
        <w:noBreakHyphen/>
        <w:t>bylaw (3), 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rPr>
          <w:snapToGrid w:val="0"/>
        </w:rPr>
      </w:pPr>
      <w:r>
        <w:rPr>
          <w:snapToGrid w:val="0"/>
        </w:rPr>
        <w:tab/>
        <w:t>(4)</w:t>
      </w:r>
      <w:r>
        <w:rPr>
          <w:snapToGrid w:val="0"/>
        </w:rPr>
        <w:tab/>
        <w:t xml:space="preserve">The </w:t>
      </w:r>
      <w:r>
        <w:t>amount of the concession</w:t>
      </w:r>
      <w:r>
        <w:rPr>
          <w:snapToGrid w:val="0"/>
        </w:rPr>
        <w:t xml:space="preserve">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rPr>
          <w:snapToGrid w:val="0"/>
        </w:rPr>
      </w:pPr>
      <w:r>
        <w:rPr>
          <w:snapToGrid w:val="0"/>
        </w:rPr>
        <w:tab/>
        <w:t>(i)</w:t>
      </w:r>
      <w:r>
        <w:rPr>
          <w:snapToGrid w:val="0"/>
        </w:rPr>
        <w:tab/>
        <w:t xml:space="preserve">in the town of Cue, Laverton, Leonora, Meekatharra, Menzies, Mt Magnet (from 1995/1996 onwards), </w:t>
      </w:r>
      <w:r>
        <w:t xml:space="preserve">Mullewa (from 2009/2010 onwards), </w:t>
      </w:r>
      <w:r>
        <w:rPr>
          <w:snapToGrid w:val="0"/>
        </w:rPr>
        <w:t>Sandstone, Wiluna or Yalgoo (from 1995/1996 onwards) and where up to 600 kL of water is supplied in one year; or</w:t>
      </w:r>
    </w:p>
    <w:p>
      <w:pPr>
        <w:pStyle w:val="Indenti"/>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 xml:space="preserve">A person who, in connection with or for the purpose of obtaining a </w:t>
      </w:r>
      <w:r>
        <w:t>concession</w:t>
      </w:r>
      <w:r>
        <w:rPr>
          <w:snapToGrid w:val="0"/>
        </w:rPr>
        <w:t xml:space="preserve">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 25 Jun 2010 p. 2903</w:t>
      </w:r>
      <w:r>
        <w:noBreakHyphen/>
        <w:t>5.]</w:t>
      </w:r>
    </w:p>
    <w:p>
      <w:pPr>
        <w:pStyle w:val="Heading5"/>
        <w:rPr>
          <w:snapToGrid w:val="0"/>
        </w:rPr>
      </w:pPr>
      <w:bookmarkStart w:id="66" w:name="_Toc391906907"/>
      <w:bookmarkStart w:id="67" w:name="_Toc426119768"/>
      <w:r>
        <w:rPr>
          <w:rStyle w:val="CharSectno"/>
        </w:rPr>
        <w:t>18A</w:t>
      </w:r>
      <w:r>
        <w:rPr>
          <w:snapToGrid w:val="0"/>
        </w:rPr>
        <w:t>.</w:t>
      </w:r>
      <w:r>
        <w:rPr>
          <w:snapToGrid w:val="0"/>
        </w:rPr>
        <w:tab/>
        <w:t>Concessional metropolitan quantity charge</w:t>
      </w:r>
      <w:bookmarkEnd w:id="66"/>
      <w:bookmarkEnd w:id="67"/>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rPr>
          <w:snapToGrid w:val="0"/>
        </w:rPr>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rPr>
          <w:snapToGrid w:val="0"/>
        </w:rPr>
      </w:pPr>
      <w:r>
        <w:rPr>
          <w:snapToGrid w:val="0"/>
        </w:rPr>
        <w:tab/>
        <w:t>(4)</w:t>
      </w:r>
      <w:r>
        <w:rPr>
          <w:snapToGrid w:val="0"/>
        </w:rPr>
        <w:tab/>
        <w:t>A person who, in connection with or for the purpose of being allowed a concession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 25 Jun 2010 p. 2905</w:t>
      </w:r>
      <w:r>
        <w:noBreakHyphen/>
        <w:t>6.]</w:t>
      </w:r>
    </w:p>
    <w:p>
      <w:pPr>
        <w:pStyle w:val="Heading5"/>
        <w:rPr>
          <w:snapToGrid w:val="0"/>
        </w:rPr>
      </w:pPr>
      <w:bookmarkStart w:id="68" w:name="_Toc391906908"/>
      <w:bookmarkStart w:id="69" w:name="_Toc426119769"/>
      <w:r>
        <w:rPr>
          <w:rStyle w:val="CharSectno"/>
        </w:rPr>
        <w:t>18B</w:t>
      </w:r>
      <w:r>
        <w:rPr>
          <w:snapToGrid w:val="0"/>
        </w:rPr>
        <w:t>.</w:t>
      </w:r>
      <w:r>
        <w:rPr>
          <w:snapToGrid w:val="0"/>
        </w:rPr>
        <w:tab/>
        <w:t>Residential multi</w:t>
      </w:r>
      <w:r>
        <w:rPr>
          <w:snapToGrid w:val="0"/>
        </w:rPr>
        <w:noBreakHyphen/>
        <w:t>unit properties — rebates for eligible pensioners</w:t>
      </w:r>
      <w:bookmarkEnd w:id="68"/>
      <w:bookmarkEnd w:id="69"/>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keepNext/>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 or</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 xml:space="preserve">600 kL of water is supplied in one year and where the land concerned is in the town of Cue, Laverton, Leonora, Meekatharra, Menzies, Mt Magnet (from 1995/1996 onwards), </w:t>
      </w:r>
      <w:r>
        <w:t xml:space="preserve">Mullewa (from 2009/2010 onwards), </w:t>
      </w:r>
      <w:r>
        <w:rPr>
          <w:snapToGrid w:val="0"/>
        </w:rPr>
        <w:t>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 25 Jun 2010 p. 2906.]</w:t>
      </w:r>
    </w:p>
    <w:p>
      <w:pPr>
        <w:pStyle w:val="Ednotesection"/>
      </w:pPr>
      <w:r>
        <w:t>[</w:t>
      </w:r>
      <w:r>
        <w:rPr>
          <w:b/>
        </w:rPr>
        <w:t>19.</w:t>
      </w:r>
      <w:r>
        <w:rPr>
          <w:b/>
        </w:rPr>
        <w:tab/>
      </w:r>
      <w:r>
        <w:t>Deleted in Gazette 26 Jun 1998 p. 3400.]</w:t>
      </w:r>
    </w:p>
    <w:p>
      <w:pPr>
        <w:pStyle w:val="Heading5"/>
        <w:rPr>
          <w:snapToGrid w:val="0"/>
        </w:rPr>
      </w:pPr>
      <w:bookmarkStart w:id="70" w:name="_Toc391906909"/>
      <w:bookmarkStart w:id="71" w:name="_Toc426119770"/>
      <w:r>
        <w:rPr>
          <w:rStyle w:val="CharSectno"/>
        </w:rPr>
        <w:t>19A</w:t>
      </w:r>
      <w:r>
        <w:rPr>
          <w:snapToGrid w:val="0"/>
        </w:rPr>
        <w:t>.</w:t>
      </w:r>
      <w:r>
        <w:rPr>
          <w:snapToGrid w:val="0"/>
        </w:rPr>
        <w:tab/>
        <w:t>Capital infrastructure charges</w:t>
      </w:r>
      <w:bookmarkEnd w:id="70"/>
      <w:bookmarkEnd w:id="71"/>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72" w:name="_Toc390772043"/>
      <w:bookmarkStart w:id="73" w:name="_Toc391906910"/>
      <w:bookmarkStart w:id="74" w:name="_Toc426119771"/>
      <w:r>
        <w:rPr>
          <w:rStyle w:val="CharDivNo"/>
        </w:rPr>
        <w:t>Division 2</w:t>
      </w:r>
      <w:r>
        <w:t> — </w:t>
      </w:r>
      <w:r>
        <w:rPr>
          <w:rStyle w:val="CharDivText"/>
        </w:rPr>
        <w:t>Water supplied from certain irrigation works, other than for irrigation</w:t>
      </w:r>
      <w:bookmarkEnd w:id="72"/>
      <w:bookmarkEnd w:id="73"/>
      <w:bookmarkEnd w:id="74"/>
    </w:p>
    <w:p>
      <w:pPr>
        <w:pStyle w:val="Footnoteheading"/>
        <w:keepNext/>
      </w:pPr>
      <w:r>
        <w:tab/>
        <w:t>[Heading inserted in Gazette 14 Nov 2013 p. 5087.]</w:t>
      </w:r>
    </w:p>
    <w:p>
      <w:pPr>
        <w:pStyle w:val="Heading5"/>
      </w:pPr>
      <w:bookmarkStart w:id="75" w:name="_Toc391906911"/>
      <w:bookmarkStart w:id="76" w:name="_Toc426119772"/>
      <w:r>
        <w:rPr>
          <w:rStyle w:val="CharSectno"/>
        </w:rPr>
        <w:t>20</w:t>
      </w:r>
      <w:r>
        <w:t>.</w:t>
      </w:r>
      <w:r>
        <w:tab/>
        <w:t>Land subject to water supply charges under this Division</w:t>
      </w:r>
      <w:bookmarkEnd w:id="75"/>
      <w:bookmarkEnd w:id="76"/>
    </w:p>
    <w:p>
      <w:pPr>
        <w:pStyle w:val="Subsection"/>
      </w:pPr>
      <w:r>
        <w:tab/>
        <w:t>(1)</w:t>
      </w:r>
      <w:r>
        <w:tab/>
        <w:t>The charges set out in Schedule 2 apply in respect of land that is supplied with water, for purposes other than irrigation, from irrigation works of the Corporation in the Ord Irrigation District.</w:t>
      </w:r>
    </w:p>
    <w:p>
      <w:pPr>
        <w:pStyle w:val="Subsection"/>
      </w:pPr>
      <w:r>
        <w:tab/>
        <w:t>(2)</w:t>
      </w:r>
      <w:r>
        <w:tab/>
        <w:t>For the purposes of this by</w:t>
      </w:r>
      <w:r>
        <w:noBreakHyphen/>
        <w:t xml:space="preserve">law — </w:t>
      </w:r>
    </w:p>
    <w:p>
      <w:pPr>
        <w:pStyle w:val="Indenta"/>
      </w:pPr>
      <w:r>
        <w:tab/>
        <w:t>(a)</w:t>
      </w:r>
      <w:r>
        <w:tab/>
        <w:t>the Ord River is to be taken to be irrigation works of the Corporation to the extent to which the river is used by the Corporation to, in effect, deliver water to persons who are to be supplied with water by the Corporation; and</w:t>
      </w:r>
    </w:p>
    <w:p>
      <w:pPr>
        <w:pStyle w:val="Indenta"/>
      </w:pPr>
      <w:r>
        <w:tab/>
        <w:t>(b)</w:t>
      </w:r>
      <w:r>
        <w:tab/>
        <w:t>the supply of water from irrigation works includes authorising a person to take water from the works.</w:t>
      </w:r>
    </w:p>
    <w:p>
      <w:pPr>
        <w:pStyle w:val="Footnotesection"/>
      </w:pPr>
      <w:r>
        <w:tab/>
        <w:t>[By-law 20 inserted in Gazette 14 Nov 2013 p. 5087.]</w:t>
      </w:r>
    </w:p>
    <w:p>
      <w:pPr>
        <w:pStyle w:val="Ednotedivision"/>
      </w:pPr>
      <w:r>
        <w:t>[Divisions 3 and 4 deleted in Gazette 27 Jun 1997 p. 3180.]</w:t>
      </w:r>
    </w:p>
    <w:p>
      <w:pPr>
        <w:pStyle w:val="Heading2"/>
      </w:pPr>
      <w:bookmarkStart w:id="77" w:name="_Toc390772045"/>
      <w:bookmarkStart w:id="78" w:name="_Toc391906912"/>
      <w:bookmarkStart w:id="79" w:name="_Toc426119773"/>
      <w:r>
        <w:rPr>
          <w:rStyle w:val="CharPartNo"/>
        </w:rPr>
        <w:t>Part 3</w:t>
      </w:r>
      <w:r>
        <w:rPr>
          <w:rStyle w:val="CharDivNo"/>
        </w:rPr>
        <w:t> </w:t>
      </w:r>
      <w:r>
        <w:t>—</w:t>
      </w:r>
      <w:r>
        <w:rPr>
          <w:rStyle w:val="CharDivText"/>
        </w:rPr>
        <w:t> </w:t>
      </w:r>
      <w:r>
        <w:rPr>
          <w:rStyle w:val="CharPartText"/>
        </w:rPr>
        <w:t>Sewerage</w:t>
      </w:r>
      <w:bookmarkEnd w:id="77"/>
      <w:bookmarkEnd w:id="78"/>
      <w:bookmarkEnd w:id="79"/>
    </w:p>
    <w:p>
      <w:pPr>
        <w:pStyle w:val="Heading5"/>
        <w:spacing w:before="180"/>
      </w:pPr>
      <w:bookmarkStart w:id="80" w:name="_Toc391906913"/>
      <w:bookmarkStart w:id="81" w:name="_Toc426119774"/>
      <w:r>
        <w:rPr>
          <w:rStyle w:val="CharSectno"/>
        </w:rPr>
        <w:t>21A</w:t>
      </w:r>
      <w:r>
        <w:t>.</w:t>
      </w:r>
      <w:r>
        <w:tab/>
        <w:t>Terms used</w:t>
      </w:r>
      <w:bookmarkEnd w:id="80"/>
      <w:bookmarkEnd w:id="81"/>
    </w:p>
    <w:p>
      <w:pPr>
        <w:pStyle w:val="Subsection"/>
        <w:spacing w:before="140"/>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pPr>
      <w:r>
        <w:tab/>
        <w:t>(a)</w:t>
      </w:r>
      <w:r>
        <w:tab/>
        <w:t>in a metropolitan context, the formula set out in Schedule 3 item 18; or</w:t>
      </w:r>
    </w:p>
    <w:p>
      <w:pPr>
        <w:pStyle w:val="Defpara"/>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pPr>
      <w:r>
        <w:tab/>
      </w:r>
      <w:r>
        <w:rPr>
          <w:rStyle w:val="CharDefText"/>
        </w:rPr>
        <w:t>Table</w:t>
      </w:r>
      <w:r>
        <w:t xml:space="preserve"> means —</w:t>
      </w:r>
    </w:p>
    <w:p>
      <w:pPr>
        <w:pStyle w:val="Defpara"/>
      </w:pPr>
      <w:r>
        <w:tab/>
        <w:t>(a)</w:t>
      </w:r>
      <w:r>
        <w:tab/>
        <w:t>in a metropolitan context, the Table to Schedule 3 item 18; or</w:t>
      </w:r>
    </w:p>
    <w:p>
      <w:pPr>
        <w:pStyle w:val="Defpara"/>
      </w:pPr>
      <w:r>
        <w:tab/>
        <w:t>(b)</w:t>
      </w:r>
      <w:r>
        <w:tab/>
        <w:t>in a country context, the Table to Schedule 3 item 36.</w:t>
      </w:r>
    </w:p>
    <w:p>
      <w:pPr>
        <w:pStyle w:val="Footnotesection"/>
        <w:spacing w:before="80"/>
      </w:pPr>
      <w:r>
        <w:tab/>
        <w:t>[By</w:t>
      </w:r>
      <w:r>
        <w:noBreakHyphen/>
        <w:t>law 21A inserted in Gazette 27 Jun 2003 p. 2287; amended in Gazette 29 Jun 2007 p. 3251</w:t>
      </w:r>
      <w:r>
        <w:noBreakHyphen/>
        <w:t>2.]</w:t>
      </w:r>
    </w:p>
    <w:p>
      <w:pPr>
        <w:pStyle w:val="Heading5"/>
        <w:spacing w:before="200"/>
        <w:rPr>
          <w:snapToGrid w:val="0"/>
        </w:rPr>
      </w:pPr>
      <w:bookmarkStart w:id="82" w:name="_Toc391906914"/>
      <w:bookmarkStart w:id="83" w:name="_Toc426119775"/>
      <w:r>
        <w:rPr>
          <w:rStyle w:val="CharSectno"/>
        </w:rPr>
        <w:t>21</w:t>
      </w:r>
      <w:r>
        <w:rPr>
          <w:snapToGrid w:val="0"/>
        </w:rPr>
        <w:t>.</w:t>
      </w:r>
      <w:r>
        <w:rPr>
          <w:snapToGrid w:val="0"/>
        </w:rPr>
        <w:tab/>
        <w:t>Land subject to sewerage charges</w:t>
      </w:r>
      <w:bookmarkEnd w:id="82"/>
      <w:bookmarkEnd w:id="83"/>
    </w:p>
    <w:p>
      <w:pPr>
        <w:pStyle w:val="Subsection"/>
        <w:spacing w:before="140"/>
        <w:rPr>
          <w:snapToGrid w:val="0"/>
        </w:rPr>
      </w:pPr>
      <w:r>
        <w:rPr>
          <w:snapToGrid w:val="0"/>
        </w:rPr>
        <w:tab/>
      </w:r>
      <w:r>
        <w:rPr>
          <w:snapToGrid w:val="0"/>
        </w:rPr>
        <w:tab/>
        <w:t>Land that is connected with a sewer or, although not connected —</w:t>
      </w:r>
    </w:p>
    <w:p>
      <w:pPr>
        <w:pStyle w:val="Indenta"/>
        <w:rPr>
          <w:snapToGrid w:val="0"/>
        </w:rPr>
      </w:pPr>
      <w:r>
        <w:rPr>
          <w:snapToGrid w:val="0"/>
        </w:rPr>
        <w:tab/>
        <w:t>(a)</w:t>
      </w:r>
      <w:r>
        <w:rPr>
          <w:snapToGrid w:val="0"/>
        </w:rPr>
        <w:tab/>
        <w:t>is in the opinion of the Corporation reasonably capable of being connected with a sewer; and</w:t>
      </w:r>
    </w:p>
    <w:p>
      <w:pPr>
        <w:pStyle w:val="Indenta"/>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spacing w:before="120"/>
        <w:rPr>
          <w:snapToGrid w:val="0"/>
        </w:rPr>
      </w:pPr>
      <w:r>
        <w:rPr>
          <w:snapToGrid w:val="0"/>
        </w:rPr>
        <w:tab/>
      </w:r>
      <w:r>
        <w:rPr>
          <w:snapToGrid w:val="0"/>
        </w:rPr>
        <w:tab/>
        <w:t>shall be taken to be land in respect of which the Corporation provides sewerage and, subject to by</w:t>
      </w:r>
      <w:r>
        <w:rPr>
          <w:snapToGrid w:val="0"/>
        </w:rPr>
        <w:noBreakHyphen/>
        <w:t>law 22, charges as set out in Schedule 3, shall apply in respect of that land.</w:t>
      </w:r>
    </w:p>
    <w:p>
      <w:pPr>
        <w:pStyle w:val="Footnotesection"/>
        <w:spacing w:before="80"/>
        <w:ind w:left="890" w:hanging="890"/>
      </w:pPr>
      <w:r>
        <w:tab/>
        <w:t>[By</w:t>
      </w:r>
      <w:r>
        <w:noBreakHyphen/>
        <w:t>law 21 amended in Gazette 29 Dec 1995 p. 6331</w:t>
      </w:r>
      <w:r>
        <w:noBreakHyphen/>
        <w:t>2; 29 Jun 2001 p. 3194; 14 Nov 2013 p. 5088.]</w:t>
      </w:r>
    </w:p>
    <w:p>
      <w:pPr>
        <w:pStyle w:val="Heading5"/>
        <w:rPr>
          <w:snapToGrid w:val="0"/>
        </w:rPr>
      </w:pPr>
      <w:bookmarkStart w:id="84" w:name="_Toc391906915"/>
      <w:bookmarkStart w:id="85" w:name="_Toc426119776"/>
      <w:r>
        <w:rPr>
          <w:rStyle w:val="CharSectno"/>
        </w:rPr>
        <w:t>22</w:t>
      </w:r>
      <w:r>
        <w:rPr>
          <w:snapToGrid w:val="0"/>
        </w:rPr>
        <w:t>.</w:t>
      </w:r>
      <w:r>
        <w:rPr>
          <w:snapToGrid w:val="0"/>
        </w:rPr>
        <w:tab/>
        <w:t>Exempt land</w:t>
      </w:r>
      <w:bookmarkEnd w:id="84"/>
      <w:bookmarkEnd w:id="85"/>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 to the extent set out in that Schedule.</w:t>
      </w:r>
    </w:p>
    <w:p>
      <w:pPr>
        <w:pStyle w:val="Footnotesection"/>
        <w:ind w:left="890" w:hanging="890"/>
      </w:pPr>
      <w:r>
        <w:tab/>
        <w:t>[By</w:t>
      </w:r>
      <w:r>
        <w:noBreakHyphen/>
        <w:t>law 22 amended in Gazette 29 Jun 2001 p. 3194; 20 Jun 2012 p. 2699.]</w:t>
      </w:r>
    </w:p>
    <w:p>
      <w:pPr>
        <w:pStyle w:val="Heading5"/>
        <w:rPr>
          <w:rStyle w:val="CharSectno"/>
        </w:rPr>
      </w:pPr>
      <w:bookmarkStart w:id="86" w:name="_Toc391906916"/>
      <w:bookmarkStart w:id="87" w:name="_Toc426119777"/>
      <w:r>
        <w:rPr>
          <w:rStyle w:val="CharSectno"/>
        </w:rPr>
        <w:t>23.</w:t>
      </w:r>
      <w:r>
        <w:rPr>
          <w:rStyle w:val="CharSectno"/>
        </w:rPr>
        <w:tab/>
        <w:t>Classification of land</w:t>
      </w:r>
      <w:bookmarkEnd w:id="86"/>
      <w:bookmarkEnd w:id="87"/>
    </w:p>
    <w:p>
      <w:pPr>
        <w:pStyle w:val="Subsection"/>
      </w:pPr>
      <w:r>
        <w:rPr>
          <w:snapToGrid w:val="0"/>
        </w:rPr>
        <w:tab/>
        <w:t>(1)</w:t>
      </w:r>
      <w:r>
        <w:rPr>
          <w:snapToGrid w:val="0"/>
        </w:rPr>
        <w:tab/>
        <w:t>For the purposes of this Part, land described in by</w:t>
      </w:r>
      <w:r>
        <w:rPr>
          <w:snapToGrid w:val="0"/>
        </w:rPr>
        <w:noBreakHyphen/>
        <w:t>law 4 that is</w:t>
      </w:r>
      <w:r>
        <w:t xml:space="preserve"> in a non</w:t>
      </w:r>
      <w:r>
        <w:noBreakHyphen/>
        <w:t>metropolitan area and is connected with a sewer may, irrespective of any other classification under these by</w:t>
      </w:r>
      <w:r>
        <w:noBreakHyphen/>
        <w:t xml:space="preserve">laws, be classified by the Corporation as follows — </w:t>
      </w:r>
    </w:p>
    <w:p>
      <w:pPr>
        <w:pStyle w:val="Indenta"/>
        <w:spacing w:before="70"/>
      </w:pPr>
      <w:r>
        <w:tab/>
        <w:t>(a)</w:t>
      </w:r>
      <w:r>
        <w:tab/>
        <w:t>institutional public, if the land is used for such club, institutional or public purpose as the Corporation approves, not being a purpose mentioned in paragraph (b);</w:t>
      </w:r>
    </w:p>
    <w:p>
      <w:pPr>
        <w:pStyle w:val="Indenta"/>
        <w:spacing w:before="70"/>
      </w:pPr>
      <w:r>
        <w:tab/>
        <w:t>(b)</w:t>
      </w:r>
      <w:r>
        <w:tab/>
        <w:t xml:space="preserve">charitable purposes, if, in the opinion of the Corporation, the land is used for the purpose of — </w:t>
      </w:r>
    </w:p>
    <w:p>
      <w:pPr>
        <w:pStyle w:val="Indenti"/>
        <w:spacing w:before="70"/>
      </w:pPr>
      <w:r>
        <w:tab/>
        <w:t>(i)</w:t>
      </w:r>
      <w:r>
        <w:tab/>
        <w:t>providing relief or assistance to sick, aged, disadvantaged, unemployed or young persons; or</w:t>
      </w:r>
    </w:p>
    <w:p>
      <w:pPr>
        <w:pStyle w:val="Indenti"/>
        <w:spacing w:before="70"/>
      </w:pPr>
      <w:r>
        <w:tab/>
        <w:t>(ii)</w:t>
      </w:r>
      <w:r>
        <w:tab/>
        <w:t>conducting other activities for the benefit of the public or in the interests of social welfare,</w:t>
      </w:r>
    </w:p>
    <w:p>
      <w:pPr>
        <w:pStyle w:val="Indenta"/>
        <w:spacing w:before="70"/>
      </w:pPr>
      <w:r>
        <w:tab/>
      </w:r>
      <w:r>
        <w:tab/>
        <w:t>by a private organisation that is not operated for the purpose of profit or gain to individual members, shareholders or owners;</w:t>
      </w:r>
    </w:p>
    <w:p>
      <w:pPr>
        <w:pStyle w:val="Indenta"/>
        <w:spacing w:before="70"/>
      </w:pPr>
      <w:r>
        <w:tab/>
        <w:t>(c)</w:t>
      </w:r>
      <w:r>
        <w:tab/>
        <w:t>community residential, if the land is occupied as a communal property on which several family units dwell at the same time and is managed by the persons dwelling on the land or a committee of them;</w:t>
      </w:r>
    </w:p>
    <w:p>
      <w:pPr>
        <w:pStyle w:val="Indenta"/>
        <w:spacing w:before="70"/>
      </w:pPr>
      <w:r>
        <w:tab/>
        <w:t>(d)</w:t>
      </w:r>
      <w:r>
        <w:tab/>
        <w:t>local government, if the land is not in the metropolitan area and is used by the local government for business, professional, commercial or office purposes, or as a power station, and the classification of the land is not otherwise specifically provided for in this by</w:t>
      </w:r>
      <w:r>
        <w:noBreakHyphen/>
        <w:t>law;</w:t>
      </w:r>
    </w:p>
    <w:p>
      <w:pPr>
        <w:pStyle w:val="Indenta"/>
      </w:pPr>
      <w:r>
        <w:tab/>
        <w:t>(e)</w:t>
      </w:r>
      <w:r>
        <w:tab/>
        <w:t>aged home, if the land is in the metropolitan area and the classification of the land is not otherwise specifically provided for in this by</w:t>
      </w:r>
      <w:r>
        <w:noBreakHyphen/>
        <w:t>law,</w:t>
      </w:r>
    </w:p>
    <w:p>
      <w:pPr>
        <w:pStyle w:val="Subsection"/>
        <w:spacing w:before="120"/>
      </w:pPr>
      <w:r>
        <w:tab/>
      </w:r>
      <w:r>
        <w:tab/>
        <w:t>and, where it is not classified under paragraph (a), (b), (c), (d) or (e), shall be taken to have been classified as community purpose.</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23 inserted in Gazette 29 Jun 2007 p. 3252-3; amended in Gazette 19 Jun 2009 p. 2322; 20 Jun 2012 p. 2699; 14 Nov 2013 p. 5095.] </w:t>
      </w:r>
    </w:p>
    <w:p>
      <w:pPr>
        <w:pStyle w:val="Ednotesection"/>
      </w:pPr>
      <w:r>
        <w:t>[</w:t>
      </w:r>
      <w:r>
        <w:rPr>
          <w:b/>
        </w:rPr>
        <w:t>24.</w:t>
      </w:r>
      <w:r>
        <w:tab/>
        <w:t>Deleted in Gazette 19 Jun 2013 p. 2352.]</w:t>
      </w:r>
    </w:p>
    <w:p>
      <w:pPr>
        <w:pStyle w:val="Ednotesection"/>
      </w:pPr>
      <w:r>
        <w:t>[</w:t>
      </w:r>
      <w:r>
        <w:rPr>
          <w:b/>
        </w:rPr>
        <w:t>25.</w:t>
      </w:r>
      <w:r>
        <w:tab/>
        <w:t>Deleted in Gazette 1 Jul 2002 p. 3157.]</w:t>
      </w:r>
    </w:p>
    <w:p>
      <w:pPr>
        <w:pStyle w:val="Heading5"/>
        <w:rPr>
          <w:snapToGrid w:val="0"/>
        </w:rPr>
      </w:pPr>
      <w:bookmarkStart w:id="88" w:name="_Toc391906917"/>
      <w:bookmarkStart w:id="89" w:name="_Toc426119778"/>
      <w:r>
        <w:rPr>
          <w:rStyle w:val="CharSectno"/>
        </w:rPr>
        <w:t>25A</w:t>
      </w:r>
      <w:r>
        <w:rPr>
          <w:snapToGrid w:val="0"/>
        </w:rPr>
        <w:t>.</w:t>
      </w:r>
      <w:r>
        <w:rPr>
          <w:snapToGrid w:val="0"/>
        </w:rPr>
        <w:tab/>
        <w:t>Metered metropolitan non</w:t>
      </w:r>
      <w:r>
        <w:rPr>
          <w:snapToGrid w:val="0"/>
        </w:rPr>
        <w:noBreakHyphen/>
        <w:t>residential property sewerage charges</w:t>
      </w:r>
      <w:bookmarkEnd w:id="88"/>
      <w:bookmarkEnd w:id="89"/>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2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2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 or</w:t>
      </w:r>
    </w:p>
    <w:p>
      <w:pPr>
        <w:pStyle w:val="Indenta"/>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rPr>
          <w:snapToGrid w:val="0"/>
          <w:spacing w:val="-4"/>
        </w:rPr>
      </w:pPr>
      <w:r>
        <w:rPr>
          <w:snapToGrid w:val="0"/>
          <w:spacing w:val="-4"/>
        </w:rPr>
        <w:tab/>
        <w:t>(c)</w:t>
      </w:r>
      <w:r>
        <w:rPr>
          <w:snapToGrid w:val="0"/>
          <w:spacing w:val="-4"/>
        </w:rPr>
        <w:tab/>
        <w:t xml:space="preserve">an interim valuation under the </w:t>
      </w:r>
      <w:r>
        <w:rPr>
          <w:i/>
          <w:snapToGrid w:val="0"/>
        </w:rPr>
        <w:t>Valuation of Land Act 1978</w:t>
      </w:r>
      <w:r>
        <w:rPr>
          <w:snapToGrid w:val="0"/>
          <w:spacing w:val="-4"/>
        </w:rPr>
        <w:t xml:space="preserve"> reflecting any development or change of use of that land,</w:t>
      </w:r>
    </w:p>
    <w:p>
      <w:pPr>
        <w:pStyle w:val="Subsection"/>
        <w:spacing w:before="120"/>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rPr>
          <w:snapToGrid w:val="0"/>
        </w:rPr>
      </w:pPr>
      <w:r>
        <w:rPr>
          <w:snapToGrid w:val="0"/>
        </w:rPr>
        <w:tab/>
        <w:t>(d)</w:t>
      </w:r>
      <w:r>
        <w:rPr>
          <w:snapToGrid w:val="0"/>
        </w:rPr>
        <w:tab/>
        <w:t>the matters and circumstances currently prevailing had prevailed; and</w:t>
      </w:r>
    </w:p>
    <w:p>
      <w:pPr>
        <w:pStyle w:val="Indenta"/>
        <w:rPr>
          <w:snapToGrid w:val="0"/>
        </w:rPr>
      </w:pPr>
      <w:r>
        <w:rPr>
          <w:snapToGrid w:val="0"/>
        </w:rPr>
        <w:tab/>
        <w:t>(e)</w:t>
      </w:r>
      <w:r>
        <w:rPr>
          <w:snapToGrid w:val="0"/>
        </w:rPr>
        <w:tab/>
        <w:t>the method of calculation of the discharge charge currently prevailing had been used; and</w:t>
      </w:r>
    </w:p>
    <w:p>
      <w:pPr>
        <w:pStyle w:val="Indenta"/>
        <w:rPr>
          <w:snapToGrid w:val="0"/>
        </w:rPr>
      </w:pPr>
      <w:r>
        <w:rPr>
          <w:snapToGrid w:val="0"/>
        </w:rPr>
        <w:tab/>
        <w:t>(f)</w:t>
      </w:r>
      <w:r>
        <w:rPr>
          <w:snapToGrid w:val="0"/>
        </w:rPr>
        <w:tab/>
        <w:t>any changed number of major fixtures referred to in paragraph (b) had been provided; and</w:t>
      </w:r>
    </w:p>
    <w:p>
      <w:pPr>
        <w:pStyle w:val="Indenta"/>
        <w:rPr>
          <w:snapToGrid w:val="0"/>
        </w:rPr>
      </w:pPr>
      <w:r>
        <w:rPr>
          <w:snapToGrid w:val="0"/>
        </w:rPr>
        <w:tab/>
        <w:t>(g)</w:t>
      </w:r>
      <w:r>
        <w:rPr>
          <w:snapToGrid w:val="0"/>
        </w:rPr>
        <w:tab/>
        <w:t>any interim valuation reflecting any development or change in use referred to in paragraph (c) had been made and in force,</w:t>
      </w:r>
    </w:p>
    <w:p>
      <w:pPr>
        <w:pStyle w:val="Subsection"/>
        <w:spacing w:before="120"/>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12% </w:t>
      </w:r>
      <w:r>
        <w:rPr>
          <w:snapToGrid w:val="0"/>
        </w:rPr>
        <w:t xml:space="preserve">greater than the charge calculated for the same service (and under the same circumstances) in the previous year, the charge is only payable up to that </w:t>
      </w:r>
      <w:r>
        <w:t xml:space="preserve">12% </w:t>
      </w:r>
      <w:r>
        <w:rPr>
          <w:snapToGrid w:val="0"/>
        </w:rPr>
        <w:t>increase.</w:t>
      </w:r>
    </w:p>
    <w:p>
      <w:pPr>
        <w:pStyle w:val="Footnotesection"/>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 25 Jun 2010 p. 2906; 23 Jun 2011 p. 2418; 20 Jun 2012 p. 2700; 19 Jun 2013 p. 2352.]</w:t>
      </w:r>
    </w:p>
    <w:p>
      <w:pPr>
        <w:pStyle w:val="Heading5"/>
        <w:keepLines w:val="0"/>
        <w:rPr>
          <w:snapToGrid w:val="0"/>
        </w:rPr>
      </w:pPr>
      <w:bookmarkStart w:id="90" w:name="_Toc391906918"/>
      <w:bookmarkStart w:id="91" w:name="_Toc426119779"/>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90"/>
      <w:bookmarkEnd w:id="91"/>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ind w:left="890" w:hanging="890"/>
      </w:pPr>
      <w:r>
        <w:tab/>
        <w:t>[By</w:t>
      </w:r>
      <w:r>
        <w:noBreakHyphen/>
        <w:t>law 25B inserted in Gazette 28 Jun 1996 p. 3111; amended in Gazette 27 Jun 1997 p. 3180 and 3203.]</w:t>
      </w:r>
    </w:p>
    <w:p>
      <w:pPr>
        <w:pStyle w:val="Heading5"/>
        <w:rPr>
          <w:snapToGrid w:val="0"/>
        </w:rPr>
      </w:pPr>
      <w:bookmarkStart w:id="92" w:name="_Toc391906919"/>
      <w:bookmarkStart w:id="93" w:name="_Toc426119780"/>
      <w:r>
        <w:rPr>
          <w:rStyle w:val="CharSectno"/>
        </w:rPr>
        <w:t>25C</w:t>
      </w:r>
      <w:r>
        <w:rPr>
          <w:snapToGrid w:val="0"/>
        </w:rPr>
        <w:t>.</w:t>
      </w:r>
      <w:r>
        <w:rPr>
          <w:snapToGrid w:val="0"/>
        </w:rPr>
        <w:tab/>
        <w:t>Charging for shared sewerage fixtures on metropolitan non</w:t>
      </w:r>
      <w:r>
        <w:rPr>
          <w:snapToGrid w:val="0"/>
        </w:rPr>
        <w:noBreakHyphen/>
        <w:t>residential property</w:t>
      </w:r>
      <w:bookmarkEnd w:id="92"/>
      <w:bookmarkEnd w:id="93"/>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ind w:left="890" w:hanging="890"/>
      </w:pPr>
      <w:r>
        <w:tab/>
        <w:t>[By</w:t>
      </w:r>
      <w:r>
        <w:noBreakHyphen/>
        <w:t>law 25C inserted in Gazette 30 Jun 1995 p. 2743</w:t>
      </w:r>
      <w:r>
        <w:noBreakHyphen/>
        <w:t>4.]</w:t>
      </w:r>
    </w:p>
    <w:p>
      <w:pPr>
        <w:pStyle w:val="Heading5"/>
        <w:rPr>
          <w:snapToGrid w:val="0"/>
        </w:rPr>
      </w:pPr>
      <w:bookmarkStart w:id="94" w:name="_Toc391906920"/>
      <w:bookmarkStart w:id="95" w:name="_Toc426119781"/>
      <w:r>
        <w:rPr>
          <w:rStyle w:val="CharSectno"/>
        </w:rPr>
        <w:t>26</w:t>
      </w:r>
      <w:r>
        <w:t>.</w:t>
      </w:r>
      <w:r>
        <w:tab/>
      </w:r>
      <w:r>
        <w:rPr>
          <w:snapToGrid w:val="0"/>
        </w:rPr>
        <w:t xml:space="preserve">Metered country </w:t>
      </w:r>
      <w:r>
        <w:t>non</w:t>
      </w:r>
      <w:r>
        <w:noBreakHyphen/>
        <w:t>residential or commercial residential</w:t>
      </w:r>
      <w:r>
        <w:rPr>
          <w:snapToGrid w:val="0"/>
        </w:rPr>
        <w:t xml:space="preserve"> property sewerage charges</w:t>
      </w:r>
      <w:bookmarkEnd w:id="94"/>
      <w:bookmarkEnd w:id="95"/>
    </w:p>
    <w:p>
      <w:pPr>
        <w:pStyle w:val="Subsection"/>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spacing w:before="140"/>
      </w:pPr>
      <w:r>
        <w:tab/>
      </w:r>
      <w:r>
        <w:tab/>
        <w:t>whichever is the greater.</w:t>
      </w:r>
    </w:p>
    <w:p>
      <w:pPr>
        <w:pStyle w:val="Subsection"/>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4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 or</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 and</w:t>
      </w:r>
    </w:p>
    <w:p>
      <w:pPr>
        <w:pStyle w:val="Indenta"/>
      </w:pPr>
      <w:r>
        <w:tab/>
        <w:t>(e)</w:t>
      </w:r>
      <w:r>
        <w:tab/>
        <w:t>the method of calculation of the discharge charge currently prevailing had been used; and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spacing w:before="120"/>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spacing w:before="100"/>
      </w:pPr>
      <w:r>
        <w:tab/>
        <w:t>[By</w:t>
      </w:r>
      <w:r>
        <w:noBreakHyphen/>
        <w:t>law 26 inserted in Gazette 27 Jun 2003 p. 2288-90; amended in Gazette 29 Jun 2007 p. 3253.]</w:t>
      </w:r>
    </w:p>
    <w:p>
      <w:pPr>
        <w:pStyle w:val="Heading5"/>
      </w:pPr>
      <w:bookmarkStart w:id="96" w:name="_Toc391906921"/>
      <w:bookmarkStart w:id="97" w:name="_Toc426119782"/>
      <w:r>
        <w:rPr>
          <w:rStyle w:val="CharSectno"/>
        </w:rPr>
        <w:t>26A</w:t>
      </w:r>
      <w:r>
        <w:t>.</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bookmarkEnd w:id="96"/>
      <w:bookmarkEnd w:id="97"/>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spacing w:before="120"/>
      </w:pPr>
      <w:r>
        <w:tab/>
      </w:r>
      <w:r>
        <w:tab/>
        <w:t>and the discharge charge will be applied accordingly.</w:t>
      </w:r>
    </w:p>
    <w:p>
      <w:pPr>
        <w:pStyle w:val="Footnotesection"/>
        <w:spacing w:before="100"/>
      </w:pPr>
      <w:r>
        <w:tab/>
        <w:t>[By</w:t>
      </w:r>
      <w:r>
        <w:noBreakHyphen/>
        <w:t>law 26A inserted in Gazette 27 Jun 2003 p. 2290-1; amended in Gazette 29 Jun 2007 p. 3253.]</w:t>
      </w:r>
    </w:p>
    <w:p>
      <w:pPr>
        <w:pStyle w:val="Heading5"/>
      </w:pPr>
      <w:bookmarkStart w:id="98" w:name="_Toc391906922"/>
      <w:bookmarkStart w:id="99" w:name="_Toc426119783"/>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98"/>
      <w:bookmarkEnd w:id="99"/>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spacing w:before="100"/>
      </w:pPr>
      <w:r>
        <w:tab/>
        <w:t>[By</w:t>
      </w:r>
      <w:r>
        <w:noBreakHyphen/>
        <w:t>law 26B inserted in Gazette 27 Jun 2003 p. 2291-2; amended in Gazette 29 Jun 2007 p. 3253.]</w:t>
      </w:r>
    </w:p>
    <w:p>
      <w:pPr>
        <w:pStyle w:val="Heading2"/>
      </w:pPr>
      <w:bookmarkStart w:id="100" w:name="_Toc390772056"/>
      <w:bookmarkStart w:id="101" w:name="_Toc391906923"/>
      <w:bookmarkStart w:id="102" w:name="_Toc426119784"/>
      <w:r>
        <w:rPr>
          <w:rStyle w:val="CharPartNo"/>
        </w:rPr>
        <w:t>Part 4</w:t>
      </w:r>
      <w:r>
        <w:rPr>
          <w:rStyle w:val="CharDivNo"/>
        </w:rPr>
        <w:t> </w:t>
      </w:r>
      <w:r>
        <w:t>—</w:t>
      </w:r>
      <w:r>
        <w:rPr>
          <w:rStyle w:val="CharDivText"/>
        </w:rPr>
        <w:t> </w:t>
      </w:r>
      <w:r>
        <w:rPr>
          <w:rStyle w:val="CharPartText"/>
        </w:rPr>
        <w:t>Drainage</w:t>
      </w:r>
      <w:bookmarkEnd w:id="100"/>
      <w:bookmarkEnd w:id="101"/>
      <w:bookmarkEnd w:id="102"/>
    </w:p>
    <w:p>
      <w:pPr>
        <w:pStyle w:val="Heading5"/>
        <w:rPr>
          <w:snapToGrid w:val="0"/>
        </w:rPr>
      </w:pPr>
      <w:bookmarkStart w:id="103" w:name="_Toc391906924"/>
      <w:bookmarkStart w:id="104" w:name="_Toc426119785"/>
      <w:r>
        <w:rPr>
          <w:rStyle w:val="CharSectno"/>
        </w:rPr>
        <w:t>27</w:t>
      </w:r>
      <w:r>
        <w:rPr>
          <w:snapToGrid w:val="0"/>
        </w:rPr>
        <w:t>.</w:t>
      </w:r>
      <w:r>
        <w:rPr>
          <w:snapToGrid w:val="0"/>
        </w:rPr>
        <w:tab/>
        <w:t>Land subject to drainage charges</w:t>
      </w:r>
      <w:bookmarkEnd w:id="103"/>
      <w:bookmarkEnd w:id="104"/>
    </w:p>
    <w:p>
      <w:pPr>
        <w:pStyle w:val="Subsection"/>
        <w:rPr>
          <w:snapToGrid w:val="0"/>
        </w:rPr>
      </w:pPr>
      <w:r>
        <w:rPr>
          <w:snapToGrid w:val="0"/>
        </w:rPr>
        <w:tab/>
      </w:r>
      <w:r>
        <w:rPr>
          <w:snapToGrid w:val="0"/>
        </w:rPr>
        <w:tab/>
        <w:t>Land in a drainage area shall be taken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 14 Nov 2013 p. 5088.]</w:t>
      </w:r>
    </w:p>
    <w:p>
      <w:pPr>
        <w:pStyle w:val="Heading5"/>
        <w:rPr>
          <w:snapToGrid w:val="0"/>
        </w:rPr>
      </w:pPr>
      <w:bookmarkStart w:id="105" w:name="_Toc391906925"/>
      <w:bookmarkStart w:id="106" w:name="_Toc426119786"/>
      <w:r>
        <w:rPr>
          <w:rStyle w:val="CharSectno"/>
        </w:rPr>
        <w:t>28</w:t>
      </w:r>
      <w:r>
        <w:rPr>
          <w:snapToGrid w:val="0"/>
        </w:rPr>
        <w:t>.</w:t>
      </w:r>
      <w:r>
        <w:rPr>
          <w:snapToGrid w:val="0"/>
        </w:rPr>
        <w:tab/>
        <w:t>Exempt land</w:t>
      </w:r>
      <w:bookmarkEnd w:id="105"/>
      <w:bookmarkEnd w:id="106"/>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107" w:name="_Toc391906926"/>
      <w:bookmarkStart w:id="108" w:name="_Toc426119787"/>
      <w:r>
        <w:rPr>
          <w:rStyle w:val="CharSectno"/>
        </w:rPr>
        <w:t>29</w:t>
      </w:r>
      <w:r>
        <w:t>.</w:t>
      </w:r>
      <w:r>
        <w:tab/>
        <w:t>Classification of land</w:t>
      </w:r>
      <w:bookmarkEnd w:id="107"/>
      <w:bookmarkEnd w:id="108"/>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29 inserted in Gazette 29 Jun 2007 p. 3254; amended in Gazette 19 Jun 2009 p. 2323.] </w:t>
      </w:r>
    </w:p>
    <w:p>
      <w:pPr>
        <w:pStyle w:val="Heading5"/>
      </w:pPr>
      <w:bookmarkStart w:id="109" w:name="_Toc391906927"/>
      <w:bookmarkStart w:id="110" w:name="_Toc426119788"/>
      <w:r>
        <w:rPr>
          <w:rStyle w:val="CharSectno"/>
        </w:rPr>
        <w:t>30</w:t>
      </w:r>
      <w:r>
        <w:t>.</w:t>
      </w:r>
      <w:r>
        <w:tab/>
        <w:t>Declaration of drainage areas and transitional provision</w:t>
      </w:r>
      <w:bookmarkEnd w:id="109"/>
      <w:bookmarkEnd w:id="110"/>
    </w:p>
    <w:p>
      <w:pPr>
        <w:pStyle w:val="Subsection"/>
      </w:pPr>
      <w:r>
        <w:tab/>
        <w:t>(1)</w:t>
      </w:r>
      <w:r>
        <w:tab/>
        <w:t xml:space="preserve">The Minister may, by instrument published in the </w:t>
      </w:r>
      <w:r>
        <w:rPr>
          <w:i/>
        </w:rPr>
        <w:t>Gazette</w:t>
      </w:r>
      <w:r>
        <w:t>, declare an area to be a drainage area if satisfied that the area benefits or will benefit from, or contributes or will contribute to, the need for the drainage provided or to be provided by a drainage asset of the Corporation.</w:t>
      </w:r>
    </w:p>
    <w:p>
      <w:pPr>
        <w:pStyle w:val="Subsection"/>
      </w:pPr>
      <w:r>
        <w:tab/>
        <w:t>(2)</w:t>
      </w:r>
      <w:r>
        <w:tab/>
        <w:t xml:space="preserve">The Minister may, by instrument published in the </w:t>
      </w:r>
      <w:r>
        <w:rPr>
          <w:i/>
        </w:rPr>
        <w:t>Gazette</w:t>
      </w:r>
      <w:r>
        <w:t>, revoke the declaration of an area as a drainage area if satisfied that the area no longer benefits from or contributes to the need for the drainage provided by a drainage asset of the Corporation.</w:t>
      </w:r>
    </w:p>
    <w:p>
      <w:pPr>
        <w:pStyle w:val="Subsection"/>
      </w:pPr>
      <w:r>
        <w:tab/>
        <w:t>(3)</w:t>
      </w:r>
      <w:r>
        <w:tab/>
        <w:t>A declaration under sub</w:t>
      </w:r>
      <w:r>
        <w:noBreakHyphen/>
        <w:t>bylaw (1) may create a new drainage area or extend an existing drainage area, and a revocation under sub</w:t>
      </w:r>
      <w:r>
        <w:noBreakHyphen/>
        <w:t>bylaw (2) may revoke the whole of or just a part of an existing drainage area.</w:t>
      </w:r>
    </w:p>
    <w:p>
      <w:pPr>
        <w:pStyle w:val="Subsection"/>
      </w:pPr>
      <w:r>
        <w:tab/>
        <w:t>(4)</w:t>
      </w:r>
      <w:r>
        <w:tab/>
        <w:t xml:space="preserve">Before the Minister can declare an area to be a drainage area, the Minister must — </w:t>
      </w:r>
    </w:p>
    <w:p>
      <w:pPr>
        <w:pStyle w:val="Indenta"/>
      </w:pPr>
      <w:r>
        <w:tab/>
        <w:t>(a)</w:t>
      </w:r>
      <w:r>
        <w:tab/>
        <w:t>give 2 months’ notice of the proposed declaration; and</w:t>
      </w:r>
    </w:p>
    <w:p>
      <w:pPr>
        <w:pStyle w:val="Indenta"/>
      </w:pPr>
      <w:r>
        <w:tab/>
        <w:t>(b)</w:t>
      </w:r>
      <w:r>
        <w:tab/>
        <w:t>take into account any objections made under sub</w:t>
      </w:r>
      <w:r>
        <w:noBreakHyphen/>
        <w:t>bylaw (6).</w:t>
      </w:r>
    </w:p>
    <w:p>
      <w:pPr>
        <w:pStyle w:val="Subsection"/>
      </w:pPr>
      <w:r>
        <w:tab/>
        <w:t>(5)</w:t>
      </w:r>
      <w:r>
        <w:tab/>
        <w:t xml:space="preserve">Notice of a proposal to declare an area to be a drainage area must — </w:t>
      </w:r>
    </w:p>
    <w:p>
      <w:pPr>
        <w:pStyle w:val="Indenta"/>
      </w:pPr>
      <w:r>
        <w:tab/>
        <w:t>(a)</w:t>
      </w:r>
      <w:r>
        <w:tab/>
        <w:t xml:space="preserve">be published in the </w:t>
      </w:r>
      <w:r>
        <w:rPr>
          <w:i/>
        </w:rPr>
        <w:t>Gazette</w:t>
      </w:r>
      <w:r>
        <w:t xml:space="preserve"> and on the Department’s website (as defined in the </w:t>
      </w:r>
      <w:r>
        <w:rPr>
          <w:i/>
        </w:rPr>
        <w:t>Water Services Regulations 2013</w:t>
      </w:r>
      <w:r>
        <w:t xml:space="preserve"> regulation 3(1)); and</w:t>
      </w:r>
    </w:p>
    <w:p>
      <w:pPr>
        <w:pStyle w:val="Indenta"/>
      </w:pPr>
      <w:r>
        <w:tab/>
        <w:t>(b)</w:t>
      </w:r>
      <w:r>
        <w:tab/>
        <w:t xml:space="preserve">include — </w:t>
      </w:r>
    </w:p>
    <w:p>
      <w:pPr>
        <w:pStyle w:val="Indenti"/>
      </w:pPr>
      <w:r>
        <w:tab/>
        <w:t>(i)</w:t>
      </w:r>
      <w:r>
        <w:tab/>
        <w:t>the date on or after which the Minister proposes to make the declaration; and</w:t>
      </w:r>
    </w:p>
    <w:p>
      <w:pPr>
        <w:pStyle w:val="Indenti"/>
      </w:pPr>
      <w:r>
        <w:tab/>
        <w:t>(ii)</w:t>
      </w:r>
      <w:r>
        <w:tab/>
        <w:t>a description of the area sufficient to identify its location; and</w:t>
      </w:r>
    </w:p>
    <w:p>
      <w:pPr>
        <w:pStyle w:val="Indenti"/>
      </w:pPr>
      <w:r>
        <w:tab/>
        <w:t>(iii)</w:t>
      </w:r>
      <w:r>
        <w:tab/>
        <w:t>details of the plan on which the proposed drainage area is set out and how the plan can be inspected.</w:t>
      </w:r>
    </w:p>
    <w:p>
      <w:pPr>
        <w:pStyle w:val="Subsection"/>
      </w:pPr>
      <w:r>
        <w:tab/>
        <w:t>(6)</w:t>
      </w:r>
      <w:r>
        <w:tab/>
        <w:t xml:space="preserve">A person with a material interest in a proposal to declare an area to be a drainage area may object to the proposal in writing to the Minister within one month after the day on which notice of the proposal is published in the </w:t>
      </w:r>
      <w:r>
        <w:rPr>
          <w:i/>
        </w:rPr>
        <w:t>Gazette</w:t>
      </w:r>
      <w:r>
        <w:t>.</w:t>
      </w:r>
    </w:p>
    <w:p>
      <w:pPr>
        <w:pStyle w:val="Subsection"/>
      </w:pPr>
      <w:r>
        <w:tab/>
        <w:t>(7)</w:t>
      </w:r>
      <w:r>
        <w:tab/>
        <w:t xml:space="preserve">A drainage area under the </w:t>
      </w:r>
      <w:r>
        <w:rPr>
          <w:i/>
        </w:rPr>
        <w:t>Metropolitan Water Authority Act 1982</w:t>
      </w:r>
      <w:r>
        <w:rPr>
          <w:vertAlign w:val="superscript"/>
        </w:rPr>
        <w:t> 2</w:t>
      </w:r>
      <w:r>
        <w:t xml:space="preserve"> section 104 as in effect immediately before the day on which the </w:t>
      </w:r>
      <w:r>
        <w:rPr>
          <w:i/>
        </w:rPr>
        <w:t>Water Services Legislation Amendment and Repeal Act 2012</w:t>
      </w:r>
      <w:r>
        <w:t xml:space="preserve"> section 20 comes into operation</w:t>
      </w:r>
      <w:r>
        <w:rPr>
          <w:vertAlign w:val="superscript"/>
        </w:rPr>
        <w:t> 3</w:t>
      </w:r>
      <w:r>
        <w:t xml:space="preserve"> becomes, on that day, a drainage area under this by</w:t>
      </w:r>
      <w:r>
        <w:noBreakHyphen/>
        <w:t>law, and may be amended or revoked under this by</w:t>
      </w:r>
      <w:r>
        <w:noBreakHyphen/>
        <w:t>law accordingly.</w:t>
      </w:r>
    </w:p>
    <w:p>
      <w:pPr>
        <w:pStyle w:val="Footnotesection"/>
      </w:pPr>
      <w:r>
        <w:tab/>
        <w:t>[By-law 30 inserted in Gazette 14 Nov 2013 p. 5088-90.]</w:t>
      </w:r>
    </w:p>
    <w:p>
      <w:pPr>
        <w:pStyle w:val="Heading2"/>
      </w:pPr>
      <w:bookmarkStart w:id="111" w:name="_Toc390772061"/>
      <w:bookmarkStart w:id="112" w:name="_Toc391906928"/>
      <w:bookmarkStart w:id="113" w:name="_Toc426119789"/>
      <w:r>
        <w:rPr>
          <w:rStyle w:val="CharPartNo"/>
        </w:rPr>
        <w:t>Part 5</w:t>
      </w:r>
      <w:r>
        <w:rPr>
          <w:rStyle w:val="CharDivNo"/>
        </w:rPr>
        <w:t> </w:t>
      </w:r>
      <w:r>
        <w:t>—</w:t>
      </w:r>
      <w:r>
        <w:rPr>
          <w:rStyle w:val="CharDivText"/>
        </w:rPr>
        <w:t> </w:t>
      </w:r>
      <w:r>
        <w:rPr>
          <w:rStyle w:val="CharPartText"/>
        </w:rPr>
        <w:t>Irrigation</w:t>
      </w:r>
      <w:bookmarkEnd w:id="111"/>
      <w:bookmarkEnd w:id="112"/>
      <w:bookmarkEnd w:id="113"/>
    </w:p>
    <w:p>
      <w:pPr>
        <w:pStyle w:val="Heading5"/>
      </w:pPr>
      <w:bookmarkStart w:id="114" w:name="_Toc391906929"/>
      <w:bookmarkStart w:id="115" w:name="_Toc426119790"/>
      <w:r>
        <w:rPr>
          <w:rStyle w:val="CharSectno"/>
        </w:rPr>
        <w:t>31</w:t>
      </w:r>
      <w:r>
        <w:t>.</w:t>
      </w:r>
      <w:r>
        <w:tab/>
        <w:t>Land subject to irrigation charges</w:t>
      </w:r>
      <w:bookmarkEnd w:id="114"/>
      <w:bookmarkEnd w:id="115"/>
    </w:p>
    <w:p>
      <w:pPr>
        <w:pStyle w:val="Subsection"/>
      </w:pPr>
      <w:r>
        <w:tab/>
        <w:t>(1)</w:t>
      </w:r>
      <w:r>
        <w:tab/>
        <w:t>Subject to by</w:t>
      </w:r>
      <w:r>
        <w:noBreakHyphen/>
        <w:t>law 32, the charges set out in Schedule 5 apply in respect of land that is supplied with water for the purpose of irrigation from irrigation works of the Corporation in the Ord Irrigation District.</w:t>
      </w:r>
    </w:p>
    <w:p>
      <w:pPr>
        <w:pStyle w:val="Subsection"/>
      </w:pPr>
      <w:r>
        <w:tab/>
        <w:t>(2)</w:t>
      </w:r>
      <w:r>
        <w:tab/>
        <w:t>For the purposes of this by</w:t>
      </w:r>
      <w:r>
        <w:noBreakHyphen/>
        <w:t xml:space="preserve">law — </w:t>
      </w:r>
    </w:p>
    <w:p>
      <w:pPr>
        <w:pStyle w:val="Indenta"/>
      </w:pPr>
      <w:r>
        <w:tab/>
        <w:t>(a)</w:t>
      </w:r>
      <w:r>
        <w:tab/>
        <w:t>the Ord River is to be taken to be irrigation works of the Corporation to the extent to which the river is used by the Corporation to, in effect, deliver water to persons who are to be supplied with water by the Corporation; and</w:t>
      </w:r>
    </w:p>
    <w:p>
      <w:pPr>
        <w:pStyle w:val="Indenta"/>
      </w:pPr>
      <w:r>
        <w:tab/>
        <w:t>(b)</w:t>
      </w:r>
      <w:r>
        <w:tab/>
        <w:t>the supply of water from irrigation works includes authorising a person to take water from the works.</w:t>
      </w:r>
    </w:p>
    <w:p>
      <w:pPr>
        <w:pStyle w:val="Footnotesection"/>
      </w:pPr>
      <w:r>
        <w:tab/>
        <w:t>[By-law 31 inserted in Gazette 14 Nov 2013 p. 5090.]</w:t>
      </w:r>
    </w:p>
    <w:p>
      <w:pPr>
        <w:pStyle w:val="Heading5"/>
        <w:rPr>
          <w:snapToGrid w:val="0"/>
        </w:rPr>
      </w:pPr>
      <w:bookmarkStart w:id="116" w:name="_Toc391906930"/>
      <w:bookmarkStart w:id="117" w:name="_Toc426119791"/>
      <w:r>
        <w:rPr>
          <w:rStyle w:val="CharSectno"/>
        </w:rPr>
        <w:t>32</w:t>
      </w:r>
      <w:r>
        <w:rPr>
          <w:snapToGrid w:val="0"/>
        </w:rPr>
        <w:t>.</w:t>
      </w:r>
      <w:r>
        <w:rPr>
          <w:snapToGrid w:val="0"/>
        </w:rPr>
        <w:tab/>
        <w:t>Exempt land</w:t>
      </w:r>
      <w:bookmarkEnd w:id="116"/>
      <w:bookmarkEnd w:id="117"/>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Ednotesection"/>
      </w:pPr>
      <w:r>
        <w:t>[</w:t>
      </w:r>
      <w:r>
        <w:rPr>
          <w:b/>
        </w:rPr>
        <w:t>33.</w:t>
      </w:r>
      <w:r>
        <w:tab/>
        <w:t>Deleted in Gazette 19 Jun 2013 p. 2352.]</w:t>
      </w:r>
    </w:p>
    <w:p>
      <w:pPr>
        <w:pStyle w:val="Ednotepart"/>
      </w:pPr>
      <w:r>
        <w:t>[Part 6 deleted in Gazette 29 Jun 1989 p. 1871.]</w:t>
      </w:r>
    </w:p>
    <w:p>
      <w:pPr>
        <w:rPr>
          <w:rStyle w:val="CharDivText"/>
        </w:r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18" w:name="_Toc390772064"/>
      <w:bookmarkStart w:id="119" w:name="_Toc391906931"/>
      <w:bookmarkStart w:id="120" w:name="_Toc426119792"/>
      <w:r>
        <w:rPr>
          <w:rStyle w:val="CharSchNo"/>
        </w:rPr>
        <w:t>Schedule 1</w:t>
      </w:r>
      <w:r>
        <w:t> — </w:t>
      </w:r>
      <w:r>
        <w:rPr>
          <w:rStyle w:val="CharSchText"/>
        </w:rPr>
        <w:t>Charges for water supply, other than from certain irrigation works, for 2013/2014</w:t>
      </w:r>
      <w:bookmarkEnd w:id="118"/>
      <w:bookmarkEnd w:id="119"/>
      <w:bookmarkEnd w:id="120"/>
    </w:p>
    <w:p>
      <w:pPr>
        <w:pStyle w:val="yShoulderClause"/>
      </w:pPr>
      <w:r>
        <w:rPr>
          <w:szCs w:val="22"/>
        </w:rPr>
        <w:t>[bl. 11 and 19A]</w:t>
      </w:r>
    </w:p>
    <w:p>
      <w:pPr>
        <w:pStyle w:val="yFootnoteheading"/>
        <w:spacing w:after="60"/>
      </w:pPr>
      <w:r>
        <w:tab/>
        <w:t>[Heading inserted in Gazette 20 Jun 2012 p. 2700; amended in Gazette 19 Jun 2013 p. 2352-3; 14 Nov 2013 p. 5091.]</w:t>
      </w:r>
    </w:p>
    <w:p>
      <w:pPr>
        <w:pStyle w:val="yHeading3"/>
      </w:pPr>
      <w:bookmarkStart w:id="121" w:name="_Toc390772065"/>
      <w:bookmarkStart w:id="122" w:name="_Toc391906932"/>
      <w:bookmarkStart w:id="123" w:name="_Toc426119793"/>
      <w:r>
        <w:rPr>
          <w:rStyle w:val="CharSDivNo"/>
        </w:rPr>
        <w:t>Division 1</w:t>
      </w:r>
      <w:r>
        <w:rPr>
          <w:b w:val="0"/>
        </w:rPr>
        <w:t> — </w:t>
      </w:r>
      <w:r>
        <w:rPr>
          <w:rStyle w:val="CharSDivText"/>
        </w:rPr>
        <w:t>Fixed charges</w:t>
      </w:r>
      <w:bookmarkEnd w:id="121"/>
      <w:bookmarkEnd w:id="122"/>
      <w:bookmarkEnd w:id="123"/>
    </w:p>
    <w:p>
      <w:pPr>
        <w:pStyle w:val="yFootnoteheading"/>
        <w:spacing w:after="120"/>
      </w:pPr>
      <w:r>
        <w:tab/>
        <w:t>[Heading inserted in Gazette 19 Jun 2013 p. 2353.]</w:t>
      </w:r>
    </w:p>
    <w:p>
      <w:pPr>
        <w:pStyle w:val="yHeading5"/>
      </w:pPr>
      <w:bookmarkStart w:id="124" w:name="_Toc391906933"/>
      <w:bookmarkStart w:id="125" w:name="_Toc426119794"/>
      <w:r>
        <w:rPr>
          <w:rStyle w:val="CharSClsNo"/>
        </w:rPr>
        <w:t>1</w:t>
      </w:r>
      <w:r>
        <w:t>.</w:t>
      </w:r>
      <w:r>
        <w:tab/>
        <w:t>Residential</w:t>
      </w:r>
      <w:bookmarkEnd w:id="124"/>
      <w:bookmarkEnd w:id="125"/>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tabs>
                <w:tab w:val="right" w:leader="dot" w:pos="4887"/>
              </w:tabs>
              <w:rPr>
                <w:rFonts w:ascii="Arial" w:hAnsi="Arial"/>
                <w:b/>
              </w:rPr>
            </w:pPr>
            <w:r>
              <w:t xml:space="preserve">In respect of each residential property, not being land mentioned in item 3, 4, 7, 8 or 9 </w:t>
            </w:r>
            <w:r>
              <w:tab/>
            </w:r>
          </w:p>
        </w:tc>
        <w:tc>
          <w:tcPr>
            <w:tcW w:w="1276" w:type="dxa"/>
            <w:vAlign w:val="bottom"/>
          </w:tcPr>
          <w:p>
            <w:pPr>
              <w:pStyle w:val="yTableNAm"/>
            </w:pPr>
            <w:r>
              <w:t>$205.71</w:t>
            </w:r>
          </w:p>
        </w:tc>
      </w:tr>
    </w:tbl>
    <w:p>
      <w:pPr>
        <w:pStyle w:val="yHeading5"/>
      </w:pPr>
      <w:bookmarkStart w:id="126" w:name="_Toc391906934"/>
      <w:bookmarkStart w:id="127" w:name="_Toc426119795"/>
      <w:r>
        <w:rPr>
          <w:rStyle w:val="CharSClsNo"/>
        </w:rPr>
        <w:t>2</w:t>
      </w:r>
      <w:r>
        <w:rPr>
          <w:bCs/>
        </w:rPr>
        <w:t>.</w:t>
      </w:r>
      <w:r>
        <w:tab/>
        <w:t>Metropolitan</w:t>
      </w:r>
      <w:r>
        <w:rPr>
          <w:bCs/>
        </w:rPr>
        <w:t xml:space="preserve"> residential garden supply</w:t>
      </w:r>
      <w:bookmarkEnd w:id="126"/>
      <w:bookmarkEnd w:id="127"/>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keepNext/>
              <w:keepLines/>
            </w:pPr>
          </w:p>
        </w:tc>
        <w:tc>
          <w:tcPr>
            <w:tcW w:w="5103" w:type="dxa"/>
          </w:tcPr>
          <w:p>
            <w:pPr>
              <w:pStyle w:val="yTableNAm"/>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(a)</w:t>
            </w:r>
            <w:r>
              <w:tab/>
              <w:t>if the area of land is less than 400 m</w:t>
            </w:r>
            <w:r>
              <w:rPr>
                <w:vertAlign w:val="superscript"/>
              </w:rPr>
              <w:t>2</w:t>
            </w:r>
            <w:r>
              <w:t xml:space="preserve">, in addition to any other charge applicable to the land under this Schedule, a charge of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ab/>
            </w:r>
          </w:p>
        </w:tc>
        <w:tc>
          <w:tcPr>
            <w:tcW w:w="1276" w:type="dxa"/>
            <w:vAlign w:val="bottom"/>
          </w:tcPr>
          <w:p>
            <w:pPr>
              <w:pStyle w:val="yTableNAm"/>
            </w:pPr>
            <w:r>
              <w:t>$75.48</w:t>
            </w: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(ii)</w:t>
            </w:r>
            <w:r>
              <w:tab/>
              <w:t>in the suburb of Baldivis</w:t>
            </w:r>
            <w:r>
              <w:tab/>
            </w:r>
          </w:p>
        </w:tc>
        <w:tc>
          <w:tcPr>
            <w:tcW w:w="1276" w:type="dxa"/>
            <w:vAlign w:val="bottom"/>
          </w:tcPr>
          <w:p>
            <w:pPr>
              <w:pStyle w:val="yTableNAm"/>
            </w:pPr>
            <w:r>
              <w:t>$121.69</w:t>
            </w: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939"/>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276" w:type="dxa"/>
            <w:vAlign w:val="bottom"/>
          </w:tcPr>
          <w:p>
            <w:pPr>
              <w:pStyle w:val="yTableNAm"/>
            </w:pPr>
            <w:r>
              <w:t>$150.96</w:t>
            </w: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939"/>
              </w:tabs>
              <w:ind w:left="1276" w:hanging="1276"/>
              <w:rPr>
                <w:rFonts w:ascii="Arial" w:hAnsi="Arial"/>
                <w:b/>
              </w:rPr>
            </w:pPr>
            <w:r>
              <w:tab/>
              <w:t>(ii)</w:t>
            </w:r>
            <w:r>
              <w:tab/>
              <w:t xml:space="preserve">in the suburb of Baldivis </w:t>
            </w:r>
            <w:r>
              <w:tab/>
            </w:r>
          </w:p>
        </w:tc>
        <w:tc>
          <w:tcPr>
            <w:tcW w:w="1276" w:type="dxa"/>
            <w:vAlign w:val="bottom"/>
          </w:tcPr>
          <w:p>
            <w:pPr>
              <w:pStyle w:val="yTableNAm"/>
            </w:pPr>
            <w:r>
              <w:t>$243.37</w:t>
            </w:r>
          </w:p>
        </w:tc>
      </w:tr>
    </w:tbl>
    <w:p>
      <w:pPr>
        <w:pStyle w:val="yHeading5"/>
      </w:pPr>
      <w:bookmarkStart w:id="128" w:name="_Toc391906935"/>
      <w:bookmarkStart w:id="129" w:name="_Toc426119796"/>
      <w:r>
        <w:rPr>
          <w:rStyle w:val="CharSClsNo"/>
        </w:rPr>
        <w:t>3</w:t>
      </w:r>
      <w:r>
        <w:rPr>
          <w:bCs/>
        </w:rPr>
        <w:t>.</w:t>
      </w:r>
      <w:r>
        <w:tab/>
      </w:r>
      <w:r>
        <w:rPr>
          <w:bCs/>
        </w:rPr>
        <w:t>Connected metropolitan exempt</w:t>
      </w:r>
      <w:bookmarkEnd w:id="128"/>
      <w:bookmarkEnd w:id="129"/>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keepNext/>
            </w:pPr>
          </w:p>
        </w:tc>
        <w:tc>
          <w:tcPr>
            <w:tcW w:w="5103" w:type="dxa"/>
          </w:tcPr>
          <w:p>
            <w:pPr>
              <w:pStyle w:val="yTableNAm"/>
              <w:keepNext/>
            </w:pPr>
            <w:r>
              <w:t xml:space="preserve">In respect of land </w:t>
            </w:r>
            <w:r>
              <w:rPr>
                <w:szCs w:val="22"/>
              </w:rPr>
              <w:t>that is in the metropolitan area and is</w:t>
            </w:r>
            <w:r>
              <w:t xml:space="preserve"> — </w:t>
            </w:r>
          </w:p>
        </w:tc>
        <w:tc>
          <w:tcPr>
            <w:tcW w:w="1276" w:type="dxa"/>
            <w:vAlign w:val="bottom"/>
          </w:tcPr>
          <w:p>
            <w:pPr>
              <w:pStyle w:val="yTableNAm"/>
              <w:keepNext/>
            </w:pP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(a)</w:t>
            </w:r>
            <w:r>
              <w:tab/>
              <w:t>described in by</w:t>
            </w:r>
            <w:r>
              <w:noBreakHyphen/>
              <w:t>law 4; or</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(b)</w:t>
            </w:r>
            <w:r>
              <w:tab/>
              <w:t>classified as aged home or charitable purposes,</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pPr>
            <w:r>
              <w:rPr>
                <w:szCs w:val="22"/>
              </w:rPr>
              <w:t xml:space="preserve">a charge for each connection, not being a connection the subject of a charge under item 15, determined by meter size minus the discount as set out in the following Table — </w:t>
            </w:r>
          </w:p>
        </w:tc>
        <w:tc>
          <w:tcPr>
            <w:tcW w:w="1276" w:type="dxa"/>
            <w:vAlign w:val="bottom"/>
          </w:tcPr>
          <w:p>
            <w:pPr>
              <w:pStyle w:val="yTableNAm"/>
            </w:pPr>
          </w:p>
        </w:tc>
      </w:tr>
    </w:tbl>
    <w:p>
      <w:pPr>
        <w:pStyle w:val="yTHeadingNAm"/>
      </w:pPr>
      <w:r>
        <w:t>Table of meter</w:t>
      </w:r>
      <w:r>
        <w:noBreakHyphen/>
        <w:t>based fixed charges</w:t>
      </w:r>
    </w:p>
    <w:tbl>
      <w:tblPr>
        <w:tblW w:w="4203" w:type="pct"/>
        <w:tblInd w:w="1004" w:type="dxa"/>
        <w:tblLook w:val="0000" w:firstRow="0" w:lastRow="0" w:firstColumn="0" w:lastColumn="0" w:noHBand="0" w:noVBand="0"/>
      </w:tblPr>
      <w:tblGrid>
        <w:gridCol w:w="2089"/>
        <w:gridCol w:w="2089"/>
        <w:gridCol w:w="1971"/>
      </w:tblGrid>
      <w:tr>
        <w:trPr>
          <w:cantSplit/>
          <w:tblHeader/>
        </w:trPr>
        <w:tc>
          <w:tcPr>
            <w:tcW w:w="1698" w:type="pct"/>
            <w:tcBorders>
              <w:top w:val="single" w:sz="4" w:space="0" w:color="auto"/>
              <w:bottom w:val="single" w:sz="4" w:space="0" w:color="auto"/>
            </w:tcBorders>
            <w:vAlign w:val="bottom"/>
          </w:tcPr>
          <w:p>
            <w:pPr>
              <w:pStyle w:val="yTableNAm"/>
              <w:jc w:val="center"/>
              <w:rPr>
                <w:rFonts w:ascii="Arial" w:hAnsi="Arial"/>
                <w:b/>
              </w:rPr>
            </w:pPr>
            <w:r>
              <w:rPr>
                <w:b/>
              </w:rPr>
              <w:t>Meter size</w:t>
            </w:r>
            <w:r>
              <w:rPr>
                <w:b/>
              </w:rPr>
              <w:br/>
              <w:t>mm</w:t>
            </w:r>
          </w:p>
        </w:tc>
        <w:tc>
          <w:tcPr>
            <w:tcW w:w="1699" w:type="pct"/>
            <w:tcBorders>
              <w:top w:val="single" w:sz="4" w:space="0" w:color="auto"/>
              <w:bottom w:val="single" w:sz="4" w:space="0" w:color="auto"/>
            </w:tcBorders>
            <w:vAlign w:val="bottom"/>
          </w:tcPr>
          <w:p>
            <w:pPr>
              <w:pStyle w:val="yTableNAm"/>
              <w:jc w:val="center"/>
            </w:pPr>
            <w:r>
              <w:rPr>
                <w:b/>
              </w:rPr>
              <w:t>Charge</w:t>
            </w:r>
            <w:r>
              <w:rPr>
                <w:b/>
              </w:rPr>
              <w:br/>
              <w:t>$</w:t>
            </w:r>
          </w:p>
        </w:tc>
        <w:tc>
          <w:tcPr>
            <w:tcW w:w="1603" w:type="pct"/>
            <w:tcBorders>
              <w:top w:val="single" w:sz="4" w:space="0" w:color="auto"/>
              <w:bottom w:val="single" w:sz="4" w:space="0" w:color="auto"/>
            </w:tcBorders>
            <w:vAlign w:val="bottom"/>
          </w:tcPr>
          <w:p>
            <w:pPr>
              <w:pStyle w:val="yTableNAm"/>
              <w:jc w:val="center"/>
            </w:pPr>
            <w:r>
              <w:rPr>
                <w:b/>
              </w:rPr>
              <w:t>Discount</w:t>
            </w:r>
            <w:r>
              <w:rPr>
                <w:b/>
              </w:rPr>
              <w:br/>
              <w:t>%</w:t>
            </w:r>
          </w:p>
        </w:tc>
      </w:tr>
      <w:tr>
        <w:trPr>
          <w:cantSplit/>
        </w:trPr>
        <w:tc>
          <w:tcPr>
            <w:tcW w:w="1698" w:type="pct"/>
            <w:vAlign w:val="bottom"/>
          </w:tcPr>
          <w:p>
            <w:pPr>
              <w:pStyle w:val="yTableNAm"/>
              <w:jc w:val="center"/>
            </w:pPr>
            <w:r>
              <w:t>20</w:t>
            </w:r>
          </w:p>
        </w:tc>
        <w:tc>
          <w:tcPr>
            <w:tcW w:w="1699" w:type="pct"/>
            <w:vAlign w:val="bottom"/>
          </w:tcPr>
          <w:p>
            <w:pPr>
              <w:pStyle w:val="yTableNAm"/>
              <w:jc w:val="center"/>
              <w:rPr>
                <w:rFonts w:ascii="Arial" w:hAnsi="Arial"/>
                <w:b/>
              </w:rPr>
            </w:pPr>
            <w:r>
              <w:t>205.71</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25</w:t>
            </w:r>
          </w:p>
        </w:tc>
        <w:tc>
          <w:tcPr>
            <w:tcW w:w="1699" w:type="pct"/>
            <w:vAlign w:val="bottom"/>
          </w:tcPr>
          <w:p>
            <w:pPr>
              <w:pStyle w:val="yTableNAm"/>
              <w:jc w:val="center"/>
              <w:rPr>
                <w:rFonts w:ascii="Arial" w:hAnsi="Arial"/>
                <w:b/>
              </w:rPr>
            </w:pPr>
            <w:r>
              <w:t>321.42</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30</w:t>
            </w:r>
          </w:p>
        </w:tc>
        <w:tc>
          <w:tcPr>
            <w:tcW w:w="1699" w:type="pct"/>
            <w:vAlign w:val="bottom"/>
          </w:tcPr>
          <w:p>
            <w:pPr>
              <w:pStyle w:val="yTableNAm"/>
              <w:jc w:val="center"/>
              <w:rPr>
                <w:rFonts w:ascii="Arial" w:hAnsi="Arial"/>
                <w:b/>
              </w:rPr>
            </w:pPr>
            <w:r>
              <w:t>462.82</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40</w:t>
            </w:r>
          </w:p>
        </w:tc>
        <w:tc>
          <w:tcPr>
            <w:tcW w:w="1699" w:type="pct"/>
            <w:vAlign w:val="bottom"/>
          </w:tcPr>
          <w:p>
            <w:pPr>
              <w:pStyle w:val="yTableNAm"/>
              <w:jc w:val="center"/>
              <w:rPr>
                <w:rFonts w:ascii="Arial" w:hAnsi="Arial"/>
                <w:b/>
              </w:rPr>
            </w:pPr>
            <w:r>
              <w:t>822.83</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50</w:t>
            </w:r>
          </w:p>
        </w:tc>
        <w:tc>
          <w:tcPr>
            <w:tcW w:w="1699" w:type="pct"/>
            <w:vAlign w:val="bottom"/>
          </w:tcPr>
          <w:p>
            <w:pPr>
              <w:pStyle w:val="yTableNAm"/>
              <w:jc w:val="center"/>
              <w:rPr>
                <w:rFonts w:ascii="Arial" w:hAnsi="Arial"/>
                <w:b/>
              </w:rPr>
            </w:pPr>
            <w:r>
              <w:t>1 285.67</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80</w:t>
            </w:r>
          </w:p>
        </w:tc>
        <w:tc>
          <w:tcPr>
            <w:tcW w:w="1699" w:type="pct"/>
            <w:vAlign w:val="bottom"/>
          </w:tcPr>
          <w:p>
            <w:pPr>
              <w:pStyle w:val="yTableNAm"/>
              <w:jc w:val="center"/>
              <w:rPr>
                <w:rFonts w:ascii="Arial" w:hAnsi="Arial"/>
                <w:b/>
              </w:rPr>
            </w:pPr>
            <w:r>
              <w:t>3 291.31</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100</w:t>
            </w:r>
          </w:p>
        </w:tc>
        <w:tc>
          <w:tcPr>
            <w:tcW w:w="1699" w:type="pct"/>
            <w:vAlign w:val="bottom"/>
          </w:tcPr>
          <w:p>
            <w:pPr>
              <w:pStyle w:val="yTableNAm"/>
              <w:jc w:val="center"/>
              <w:rPr>
                <w:rFonts w:ascii="Arial" w:hAnsi="Arial"/>
                <w:b/>
              </w:rPr>
            </w:pPr>
            <w:r>
              <w:t>5 142.67</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150</w:t>
            </w:r>
          </w:p>
        </w:tc>
        <w:tc>
          <w:tcPr>
            <w:tcW w:w="1699" w:type="pct"/>
            <w:vAlign w:val="bottom"/>
          </w:tcPr>
          <w:p>
            <w:pPr>
              <w:pStyle w:val="yTableNAm"/>
              <w:jc w:val="center"/>
              <w:rPr>
                <w:rFonts w:ascii="Arial" w:hAnsi="Arial"/>
                <w:b/>
              </w:rPr>
            </w:pPr>
            <w:r>
              <w:t>11 571.02</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200</w:t>
            </w:r>
          </w:p>
        </w:tc>
        <w:tc>
          <w:tcPr>
            <w:tcW w:w="1699" w:type="pct"/>
            <w:vAlign w:val="bottom"/>
          </w:tcPr>
          <w:p>
            <w:pPr>
              <w:pStyle w:val="yTableNAm"/>
              <w:jc w:val="center"/>
              <w:rPr>
                <w:rFonts w:ascii="Arial" w:hAnsi="Arial"/>
                <w:b/>
              </w:rPr>
            </w:pPr>
            <w:r>
              <w:t>20 570.70</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250</w:t>
            </w:r>
          </w:p>
        </w:tc>
        <w:tc>
          <w:tcPr>
            <w:tcW w:w="1699" w:type="pct"/>
            <w:vAlign w:val="bottom"/>
          </w:tcPr>
          <w:p>
            <w:pPr>
              <w:pStyle w:val="yTableNAm"/>
              <w:jc w:val="center"/>
              <w:rPr>
                <w:rFonts w:ascii="Arial" w:hAnsi="Arial"/>
                <w:b/>
              </w:rPr>
            </w:pPr>
            <w:r>
              <w:t>32 141.69</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300</w:t>
            </w:r>
          </w:p>
        </w:tc>
        <w:tc>
          <w:tcPr>
            <w:tcW w:w="1699" w:type="pct"/>
            <w:vAlign w:val="bottom"/>
          </w:tcPr>
          <w:p>
            <w:pPr>
              <w:pStyle w:val="yTableNAm"/>
              <w:jc w:val="center"/>
              <w:rPr>
                <w:rFonts w:ascii="Arial" w:hAnsi="Arial"/>
                <w:b/>
              </w:rPr>
            </w:pPr>
            <w:r>
              <w:t>46 284.07</w:t>
            </w:r>
          </w:p>
        </w:tc>
        <w:tc>
          <w:tcPr>
            <w:tcW w:w="1603" w:type="pct"/>
            <w:vAlign w:val="bottom"/>
          </w:tcPr>
          <w:p>
            <w:pPr>
              <w:pStyle w:val="yTableNAm"/>
              <w:jc w:val="center"/>
              <w:rPr>
                <w:rFonts w:ascii="Arial" w:hAnsi="Arial"/>
                <w:b/>
              </w:rPr>
            </w:pPr>
            <w:r>
              <w:t>100</w:t>
            </w:r>
          </w:p>
        </w:tc>
      </w:tr>
      <w:tr>
        <w:trPr>
          <w:cantSplit/>
        </w:trPr>
        <w:tc>
          <w:tcPr>
            <w:tcW w:w="1698" w:type="pct"/>
            <w:tcBorders>
              <w:bottom w:val="single" w:sz="4" w:space="0" w:color="auto"/>
            </w:tcBorders>
            <w:vAlign w:val="bottom"/>
          </w:tcPr>
          <w:p>
            <w:pPr>
              <w:pStyle w:val="yTableNAm"/>
              <w:jc w:val="center"/>
              <w:rPr>
                <w:rFonts w:ascii="Arial" w:hAnsi="Arial"/>
                <w:b/>
              </w:rPr>
            </w:pPr>
            <w:r>
              <w:t>350</w:t>
            </w:r>
          </w:p>
        </w:tc>
        <w:tc>
          <w:tcPr>
            <w:tcW w:w="1699" w:type="pct"/>
            <w:tcBorders>
              <w:bottom w:val="single" w:sz="4" w:space="0" w:color="auto"/>
            </w:tcBorders>
            <w:vAlign w:val="bottom"/>
          </w:tcPr>
          <w:p>
            <w:pPr>
              <w:pStyle w:val="yTableNAm"/>
              <w:jc w:val="center"/>
              <w:rPr>
                <w:rFonts w:ascii="Arial" w:hAnsi="Arial"/>
                <w:b/>
              </w:rPr>
            </w:pPr>
            <w:r>
              <w:t>62 997.77</w:t>
            </w:r>
          </w:p>
        </w:tc>
        <w:tc>
          <w:tcPr>
            <w:tcW w:w="1603" w:type="pct"/>
            <w:tcBorders>
              <w:bottom w:val="single" w:sz="4" w:space="0" w:color="auto"/>
            </w:tcBorders>
            <w:vAlign w:val="bottom"/>
          </w:tcPr>
          <w:p>
            <w:pPr>
              <w:pStyle w:val="yTableNAm"/>
              <w:jc w:val="center"/>
              <w:rPr>
                <w:rFonts w:ascii="Arial" w:hAnsi="Arial"/>
                <w:b/>
              </w:rPr>
            </w:pPr>
            <w:r>
              <w:t>100</w:t>
            </w:r>
          </w:p>
        </w:tc>
      </w:tr>
    </w:tbl>
    <w:p>
      <w:pPr>
        <w:pStyle w:val="yHeading5"/>
      </w:pPr>
      <w:bookmarkStart w:id="130" w:name="_Toc391906936"/>
      <w:bookmarkStart w:id="131" w:name="_Toc426119797"/>
      <w:r>
        <w:rPr>
          <w:rStyle w:val="CharSClsNo"/>
        </w:rPr>
        <w:t>4</w:t>
      </w:r>
      <w:r>
        <w:t>.</w:t>
      </w:r>
      <w:r>
        <w:tab/>
        <w:t>Strata</w:t>
      </w:r>
      <w:r>
        <w:noBreakHyphen/>
        <w:t>titled (or long</w:t>
      </w:r>
      <w:r>
        <w:noBreakHyphen/>
        <w:t>term residential) caravan bays</w:t>
      </w:r>
      <w:bookmarkEnd w:id="130"/>
      <w:bookmarkEnd w:id="131"/>
    </w:p>
    <w:tbl>
      <w:tblPr>
        <w:tblW w:w="4982" w:type="pct"/>
        <w:tblInd w:w="-34" w:type="dxa"/>
        <w:tblLook w:val="0000" w:firstRow="0" w:lastRow="0" w:firstColumn="0" w:lastColumn="0" w:noHBand="0" w:noVBand="0"/>
      </w:tblPr>
      <w:tblGrid>
        <w:gridCol w:w="908"/>
        <w:gridCol w:w="5107"/>
        <w:gridCol w:w="1274"/>
      </w:tblGrid>
      <w:tr>
        <w:trPr>
          <w:cantSplit/>
        </w:trPr>
        <w:tc>
          <w:tcPr>
            <w:tcW w:w="623" w:type="pct"/>
          </w:tcPr>
          <w:p>
            <w:pPr>
              <w:pStyle w:val="zyTableNAm"/>
              <w:widowControl w:val="0"/>
            </w:pPr>
          </w:p>
        </w:tc>
        <w:tc>
          <w:tcPr>
            <w:tcW w:w="3503" w:type="pct"/>
          </w:tcPr>
          <w:p>
            <w:pPr>
              <w:pStyle w:val="yTableNAm"/>
              <w:tabs>
                <w:tab w:val="right" w:leader="dot" w:pos="4889"/>
              </w:tabs>
              <w:rPr>
                <w:rFonts w:ascii="Arial" w:hAnsi="Arial"/>
                <w:b/>
              </w:rPr>
            </w:pPr>
            <w:r>
              <w:t xml:space="preserve">In respect of each caravan bay that is a residential property and a lot within the meaning of the </w:t>
            </w:r>
            <w:r>
              <w:rPr>
                <w:i/>
                <w:iCs/>
              </w:rPr>
              <w:t>Strata Titles Act 1985</w:t>
            </w:r>
            <w:r>
              <w:t>, or a caravan bay designated as a long</w:t>
            </w:r>
            <w:r>
              <w:noBreakHyphen/>
              <w:t xml:space="preserve">term residential caravan bay </w:t>
            </w:r>
            <w:r>
              <w:tab/>
            </w:r>
          </w:p>
        </w:tc>
        <w:tc>
          <w:tcPr>
            <w:tcW w:w="874" w:type="pct"/>
            <w:vAlign w:val="bottom"/>
          </w:tcPr>
          <w:p>
            <w:pPr>
              <w:pStyle w:val="yTableNAm"/>
            </w:pPr>
            <w:r>
              <w:t>$144.57</w:t>
            </w:r>
          </w:p>
        </w:tc>
      </w:tr>
    </w:tbl>
    <w:p>
      <w:pPr>
        <w:pStyle w:val="yHeading5"/>
      </w:pPr>
      <w:bookmarkStart w:id="132" w:name="_Toc391906937"/>
      <w:bookmarkStart w:id="133" w:name="_Toc426119798"/>
      <w:r>
        <w:rPr>
          <w:rStyle w:val="CharSClsNo"/>
        </w:rPr>
        <w:t>5</w:t>
      </w:r>
      <w:r>
        <w:rPr>
          <w:bCs/>
        </w:rPr>
        <w:t>.</w:t>
      </w:r>
      <w:r>
        <w:tab/>
        <w:t>Strata</w:t>
      </w:r>
      <w:r>
        <w:rPr>
          <w:bCs/>
        </w:rPr>
        <w:noBreakHyphen/>
        <w:t>titled storage unit and strata</w:t>
      </w:r>
      <w:r>
        <w:rPr>
          <w:bCs/>
        </w:rPr>
        <w:noBreakHyphen/>
        <w:t>titled parking bay</w:t>
      </w:r>
      <w:bookmarkEnd w:id="132"/>
      <w:bookmarkEnd w:id="133"/>
    </w:p>
    <w:tbl>
      <w:tblPr>
        <w:tblW w:w="4982" w:type="pct"/>
        <w:tblInd w:w="-34" w:type="dxa"/>
        <w:tblLook w:val="0000" w:firstRow="0" w:lastRow="0" w:firstColumn="0" w:lastColumn="0" w:noHBand="0" w:noVBand="0"/>
      </w:tblPr>
      <w:tblGrid>
        <w:gridCol w:w="908"/>
        <w:gridCol w:w="5107"/>
        <w:gridCol w:w="1274"/>
      </w:tblGrid>
      <w:tr>
        <w:trPr>
          <w:cantSplit/>
        </w:trPr>
        <w:tc>
          <w:tcPr>
            <w:tcW w:w="623" w:type="pct"/>
          </w:tcPr>
          <w:p>
            <w:pPr>
              <w:pStyle w:val="zyTableNAm"/>
              <w:keepNext/>
              <w:keepLines/>
              <w:widowControl w:val="0"/>
            </w:pPr>
          </w:p>
        </w:tc>
        <w:tc>
          <w:tcPr>
            <w:tcW w:w="3503" w:type="pct"/>
          </w:tcPr>
          <w:p>
            <w:pPr>
              <w:pStyle w:val="yTableNAm"/>
              <w:tabs>
                <w:tab w:val="right" w:leader="dot" w:pos="4889"/>
              </w:tabs>
              <w:rPr>
                <w:rFonts w:ascii="Arial" w:hAnsi="Arial"/>
                <w:b/>
              </w:rPr>
            </w:pPr>
            <w:r>
              <w:t xml:space="preserve">In respect of land comprised in a unit used for storage purposes or as a parking bay that is a lot within the meaning of the </w:t>
            </w:r>
            <w:r>
              <w:rPr>
                <w:i/>
                <w:iCs/>
              </w:rPr>
              <w:t>Strata Titles Act 1985</w:t>
            </w:r>
            <w:r>
              <w:t xml:space="preserve"> </w:t>
            </w:r>
            <w:r>
              <w:tab/>
            </w:r>
          </w:p>
        </w:tc>
        <w:tc>
          <w:tcPr>
            <w:tcW w:w="874" w:type="pct"/>
            <w:vAlign w:val="bottom"/>
          </w:tcPr>
          <w:p>
            <w:pPr>
              <w:pStyle w:val="yTableNAm"/>
            </w:pPr>
            <w:r>
              <w:t>$72.40</w:t>
            </w:r>
          </w:p>
        </w:tc>
      </w:tr>
    </w:tbl>
    <w:p>
      <w:pPr>
        <w:pStyle w:val="yHeading5"/>
      </w:pPr>
      <w:bookmarkStart w:id="134" w:name="_Toc391906938"/>
      <w:bookmarkStart w:id="135" w:name="_Toc426119799"/>
      <w:r>
        <w:rPr>
          <w:rStyle w:val="CharSClsNo"/>
        </w:rPr>
        <w:t>6</w:t>
      </w:r>
      <w:r>
        <w:t>.</w:t>
      </w:r>
      <w:r>
        <w:tab/>
        <w:t>Non</w:t>
      </w:r>
      <w:r>
        <w:noBreakHyphen/>
        <w:t>residential strata</w:t>
      </w:r>
      <w:r>
        <w:noBreakHyphen/>
        <w:t>titled units that share a service</w:t>
      </w:r>
      <w:bookmarkEnd w:id="134"/>
      <w:bookmarkEnd w:id="135"/>
    </w:p>
    <w:tbl>
      <w:tblPr>
        <w:tblW w:w="4982" w:type="pct"/>
        <w:tblInd w:w="-34" w:type="dxa"/>
        <w:tblLook w:val="0000" w:firstRow="0" w:lastRow="0" w:firstColumn="0" w:lastColumn="0" w:noHBand="0" w:noVBand="0"/>
      </w:tblPr>
      <w:tblGrid>
        <w:gridCol w:w="908"/>
        <w:gridCol w:w="5107"/>
        <w:gridCol w:w="1274"/>
      </w:tblGrid>
      <w:tr>
        <w:trPr>
          <w:cantSplit/>
        </w:trPr>
        <w:tc>
          <w:tcPr>
            <w:tcW w:w="623" w:type="pct"/>
          </w:tcPr>
          <w:p>
            <w:pPr>
              <w:pStyle w:val="zyTableNAm"/>
              <w:keepNext/>
            </w:pPr>
          </w:p>
        </w:tc>
        <w:tc>
          <w:tcPr>
            <w:tcW w:w="3503" w:type="pct"/>
          </w:tcPr>
          <w:p>
            <w:pPr>
              <w:pStyle w:val="yTableNAm"/>
            </w:pPr>
            <w:r>
              <w:t>In respect of land that —</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s>
              <w:ind w:left="730" w:hanging="730"/>
              <w:rPr>
                <w:rFonts w:ascii="Arial" w:hAnsi="Arial"/>
                <w:b/>
              </w:rPr>
            </w:pPr>
            <w:r>
              <w:tab/>
              <w:t>(a)</w:t>
            </w:r>
            <w:r>
              <w:tab/>
              <w:t>is not referred to in item 4 or 5; and</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s>
              <w:ind w:left="730" w:hanging="730"/>
              <w:rPr>
                <w:rFonts w:ascii="Arial" w:hAnsi="Arial"/>
                <w:b/>
              </w:rPr>
            </w:pPr>
            <w:r>
              <w:tab/>
              <w:t>(b)</w:t>
            </w:r>
            <w:r>
              <w:tab/>
              <w:t xml:space="preserve">comprises a unit that is a lot within the meaning of the </w:t>
            </w:r>
            <w:r>
              <w:rPr>
                <w:i/>
                <w:iCs/>
              </w:rPr>
              <w:t>Strata Titles Act 1985</w:t>
            </w:r>
            <w:r>
              <w:t>; and</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 w:val="left" w:leader="dot" w:pos="4889"/>
              </w:tabs>
              <w:ind w:left="730" w:hanging="730"/>
              <w:rPr>
                <w:rFonts w:ascii="Arial" w:hAnsi="Arial"/>
                <w:b/>
              </w:rPr>
            </w:pPr>
            <w:r>
              <w:tab/>
              <w:t>(c)</w:t>
            </w:r>
            <w:r>
              <w:tab/>
              <w:t xml:space="preserve">shares a service with another unit described in paragraph (b) </w:t>
            </w:r>
            <w:r>
              <w:tab/>
            </w:r>
          </w:p>
        </w:tc>
        <w:tc>
          <w:tcPr>
            <w:tcW w:w="874" w:type="pct"/>
            <w:vAlign w:val="bottom"/>
          </w:tcPr>
          <w:p>
            <w:pPr>
              <w:pStyle w:val="yTableNAm"/>
            </w:pPr>
            <w:r>
              <w:t>$205.71</w:t>
            </w:r>
          </w:p>
        </w:tc>
      </w:tr>
    </w:tbl>
    <w:p>
      <w:pPr>
        <w:pStyle w:val="yHeading5"/>
      </w:pPr>
      <w:bookmarkStart w:id="136" w:name="_Toc391906939"/>
      <w:bookmarkStart w:id="137" w:name="_Toc426119800"/>
      <w:r>
        <w:rPr>
          <w:rStyle w:val="CharSClsNo"/>
        </w:rPr>
        <w:t>7</w:t>
      </w:r>
      <w:r>
        <w:t>.</w:t>
      </w:r>
      <w:r>
        <w:tab/>
        <w:t>Community residential</w:t>
      </w:r>
      <w:bookmarkEnd w:id="136"/>
      <w:bookmarkEnd w:id="137"/>
    </w:p>
    <w:tbl>
      <w:tblPr>
        <w:tblW w:w="4982" w:type="pct"/>
        <w:tblInd w:w="-34" w:type="dxa"/>
        <w:tblLook w:val="0000" w:firstRow="0" w:lastRow="0" w:firstColumn="0" w:lastColumn="0" w:noHBand="0" w:noVBand="0"/>
      </w:tblPr>
      <w:tblGrid>
        <w:gridCol w:w="908"/>
        <w:gridCol w:w="5107"/>
        <w:gridCol w:w="1274"/>
      </w:tblGrid>
      <w:tr>
        <w:trPr>
          <w:cantSplit/>
        </w:trPr>
        <w:tc>
          <w:tcPr>
            <w:tcW w:w="623" w:type="pct"/>
          </w:tcPr>
          <w:p>
            <w:pPr>
              <w:pStyle w:val="zyTableNAm"/>
            </w:pPr>
          </w:p>
        </w:tc>
        <w:tc>
          <w:tcPr>
            <w:tcW w:w="3503" w:type="pct"/>
          </w:tcPr>
          <w:p>
            <w:pPr>
              <w:pStyle w:val="yTableNAm"/>
            </w:pPr>
            <w:r>
              <w:t>In respect of each discrete residential unit as determined under by</w:t>
            </w:r>
            <w:r>
              <w:noBreakHyphen/>
              <w:t>law 16 the charge payable in accordance with the following formula —</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pPr>
            <w:r>
              <w:rPr>
                <w:b/>
              </w:rPr>
              <w:t>A</w:t>
            </w:r>
            <w:r>
              <w:t xml:space="preserve"> </w:t>
            </w:r>
            <w:r>
              <w:sym w:font="Symbol" w:char="F02D"/>
            </w:r>
            <w:r>
              <w:t xml:space="preserve"> (</w:t>
            </w:r>
            <w:r>
              <w:rPr>
                <w:b/>
              </w:rPr>
              <w:t>A</w:t>
            </w:r>
            <w:r>
              <w:t xml:space="preserve"> </w:t>
            </w:r>
            <w:r>
              <w:sym w:font="Symbol" w:char="F0B4"/>
            </w:r>
            <w:r>
              <w:t xml:space="preserve"> </w:t>
            </w:r>
            <w:r>
              <w:rPr>
                <w:b/>
              </w:rPr>
              <w:t>B</w:t>
            </w:r>
            <w:r>
              <w:t>)</w:t>
            </w:r>
          </w:p>
          <w:p>
            <w:pPr>
              <w:pStyle w:val="yTableNAm"/>
            </w:pPr>
            <w:r>
              <w:t xml:space="preserve">where — </w:t>
            </w:r>
          </w:p>
          <w:p>
            <w:pPr>
              <w:pStyle w:val="yTableNAm"/>
              <w:tabs>
                <w:tab w:val="clear" w:pos="567"/>
                <w:tab w:val="left" w:pos="306"/>
                <w:tab w:val="left" w:pos="883"/>
              </w:tabs>
            </w:pPr>
            <w:r>
              <w:tab/>
            </w:r>
            <w:r>
              <w:rPr>
                <w:b/>
              </w:rPr>
              <w:t>A</w:t>
            </w:r>
            <w:r>
              <w:t xml:space="preserve"> =</w:t>
            </w:r>
            <w:r>
              <w:tab/>
              <w:t>$205.71;</w:t>
            </w:r>
          </w:p>
          <w:p>
            <w:pPr>
              <w:pStyle w:val="yTableNAm"/>
              <w:tabs>
                <w:tab w:val="clear" w:pos="567"/>
                <w:tab w:val="left" w:pos="306"/>
                <w:tab w:val="left" w:pos="883"/>
              </w:tabs>
            </w:pPr>
            <w:r>
              <w:tab/>
            </w:r>
            <w:r>
              <w:rPr>
                <w:b/>
              </w:rPr>
              <w:t>B</w:t>
            </w:r>
            <w:r>
              <w:t xml:space="preserve"> =</w:t>
            </w:r>
            <w:r>
              <w:tab/>
              <w:t>50%.</w:t>
            </w:r>
          </w:p>
        </w:tc>
        <w:tc>
          <w:tcPr>
            <w:tcW w:w="874" w:type="pct"/>
            <w:vAlign w:val="bottom"/>
          </w:tcPr>
          <w:p>
            <w:pPr>
              <w:pStyle w:val="yTableNAm"/>
            </w:pPr>
          </w:p>
        </w:tc>
      </w:tr>
    </w:tbl>
    <w:p>
      <w:pPr>
        <w:pStyle w:val="yHeading5"/>
      </w:pPr>
      <w:bookmarkStart w:id="138" w:name="_Toc391906940"/>
      <w:bookmarkStart w:id="139" w:name="_Toc426119801"/>
      <w:r>
        <w:rPr>
          <w:rStyle w:val="CharSClsNo"/>
        </w:rPr>
        <w:t>8</w:t>
      </w:r>
      <w:r>
        <w:t>.</w:t>
      </w:r>
      <w:r>
        <w:tab/>
        <w:t>Semi</w:t>
      </w:r>
      <w:r>
        <w:noBreakHyphen/>
        <w:t>rural residential</w:t>
      </w:r>
      <w:bookmarkEnd w:id="138"/>
      <w:bookmarkEnd w:id="139"/>
    </w:p>
    <w:tbl>
      <w:tblPr>
        <w:tblW w:w="4982" w:type="pct"/>
        <w:tblInd w:w="-34" w:type="dxa"/>
        <w:tblLook w:val="0000" w:firstRow="0" w:lastRow="0" w:firstColumn="0" w:lastColumn="0" w:noHBand="0" w:noVBand="0"/>
      </w:tblPr>
      <w:tblGrid>
        <w:gridCol w:w="908"/>
        <w:gridCol w:w="5107"/>
        <w:gridCol w:w="1274"/>
      </w:tblGrid>
      <w:tr>
        <w:trPr>
          <w:cantSplit/>
        </w:trPr>
        <w:tc>
          <w:tcPr>
            <w:tcW w:w="623" w:type="pct"/>
          </w:tcPr>
          <w:p>
            <w:pPr>
              <w:pStyle w:val="zyTableNAm"/>
            </w:pPr>
          </w:p>
        </w:tc>
        <w:tc>
          <w:tcPr>
            <w:tcW w:w="3503" w:type="pct"/>
          </w:tcPr>
          <w:p>
            <w:pPr>
              <w:pStyle w:val="yTableNAm"/>
              <w:tabs>
                <w:tab w:val="right" w:leader="dot" w:pos="4889"/>
              </w:tabs>
              <w:rPr>
                <w:rFonts w:ascii="Arial" w:hAnsi="Arial"/>
                <w:b/>
              </w:rPr>
            </w:pPr>
            <w:r>
              <w:t>In respect of each semi</w:t>
            </w:r>
            <w:r>
              <w:noBreakHyphen/>
              <w:t xml:space="preserve">rural residential property not being land mentioned in item 3 </w:t>
            </w:r>
            <w:r>
              <w:tab/>
            </w:r>
          </w:p>
        </w:tc>
        <w:tc>
          <w:tcPr>
            <w:tcW w:w="874" w:type="pct"/>
            <w:vAlign w:val="bottom"/>
          </w:tcPr>
          <w:p>
            <w:pPr>
              <w:pStyle w:val="yTableNAm"/>
            </w:pPr>
            <w:r>
              <w:t>$205.71</w:t>
            </w:r>
          </w:p>
        </w:tc>
      </w:tr>
    </w:tbl>
    <w:p>
      <w:pPr>
        <w:pStyle w:val="yHeading5"/>
      </w:pPr>
      <w:bookmarkStart w:id="140" w:name="_Toc391906941"/>
      <w:bookmarkStart w:id="141" w:name="_Toc426119802"/>
      <w:r>
        <w:rPr>
          <w:rStyle w:val="CharSClsNo"/>
        </w:rPr>
        <w:t>9</w:t>
      </w:r>
      <w:r>
        <w:t>.</w:t>
      </w:r>
      <w:r>
        <w:tab/>
        <w:t>Connected non</w:t>
      </w:r>
      <w:r>
        <w:noBreakHyphen/>
        <w:t>metropolitan exempt</w:t>
      </w:r>
      <w:bookmarkEnd w:id="140"/>
      <w:bookmarkEnd w:id="141"/>
    </w:p>
    <w:tbl>
      <w:tblPr>
        <w:tblW w:w="4982" w:type="pct"/>
        <w:tblInd w:w="-34" w:type="dxa"/>
        <w:tblLook w:val="0000" w:firstRow="0" w:lastRow="0" w:firstColumn="0" w:lastColumn="0" w:noHBand="0" w:noVBand="0"/>
      </w:tblPr>
      <w:tblGrid>
        <w:gridCol w:w="908"/>
        <w:gridCol w:w="5107"/>
        <w:gridCol w:w="1274"/>
      </w:tblGrid>
      <w:tr>
        <w:trPr>
          <w:cantSplit/>
        </w:trPr>
        <w:tc>
          <w:tcPr>
            <w:tcW w:w="623" w:type="pct"/>
          </w:tcPr>
          <w:p>
            <w:pPr>
              <w:pStyle w:val="zyTableNAm"/>
              <w:keepNext/>
              <w:keepLines/>
              <w:widowControl w:val="0"/>
            </w:pPr>
          </w:p>
        </w:tc>
        <w:tc>
          <w:tcPr>
            <w:tcW w:w="3503" w:type="pct"/>
          </w:tcPr>
          <w:p>
            <w:pPr>
              <w:pStyle w:val="yTableNAm"/>
            </w:pPr>
            <w:r>
              <w:t xml:space="preserve">In respect of land — </w:t>
            </w:r>
          </w:p>
        </w:tc>
        <w:tc>
          <w:tcPr>
            <w:tcW w:w="874" w:type="pct"/>
            <w:vAlign w:val="bottom"/>
          </w:tcPr>
          <w:p>
            <w:pPr>
              <w:pStyle w:val="yTableNAm"/>
            </w:pPr>
          </w:p>
        </w:tc>
      </w:tr>
      <w:tr>
        <w:trPr>
          <w:cantSplit/>
        </w:trPr>
        <w:tc>
          <w:tcPr>
            <w:tcW w:w="623" w:type="pct"/>
          </w:tcPr>
          <w:p>
            <w:pPr>
              <w:pStyle w:val="zyTableNAm"/>
              <w:widowControl w:val="0"/>
            </w:pPr>
          </w:p>
        </w:tc>
        <w:tc>
          <w:tcPr>
            <w:tcW w:w="3503" w:type="pct"/>
          </w:tcPr>
          <w:p>
            <w:pPr>
              <w:pStyle w:val="yTableNAm"/>
              <w:tabs>
                <w:tab w:val="clear" w:pos="567"/>
                <w:tab w:val="left" w:pos="268"/>
                <w:tab w:val="left" w:pos="715"/>
              </w:tabs>
              <w:ind w:left="730" w:hanging="730"/>
              <w:rPr>
                <w:rFonts w:ascii="Arial" w:hAnsi="Arial"/>
                <w:b/>
              </w:rPr>
            </w:pPr>
            <w:r>
              <w:tab/>
              <w:t>(a)</w:t>
            </w:r>
            <w:r>
              <w:tab/>
              <w:t>described in by</w:t>
            </w:r>
            <w:r>
              <w:noBreakHyphen/>
              <w:t>law 4 that is comprised in a residential property and is not in the metropolitan area; and</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s>
              <w:ind w:left="730" w:hanging="730"/>
              <w:rPr>
                <w:rFonts w:ascii="Arial" w:hAnsi="Arial"/>
                <w:b/>
              </w:rPr>
            </w:pPr>
            <w:r>
              <w:tab/>
              <w:t>(b)</w:t>
            </w:r>
            <w:r>
              <w:tab/>
              <w:t>classified as local government, charitable purposes or institutional public that is neither in the metropolitan area or comprised in a residential property,</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pPr>
            <w:r>
              <w:rPr>
                <w:szCs w:val="22"/>
              </w:rPr>
              <w:t>a charge, not being a connection the subject of a charge under item 15, determined by meter size minus the discount as set out in the following Table —</w:t>
            </w:r>
          </w:p>
        </w:tc>
        <w:tc>
          <w:tcPr>
            <w:tcW w:w="874" w:type="pct"/>
            <w:vAlign w:val="bottom"/>
          </w:tcPr>
          <w:p>
            <w:pPr>
              <w:pStyle w:val="yTableNAm"/>
            </w:pPr>
          </w:p>
        </w:tc>
      </w:tr>
    </w:tbl>
    <w:p>
      <w:pPr>
        <w:pStyle w:val="yTHeadingNAm"/>
        <w:ind w:left="1276"/>
      </w:pPr>
      <w:r>
        <w:t>Table of meter</w:t>
      </w:r>
      <w:r>
        <w:noBreakHyphen/>
        <w:t>based fixed charges</w:t>
      </w:r>
    </w:p>
    <w:tbl>
      <w:tblPr>
        <w:tblW w:w="4278" w:type="pct"/>
        <w:tblInd w:w="959" w:type="dxa"/>
        <w:tblLook w:val="0000" w:firstRow="0" w:lastRow="0" w:firstColumn="0" w:lastColumn="0" w:noHBand="0" w:noVBand="0"/>
      </w:tblPr>
      <w:tblGrid>
        <w:gridCol w:w="1860"/>
        <w:gridCol w:w="2089"/>
        <w:gridCol w:w="2310"/>
      </w:tblGrid>
      <w:tr>
        <w:trPr>
          <w:cantSplit/>
          <w:tblHeader/>
        </w:trPr>
        <w:tc>
          <w:tcPr>
            <w:tcW w:w="1486" w:type="pct"/>
            <w:tcBorders>
              <w:top w:val="single" w:sz="4" w:space="0" w:color="auto"/>
              <w:bottom w:val="single" w:sz="4" w:space="0" w:color="auto"/>
            </w:tcBorders>
          </w:tcPr>
          <w:p>
            <w:pPr>
              <w:pStyle w:val="yTableNAm"/>
              <w:jc w:val="center"/>
              <w:rPr>
                <w:rFonts w:ascii="Arial" w:hAnsi="Arial"/>
                <w:b/>
              </w:rPr>
            </w:pPr>
            <w:r>
              <w:rPr>
                <w:b/>
                <w:bCs/>
              </w:rPr>
              <w:t>Meter size</w:t>
            </w:r>
            <w:r>
              <w:rPr>
                <w:b/>
                <w:bCs/>
              </w:rPr>
              <w:br/>
              <w:t>mm</w:t>
            </w:r>
          </w:p>
        </w:tc>
        <w:tc>
          <w:tcPr>
            <w:tcW w:w="1669" w:type="pct"/>
            <w:tcBorders>
              <w:top w:val="single" w:sz="4" w:space="0" w:color="auto"/>
              <w:bottom w:val="single" w:sz="4" w:space="0" w:color="auto"/>
            </w:tcBorders>
          </w:tcPr>
          <w:p>
            <w:pPr>
              <w:pStyle w:val="yTableNAm"/>
              <w:jc w:val="center"/>
            </w:pPr>
            <w:r>
              <w:rPr>
                <w:b/>
                <w:bCs/>
              </w:rPr>
              <w:t>Charge</w:t>
            </w:r>
            <w:r>
              <w:rPr>
                <w:b/>
                <w:bCs/>
              </w:rPr>
              <w:br/>
              <w:t>$</w:t>
            </w:r>
          </w:p>
        </w:tc>
        <w:tc>
          <w:tcPr>
            <w:tcW w:w="1845" w:type="pct"/>
            <w:tcBorders>
              <w:top w:val="single" w:sz="4" w:space="0" w:color="auto"/>
              <w:bottom w:val="single" w:sz="4" w:space="0" w:color="auto"/>
            </w:tcBorders>
          </w:tcPr>
          <w:p>
            <w:pPr>
              <w:pStyle w:val="yTableNAm"/>
              <w:jc w:val="center"/>
            </w:pPr>
            <w:r>
              <w:rPr>
                <w:b/>
                <w:bCs/>
              </w:rPr>
              <w:t>Discount</w:t>
            </w:r>
            <w:r>
              <w:rPr>
                <w:b/>
                <w:bCs/>
              </w:rPr>
              <w:br/>
              <w:t>%</w:t>
            </w:r>
          </w:p>
        </w:tc>
      </w:tr>
      <w:tr>
        <w:trPr>
          <w:cantSplit/>
        </w:trPr>
        <w:tc>
          <w:tcPr>
            <w:tcW w:w="1486" w:type="pct"/>
          </w:tcPr>
          <w:p>
            <w:pPr>
              <w:pStyle w:val="yTableNAm"/>
              <w:jc w:val="center"/>
            </w:pPr>
            <w:r>
              <w:t>20</w:t>
            </w:r>
          </w:p>
        </w:tc>
        <w:tc>
          <w:tcPr>
            <w:tcW w:w="1669" w:type="pct"/>
            <w:vAlign w:val="bottom"/>
          </w:tcPr>
          <w:p>
            <w:pPr>
              <w:pStyle w:val="yTableNAm"/>
              <w:jc w:val="center"/>
              <w:rPr>
                <w:rFonts w:ascii="Arial" w:hAnsi="Arial"/>
                <w:b/>
              </w:rPr>
            </w:pPr>
            <w:r>
              <w:t>205.71</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25</w:t>
            </w:r>
          </w:p>
        </w:tc>
        <w:tc>
          <w:tcPr>
            <w:tcW w:w="1669" w:type="pct"/>
            <w:vAlign w:val="bottom"/>
          </w:tcPr>
          <w:p>
            <w:pPr>
              <w:pStyle w:val="yTableNAm"/>
              <w:jc w:val="center"/>
              <w:rPr>
                <w:rFonts w:ascii="Arial" w:hAnsi="Arial"/>
                <w:b/>
              </w:rPr>
            </w:pPr>
            <w:r>
              <w:t>321.42</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30</w:t>
            </w:r>
          </w:p>
        </w:tc>
        <w:tc>
          <w:tcPr>
            <w:tcW w:w="1669" w:type="pct"/>
            <w:vAlign w:val="bottom"/>
          </w:tcPr>
          <w:p>
            <w:pPr>
              <w:pStyle w:val="yTableNAm"/>
              <w:jc w:val="center"/>
              <w:rPr>
                <w:rFonts w:ascii="Arial" w:hAnsi="Arial"/>
                <w:b/>
              </w:rPr>
            </w:pPr>
            <w:r>
              <w:t>462.82</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40</w:t>
            </w:r>
          </w:p>
        </w:tc>
        <w:tc>
          <w:tcPr>
            <w:tcW w:w="1669" w:type="pct"/>
            <w:vAlign w:val="bottom"/>
          </w:tcPr>
          <w:p>
            <w:pPr>
              <w:pStyle w:val="yTableNAm"/>
              <w:jc w:val="center"/>
              <w:rPr>
                <w:rFonts w:ascii="Arial" w:hAnsi="Arial"/>
                <w:b/>
              </w:rPr>
            </w:pPr>
            <w:r>
              <w:t>822.83</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50</w:t>
            </w:r>
          </w:p>
        </w:tc>
        <w:tc>
          <w:tcPr>
            <w:tcW w:w="1669" w:type="pct"/>
            <w:vAlign w:val="bottom"/>
          </w:tcPr>
          <w:p>
            <w:pPr>
              <w:pStyle w:val="yTableNAm"/>
              <w:jc w:val="center"/>
              <w:rPr>
                <w:rFonts w:ascii="Arial" w:hAnsi="Arial"/>
                <w:b/>
              </w:rPr>
            </w:pPr>
            <w:r>
              <w:t>1 285.67</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80</w:t>
            </w:r>
          </w:p>
        </w:tc>
        <w:tc>
          <w:tcPr>
            <w:tcW w:w="1669" w:type="pct"/>
            <w:vAlign w:val="bottom"/>
          </w:tcPr>
          <w:p>
            <w:pPr>
              <w:pStyle w:val="yTableNAm"/>
              <w:jc w:val="center"/>
              <w:rPr>
                <w:rFonts w:ascii="Arial" w:hAnsi="Arial"/>
                <w:b/>
              </w:rPr>
            </w:pPr>
            <w:r>
              <w:t>3 291.31</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100</w:t>
            </w:r>
          </w:p>
        </w:tc>
        <w:tc>
          <w:tcPr>
            <w:tcW w:w="1669" w:type="pct"/>
            <w:vAlign w:val="bottom"/>
          </w:tcPr>
          <w:p>
            <w:pPr>
              <w:pStyle w:val="yTableNAm"/>
              <w:jc w:val="center"/>
              <w:rPr>
                <w:rFonts w:ascii="Arial" w:hAnsi="Arial"/>
                <w:b/>
              </w:rPr>
            </w:pPr>
            <w:r>
              <w:t>5 142.67</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150</w:t>
            </w:r>
          </w:p>
        </w:tc>
        <w:tc>
          <w:tcPr>
            <w:tcW w:w="1669" w:type="pct"/>
            <w:vAlign w:val="bottom"/>
          </w:tcPr>
          <w:p>
            <w:pPr>
              <w:pStyle w:val="yTableNAm"/>
              <w:jc w:val="center"/>
              <w:rPr>
                <w:rFonts w:ascii="Arial" w:hAnsi="Arial"/>
                <w:b/>
              </w:rPr>
            </w:pPr>
            <w:r>
              <w:t>11 571.02</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200</w:t>
            </w:r>
          </w:p>
        </w:tc>
        <w:tc>
          <w:tcPr>
            <w:tcW w:w="1669" w:type="pct"/>
            <w:vAlign w:val="bottom"/>
          </w:tcPr>
          <w:p>
            <w:pPr>
              <w:pStyle w:val="yTableNAm"/>
              <w:jc w:val="center"/>
              <w:rPr>
                <w:rFonts w:ascii="Arial" w:hAnsi="Arial"/>
                <w:b/>
              </w:rPr>
            </w:pPr>
            <w:r>
              <w:t>20 570.70</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250</w:t>
            </w:r>
          </w:p>
        </w:tc>
        <w:tc>
          <w:tcPr>
            <w:tcW w:w="1669" w:type="pct"/>
            <w:vAlign w:val="bottom"/>
          </w:tcPr>
          <w:p>
            <w:pPr>
              <w:pStyle w:val="yTableNAm"/>
              <w:jc w:val="center"/>
              <w:rPr>
                <w:rFonts w:ascii="Arial" w:hAnsi="Arial"/>
                <w:b/>
              </w:rPr>
            </w:pPr>
            <w:r>
              <w:t>32 141.69</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300</w:t>
            </w:r>
          </w:p>
        </w:tc>
        <w:tc>
          <w:tcPr>
            <w:tcW w:w="1669" w:type="pct"/>
            <w:vAlign w:val="bottom"/>
          </w:tcPr>
          <w:p>
            <w:pPr>
              <w:pStyle w:val="yTableNAm"/>
              <w:jc w:val="center"/>
              <w:rPr>
                <w:rFonts w:ascii="Arial" w:hAnsi="Arial"/>
                <w:b/>
              </w:rPr>
            </w:pPr>
            <w:r>
              <w:t>46 284.07</w:t>
            </w:r>
          </w:p>
        </w:tc>
        <w:tc>
          <w:tcPr>
            <w:tcW w:w="1845" w:type="pct"/>
          </w:tcPr>
          <w:p>
            <w:pPr>
              <w:pStyle w:val="yTableNAm"/>
              <w:jc w:val="center"/>
              <w:rPr>
                <w:rFonts w:ascii="Arial" w:hAnsi="Arial"/>
                <w:b/>
              </w:rPr>
            </w:pPr>
            <w:r>
              <w:t>100</w:t>
            </w:r>
          </w:p>
        </w:tc>
      </w:tr>
      <w:tr>
        <w:trPr>
          <w:cantSplit/>
        </w:trPr>
        <w:tc>
          <w:tcPr>
            <w:tcW w:w="1486" w:type="pct"/>
            <w:tcBorders>
              <w:bottom w:val="single" w:sz="4" w:space="0" w:color="auto"/>
            </w:tcBorders>
          </w:tcPr>
          <w:p>
            <w:pPr>
              <w:pStyle w:val="yTableNAm"/>
              <w:jc w:val="center"/>
              <w:rPr>
                <w:rFonts w:ascii="Arial" w:hAnsi="Arial"/>
                <w:b/>
              </w:rPr>
            </w:pPr>
            <w:r>
              <w:t>350</w:t>
            </w:r>
          </w:p>
        </w:tc>
        <w:tc>
          <w:tcPr>
            <w:tcW w:w="1669" w:type="pct"/>
            <w:tcBorders>
              <w:bottom w:val="single" w:sz="4" w:space="0" w:color="auto"/>
            </w:tcBorders>
            <w:vAlign w:val="bottom"/>
          </w:tcPr>
          <w:p>
            <w:pPr>
              <w:pStyle w:val="yTableNAm"/>
              <w:jc w:val="center"/>
              <w:rPr>
                <w:rFonts w:ascii="Arial" w:hAnsi="Arial"/>
                <w:b/>
              </w:rPr>
            </w:pPr>
            <w:r>
              <w:t>62 997.77</w:t>
            </w:r>
          </w:p>
        </w:tc>
        <w:tc>
          <w:tcPr>
            <w:tcW w:w="1845" w:type="pct"/>
            <w:tcBorders>
              <w:bottom w:val="single" w:sz="4" w:space="0" w:color="auto"/>
            </w:tcBorders>
          </w:tcPr>
          <w:p>
            <w:pPr>
              <w:pStyle w:val="yTableNAm"/>
              <w:jc w:val="center"/>
              <w:rPr>
                <w:rFonts w:ascii="Arial" w:hAnsi="Arial"/>
                <w:b/>
              </w:rPr>
            </w:pPr>
            <w:r>
              <w:t>100</w:t>
            </w:r>
          </w:p>
        </w:tc>
      </w:tr>
    </w:tbl>
    <w:p>
      <w:pPr>
        <w:pStyle w:val="yHeading5"/>
      </w:pPr>
      <w:bookmarkStart w:id="142" w:name="_Toc391906942"/>
      <w:bookmarkStart w:id="143" w:name="_Toc426119803"/>
      <w:r>
        <w:rPr>
          <w:rStyle w:val="CharSClsNo"/>
        </w:rPr>
        <w:t>10</w:t>
      </w:r>
      <w:r>
        <w:t>.</w:t>
      </w:r>
      <w:r>
        <w:tab/>
        <w:t>Non</w:t>
      </w:r>
      <w:r>
        <w:noBreakHyphen/>
        <w:t>metropolitan non</w:t>
      </w:r>
      <w:r>
        <w:noBreakHyphen/>
        <w:t>residential or commercial residential</w:t>
      </w:r>
      <w:bookmarkEnd w:id="142"/>
      <w:bookmarkEnd w:id="143"/>
    </w:p>
    <w:tbl>
      <w:tblPr>
        <w:tblW w:w="4982" w:type="pct"/>
        <w:tblInd w:w="-34" w:type="dxa"/>
        <w:tblLook w:val="0000" w:firstRow="0" w:lastRow="0" w:firstColumn="0" w:lastColumn="0" w:noHBand="0" w:noVBand="0"/>
      </w:tblPr>
      <w:tblGrid>
        <w:gridCol w:w="908"/>
        <w:gridCol w:w="5107"/>
        <w:gridCol w:w="1274"/>
      </w:tblGrid>
      <w:tr>
        <w:trPr>
          <w:cantSplit/>
        </w:trPr>
        <w:tc>
          <w:tcPr>
            <w:tcW w:w="623" w:type="pct"/>
          </w:tcPr>
          <w:p>
            <w:pPr>
              <w:pStyle w:val="zyTableNAm"/>
            </w:pPr>
          </w:p>
        </w:tc>
        <w:tc>
          <w:tcPr>
            <w:tcW w:w="3503" w:type="pct"/>
          </w:tcPr>
          <w:p>
            <w:pPr>
              <w:pStyle w:val="yTableNAm"/>
            </w:pPr>
            <w:r>
              <w:t>In respect of land that is neither in the metropolitan area nor comprised in a residential property, where the land —</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s>
              <w:ind w:left="730" w:hanging="730"/>
              <w:rPr>
                <w:rFonts w:ascii="Arial" w:hAnsi="Arial"/>
                <w:b/>
              </w:rPr>
            </w:pPr>
            <w:r>
              <w:tab/>
              <w:t>(a)</w:t>
            </w:r>
            <w:r>
              <w:tab/>
              <w:t>is classified as non</w:t>
            </w:r>
            <w:r>
              <w:noBreakHyphen/>
              <w:t xml:space="preserve">residential or commercial residential; and </w:t>
            </w:r>
          </w:p>
        </w:tc>
        <w:tc>
          <w:tcPr>
            <w:tcW w:w="874" w:type="pct"/>
            <w:vAlign w:val="bottom"/>
          </w:tcPr>
          <w:p>
            <w:pPr>
              <w:pStyle w:val="yTableNAm"/>
            </w:pPr>
          </w:p>
        </w:tc>
      </w:tr>
      <w:tr>
        <w:trPr>
          <w:cantSplit/>
        </w:trPr>
        <w:tc>
          <w:tcPr>
            <w:tcW w:w="623" w:type="pct"/>
          </w:tcPr>
          <w:p>
            <w:pPr>
              <w:pStyle w:val="zyTableNAm"/>
              <w:keepNext/>
            </w:pPr>
          </w:p>
        </w:tc>
        <w:tc>
          <w:tcPr>
            <w:tcW w:w="3503" w:type="pct"/>
          </w:tcPr>
          <w:p>
            <w:pPr>
              <w:pStyle w:val="yTableNAm"/>
              <w:keepNext/>
              <w:tabs>
                <w:tab w:val="clear" w:pos="567"/>
                <w:tab w:val="left" w:pos="268"/>
                <w:tab w:val="left" w:pos="715"/>
              </w:tabs>
              <w:ind w:left="730" w:hanging="730"/>
              <w:rPr>
                <w:rFonts w:ascii="Arial" w:hAnsi="Arial"/>
                <w:b/>
              </w:rPr>
            </w:pPr>
            <w:r>
              <w:tab/>
              <w:t>(b)</w:t>
            </w:r>
            <w:r>
              <w:tab/>
              <w:t>is not mentioned in item 5 or 6,</w:t>
            </w:r>
          </w:p>
        </w:tc>
        <w:tc>
          <w:tcPr>
            <w:tcW w:w="874" w:type="pct"/>
            <w:vAlign w:val="bottom"/>
          </w:tcPr>
          <w:p>
            <w:pPr>
              <w:pStyle w:val="yTableNAm"/>
              <w:keepNext/>
            </w:pPr>
          </w:p>
        </w:tc>
      </w:tr>
      <w:tr>
        <w:trPr>
          <w:cantSplit/>
        </w:trPr>
        <w:tc>
          <w:tcPr>
            <w:tcW w:w="623" w:type="pct"/>
          </w:tcPr>
          <w:p>
            <w:pPr>
              <w:pStyle w:val="zyTableNAm"/>
            </w:pPr>
          </w:p>
        </w:tc>
        <w:tc>
          <w:tcPr>
            <w:tcW w:w="3503" w:type="pct"/>
          </w:tcPr>
          <w:p>
            <w:pPr>
              <w:pStyle w:val="yTableNAm"/>
            </w:pPr>
            <w:r>
              <w:t>a charge payable for the relevant meter size as set out in the following Table —</w:t>
            </w:r>
          </w:p>
        </w:tc>
        <w:tc>
          <w:tcPr>
            <w:tcW w:w="874" w:type="pct"/>
            <w:vAlign w:val="bottom"/>
          </w:tcPr>
          <w:p>
            <w:pPr>
              <w:pStyle w:val="yTableNAm"/>
            </w:pPr>
          </w:p>
        </w:tc>
      </w:tr>
    </w:tbl>
    <w:p>
      <w:pPr>
        <w:pStyle w:val="yTHeadingNAm"/>
        <w:ind w:left="851"/>
      </w:pPr>
      <w:r>
        <w:t>Table of meter</w:t>
      </w:r>
      <w:r>
        <w:noBreakHyphen/>
        <w:t>based fixed charges</w:t>
      </w:r>
    </w:p>
    <w:tbl>
      <w:tblPr>
        <w:tblW w:w="6271"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cantSplit/>
          <w:tblHeader/>
        </w:trPr>
        <w:tc>
          <w:tcPr>
            <w:tcW w:w="3187" w:type="dxa"/>
            <w:tcBorders>
              <w:top w:val="single" w:sz="4" w:space="0" w:color="auto"/>
              <w:left w:val="nil"/>
              <w:bottom w:val="single" w:sz="4" w:space="0" w:color="auto"/>
              <w:right w:val="nil"/>
            </w:tcBorders>
          </w:tcPr>
          <w:p>
            <w:pPr>
              <w:pStyle w:val="yTableNAm"/>
              <w:jc w:val="center"/>
              <w:rPr>
                <w:rFonts w:ascii="Arial" w:hAnsi="Arial"/>
                <w:b/>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trPr>
        <w:tc>
          <w:tcPr>
            <w:tcW w:w="3187"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rPr>
                <w:rFonts w:ascii="Arial" w:hAnsi="Arial"/>
                <w:b/>
              </w:rPr>
            </w:pPr>
            <w:r>
              <w:t>205.71</w:t>
            </w:r>
          </w:p>
        </w:tc>
      </w:tr>
      <w:tr>
        <w:trPr>
          <w:cantSplit/>
        </w:trPr>
        <w:tc>
          <w:tcPr>
            <w:tcW w:w="3187" w:type="dxa"/>
            <w:tcBorders>
              <w:top w:val="nil"/>
              <w:left w:val="nil"/>
              <w:bottom w:val="nil"/>
              <w:right w:val="nil"/>
            </w:tcBorders>
          </w:tcPr>
          <w:p>
            <w:pPr>
              <w:pStyle w:val="yTableNAm"/>
              <w:jc w:val="center"/>
              <w:rPr>
                <w:rFonts w:ascii="Arial" w:hAnsi="Arial"/>
                <w:b/>
              </w:rPr>
            </w:pPr>
            <w:r>
              <w:t>25</w:t>
            </w:r>
          </w:p>
        </w:tc>
        <w:tc>
          <w:tcPr>
            <w:tcW w:w="3084" w:type="dxa"/>
            <w:tcBorders>
              <w:top w:val="nil"/>
              <w:left w:val="nil"/>
              <w:bottom w:val="nil"/>
              <w:right w:val="nil"/>
            </w:tcBorders>
            <w:vAlign w:val="bottom"/>
          </w:tcPr>
          <w:p>
            <w:pPr>
              <w:pStyle w:val="yTableNAm"/>
              <w:jc w:val="center"/>
              <w:rPr>
                <w:rFonts w:ascii="Arial" w:hAnsi="Arial"/>
                <w:b/>
              </w:rPr>
            </w:pPr>
            <w:r>
              <w:t>321.42</w:t>
            </w:r>
          </w:p>
        </w:tc>
      </w:tr>
      <w:tr>
        <w:trPr>
          <w:cantSplit/>
        </w:trPr>
        <w:tc>
          <w:tcPr>
            <w:tcW w:w="3187" w:type="dxa"/>
            <w:tcBorders>
              <w:top w:val="nil"/>
              <w:left w:val="nil"/>
              <w:bottom w:val="nil"/>
              <w:right w:val="nil"/>
            </w:tcBorders>
          </w:tcPr>
          <w:p>
            <w:pPr>
              <w:pStyle w:val="yTableNAm"/>
              <w:jc w:val="center"/>
              <w:rPr>
                <w:rFonts w:ascii="Arial" w:hAnsi="Arial"/>
                <w:b/>
              </w:rPr>
            </w:pPr>
            <w:r>
              <w:t>30</w:t>
            </w:r>
          </w:p>
        </w:tc>
        <w:tc>
          <w:tcPr>
            <w:tcW w:w="3084" w:type="dxa"/>
            <w:tcBorders>
              <w:top w:val="nil"/>
              <w:left w:val="nil"/>
              <w:bottom w:val="nil"/>
              <w:right w:val="nil"/>
            </w:tcBorders>
            <w:vAlign w:val="bottom"/>
          </w:tcPr>
          <w:p>
            <w:pPr>
              <w:pStyle w:val="yTableNAm"/>
              <w:jc w:val="center"/>
              <w:rPr>
                <w:rFonts w:ascii="Arial" w:hAnsi="Arial"/>
                <w:b/>
              </w:rPr>
            </w:pPr>
            <w:r>
              <w:t>462.82</w:t>
            </w:r>
          </w:p>
        </w:tc>
      </w:tr>
      <w:tr>
        <w:trPr>
          <w:cantSplit/>
        </w:trPr>
        <w:tc>
          <w:tcPr>
            <w:tcW w:w="3187" w:type="dxa"/>
            <w:tcBorders>
              <w:top w:val="nil"/>
              <w:left w:val="nil"/>
              <w:bottom w:val="nil"/>
              <w:right w:val="nil"/>
            </w:tcBorders>
          </w:tcPr>
          <w:p>
            <w:pPr>
              <w:pStyle w:val="yTableNAm"/>
              <w:jc w:val="center"/>
              <w:rPr>
                <w:rFonts w:ascii="Arial" w:hAnsi="Arial"/>
                <w:b/>
              </w:rPr>
            </w:pPr>
            <w:r>
              <w:t>35, 38, 40</w:t>
            </w:r>
          </w:p>
        </w:tc>
        <w:tc>
          <w:tcPr>
            <w:tcW w:w="3084" w:type="dxa"/>
            <w:tcBorders>
              <w:top w:val="nil"/>
              <w:left w:val="nil"/>
              <w:bottom w:val="nil"/>
              <w:right w:val="nil"/>
            </w:tcBorders>
            <w:vAlign w:val="bottom"/>
          </w:tcPr>
          <w:p>
            <w:pPr>
              <w:pStyle w:val="yTableNAm"/>
              <w:jc w:val="center"/>
              <w:rPr>
                <w:rFonts w:ascii="Arial" w:hAnsi="Arial"/>
                <w:b/>
              </w:rPr>
            </w:pPr>
            <w:r>
              <w:t>822.83</w:t>
            </w:r>
          </w:p>
        </w:tc>
      </w:tr>
      <w:tr>
        <w:trPr>
          <w:cantSplit/>
        </w:trPr>
        <w:tc>
          <w:tcPr>
            <w:tcW w:w="3187" w:type="dxa"/>
            <w:tcBorders>
              <w:top w:val="nil"/>
              <w:left w:val="nil"/>
              <w:bottom w:val="nil"/>
              <w:right w:val="nil"/>
            </w:tcBorders>
          </w:tcPr>
          <w:p>
            <w:pPr>
              <w:pStyle w:val="yTableNAm"/>
              <w:jc w:val="center"/>
              <w:rPr>
                <w:rFonts w:ascii="Arial" w:hAnsi="Arial"/>
                <w:b/>
              </w:rPr>
            </w:pPr>
            <w:r>
              <w:t>50</w:t>
            </w:r>
          </w:p>
        </w:tc>
        <w:tc>
          <w:tcPr>
            <w:tcW w:w="3084" w:type="dxa"/>
            <w:tcBorders>
              <w:top w:val="nil"/>
              <w:left w:val="nil"/>
              <w:bottom w:val="nil"/>
              <w:right w:val="nil"/>
            </w:tcBorders>
            <w:vAlign w:val="bottom"/>
          </w:tcPr>
          <w:p>
            <w:pPr>
              <w:pStyle w:val="yTableNAm"/>
              <w:jc w:val="center"/>
              <w:rPr>
                <w:rFonts w:ascii="Arial" w:hAnsi="Arial"/>
                <w:b/>
              </w:rPr>
            </w:pPr>
            <w:r>
              <w:t>1 285.67</w:t>
            </w:r>
          </w:p>
        </w:tc>
      </w:tr>
      <w:tr>
        <w:trPr>
          <w:cantSplit/>
        </w:trPr>
        <w:tc>
          <w:tcPr>
            <w:tcW w:w="3187" w:type="dxa"/>
            <w:tcBorders>
              <w:top w:val="nil"/>
              <w:left w:val="nil"/>
              <w:bottom w:val="nil"/>
              <w:right w:val="nil"/>
            </w:tcBorders>
          </w:tcPr>
          <w:p>
            <w:pPr>
              <w:pStyle w:val="yTableNAm"/>
              <w:jc w:val="center"/>
              <w:rPr>
                <w:rFonts w:ascii="Arial" w:hAnsi="Arial"/>
                <w:b/>
              </w:rPr>
            </w:pPr>
            <w:r>
              <w:t>70, 75, 80</w:t>
            </w:r>
          </w:p>
        </w:tc>
        <w:tc>
          <w:tcPr>
            <w:tcW w:w="3084" w:type="dxa"/>
            <w:tcBorders>
              <w:top w:val="nil"/>
              <w:left w:val="nil"/>
              <w:bottom w:val="nil"/>
              <w:right w:val="nil"/>
            </w:tcBorders>
            <w:vAlign w:val="bottom"/>
          </w:tcPr>
          <w:p>
            <w:pPr>
              <w:pStyle w:val="yTableNAm"/>
              <w:jc w:val="center"/>
              <w:rPr>
                <w:rFonts w:ascii="Arial" w:hAnsi="Arial"/>
                <w:b/>
              </w:rPr>
            </w:pPr>
            <w:r>
              <w:t>3 291.31</w:t>
            </w:r>
          </w:p>
        </w:tc>
      </w:tr>
      <w:tr>
        <w:trPr>
          <w:cantSplit/>
        </w:trPr>
        <w:tc>
          <w:tcPr>
            <w:tcW w:w="3187" w:type="dxa"/>
            <w:tcBorders>
              <w:top w:val="nil"/>
              <w:left w:val="nil"/>
              <w:bottom w:val="nil"/>
              <w:right w:val="nil"/>
            </w:tcBorders>
          </w:tcPr>
          <w:p>
            <w:pPr>
              <w:pStyle w:val="yTableNAm"/>
              <w:jc w:val="center"/>
              <w:rPr>
                <w:rFonts w:ascii="Arial" w:hAnsi="Arial"/>
                <w:b/>
              </w:rPr>
            </w:pPr>
            <w:r>
              <w:t>100</w:t>
            </w:r>
          </w:p>
        </w:tc>
        <w:tc>
          <w:tcPr>
            <w:tcW w:w="3084" w:type="dxa"/>
            <w:tcBorders>
              <w:top w:val="nil"/>
              <w:left w:val="nil"/>
              <w:bottom w:val="nil"/>
              <w:right w:val="nil"/>
            </w:tcBorders>
            <w:vAlign w:val="bottom"/>
          </w:tcPr>
          <w:p>
            <w:pPr>
              <w:pStyle w:val="yTableNAm"/>
              <w:jc w:val="center"/>
              <w:rPr>
                <w:rFonts w:ascii="Arial" w:hAnsi="Arial"/>
                <w:b/>
              </w:rPr>
            </w:pPr>
            <w:r>
              <w:t>5 142.67</w:t>
            </w:r>
          </w:p>
        </w:tc>
      </w:tr>
      <w:tr>
        <w:trPr>
          <w:cantSplit/>
        </w:trPr>
        <w:tc>
          <w:tcPr>
            <w:tcW w:w="3187" w:type="dxa"/>
            <w:tcBorders>
              <w:top w:val="nil"/>
              <w:left w:val="nil"/>
              <w:bottom w:val="single" w:sz="4" w:space="0" w:color="auto"/>
              <w:right w:val="nil"/>
            </w:tcBorders>
          </w:tcPr>
          <w:p>
            <w:pPr>
              <w:pStyle w:val="yTableNAm"/>
              <w:jc w:val="center"/>
              <w:rPr>
                <w:rFonts w:ascii="Arial" w:hAnsi="Arial"/>
                <w:b/>
              </w:rPr>
            </w:pPr>
            <w:r>
              <w:t>140, 150</w:t>
            </w:r>
          </w:p>
        </w:tc>
        <w:tc>
          <w:tcPr>
            <w:tcW w:w="3084" w:type="dxa"/>
            <w:tcBorders>
              <w:top w:val="nil"/>
              <w:left w:val="nil"/>
              <w:bottom w:val="single" w:sz="4" w:space="0" w:color="auto"/>
              <w:right w:val="nil"/>
            </w:tcBorders>
            <w:vAlign w:val="bottom"/>
          </w:tcPr>
          <w:p>
            <w:pPr>
              <w:pStyle w:val="yTableNAm"/>
              <w:jc w:val="center"/>
              <w:rPr>
                <w:rFonts w:ascii="Arial" w:hAnsi="Arial"/>
                <w:b/>
              </w:rPr>
            </w:pPr>
            <w:r>
              <w:t>11 571.02</w:t>
            </w:r>
          </w:p>
        </w:tc>
      </w:tr>
    </w:tbl>
    <w:p>
      <w:pPr>
        <w:pStyle w:val="yHeading5"/>
      </w:pPr>
      <w:bookmarkStart w:id="144" w:name="_Toc391906943"/>
      <w:bookmarkStart w:id="145" w:name="_Toc426119804"/>
      <w:r>
        <w:rPr>
          <w:rStyle w:val="CharSClsNo"/>
        </w:rPr>
        <w:t>11</w:t>
      </w:r>
      <w:r>
        <w:t>.</w:t>
      </w:r>
      <w:r>
        <w:tab/>
        <w:t>Stock</w:t>
      </w:r>
      <w:bookmarkEnd w:id="144"/>
      <w:bookmarkEnd w:id="145"/>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tabs>
                <w:tab w:val="right" w:leader="dot" w:pos="4887"/>
              </w:tabs>
              <w:rPr>
                <w:rFonts w:ascii="Arial" w:hAnsi="Arial"/>
                <w:b/>
              </w:rPr>
            </w:pPr>
            <w:r>
              <w:t xml:space="preserve">For the supply of water for the purpose of watering stock on land that is not the subject of a charge under item 10 </w:t>
            </w:r>
            <w:r>
              <w:tab/>
            </w:r>
          </w:p>
        </w:tc>
        <w:tc>
          <w:tcPr>
            <w:tcW w:w="1276" w:type="dxa"/>
            <w:vAlign w:val="bottom"/>
          </w:tcPr>
          <w:p>
            <w:pPr>
              <w:pStyle w:val="yTableNAm"/>
            </w:pPr>
            <w:r>
              <w:t>$205.71</w:t>
            </w:r>
          </w:p>
        </w:tc>
      </w:tr>
    </w:tbl>
    <w:p>
      <w:pPr>
        <w:pStyle w:val="yHeading5"/>
      </w:pPr>
      <w:bookmarkStart w:id="146" w:name="_Toc391906944"/>
      <w:bookmarkStart w:id="147" w:name="_Toc426119805"/>
      <w:r>
        <w:rPr>
          <w:rStyle w:val="CharSClsNo"/>
        </w:rPr>
        <w:t>12</w:t>
      </w:r>
      <w:r>
        <w:t>.</w:t>
      </w:r>
      <w:r>
        <w:tab/>
        <w:t>Additional connections</w:t>
      </w:r>
      <w:bookmarkEnd w:id="146"/>
      <w:bookmarkEnd w:id="147"/>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Other than land described in items 3 and 9, where water is supplied to land through more than one water supply connection, for each additional connection, not being a connection the subject of a charge under item 15 or a connection for a water supply the subject of item 2 or 19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4887"/>
              </w:tabs>
              <w:ind w:left="731" w:hanging="731"/>
              <w:rPr>
                <w:rFonts w:ascii="Arial" w:hAnsi="Arial"/>
                <w:b/>
              </w:rPr>
            </w:pPr>
            <w:r>
              <w:tab/>
              <w:t>(a)</w:t>
            </w:r>
            <w:r>
              <w:tab/>
              <w:t xml:space="preserve">for land, other than land to which paragraph (b) applies, a charge of </w:t>
            </w:r>
            <w:r>
              <w:tab/>
            </w:r>
          </w:p>
        </w:tc>
        <w:tc>
          <w:tcPr>
            <w:tcW w:w="1276" w:type="dxa"/>
            <w:vAlign w:val="bottom"/>
          </w:tcPr>
          <w:p>
            <w:pPr>
              <w:pStyle w:val="yTableNAm"/>
            </w:pPr>
            <w:r>
              <w:t>$205.71</w:t>
            </w:r>
          </w:p>
        </w:tc>
      </w:tr>
      <w:tr>
        <w:trPr>
          <w:cantSplit/>
        </w:trPr>
        <w:tc>
          <w:tcPr>
            <w:tcW w:w="907" w:type="dxa"/>
          </w:tcPr>
          <w:p>
            <w:pPr>
              <w:pStyle w:val="zyTableNAm"/>
              <w:keepNext/>
            </w:pPr>
          </w:p>
        </w:tc>
        <w:tc>
          <w:tcPr>
            <w:tcW w:w="5103" w:type="dxa"/>
          </w:tcPr>
          <w:p>
            <w:pPr>
              <w:pStyle w:val="yTableNAm"/>
              <w:keepNext/>
              <w:tabs>
                <w:tab w:val="clear" w:pos="567"/>
                <w:tab w:val="left" w:pos="268"/>
                <w:tab w:val="left" w:pos="715"/>
              </w:tabs>
              <w:ind w:left="730" w:hanging="730"/>
              <w:rPr>
                <w:rFonts w:ascii="Arial" w:hAnsi="Arial"/>
                <w:b/>
              </w:rPr>
            </w:pPr>
            <w:r>
              <w:tab/>
              <w:t>(b)</w:t>
            </w:r>
            <w:r>
              <w:tab/>
              <w:t>for land that is classified as non</w:t>
            </w:r>
            <w:r>
              <w:noBreakHyphen/>
              <w:t>residential or commercial residential, a charge based on meter size of the additional service as set out in the following Table —</w:t>
            </w:r>
          </w:p>
        </w:tc>
        <w:tc>
          <w:tcPr>
            <w:tcW w:w="1276" w:type="dxa"/>
            <w:vAlign w:val="bottom"/>
          </w:tcPr>
          <w:p>
            <w:pPr>
              <w:pStyle w:val="yTableNAm"/>
              <w:keepNext/>
            </w:pPr>
          </w:p>
        </w:tc>
      </w:tr>
    </w:tbl>
    <w:p>
      <w:pPr>
        <w:pStyle w:val="yTHeadingNAm"/>
        <w:ind w:left="851"/>
      </w:pPr>
      <w:r>
        <w:t>Table of meter</w:t>
      </w:r>
      <w:r>
        <w:noBreakHyphen/>
        <w:t>based fixed charges</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cantSplit/>
          <w:tblHeader/>
        </w:trPr>
        <w:tc>
          <w:tcPr>
            <w:tcW w:w="3215" w:type="dxa"/>
            <w:tcBorders>
              <w:top w:val="single" w:sz="4" w:space="0" w:color="auto"/>
              <w:left w:val="nil"/>
              <w:bottom w:val="single" w:sz="4" w:space="0" w:color="auto"/>
              <w:right w:val="nil"/>
            </w:tcBorders>
          </w:tcPr>
          <w:p>
            <w:pPr>
              <w:pStyle w:val="yTableNAm"/>
              <w:jc w:val="center"/>
              <w:rPr>
                <w:rFonts w:ascii="Arial" w:hAnsi="Arial"/>
                <w:b/>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trPr>
        <w:tc>
          <w:tcPr>
            <w:tcW w:w="3215"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rPr>
                <w:rFonts w:ascii="Arial" w:hAnsi="Arial"/>
                <w:b/>
              </w:rPr>
            </w:pPr>
            <w:r>
              <w:t>205.71</w:t>
            </w:r>
          </w:p>
        </w:tc>
      </w:tr>
      <w:tr>
        <w:trPr>
          <w:cantSplit/>
        </w:trPr>
        <w:tc>
          <w:tcPr>
            <w:tcW w:w="3215" w:type="dxa"/>
            <w:tcBorders>
              <w:top w:val="nil"/>
              <w:left w:val="nil"/>
              <w:bottom w:val="nil"/>
              <w:right w:val="nil"/>
            </w:tcBorders>
          </w:tcPr>
          <w:p>
            <w:pPr>
              <w:pStyle w:val="yTableNAm"/>
              <w:jc w:val="center"/>
              <w:rPr>
                <w:rFonts w:ascii="Arial" w:hAnsi="Arial"/>
                <w:b/>
              </w:rPr>
            </w:pPr>
            <w:r>
              <w:t>25</w:t>
            </w:r>
          </w:p>
        </w:tc>
        <w:tc>
          <w:tcPr>
            <w:tcW w:w="3084" w:type="dxa"/>
            <w:tcBorders>
              <w:top w:val="nil"/>
              <w:left w:val="nil"/>
              <w:bottom w:val="nil"/>
              <w:right w:val="nil"/>
            </w:tcBorders>
            <w:vAlign w:val="bottom"/>
          </w:tcPr>
          <w:p>
            <w:pPr>
              <w:pStyle w:val="yTableNAm"/>
              <w:jc w:val="center"/>
              <w:rPr>
                <w:rFonts w:ascii="Arial" w:hAnsi="Arial"/>
                <w:b/>
              </w:rPr>
            </w:pPr>
            <w:r>
              <w:t>321.42</w:t>
            </w:r>
          </w:p>
        </w:tc>
      </w:tr>
      <w:tr>
        <w:trPr>
          <w:cantSplit/>
        </w:trPr>
        <w:tc>
          <w:tcPr>
            <w:tcW w:w="3215" w:type="dxa"/>
            <w:tcBorders>
              <w:top w:val="nil"/>
              <w:left w:val="nil"/>
              <w:bottom w:val="nil"/>
              <w:right w:val="nil"/>
            </w:tcBorders>
          </w:tcPr>
          <w:p>
            <w:pPr>
              <w:pStyle w:val="yTableNAm"/>
              <w:jc w:val="center"/>
              <w:rPr>
                <w:rFonts w:ascii="Arial" w:hAnsi="Arial"/>
                <w:b/>
              </w:rPr>
            </w:pPr>
            <w:r>
              <w:t>30</w:t>
            </w:r>
          </w:p>
        </w:tc>
        <w:tc>
          <w:tcPr>
            <w:tcW w:w="3084" w:type="dxa"/>
            <w:tcBorders>
              <w:top w:val="nil"/>
              <w:left w:val="nil"/>
              <w:bottom w:val="nil"/>
              <w:right w:val="nil"/>
            </w:tcBorders>
            <w:vAlign w:val="bottom"/>
          </w:tcPr>
          <w:p>
            <w:pPr>
              <w:pStyle w:val="yTableNAm"/>
              <w:jc w:val="center"/>
              <w:rPr>
                <w:rFonts w:ascii="Arial" w:hAnsi="Arial"/>
                <w:b/>
              </w:rPr>
            </w:pPr>
            <w:r>
              <w:t>462.82</w:t>
            </w:r>
          </w:p>
        </w:tc>
      </w:tr>
      <w:tr>
        <w:trPr>
          <w:cantSplit/>
        </w:trPr>
        <w:tc>
          <w:tcPr>
            <w:tcW w:w="3215" w:type="dxa"/>
            <w:tcBorders>
              <w:top w:val="nil"/>
              <w:left w:val="nil"/>
              <w:bottom w:val="nil"/>
              <w:right w:val="nil"/>
            </w:tcBorders>
          </w:tcPr>
          <w:p>
            <w:pPr>
              <w:pStyle w:val="yTableNAm"/>
              <w:jc w:val="center"/>
              <w:rPr>
                <w:rFonts w:ascii="Arial" w:hAnsi="Arial"/>
                <w:b/>
              </w:rPr>
            </w:pPr>
            <w:r>
              <w:t>35, 38, 40</w:t>
            </w:r>
          </w:p>
        </w:tc>
        <w:tc>
          <w:tcPr>
            <w:tcW w:w="3084" w:type="dxa"/>
            <w:tcBorders>
              <w:top w:val="nil"/>
              <w:left w:val="nil"/>
              <w:bottom w:val="nil"/>
              <w:right w:val="nil"/>
            </w:tcBorders>
            <w:vAlign w:val="bottom"/>
          </w:tcPr>
          <w:p>
            <w:pPr>
              <w:pStyle w:val="yTableNAm"/>
              <w:jc w:val="center"/>
              <w:rPr>
                <w:rFonts w:ascii="Arial" w:hAnsi="Arial"/>
                <w:b/>
              </w:rPr>
            </w:pPr>
            <w:r>
              <w:t>822.83</w:t>
            </w:r>
          </w:p>
        </w:tc>
      </w:tr>
      <w:tr>
        <w:trPr>
          <w:cantSplit/>
        </w:trPr>
        <w:tc>
          <w:tcPr>
            <w:tcW w:w="3215" w:type="dxa"/>
            <w:tcBorders>
              <w:top w:val="nil"/>
              <w:left w:val="nil"/>
              <w:bottom w:val="nil"/>
              <w:right w:val="nil"/>
            </w:tcBorders>
          </w:tcPr>
          <w:p>
            <w:pPr>
              <w:pStyle w:val="yTableNAm"/>
              <w:jc w:val="center"/>
              <w:rPr>
                <w:rFonts w:ascii="Arial" w:hAnsi="Arial"/>
                <w:b/>
              </w:rPr>
            </w:pPr>
            <w:r>
              <w:t>50</w:t>
            </w:r>
          </w:p>
        </w:tc>
        <w:tc>
          <w:tcPr>
            <w:tcW w:w="3084" w:type="dxa"/>
            <w:tcBorders>
              <w:top w:val="nil"/>
              <w:left w:val="nil"/>
              <w:bottom w:val="nil"/>
              <w:right w:val="nil"/>
            </w:tcBorders>
            <w:vAlign w:val="bottom"/>
          </w:tcPr>
          <w:p>
            <w:pPr>
              <w:pStyle w:val="yTableNAm"/>
              <w:jc w:val="center"/>
              <w:rPr>
                <w:rFonts w:ascii="Arial" w:hAnsi="Arial"/>
                <w:b/>
              </w:rPr>
            </w:pPr>
            <w:r>
              <w:t>1 285.67</w:t>
            </w:r>
          </w:p>
        </w:tc>
      </w:tr>
      <w:tr>
        <w:trPr>
          <w:cantSplit/>
        </w:trPr>
        <w:tc>
          <w:tcPr>
            <w:tcW w:w="3215" w:type="dxa"/>
            <w:tcBorders>
              <w:top w:val="nil"/>
              <w:left w:val="nil"/>
              <w:bottom w:val="nil"/>
              <w:right w:val="nil"/>
            </w:tcBorders>
          </w:tcPr>
          <w:p>
            <w:pPr>
              <w:pStyle w:val="yTableNAm"/>
              <w:jc w:val="center"/>
              <w:rPr>
                <w:rFonts w:ascii="Arial" w:hAnsi="Arial"/>
                <w:b/>
              </w:rPr>
            </w:pPr>
            <w:r>
              <w:t>70, 75, 80</w:t>
            </w:r>
          </w:p>
        </w:tc>
        <w:tc>
          <w:tcPr>
            <w:tcW w:w="3084" w:type="dxa"/>
            <w:tcBorders>
              <w:top w:val="nil"/>
              <w:left w:val="nil"/>
              <w:bottom w:val="nil"/>
              <w:right w:val="nil"/>
            </w:tcBorders>
            <w:vAlign w:val="bottom"/>
          </w:tcPr>
          <w:p>
            <w:pPr>
              <w:pStyle w:val="yTableNAm"/>
              <w:jc w:val="center"/>
              <w:rPr>
                <w:rFonts w:ascii="Arial" w:hAnsi="Arial"/>
                <w:b/>
              </w:rPr>
            </w:pPr>
            <w:r>
              <w:t>3 291.31</w:t>
            </w:r>
          </w:p>
        </w:tc>
      </w:tr>
      <w:tr>
        <w:trPr>
          <w:cantSplit/>
        </w:trPr>
        <w:tc>
          <w:tcPr>
            <w:tcW w:w="3215" w:type="dxa"/>
            <w:tcBorders>
              <w:top w:val="nil"/>
              <w:left w:val="nil"/>
              <w:bottom w:val="nil"/>
              <w:right w:val="nil"/>
            </w:tcBorders>
          </w:tcPr>
          <w:p>
            <w:pPr>
              <w:pStyle w:val="yTableNAm"/>
              <w:jc w:val="center"/>
              <w:rPr>
                <w:rFonts w:ascii="Arial" w:hAnsi="Arial"/>
                <w:b/>
              </w:rPr>
            </w:pPr>
            <w:r>
              <w:t>100</w:t>
            </w:r>
          </w:p>
        </w:tc>
        <w:tc>
          <w:tcPr>
            <w:tcW w:w="3084" w:type="dxa"/>
            <w:tcBorders>
              <w:top w:val="nil"/>
              <w:left w:val="nil"/>
              <w:bottom w:val="nil"/>
              <w:right w:val="nil"/>
            </w:tcBorders>
            <w:vAlign w:val="bottom"/>
          </w:tcPr>
          <w:p>
            <w:pPr>
              <w:pStyle w:val="yTableNAm"/>
              <w:jc w:val="center"/>
              <w:rPr>
                <w:rFonts w:ascii="Arial" w:hAnsi="Arial"/>
                <w:b/>
              </w:rPr>
            </w:pPr>
            <w:r>
              <w:t>5 142.67</w:t>
            </w:r>
          </w:p>
        </w:tc>
      </w:tr>
      <w:tr>
        <w:trPr>
          <w:cantSplit/>
        </w:trPr>
        <w:tc>
          <w:tcPr>
            <w:tcW w:w="3215" w:type="dxa"/>
            <w:tcBorders>
              <w:top w:val="nil"/>
              <w:left w:val="nil"/>
              <w:bottom w:val="nil"/>
              <w:right w:val="nil"/>
            </w:tcBorders>
          </w:tcPr>
          <w:p>
            <w:pPr>
              <w:pStyle w:val="yTableNAm"/>
              <w:jc w:val="center"/>
              <w:rPr>
                <w:rFonts w:ascii="Arial" w:hAnsi="Arial"/>
                <w:b/>
              </w:rPr>
            </w:pPr>
            <w:r>
              <w:t>140, 150</w:t>
            </w:r>
          </w:p>
        </w:tc>
        <w:tc>
          <w:tcPr>
            <w:tcW w:w="3084" w:type="dxa"/>
            <w:tcBorders>
              <w:top w:val="nil"/>
              <w:left w:val="nil"/>
              <w:bottom w:val="nil"/>
              <w:right w:val="nil"/>
            </w:tcBorders>
            <w:vAlign w:val="bottom"/>
          </w:tcPr>
          <w:p>
            <w:pPr>
              <w:pStyle w:val="yTableNAm"/>
              <w:jc w:val="center"/>
              <w:rPr>
                <w:rFonts w:ascii="Arial" w:hAnsi="Arial"/>
                <w:b/>
              </w:rPr>
            </w:pPr>
            <w:r>
              <w:t>11 571.02</w:t>
            </w:r>
          </w:p>
        </w:tc>
      </w:tr>
      <w:tr>
        <w:trPr>
          <w:cantSplit/>
        </w:trPr>
        <w:tc>
          <w:tcPr>
            <w:tcW w:w="3215" w:type="dxa"/>
            <w:tcBorders>
              <w:top w:val="nil"/>
              <w:left w:val="nil"/>
              <w:bottom w:val="nil"/>
              <w:right w:val="nil"/>
            </w:tcBorders>
          </w:tcPr>
          <w:p>
            <w:pPr>
              <w:pStyle w:val="yTableNAm"/>
              <w:jc w:val="center"/>
              <w:rPr>
                <w:rFonts w:ascii="Arial" w:hAnsi="Arial"/>
                <w:b/>
              </w:rPr>
            </w:pPr>
            <w:r>
              <w:t>200</w:t>
            </w:r>
          </w:p>
        </w:tc>
        <w:tc>
          <w:tcPr>
            <w:tcW w:w="3084" w:type="dxa"/>
            <w:tcBorders>
              <w:top w:val="nil"/>
              <w:left w:val="nil"/>
              <w:bottom w:val="nil"/>
              <w:right w:val="nil"/>
            </w:tcBorders>
            <w:vAlign w:val="bottom"/>
          </w:tcPr>
          <w:p>
            <w:pPr>
              <w:pStyle w:val="yTableNAm"/>
              <w:jc w:val="center"/>
              <w:rPr>
                <w:rFonts w:ascii="Arial" w:hAnsi="Arial"/>
                <w:b/>
              </w:rPr>
            </w:pPr>
            <w:r>
              <w:t>20 570.70</w:t>
            </w:r>
          </w:p>
        </w:tc>
      </w:tr>
      <w:tr>
        <w:trPr>
          <w:cantSplit/>
        </w:trPr>
        <w:tc>
          <w:tcPr>
            <w:tcW w:w="3215" w:type="dxa"/>
            <w:tcBorders>
              <w:top w:val="nil"/>
              <w:left w:val="nil"/>
              <w:bottom w:val="nil"/>
              <w:right w:val="nil"/>
            </w:tcBorders>
          </w:tcPr>
          <w:p>
            <w:pPr>
              <w:pStyle w:val="yTableNAm"/>
              <w:jc w:val="center"/>
              <w:rPr>
                <w:rFonts w:ascii="Arial" w:hAnsi="Arial"/>
                <w:b/>
              </w:rPr>
            </w:pPr>
            <w:r>
              <w:t>250</w:t>
            </w:r>
          </w:p>
        </w:tc>
        <w:tc>
          <w:tcPr>
            <w:tcW w:w="3084" w:type="dxa"/>
            <w:tcBorders>
              <w:top w:val="nil"/>
              <w:left w:val="nil"/>
              <w:bottom w:val="nil"/>
              <w:right w:val="nil"/>
            </w:tcBorders>
            <w:vAlign w:val="bottom"/>
          </w:tcPr>
          <w:p>
            <w:pPr>
              <w:pStyle w:val="yTableNAm"/>
              <w:jc w:val="center"/>
              <w:rPr>
                <w:rFonts w:ascii="Arial" w:hAnsi="Arial"/>
                <w:b/>
              </w:rPr>
            </w:pPr>
            <w:r>
              <w:t>32 141.69</w:t>
            </w:r>
          </w:p>
        </w:tc>
      </w:tr>
      <w:tr>
        <w:trPr>
          <w:cantSplit/>
        </w:trPr>
        <w:tc>
          <w:tcPr>
            <w:tcW w:w="3215" w:type="dxa"/>
            <w:tcBorders>
              <w:top w:val="nil"/>
              <w:left w:val="nil"/>
              <w:bottom w:val="nil"/>
              <w:right w:val="nil"/>
            </w:tcBorders>
          </w:tcPr>
          <w:p>
            <w:pPr>
              <w:pStyle w:val="yTableNAm"/>
              <w:jc w:val="center"/>
              <w:rPr>
                <w:rFonts w:ascii="Arial" w:hAnsi="Arial"/>
                <w:b/>
              </w:rPr>
            </w:pPr>
            <w:r>
              <w:t>300</w:t>
            </w:r>
          </w:p>
        </w:tc>
        <w:tc>
          <w:tcPr>
            <w:tcW w:w="3084" w:type="dxa"/>
            <w:tcBorders>
              <w:top w:val="nil"/>
              <w:left w:val="nil"/>
              <w:bottom w:val="nil"/>
              <w:right w:val="nil"/>
            </w:tcBorders>
            <w:vAlign w:val="bottom"/>
          </w:tcPr>
          <w:p>
            <w:pPr>
              <w:pStyle w:val="yTableNAm"/>
              <w:jc w:val="center"/>
              <w:rPr>
                <w:rFonts w:ascii="Arial" w:hAnsi="Arial"/>
                <w:b/>
              </w:rPr>
            </w:pPr>
            <w:r>
              <w:t>46 284.07</w:t>
            </w:r>
          </w:p>
        </w:tc>
      </w:tr>
      <w:tr>
        <w:trPr>
          <w:cantSplit/>
        </w:trPr>
        <w:tc>
          <w:tcPr>
            <w:tcW w:w="3215" w:type="dxa"/>
            <w:tcBorders>
              <w:top w:val="nil"/>
              <w:left w:val="nil"/>
              <w:bottom w:val="single" w:sz="4" w:space="0" w:color="auto"/>
              <w:right w:val="nil"/>
            </w:tcBorders>
          </w:tcPr>
          <w:p>
            <w:pPr>
              <w:pStyle w:val="yTableNAm"/>
              <w:jc w:val="center"/>
              <w:rPr>
                <w:rFonts w:ascii="Arial" w:hAnsi="Arial"/>
                <w:b/>
              </w:rPr>
            </w:pPr>
            <w:r>
              <w:t>350</w:t>
            </w:r>
          </w:p>
        </w:tc>
        <w:tc>
          <w:tcPr>
            <w:tcW w:w="3084" w:type="dxa"/>
            <w:tcBorders>
              <w:top w:val="nil"/>
              <w:left w:val="nil"/>
              <w:bottom w:val="single" w:sz="4" w:space="0" w:color="auto"/>
              <w:right w:val="nil"/>
            </w:tcBorders>
            <w:vAlign w:val="bottom"/>
          </w:tcPr>
          <w:p>
            <w:pPr>
              <w:pStyle w:val="yTableNAm"/>
              <w:jc w:val="center"/>
              <w:rPr>
                <w:rFonts w:ascii="Arial" w:hAnsi="Arial"/>
                <w:b/>
              </w:rPr>
            </w:pPr>
            <w:r>
              <w:t>62.997.77</w:t>
            </w:r>
          </w:p>
        </w:tc>
      </w:tr>
    </w:tbl>
    <w:p>
      <w:pPr>
        <w:pStyle w:val="yHeading5"/>
      </w:pPr>
      <w:bookmarkStart w:id="148" w:name="_Toc391906945"/>
      <w:bookmarkStart w:id="149" w:name="_Toc426119806"/>
      <w:r>
        <w:rPr>
          <w:rStyle w:val="CharSClsNo"/>
        </w:rPr>
        <w:t>13</w:t>
      </w:r>
      <w:r>
        <w:t>.</w:t>
      </w:r>
      <w:r>
        <w:tab/>
        <w:t>Shipping (non</w:t>
      </w:r>
      <w:r>
        <w:noBreakHyphen/>
        <w:t>metropolitan)</w:t>
      </w:r>
      <w:bookmarkEnd w:id="148"/>
      <w:bookmarkEnd w:id="149"/>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spacing w:before="100"/>
            </w:pPr>
          </w:p>
        </w:tc>
        <w:tc>
          <w:tcPr>
            <w:tcW w:w="5103" w:type="dxa"/>
          </w:tcPr>
          <w:p>
            <w:pPr>
              <w:pStyle w:val="yTableNAm"/>
              <w:spacing w:before="100"/>
            </w:pPr>
            <w:r>
              <w:t>For each water supply connection provided for the purpose of water being taken on board any ship in a port not in the metropolitan area the charge applicable for the relevant meter size in the Table to item 10.</w:t>
            </w:r>
          </w:p>
        </w:tc>
        <w:tc>
          <w:tcPr>
            <w:tcW w:w="1276" w:type="dxa"/>
            <w:vAlign w:val="bottom"/>
          </w:tcPr>
          <w:p>
            <w:pPr>
              <w:pStyle w:val="yTableNAm"/>
              <w:spacing w:before="100"/>
            </w:pPr>
          </w:p>
        </w:tc>
      </w:tr>
    </w:tbl>
    <w:p>
      <w:pPr>
        <w:pStyle w:val="yHeading5"/>
      </w:pPr>
      <w:bookmarkStart w:id="150" w:name="_Toc391906946"/>
      <w:bookmarkStart w:id="151" w:name="_Toc426119807"/>
      <w:r>
        <w:rPr>
          <w:rStyle w:val="CharSClsNo"/>
        </w:rPr>
        <w:t>14</w:t>
      </w:r>
      <w:r>
        <w:t>.</w:t>
      </w:r>
      <w:r>
        <w:tab/>
        <w:t>Local government standpipes</w:t>
      </w:r>
      <w:bookmarkEnd w:id="150"/>
      <w:bookmarkEnd w:id="151"/>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spacing w:before="100"/>
            </w:pPr>
          </w:p>
        </w:tc>
        <w:tc>
          <w:tcPr>
            <w:tcW w:w="5103" w:type="dxa"/>
          </w:tcPr>
          <w:p>
            <w:pPr>
              <w:pStyle w:val="yTableNAm"/>
              <w:tabs>
                <w:tab w:val="right" w:leader="dot" w:pos="4887"/>
              </w:tabs>
              <w:spacing w:before="100"/>
              <w:rPr>
                <w:rFonts w:ascii="Arial" w:hAnsi="Arial"/>
                <w:b/>
              </w:rPr>
            </w:pPr>
            <w:r>
              <w:t xml:space="preserve">For each local government standpipe </w:t>
            </w:r>
            <w:r>
              <w:tab/>
            </w:r>
          </w:p>
        </w:tc>
        <w:tc>
          <w:tcPr>
            <w:tcW w:w="1276" w:type="dxa"/>
            <w:vAlign w:val="bottom"/>
          </w:tcPr>
          <w:p>
            <w:pPr>
              <w:pStyle w:val="yTableNAm"/>
              <w:spacing w:before="100"/>
            </w:pPr>
            <w:r>
              <w:t>$205.71</w:t>
            </w:r>
          </w:p>
        </w:tc>
      </w:tr>
    </w:tbl>
    <w:p>
      <w:pPr>
        <w:pStyle w:val="yHeading5"/>
      </w:pPr>
      <w:bookmarkStart w:id="152" w:name="_Toc391906947"/>
      <w:bookmarkStart w:id="153" w:name="_Toc426119808"/>
      <w:r>
        <w:rPr>
          <w:rStyle w:val="CharSClsNo"/>
        </w:rPr>
        <w:t>15</w:t>
      </w:r>
      <w:r>
        <w:t>.</w:t>
      </w:r>
      <w:r>
        <w:tab/>
        <w:t>Firefighting connections</w:t>
      </w:r>
      <w:bookmarkEnd w:id="152"/>
      <w:bookmarkEnd w:id="153"/>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keepNext/>
            </w:pPr>
          </w:p>
        </w:tc>
        <w:tc>
          <w:tcPr>
            <w:tcW w:w="5103" w:type="dxa"/>
          </w:tcPr>
          <w:p>
            <w:pPr>
              <w:pStyle w:val="yTableNAm"/>
              <w:keepNext/>
              <w:tabs>
                <w:tab w:val="right" w:leader="dot" w:pos="4887"/>
              </w:tabs>
              <w:rPr>
                <w:rFonts w:ascii="Arial" w:hAnsi="Arial"/>
                <w:b/>
              </w:rPr>
            </w:pPr>
            <w:r>
              <w:t xml:space="preserve">For each water supply connection provided for the purpose of firefighting </w:t>
            </w:r>
            <w:r>
              <w:tab/>
            </w:r>
          </w:p>
        </w:tc>
        <w:tc>
          <w:tcPr>
            <w:tcW w:w="1276" w:type="dxa"/>
            <w:vAlign w:val="bottom"/>
          </w:tcPr>
          <w:p>
            <w:pPr>
              <w:pStyle w:val="yTableNAm"/>
              <w:keepNext/>
            </w:pPr>
            <w:r>
              <w:t>$205.71</w:t>
            </w:r>
          </w:p>
        </w:tc>
      </w:tr>
    </w:tbl>
    <w:p>
      <w:pPr>
        <w:pStyle w:val="yHeading5"/>
      </w:pPr>
      <w:bookmarkStart w:id="154" w:name="_Toc391906948"/>
      <w:bookmarkStart w:id="155" w:name="_Toc426119809"/>
      <w:r>
        <w:rPr>
          <w:rStyle w:val="CharSClsNo"/>
        </w:rPr>
        <w:t>16</w:t>
      </w:r>
      <w:r>
        <w:t>.</w:t>
      </w:r>
      <w:r>
        <w:tab/>
        <w:t>Farmland</w:t>
      </w:r>
      <w:bookmarkEnd w:id="154"/>
      <w:bookmarkEnd w:id="155"/>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tabs>
                <w:tab w:val="right" w:leader="dot" w:pos="4887"/>
              </w:tabs>
              <w:rPr>
                <w:rFonts w:ascii="Arial" w:hAnsi="Arial"/>
                <w:b/>
              </w:rPr>
            </w:pPr>
            <w:r>
              <w:t xml:space="preserve">In respect of land that is classified as farmland </w:t>
            </w:r>
            <w:r>
              <w:tab/>
            </w:r>
          </w:p>
        </w:tc>
        <w:tc>
          <w:tcPr>
            <w:tcW w:w="1276" w:type="dxa"/>
            <w:vAlign w:val="bottom"/>
          </w:tcPr>
          <w:p>
            <w:pPr>
              <w:pStyle w:val="yTableNAm"/>
            </w:pPr>
            <w:r>
              <w:t>$205.71</w:t>
            </w:r>
          </w:p>
        </w:tc>
      </w:tr>
    </w:tbl>
    <w:p>
      <w:pPr>
        <w:pStyle w:val="yHeading5"/>
      </w:pPr>
      <w:bookmarkStart w:id="156" w:name="_Toc391906949"/>
      <w:bookmarkStart w:id="157" w:name="_Toc426119810"/>
      <w:r>
        <w:rPr>
          <w:rStyle w:val="CharSClsNo"/>
        </w:rPr>
        <w:t>17</w:t>
      </w:r>
      <w:r>
        <w:t>.</w:t>
      </w:r>
      <w:r>
        <w:tab/>
        <w:t>Metropolitan non</w:t>
      </w:r>
      <w:r>
        <w:noBreakHyphen/>
        <w:t>residential (except strata</w:t>
      </w:r>
      <w:r>
        <w:noBreakHyphen/>
        <w:t>titled units that share a service)</w:t>
      </w:r>
      <w:bookmarkEnd w:id="156"/>
      <w:bookmarkEnd w:id="157"/>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spacing w:before="100"/>
            </w:pPr>
          </w:p>
        </w:tc>
        <w:tc>
          <w:tcPr>
            <w:tcW w:w="5103" w:type="dxa"/>
          </w:tcPr>
          <w:p>
            <w:pPr>
              <w:pStyle w:val="yTableNAm"/>
              <w:spacing w:before="100"/>
            </w:pPr>
            <w:r>
              <w:t>In respect of non</w:t>
            </w:r>
            <w:r>
              <w:noBreakHyphen/>
              <w:t>residential land in the metropolitan area, not being land mentioned in item 18, a charge determined by meter size as set out in the following Table —</w:t>
            </w:r>
          </w:p>
        </w:tc>
        <w:tc>
          <w:tcPr>
            <w:tcW w:w="1276" w:type="dxa"/>
            <w:vAlign w:val="bottom"/>
          </w:tcPr>
          <w:p>
            <w:pPr>
              <w:pStyle w:val="yTableNAm"/>
              <w:spacing w:before="100"/>
            </w:pPr>
          </w:p>
        </w:tc>
      </w:tr>
    </w:tbl>
    <w:p>
      <w:pPr>
        <w:pStyle w:val="yTHeadingNAm"/>
        <w:ind w:left="851"/>
      </w:pPr>
      <w:r>
        <w:t>Table of meter</w:t>
      </w:r>
      <w:r>
        <w:noBreakHyphen/>
        <w:t>based fixed charges</w:t>
      </w:r>
    </w:p>
    <w:tbl>
      <w:tblPr>
        <w:tblW w:w="0" w:type="auto"/>
        <w:tblInd w:w="879" w:type="dxa"/>
        <w:tblLayout w:type="fixed"/>
        <w:tblLook w:val="0000" w:firstRow="0" w:lastRow="0" w:firstColumn="0" w:lastColumn="0" w:noHBand="0" w:noVBand="0"/>
      </w:tblPr>
      <w:tblGrid>
        <w:gridCol w:w="3206"/>
        <w:gridCol w:w="3093"/>
      </w:tblGrid>
      <w:tr>
        <w:trPr>
          <w:cantSplit/>
          <w:tblHeader/>
        </w:trPr>
        <w:tc>
          <w:tcPr>
            <w:tcW w:w="3206" w:type="dxa"/>
            <w:tcBorders>
              <w:top w:val="single" w:sz="4" w:space="0" w:color="auto"/>
              <w:bottom w:val="single" w:sz="4" w:space="0" w:color="auto"/>
            </w:tcBorders>
          </w:tcPr>
          <w:p>
            <w:pPr>
              <w:pStyle w:val="yTableNAm"/>
              <w:spacing w:before="80"/>
              <w:jc w:val="center"/>
              <w:rPr>
                <w:rFonts w:ascii="Arial" w:hAnsi="Arial"/>
                <w:b/>
              </w:rPr>
            </w:pPr>
            <w:r>
              <w:rPr>
                <w:b/>
                <w:bCs/>
              </w:rPr>
              <w:t>Meter size</w:t>
            </w:r>
            <w:r>
              <w:rPr>
                <w:b/>
                <w:bCs/>
              </w:rPr>
              <w:br/>
              <w:t>mm</w:t>
            </w:r>
          </w:p>
        </w:tc>
        <w:tc>
          <w:tcPr>
            <w:tcW w:w="3093" w:type="dxa"/>
            <w:tcBorders>
              <w:top w:val="single" w:sz="4" w:space="0" w:color="auto"/>
              <w:bottom w:val="single" w:sz="4" w:space="0" w:color="auto"/>
            </w:tcBorders>
          </w:tcPr>
          <w:p>
            <w:pPr>
              <w:pStyle w:val="yTableNAm"/>
              <w:spacing w:before="80"/>
              <w:jc w:val="center"/>
            </w:pPr>
            <w:r>
              <w:rPr>
                <w:b/>
                <w:bCs/>
              </w:rPr>
              <w:t>Charge</w:t>
            </w:r>
            <w:r>
              <w:rPr>
                <w:b/>
                <w:bCs/>
              </w:rPr>
              <w:br/>
              <w:t>$</w:t>
            </w:r>
          </w:p>
        </w:tc>
      </w:tr>
      <w:tr>
        <w:trPr>
          <w:cantSplit/>
        </w:trPr>
        <w:tc>
          <w:tcPr>
            <w:tcW w:w="3206" w:type="dxa"/>
          </w:tcPr>
          <w:p>
            <w:pPr>
              <w:pStyle w:val="yTableNAm"/>
              <w:spacing w:before="80"/>
              <w:jc w:val="center"/>
            </w:pPr>
            <w:r>
              <w:t>20</w:t>
            </w:r>
          </w:p>
        </w:tc>
        <w:tc>
          <w:tcPr>
            <w:tcW w:w="3093" w:type="dxa"/>
            <w:vAlign w:val="bottom"/>
          </w:tcPr>
          <w:p>
            <w:pPr>
              <w:pStyle w:val="yTableNAm"/>
              <w:spacing w:before="80"/>
              <w:jc w:val="center"/>
              <w:rPr>
                <w:rFonts w:ascii="Arial" w:hAnsi="Arial"/>
                <w:b/>
              </w:rPr>
            </w:pPr>
            <w:r>
              <w:t>205.71</w:t>
            </w:r>
          </w:p>
        </w:tc>
      </w:tr>
      <w:tr>
        <w:trPr>
          <w:cantSplit/>
        </w:trPr>
        <w:tc>
          <w:tcPr>
            <w:tcW w:w="3206" w:type="dxa"/>
          </w:tcPr>
          <w:p>
            <w:pPr>
              <w:pStyle w:val="yTableNAm"/>
              <w:spacing w:before="80"/>
              <w:jc w:val="center"/>
              <w:rPr>
                <w:rFonts w:ascii="Arial" w:hAnsi="Arial"/>
                <w:b/>
              </w:rPr>
            </w:pPr>
            <w:r>
              <w:t>25</w:t>
            </w:r>
          </w:p>
        </w:tc>
        <w:tc>
          <w:tcPr>
            <w:tcW w:w="3093" w:type="dxa"/>
            <w:vAlign w:val="bottom"/>
          </w:tcPr>
          <w:p>
            <w:pPr>
              <w:pStyle w:val="yTableNAm"/>
              <w:spacing w:before="80"/>
              <w:jc w:val="center"/>
              <w:rPr>
                <w:rFonts w:ascii="Arial" w:hAnsi="Arial"/>
                <w:b/>
              </w:rPr>
            </w:pPr>
            <w:r>
              <w:t>321.42</w:t>
            </w:r>
          </w:p>
        </w:tc>
      </w:tr>
      <w:tr>
        <w:trPr>
          <w:cantSplit/>
        </w:trPr>
        <w:tc>
          <w:tcPr>
            <w:tcW w:w="3206" w:type="dxa"/>
          </w:tcPr>
          <w:p>
            <w:pPr>
              <w:pStyle w:val="yTableNAm"/>
              <w:spacing w:before="80"/>
              <w:jc w:val="center"/>
              <w:rPr>
                <w:rFonts w:ascii="Arial" w:hAnsi="Arial"/>
                <w:b/>
              </w:rPr>
            </w:pPr>
            <w:r>
              <w:t>30</w:t>
            </w:r>
          </w:p>
        </w:tc>
        <w:tc>
          <w:tcPr>
            <w:tcW w:w="3093" w:type="dxa"/>
            <w:vAlign w:val="bottom"/>
          </w:tcPr>
          <w:p>
            <w:pPr>
              <w:pStyle w:val="yTableNAm"/>
              <w:spacing w:before="80"/>
              <w:jc w:val="center"/>
              <w:rPr>
                <w:rFonts w:ascii="Arial" w:hAnsi="Arial"/>
                <w:b/>
              </w:rPr>
            </w:pPr>
            <w:r>
              <w:t>462.82</w:t>
            </w:r>
          </w:p>
        </w:tc>
      </w:tr>
      <w:tr>
        <w:trPr>
          <w:cantSplit/>
        </w:trPr>
        <w:tc>
          <w:tcPr>
            <w:tcW w:w="3206" w:type="dxa"/>
          </w:tcPr>
          <w:p>
            <w:pPr>
              <w:pStyle w:val="yTableNAm"/>
              <w:spacing w:before="80"/>
              <w:jc w:val="center"/>
              <w:rPr>
                <w:rFonts w:ascii="Arial" w:hAnsi="Arial"/>
                <w:b/>
              </w:rPr>
            </w:pPr>
            <w:r>
              <w:t>40</w:t>
            </w:r>
          </w:p>
        </w:tc>
        <w:tc>
          <w:tcPr>
            <w:tcW w:w="3093" w:type="dxa"/>
            <w:vAlign w:val="bottom"/>
          </w:tcPr>
          <w:p>
            <w:pPr>
              <w:pStyle w:val="yTableNAm"/>
              <w:spacing w:before="80"/>
              <w:jc w:val="center"/>
              <w:rPr>
                <w:rFonts w:ascii="Arial" w:hAnsi="Arial"/>
                <w:b/>
              </w:rPr>
            </w:pPr>
            <w:r>
              <w:t>822.83</w:t>
            </w:r>
          </w:p>
        </w:tc>
      </w:tr>
      <w:tr>
        <w:trPr>
          <w:cantSplit/>
        </w:trPr>
        <w:tc>
          <w:tcPr>
            <w:tcW w:w="3206" w:type="dxa"/>
          </w:tcPr>
          <w:p>
            <w:pPr>
              <w:pStyle w:val="yTableNAm"/>
              <w:spacing w:before="80"/>
              <w:jc w:val="center"/>
              <w:rPr>
                <w:rFonts w:ascii="Arial" w:hAnsi="Arial"/>
                <w:b/>
              </w:rPr>
            </w:pPr>
            <w:r>
              <w:t>50</w:t>
            </w:r>
          </w:p>
        </w:tc>
        <w:tc>
          <w:tcPr>
            <w:tcW w:w="3093" w:type="dxa"/>
            <w:vAlign w:val="bottom"/>
          </w:tcPr>
          <w:p>
            <w:pPr>
              <w:pStyle w:val="yTableNAm"/>
              <w:spacing w:before="80"/>
              <w:jc w:val="center"/>
              <w:rPr>
                <w:rFonts w:ascii="Arial" w:hAnsi="Arial"/>
                <w:b/>
              </w:rPr>
            </w:pPr>
            <w:r>
              <w:t>1 285.67</w:t>
            </w:r>
          </w:p>
        </w:tc>
      </w:tr>
      <w:tr>
        <w:trPr>
          <w:cantSplit/>
        </w:trPr>
        <w:tc>
          <w:tcPr>
            <w:tcW w:w="3206" w:type="dxa"/>
          </w:tcPr>
          <w:p>
            <w:pPr>
              <w:pStyle w:val="yTableNAm"/>
              <w:spacing w:before="80"/>
              <w:jc w:val="center"/>
              <w:rPr>
                <w:rFonts w:ascii="Arial" w:hAnsi="Arial"/>
                <w:b/>
              </w:rPr>
            </w:pPr>
            <w:r>
              <w:t>80</w:t>
            </w:r>
          </w:p>
        </w:tc>
        <w:tc>
          <w:tcPr>
            <w:tcW w:w="3093" w:type="dxa"/>
            <w:vAlign w:val="bottom"/>
          </w:tcPr>
          <w:p>
            <w:pPr>
              <w:pStyle w:val="yTableNAm"/>
              <w:spacing w:before="80"/>
              <w:jc w:val="center"/>
              <w:rPr>
                <w:rFonts w:ascii="Arial" w:hAnsi="Arial"/>
                <w:b/>
              </w:rPr>
            </w:pPr>
            <w:r>
              <w:t>3 291.31</w:t>
            </w:r>
          </w:p>
        </w:tc>
      </w:tr>
      <w:tr>
        <w:trPr>
          <w:cantSplit/>
        </w:trPr>
        <w:tc>
          <w:tcPr>
            <w:tcW w:w="3206" w:type="dxa"/>
          </w:tcPr>
          <w:p>
            <w:pPr>
              <w:pStyle w:val="yTableNAm"/>
              <w:spacing w:before="80"/>
              <w:jc w:val="center"/>
              <w:rPr>
                <w:rFonts w:ascii="Arial" w:hAnsi="Arial"/>
                <w:b/>
              </w:rPr>
            </w:pPr>
            <w:r>
              <w:t>100</w:t>
            </w:r>
          </w:p>
        </w:tc>
        <w:tc>
          <w:tcPr>
            <w:tcW w:w="3093" w:type="dxa"/>
            <w:vAlign w:val="bottom"/>
          </w:tcPr>
          <w:p>
            <w:pPr>
              <w:pStyle w:val="yTableNAm"/>
              <w:spacing w:before="80"/>
              <w:jc w:val="center"/>
              <w:rPr>
                <w:rFonts w:ascii="Arial" w:hAnsi="Arial"/>
                <w:b/>
              </w:rPr>
            </w:pPr>
            <w:r>
              <w:t>5 142.67</w:t>
            </w:r>
          </w:p>
        </w:tc>
      </w:tr>
      <w:tr>
        <w:trPr>
          <w:cantSplit/>
        </w:trPr>
        <w:tc>
          <w:tcPr>
            <w:tcW w:w="3206" w:type="dxa"/>
          </w:tcPr>
          <w:p>
            <w:pPr>
              <w:pStyle w:val="yTableNAm"/>
              <w:spacing w:before="80"/>
              <w:jc w:val="center"/>
              <w:rPr>
                <w:rFonts w:ascii="Arial" w:hAnsi="Arial"/>
                <w:b/>
              </w:rPr>
            </w:pPr>
            <w:r>
              <w:t>150</w:t>
            </w:r>
          </w:p>
        </w:tc>
        <w:tc>
          <w:tcPr>
            <w:tcW w:w="3093" w:type="dxa"/>
            <w:vAlign w:val="bottom"/>
          </w:tcPr>
          <w:p>
            <w:pPr>
              <w:pStyle w:val="yTableNAm"/>
              <w:spacing w:before="80"/>
              <w:jc w:val="center"/>
              <w:rPr>
                <w:rFonts w:ascii="Arial" w:hAnsi="Arial"/>
                <w:b/>
              </w:rPr>
            </w:pPr>
            <w:r>
              <w:t>11 571.02</w:t>
            </w:r>
          </w:p>
        </w:tc>
      </w:tr>
      <w:tr>
        <w:trPr>
          <w:cantSplit/>
        </w:trPr>
        <w:tc>
          <w:tcPr>
            <w:tcW w:w="3206" w:type="dxa"/>
          </w:tcPr>
          <w:p>
            <w:pPr>
              <w:pStyle w:val="yTableNAm"/>
              <w:spacing w:before="80"/>
              <w:jc w:val="center"/>
              <w:rPr>
                <w:rFonts w:ascii="Arial" w:hAnsi="Arial"/>
                <w:b/>
              </w:rPr>
            </w:pPr>
            <w:r>
              <w:t>200</w:t>
            </w:r>
          </w:p>
        </w:tc>
        <w:tc>
          <w:tcPr>
            <w:tcW w:w="3093" w:type="dxa"/>
            <w:vAlign w:val="bottom"/>
          </w:tcPr>
          <w:p>
            <w:pPr>
              <w:pStyle w:val="yTableNAm"/>
              <w:spacing w:before="80"/>
              <w:jc w:val="center"/>
              <w:rPr>
                <w:rFonts w:ascii="Arial" w:hAnsi="Arial"/>
                <w:b/>
              </w:rPr>
            </w:pPr>
            <w:r>
              <w:t>20 570.70</w:t>
            </w:r>
          </w:p>
        </w:tc>
      </w:tr>
      <w:tr>
        <w:trPr>
          <w:cantSplit/>
        </w:trPr>
        <w:tc>
          <w:tcPr>
            <w:tcW w:w="3206" w:type="dxa"/>
          </w:tcPr>
          <w:p>
            <w:pPr>
              <w:pStyle w:val="yTableNAm"/>
              <w:spacing w:before="80"/>
              <w:jc w:val="center"/>
              <w:rPr>
                <w:rFonts w:ascii="Arial" w:hAnsi="Arial"/>
                <w:b/>
              </w:rPr>
            </w:pPr>
            <w:r>
              <w:t>250</w:t>
            </w:r>
          </w:p>
        </w:tc>
        <w:tc>
          <w:tcPr>
            <w:tcW w:w="3093" w:type="dxa"/>
            <w:vAlign w:val="bottom"/>
          </w:tcPr>
          <w:p>
            <w:pPr>
              <w:pStyle w:val="yTableNAm"/>
              <w:spacing w:before="80"/>
              <w:jc w:val="center"/>
              <w:rPr>
                <w:rFonts w:ascii="Arial" w:hAnsi="Arial"/>
                <w:b/>
              </w:rPr>
            </w:pPr>
            <w:r>
              <w:t>32 141.69</w:t>
            </w:r>
          </w:p>
        </w:tc>
      </w:tr>
      <w:tr>
        <w:trPr>
          <w:cantSplit/>
        </w:trPr>
        <w:tc>
          <w:tcPr>
            <w:tcW w:w="3206" w:type="dxa"/>
          </w:tcPr>
          <w:p>
            <w:pPr>
              <w:pStyle w:val="yTableNAm"/>
              <w:spacing w:before="80"/>
              <w:jc w:val="center"/>
              <w:rPr>
                <w:rFonts w:ascii="Arial" w:hAnsi="Arial"/>
                <w:b/>
              </w:rPr>
            </w:pPr>
            <w:r>
              <w:t>300</w:t>
            </w:r>
          </w:p>
        </w:tc>
        <w:tc>
          <w:tcPr>
            <w:tcW w:w="3093" w:type="dxa"/>
            <w:vAlign w:val="bottom"/>
          </w:tcPr>
          <w:p>
            <w:pPr>
              <w:pStyle w:val="yTableNAm"/>
              <w:spacing w:before="80"/>
              <w:jc w:val="center"/>
              <w:rPr>
                <w:rFonts w:ascii="Arial" w:hAnsi="Arial"/>
                <w:b/>
              </w:rPr>
            </w:pPr>
            <w:r>
              <w:t>46 284.07</w:t>
            </w:r>
          </w:p>
        </w:tc>
      </w:tr>
      <w:tr>
        <w:trPr>
          <w:cantSplit/>
        </w:trPr>
        <w:tc>
          <w:tcPr>
            <w:tcW w:w="3206" w:type="dxa"/>
            <w:tcBorders>
              <w:bottom w:val="single" w:sz="4" w:space="0" w:color="auto"/>
            </w:tcBorders>
          </w:tcPr>
          <w:p>
            <w:pPr>
              <w:pStyle w:val="yTableNAm"/>
              <w:spacing w:before="80"/>
              <w:jc w:val="center"/>
              <w:rPr>
                <w:rFonts w:ascii="Arial" w:hAnsi="Arial"/>
                <w:b/>
              </w:rPr>
            </w:pPr>
            <w:r>
              <w:t>350</w:t>
            </w:r>
          </w:p>
        </w:tc>
        <w:tc>
          <w:tcPr>
            <w:tcW w:w="3093" w:type="dxa"/>
            <w:tcBorders>
              <w:bottom w:val="single" w:sz="4" w:space="0" w:color="auto"/>
            </w:tcBorders>
            <w:vAlign w:val="bottom"/>
          </w:tcPr>
          <w:p>
            <w:pPr>
              <w:pStyle w:val="yTableNAm"/>
              <w:spacing w:before="80"/>
              <w:jc w:val="center"/>
              <w:rPr>
                <w:rFonts w:ascii="Arial" w:hAnsi="Arial"/>
                <w:b/>
              </w:rPr>
            </w:pPr>
            <w:r>
              <w:t>62 997.77</w:t>
            </w:r>
          </w:p>
        </w:tc>
      </w:tr>
    </w:tbl>
    <w:p>
      <w:pPr>
        <w:pStyle w:val="yHeading5"/>
      </w:pPr>
      <w:bookmarkStart w:id="158" w:name="_Toc391906950"/>
      <w:bookmarkStart w:id="159" w:name="_Toc426119811"/>
      <w:r>
        <w:rPr>
          <w:rStyle w:val="CharSClsNo"/>
        </w:rPr>
        <w:t>18</w:t>
      </w:r>
      <w:r>
        <w:t>.</w:t>
      </w:r>
      <w:r>
        <w:tab/>
        <w:t>Vacant land</w:t>
      </w:r>
      <w:bookmarkEnd w:id="158"/>
      <w:bookmarkEnd w:id="159"/>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tabs>
                <w:tab w:val="right" w:leader="dot" w:pos="4887"/>
              </w:tabs>
              <w:rPr>
                <w:rFonts w:ascii="Arial" w:hAnsi="Arial"/>
                <w:b/>
              </w:rPr>
            </w:pPr>
            <w:r>
              <w:t xml:space="preserve">In respect of land classified as vacant land </w:t>
            </w:r>
            <w:r>
              <w:tab/>
            </w:r>
          </w:p>
        </w:tc>
        <w:tc>
          <w:tcPr>
            <w:tcW w:w="1276" w:type="dxa"/>
            <w:vAlign w:val="bottom"/>
          </w:tcPr>
          <w:p>
            <w:pPr>
              <w:pStyle w:val="yTableNAm"/>
            </w:pPr>
            <w:r>
              <w:t>$205.71</w:t>
            </w:r>
          </w:p>
        </w:tc>
      </w:tr>
    </w:tbl>
    <w:p>
      <w:pPr>
        <w:pStyle w:val="yHeading5"/>
      </w:pPr>
      <w:bookmarkStart w:id="160" w:name="_Toc391906951"/>
      <w:bookmarkStart w:id="161" w:name="_Toc426119812"/>
      <w:r>
        <w:rPr>
          <w:rStyle w:val="CharSClsNo"/>
        </w:rPr>
        <w:t>19</w:t>
      </w:r>
      <w:r>
        <w:t>.</w:t>
      </w:r>
      <w:r>
        <w:tab/>
        <w:t>Garden supply for metropolitan vacant land</w:t>
      </w:r>
      <w:bookmarkEnd w:id="160"/>
      <w:bookmarkEnd w:id="161"/>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In respect of land in the metropolitan area that is classified as vacant land and is provided with a water supply that is reticulated separately from any other water supply provided in respect of the land and is provided solely for garden purposes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(a)</w:t>
            </w:r>
            <w:r>
              <w:tab/>
              <w:t>if the area of land is less than 400 m</w:t>
            </w:r>
            <w:r>
              <w:rPr>
                <w:vertAlign w:val="superscript"/>
              </w:rPr>
              <w:t>2</w:t>
            </w:r>
            <w:r>
              <w:t xml:space="preserve">, in addition to any other charge applicable to the land under this Schedule, a charge of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276" w:type="dxa"/>
            <w:vAlign w:val="bottom"/>
          </w:tcPr>
          <w:p>
            <w:pPr>
              <w:pStyle w:val="yTableNAm"/>
            </w:pPr>
            <w:r>
              <w:t>$75.48</w:t>
            </w: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(ii)</w:t>
            </w:r>
            <w:r>
              <w:tab/>
              <w:t xml:space="preserve">in the suburb of Baldivis </w:t>
            </w:r>
            <w:r>
              <w:tab/>
            </w:r>
          </w:p>
        </w:tc>
        <w:tc>
          <w:tcPr>
            <w:tcW w:w="1276" w:type="dxa"/>
            <w:vAlign w:val="bottom"/>
          </w:tcPr>
          <w:p>
            <w:pPr>
              <w:pStyle w:val="yTableNAm"/>
            </w:pPr>
            <w:r>
              <w:t>$121.69</w:t>
            </w: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276" w:type="dxa"/>
            <w:vAlign w:val="bottom"/>
          </w:tcPr>
          <w:p>
            <w:pPr>
              <w:pStyle w:val="yTableNAm"/>
            </w:pPr>
            <w:r>
              <w:t>$150.96</w:t>
            </w: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(ii)</w:t>
            </w:r>
            <w:r>
              <w:tab/>
              <w:t xml:space="preserve">in the suburb of Baldivis </w:t>
            </w:r>
            <w:r>
              <w:tab/>
            </w:r>
          </w:p>
        </w:tc>
        <w:tc>
          <w:tcPr>
            <w:tcW w:w="1276" w:type="dxa"/>
            <w:vAlign w:val="bottom"/>
          </w:tcPr>
          <w:p>
            <w:pPr>
              <w:pStyle w:val="yTableNAm"/>
            </w:pPr>
            <w:r>
              <w:t>$243.37</w:t>
            </w:r>
          </w:p>
        </w:tc>
      </w:tr>
    </w:tbl>
    <w:p>
      <w:pPr>
        <w:pStyle w:val="yFootnotesection"/>
      </w:pPr>
      <w:r>
        <w:tab/>
        <w:t>[Division 1 inserted in Gazette 19 Jun 2013 p. 2353-61.]</w:t>
      </w:r>
    </w:p>
    <w:p>
      <w:pPr>
        <w:pStyle w:val="yHeading3"/>
      </w:pPr>
      <w:bookmarkStart w:id="162" w:name="_Toc390772085"/>
      <w:bookmarkStart w:id="163" w:name="_Toc391906952"/>
      <w:bookmarkStart w:id="164" w:name="_Toc426119813"/>
      <w:r>
        <w:rPr>
          <w:rStyle w:val="CharSDivNo"/>
        </w:rPr>
        <w:t>Division 2</w:t>
      </w:r>
      <w:r>
        <w:t> — </w:t>
      </w:r>
      <w:r>
        <w:rPr>
          <w:rStyle w:val="CharSDivText"/>
        </w:rPr>
        <w:t>Quantity charges</w:t>
      </w:r>
      <w:bookmarkEnd w:id="162"/>
      <w:bookmarkEnd w:id="163"/>
      <w:bookmarkEnd w:id="164"/>
    </w:p>
    <w:p>
      <w:pPr>
        <w:pStyle w:val="yFootnoteheading"/>
        <w:keepNext/>
        <w:spacing w:after="120"/>
      </w:pPr>
      <w:r>
        <w:tab/>
        <w:t>[Heading inserted in Gazette 19 Jun 2013 p. 2361.]</w:t>
      </w:r>
    </w:p>
    <w:p>
      <w:pPr>
        <w:pStyle w:val="yHeading5"/>
      </w:pPr>
      <w:bookmarkStart w:id="165" w:name="_Toc391906953"/>
      <w:bookmarkStart w:id="166" w:name="_Toc426119814"/>
      <w:r>
        <w:rPr>
          <w:rStyle w:val="CharSClsNo"/>
        </w:rPr>
        <w:t>20</w:t>
      </w:r>
      <w:r>
        <w:t>.</w:t>
      </w:r>
      <w:r>
        <w:tab/>
        <w:t>Metropolitan residential</w:t>
      </w:r>
      <w:bookmarkEnd w:id="165"/>
      <w:bookmarkEnd w:id="166"/>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up to 150 kL </w:t>
            </w:r>
            <w:r>
              <w:tab/>
            </w:r>
          </w:p>
        </w:tc>
        <w:tc>
          <w:tcPr>
            <w:tcW w:w="1276" w:type="dxa"/>
            <w:vAlign w:val="bottom"/>
          </w:tcPr>
          <w:p>
            <w:pPr>
              <w:pStyle w:val="yTableNAm"/>
            </w:pPr>
            <w:r>
              <w:rPr>
                <w:szCs w:val="22"/>
              </w:rPr>
              <w:t>138.1 cents</w:t>
            </w: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over 150 but not over 500 kL </w:t>
            </w:r>
            <w:r>
              <w:tab/>
            </w:r>
          </w:p>
        </w:tc>
        <w:tc>
          <w:tcPr>
            <w:tcW w:w="1276" w:type="dxa"/>
            <w:vAlign w:val="bottom"/>
          </w:tcPr>
          <w:p>
            <w:pPr>
              <w:pStyle w:val="yTableNAm"/>
            </w:pPr>
            <w:r>
              <w:rPr>
                <w:szCs w:val="22"/>
              </w:rPr>
              <w:t>184.1 cents</w:t>
            </w: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over 500 </w:t>
            </w:r>
            <w:r>
              <w:tab/>
            </w:r>
          </w:p>
        </w:tc>
        <w:tc>
          <w:tcPr>
            <w:tcW w:w="1276" w:type="dxa"/>
            <w:vAlign w:val="bottom"/>
          </w:tcPr>
          <w:p>
            <w:pPr>
              <w:pStyle w:val="yTableNAm"/>
            </w:pPr>
            <w:r>
              <w:rPr>
                <w:szCs w:val="22"/>
              </w:rPr>
              <w:t>260.7 cents</w:t>
            </w:r>
          </w:p>
        </w:tc>
      </w:tr>
    </w:tbl>
    <w:p>
      <w:pPr>
        <w:pStyle w:val="yHeading5"/>
      </w:pPr>
      <w:bookmarkStart w:id="167" w:name="_Toc391906954"/>
      <w:bookmarkStart w:id="168" w:name="_Toc426119815"/>
      <w:r>
        <w:rPr>
          <w:rStyle w:val="CharSClsNo"/>
        </w:rPr>
        <w:t>21</w:t>
      </w:r>
      <w:r>
        <w:rPr>
          <w:bCs/>
        </w:rPr>
        <w:t>.</w:t>
      </w:r>
      <w:r>
        <w:tab/>
        <w:t>Metropolitan</w:t>
      </w:r>
      <w:r>
        <w:rPr>
          <w:bCs/>
        </w:rPr>
        <w:t xml:space="preserve"> semi</w:t>
      </w:r>
      <w:r>
        <w:rPr>
          <w:bCs/>
        </w:rPr>
        <w:noBreakHyphen/>
        <w:t>rural residential</w:t>
      </w:r>
      <w:bookmarkEnd w:id="167"/>
      <w:bookmarkEnd w:id="168"/>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For each kilolitre of water supplied to a semi</w:t>
            </w:r>
            <w:r>
              <w:noBreakHyphen/>
              <w:t>rural residential property, not being water for which a charge is otherwise specifically provided in this Division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up to 150 kL </w:t>
            </w:r>
            <w:r>
              <w:tab/>
            </w:r>
          </w:p>
        </w:tc>
        <w:tc>
          <w:tcPr>
            <w:tcW w:w="1276" w:type="dxa"/>
            <w:vAlign w:val="bottom"/>
          </w:tcPr>
          <w:p>
            <w:pPr>
              <w:pStyle w:val="yTableNAm"/>
            </w:pPr>
            <w:r>
              <w:rPr>
                <w:szCs w:val="22"/>
              </w:rPr>
              <w:t>138.1 cents</w:t>
            </w: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over 150 but not over 500 kL </w:t>
            </w:r>
            <w:r>
              <w:tab/>
            </w:r>
          </w:p>
        </w:tc>
        <w:tc>
          <w:tcPr>
            <w:tcW w:w="1276" w:type="dxa"/>
            <w:vAlign w:val="bottom"/>
          </w:tcPr>
          <w:p>
            <w:pPr>
              <w:pStyle w:val="yTableNAm"/>
            </w:pPr>
            <w:r>
              <w:rPr>
                <w:szCs w:val="22"/>
              </w:rPr>
              <w:t>184.1 cents</w:t>
            </w: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over 500 </w:t>
            </w:r>
            <w:r>
              <w:tab/>
            </w:r>
          </w:p>
        </w:tc>
        <w:tc>
          <w:tcPr>
            <w:tcW w:w="1276" w:type="dxa"/>
            <w:vAlign w:val="bottom"/>
          </w:tcPr>
          <w:p>
            <w:pPr>
              <w:pStyle w:val="yTableNAm"/>
            </w:pPr>
            <w:r>
              <w:rPr>
                <w:szCs w:val="22"/>
              </w:rPr>
              <w:t>260.7 cents</w:t>
            </w:r>
          </w:p>
        </w:tc>
      </w:tr>
    </w:tbl>
    <w:p>
      <w:pPr>
        <w:pStyle w:val="yHeading5"/>
      </w:pPr>
      <w:bookmarkStart w:id="169" w:name="_Toc391906955"/>
      <w:bookmarkStart w:id="170" w:name="_Toc426119816"/>
      <w:r>
        <w:rPr>
          <w:rStyle w:val="CharSClsNo"/>
        </w:rPr>
        <w:t>22</w:t>
      </w:r>
      <w:r>
        <w:t>.</w:t>
      </w:r>
      <w:r>
        <w:tab/>
        <w:t>Non</w:t>
      </w:r>
      <w:r>
        <w:noBreakHyphen/>
        <w:t>metropolitan residential</w:t>
      </w:r>
      <w:bookmarkEnd w:id="169"/>
      <w:bookmarkEnd w:id="170"/>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keepNext/>
              <w:keepLines/>
            </w:pPr>
          </w:p>
        </w:tc>
        <w:tc>
          <w:tcPr>
            <w:tcW w:w="5103" w:type="dxa"/>
          </w:tcPr>
          <w:p>
            <w:pPr>
              <w:pStyle w:val="yTableNAm"/>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76" w:type="dxa"/>
          </w:tcPr>
          <w:p>
            <w:pPr>
              <w:pStyle w:val="yTableNAm"/>
            </w:pPr>
          </w:p>
        </w:tc>
      </w:tr>
    </w:tbl>
    <w:p>
      <w:pPr>
        <w:pStyle w:val="yMiscellaneousBody"/>
        <w:spacing w:before="0"/>
        <w:rPr>
          <w:sz w:val="16"/>
          <w:szCs w:val="16"/>
        </w:rPr>
      </w:pPr>
    </w:p>
    <w:tbl>
      <w:tblPr>
        <w:tblW w:w="0" w:type="auto"/>
        <w:tblInd w:w="879" w:type="dxa"/>
        <w:tblCellMar>
          <w:left w:w="28" w:type="dxa"/>
          <w:right w:w="28" w:type="dxa"/>
        </w:tblCellMar>
        <w:tblLook w:val="0000" w:firstRow="0" w:lastRow="0" w:firstColumn="0" w:lastColumn="0" w:noHBand="0" w:noVBand="0"/>
      </w:tblPr>
      <w:tblGrid>
        <w:gridCol w:w="1413"/>
        <w:gridCol w:w="973"/>
        <w:gridCol w:w="972"/>
        <w:gridCol w:w="972"/>
        <w:gridCol w:w="972"/>
        <w:gridCol w:w="974"/>
      </w:tblGrid>
      <w:tr>
        <w:trPr>
          <w:cantSplit/>
          <w:tblHeader/>
        </w:trPr>
        <w:tc>
          <w:tcPr>
            <w:tcW w:w="1417" w:type="dxa"/>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pPr>
            <w:r>
              <w:rPr>
                <w:b/>
                <w:bCs/>
              </w:rPr>
              <w:t>Class 1 (c/kL)</w:t>
            </w:r>
          </w:p>
        </w:tc>
        <w:tc>
          <w:tcPr>
            <w:tcW w:w="992" w:type="dxa"/>
            <w:tcBorders>
              <w:top w:val="single" w:sz="4" w:space="0" w:color="auto"/>
              <w:bottom w:val="single" w:sz="4" w:space="0" w:color="auto"/>
            </w:tcBorders>
          </w:tcPr>
          <w:p>
            <w:pPr>
              <w:pStyle w:val="yTableNAm"/>
            </w:pPr>
            <w:r>
              <w:rPr>
                <w:b/>
                <w:bCs/>
              </w:rPr>
              <w:t>Class 2 (c/kL)</w:t>
            </w:r>
          </w:p>
        </w:tc>
        <w:tc>
          <w:tcPr>
            <w:tcW w:w="992" w:type="dxa"/>
            <w:tcBorders>
              <w:top w:val="single" w:sz="4" w:space="0" w:color="auto"/>
              <w:bottom w:val="single" w:sz="4" w:space="0" w:color="auto"/>
            </w:tcBorders>
          </w:tcPr>
          <w:p>
            <w:pPr>
              <w:pStyle w:val="yTableNAm"/>
            </w:pPr>
            <w:r>
              <w:rPr>
                <w:b/>
                <w:bCs/>
              </w:rPr>
              <w:t>Class 3 (c/kL)</w:t>
            </w:r>
          </w:p>
        </w:tc>
        <w:tc>
          <w:tcPr>
            <w:tcW w:w="992" w:type="dxa"/>
            <w:tcBorders>
              <w:top w:val="single" w:sz="4" w:space="0" w:color="auto"/>
              <w:bottom w:val="single" w:sz="4" w:space="0" w:color="auto"/>
            </w:tcBorders>
          </w:tcPr>
          <w:p>
            <w:pPr>
              <w:pStyle w:val="yTableNAm"/>
            </w:pPr>
            <w:r>
              <w:rPr>
                <w:b/>
                <w:bCs/>
              </w:rPr>
              <w:t>Class 4 (c/kL)</w:t>
            </w:r>
          </w:p>
        </w:tc>
        <w:tc>
          <w:tcPr>
            <w:tcW w:w="994" w:type="dxa"/>
            <w:tcBorders>
              <w:top w:val="single" w:sz="4" w:space="0" w:color="auto"/>
              <w:bottom w:val="single" w:sz="4" w:space="0" w:color="auto"/>
            </w:tcBorders>
          </w:tcPr>
          <w:p>
            <w:pPr>
              <w:pStyle w:val="yTableNAm"/>
            </w:pPr>
            <w:r>
              <w:rPr>
                <w:b/>
                <w:bCs/>
              </w:rPr>
              <w:t>Class 5 (c/kL)</w:t>
            </w:r>
          </w:p>
        </w:tc>
      </w:tr>
      <w:tr>
        <w:trPr>
          <w:cantSplit/>
        </w:trPr>
        <w:tc>
          <w:tcPr>
            <w:tcW w:w="1417" w:type="dxa"/>
          </w:tcPr>
          <w:p>
            <w:pPr>
              <w:pStyle w:val="yTableNAm"/>
            </w:pPr>
            <w:r>
              <w:t>Up to 150</w:t>
            </w:r>
          </w:p>
        </w:tc>
        <w:tc>
          <w:tcPr>
            <w:tcW w:w="992" w:type="dxa"/>
            <w:vAlign w:val="bottom"/>
          </w:tcPr>
          <w:p>
            <w:pPr>
              <w:pStyle w:val="yTableNAm"/>
            </w:pPr>
            <w:r>
              <w:rPr>
                <w:szCs w:val="22"/>
              </w:rPr>
              <w:t>105.5</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994" w:type="dxa"/>
            <w:vAlign w:val="bottom"/>
          </w:tcPr>
          <w:p>
            <w:pPr>
              <w:pStyle w:val="yTableNAm"/>
            </w:pPr>
            <w:r>
              <w:rPr>
                <w:szCs w:val="22"/>
              </w:rPr>
              <w:t>138.1</w:t>
            </w:r>
          </w:p>
        </w:tc>
      </w:tr>
      <w:tr>
        <w:trPr>
          <w:cantSplit/>
        </w:trPr>
        <w:tc>
          <w:tcPr>
            <w:tcW w:w="1417" w:type="dxa"/>
          </w:tcPr>
          <w:p>
            <w:pPr>
              <w:pStyle w:val="yTableNAm"/>
            </w:pPr>
            <w:r>
              <w:t>Over 150 but not over 300</w:t>
            </w:r>
          </w:p>
        </w:tc>
        <w:tc>
          <w:tcPr>
            <w:tcW w:w="992" w:type="dxa"/>
            <w:vAlign w:val="bottom"/>
          </w:tcPr>
          <w:p>
            <w:pPr>
              <w:pStyle w:val="yTableNAm"/>
            </w:pPr>
            <w:r>
              <w:rPr>
                <w:szCs w:val="22"/>
              </w:rPr>
              <w:t>140.4</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994" w:type="dxa"/>
            <w:vAlign w:val="bottom"/>
          </w:tcPr>
          <w:p>
            <w:pPr>
              <w:pStyle w:val="yTableNAm"/>
            </w:pPr>
            <w:r>
              <w:rPr>
                <w:szCs w:val="22"/>
              </w:rPr>
              <w:t>184.1</w:t>
            </w:r>
          </w:p>
        </w:tc>
      </w:tr>
      <w:tr>
        <w:trPr>
          <w:cantSplit/>
        </w:trPr>
        <w:tc>
          <w:tcPr>
            <w:tcW w:w="1417" w:type="dxa"/>
          </w:tcPr>
          <w:p>
            <w:pPr>
              <w:pStyle w:val="yTableNAm"/>
            </w:pPr>
            <w:r>
              <w:t>Over 300 but not over 550</w:t>
            </w:r>
          </w:p>
        </w:tc>
        <w:tc>
          <w:tcPr>
            <w:tcW w:w="992" w:type="dxa"/>
            <w:vAlign w:val="bottom"/>
          </w:tcPr>
          <w:p>
            <w:pPr>
              <w:pStyle w:val="yTableNAm"/>
            </w:pPr>
            <w:r>
              <w:rPr>
                <w:szCs w:val="22"/>
              </w:rPr>
              <w:t>148.6</w:t>
            </w:r>
          </w:p>
        </w:tc>
        <w:tc>
          <w:tcPr>
            <w:tcW w:w="992" w:type="dxa"/>
            <w:vAlign w:val="bottom"/>
          </w:tcPr>
          <w:p>
            <w:pPr>
              <w:pStyle w:val="yTableNAm"/>
            </w:pPr>
            <w:r>
              <w:rPr>
                <w:szCs w:val="22"/>
              </w:rPr>
              <w:t>204.3</w:t>
            </w:r>
          </w:p>
        </w:tc>
        <w:tc>
          <w:tcPr>
            <w:tcW w:w="992" w:type="dxa"/>
            <w:vAlign w:val="bottom"/>
          </w:tcPr>
          <w:p>
            <w:pPr>
              <w:pStyle w:val="yTableNAm"/>
            </w:pPr>
            <w:r>
              <w:rPr>
                <w:szCs w:val="22"/>
              </w:rPr>
              <w:t>272.2</w:t>
            </w:r>
          </w:p>
        </w:tc>
        <w:tc>
          <w:tcPr>
            <w:tcW w:w="992" w:type="dxa"/>
            <w:vAlign w:val="bottom"/>
          </w:tcPr>
          <w:p>
            <w:pPr>
              <w:pStyle w:val="yTableNAm"/>
            </w:pPr>
            <w:r>
              <w:rPr>
                <w:szCs w:val="22"/>
              </w:rPr>
              <w:t>320.2</w:t>
            </w:r>
          </w:p>
        </w:tc>
        <w:tc>
          <w:tcPr>
            <w:tcW w:w="994" w:type="dxa"/>
            <w:vAlign w:val="bottom"/>
          </w:tcPr>
          <w:p>
            <w:pPr>
              <w:pStyle w:val="yTableNAm"/>
            </w:pPr>
            <w:r>
              <w:rPr>
                <w:szCs w:val="22"/>
              </w:rPr>
              <w:t>376.6</w:t>
            </w:r>
          </w:p>
        </w:tc>
      </w:tr>
      <w:tr>
        <w:trPr>
          <w:cantSplit/>
        </w:trPr>
        <w:tc>
          <w:tcPr>
            <w:tcW w:w="1417" w:type="dxa"/>
            <w:tcBorders>
              <w:bottom w:val="single" w:sz="4" w:space="0" w:color="auto"/>
            </w:tcBorders>
          </w:tcPr>
          <w:p>
            <w:pPr>
              <w:pStyle w:val="yTableNAm"/>
            </w:pPr>
            <w:r>
              <w:t>Over 550</w:t>
            </w:r>
          </w:p>
        </w:tc>
        <w:tc>
          <w:tcPr>
            <w:tcW w:w="992" w:type="dxa"/>
            <w:tcBorders>
              <w:bottom w:val="single" w:sz="4" w:space="0" w:color="auto"/>
            </w:tcBorders>
            <w:vAlign w:val="bottom"/>
          </w:tcPr>
          <w:p>
            <w:pPr>
              <w:pStyle w:val="yTableNAm"/>
            </w:pPr>
            <w:r>
              <w:rPr>
                <w:szCs w:val="22"/>
              </w:rPr>
              <w:t>173.4</w:t>
            </w:r>
          </w:p>
        </w:tc>
        <w:tc>
          <w:tcPr>
            <w:tcW w:w="992" w:type="dxa"/>
            <w:tcBorders>
              <w:bottom w:val="single" w:sz="4" w:space="0" w:color="auto"/>
            </w:tcBorders>
            <w:vAlign w:val="bottom"/>
          </w:tcPr>
          <w:p>
            <w:pPr>
              <w:pStyle w:val="yTableNAm"/>
            </w:pPr>
            <w:r>
              <w:rPr>
                <w:szCs w:val="22"/>
              </w:rPr>
              <w:t>260.7</w:t>
            </w:r>
          </w:p>
        </w:tc>
        <w:tc>
          <w:tcPr>
            <w:tcW w:w="992" w:type="dxa"/>
            <w:tcBorders>
              <w:bottom w:val="single" w:sz="4" w:space="0" w:color="auto"/>
            </w:tcBorders>
            <w:vAlign w:val="bottom"/>
          </w:tcPr>
          <w:p>
            <w:pPr>
              <w:pStyle w:val="yTableNAm"/>
            </w:pPr>
            <w:r>
              <w:rPr>
                <w:szCs w:val="22"/>
              </w:rPr>
              <w:t>347.0</w:t>
            </w:r>
          </w:p>
        </w:tc>
        <w:tc>
          <w:tcPr>
            <w:tcW w:w="992" w:type="dxa"/>
            <w:tcBorders>
              <w:bottom w:val="single" w:sz="4" w:space="0" w:color="auto"/>
            </w:tcBorders>
            <w:vAlign w:val="bottom"/>
          </w:tcPr>
          <w:p>
            <w:pPr>
              <w:pStyle w:val="yTableNAm"/>
            </w:pPr>
            <w:r>
              <w:rPr>
                <w:szCs w:val="22"/>
              </w:rPr>
              <w:t>480.0</w:t>
            </w:r>
          </w:p>
        </w:tc>
        <w:tc>
          <w:tcPr>
            <w:tcW w:w="994" w:type="dxa"/>
            <w:tcBorders>
              <w:bottom w:val="single" w:sz="4" w:space="0" w:color="auto"/>
            </w:tcBorders>
            <w:vAlign w:val="bottom"/>
          </w:tcPr>
          <w:p>
            <w:pPr>
              <w:pStyle w:val="yTableNAm"/>
            </w:pPr>
            <w:r>
              <w:rPr>
                <w:szCs w:val="22"/>
              </w:rPr>
              <w:t>647.4</w:t>
            </w:r>
          </w:p>
        </w:tc>
      </w:tr>
    </w:tbl>
    <w:p>
      <w:pPr>
        <w:pStyle w:val="yTableNAm"/>
        <w:ind w:left="851" w:right="1284"/>
      </w:pPr>
      <w:r>
        <w:t>except that if the property is —</w:t>
      </w:r>
    </w:p>
    <w:p>
      <w:pPr>
        <w:pStyle w:val="yTableNAm"/>
        <w:tabs>
          <w:tab w:val="clear" w:pos="567"/>
          <w:tab w:val="left" w:pos="1276"/>
          <w:tab w:val="left" w:pos="1701"/>
        </w:tabs>
        <w:ind w:left="1701" w:right="1284" w:hanging="1580"/>
        <w:rPr>
          <w:rFonts w:ascii="Arial" w:hAnsi="Arial"/>
          <w:b/>
        </w:rPr>
      </w:pPr>
      <w:r>
        <w:rPr>
          <w:snapToGrid w:val="0"/>
        </w:rPr>
        <w:tab/>
        <w:t>(a)</w:t>
      </w:r>
      <w:r>
        <w:rPr>
          <w:snapToGrid w:val="0"/>
        </w:rPr>
        <w:tab/>
        <w:t>in the town of Cue, Laverton, Leonora, Meekatharra, Menzies, Mt Magnet, Mullewa, Sandstone, Wiluna or Yalgoo; or</w:t>
      </w:r>
    </w:p>
    <w:p>
      <w:pPr>
        <w:pStyle w:val="yTableNAm"/>
        <w:keepNext/>
        <w:keepLines/>
        <w:tabs>
          <w:tab w:val="clear" w:pos="567"/>
          <w:tab w:val="left" w:pos="1276"/>
          <w:tab w:val="left" w:pos="1701"/>
        </w:tabs>
        <w:ind w:left="1701" w:right="1281" w:hanging="1580"/>
        <w:rPr>
          <w:rFonts w:ascii="Arial" w:hAnsi="Arial"/>
          <w:b/>
        </w:rPr>
      </w:pPr>
      <w:r>
        <w:rPr>
          <w:snapToGrid w:val="0"/>
        </w:rPr>
        <w:tab/>
        <w:t>(b)</w:t>
      </w:r>
      <w:r>
        <w:rPr>
          <w:snapToGrid w:val="0"/>
        </w:rPr>
        <w:tab/>
        <w:t>north of 26°S Latitude,</w:t>
      </w:r>
    </w:p>
    <w:p>
      <w:pPr>
        <w:pStyle w:val="yTableNAm"/>
        <w:keepNext/>
        <w:keepLines/>
        <w:ind w:left="851" w:right="1281"/>
        <w:rPr>
          <w:snapToGrid w:val="0"/>
        </w:rPr>
      </w:pPr>
      <w:r>
        <w:t>the charge for each kilolitre of water is —</w:t>
      </w:r>
    </w:p>
    <w:p>
      <w:pPr>
        <w:keepNext/>
        <w:keepLines/>
        <w:spacing w:before="120"/>
        <w:rPr>
          <w:sz w:val="8"/>
          <w:szCs w:val="8"/>
        </w:rPr>
      </w:pPr>
    </w:p>
    <w:tbl>
      <w:tblPr>
        <w:tblW w:w="0" w:type="auto"/>
        <w:tblInd w:w="879" w:type="dxa"/>
        <w:tblCellMar>
          <w:left w:w="28" w:type="dxa"/>
          <w:right w:w="28" w:type="dxa"/>
        </w:tblCellMar>
        <w:tblLook w:val="0000" w:firstRow="0" w:lastRow="0" w:firstColumn="0" w:lastColumn="0" w:noHBand="0" w:noVBand="0"/>
      </w:tblPr>
      <w:tblGrid>
        <w:gridCol w:w="1409"/>
        <w:gridCol w:w="958"/>
        <w:gridCol w:w="958"/>
        <w:gridCol w:w="958"/>
        <w:gridCol w:w="958"/>
        <w:gridCol w:w="1032"/>
      </w:tblGrid>
      <w:tr>
        <w:trPr>
          <w:cantSplit/>
          <w:tblHeader/>
        </w:trPr>
        <w:tc>
          <w:tcPr>
            <w:tcW w:w="1409" w:type="dxa"/>
            <w:tcBorders>
              <w:top w:val="single" w:sz="4" w:space="0" w:color="auto"/>
              <w:bottom w:val="single" w:sz="4" w:space="0" w:color="auto"/>
            </w:tcBorders>
          </w:tcPr>
          <w:p>
            <w:pPr>
              <w:pStyle w:val="yTableNAm"/>
              <w:keepNext/>
              <w:keepLines/>
            </w:pPr>
            <w:r>
              <w:rPr>
                <w:b/>
                <w:bCs/>
              </w:rPr>
              <w:br w:type="page"/>
              <w:t>Consumption (kL)</w:t>
            </w:r>
          </w:p>
        </w:tc>
        <w:tc>
          <w:tcPr>
            <w:tcW w:w="958" w:type="dxa"/>
            <w:tcBorders>
              <w:top w:val="single" w:sz="4" w:space="0" w:color="auto"/>
              <w:bottom w:val="single" w:sz="4" w:space="0" w:color="auto"/>
            </w:tcBorders>
          </w:tcPr>
          <w:p>
            <w:pPr>
              <w:pStyle w:val="yTableNAm"/>
              <w:keepNext/>
              <w:keepLines/>
            </w:pPr>
            <w:r>
              <w:rPr>
                <w:b/>
                <w:bCs/>
              </w:rPr>
              <w:t>Class 1 (c/kL)</w:t>
            </w:r>
          </w:p>
        </w:tc>
        <w:tc>
          <w:tcPr>
            <w:tcW w:w="958" w:type="dxa"/>
            <w:tcBorders>
              <w:top w:val="single" w:sz="4" w:space="0" w:color="auto"/>
              <w:bottom w:val="single" w:sz="4" w:space="0" w:color="auto"/>
            </w:tcBorders>
          </w:tcPr>
          <w:p>
            <w:pPr>
              <w:pStyle w:val="yTableNAm"/>
              <w:keepNext/>
              <w:keepLines/>
            </w:pPr>
            <w:r>
              <w:rPr>
                <w:b/>
                <w:bCs/>
              </w:rPr>
              <w:t>Class 2 (c/kL)</w:t>
            </w:r>
          </w:p>
        </w:tc>
        <w:tc>
          <w:tcPr>
            <w:tcW w:w="958" w:type="dxa"/>
            <w:tcBorders>
              <w:top w:val="single" w:sz="4" w:space="0" w:color="auto"/>
              <w:bottom w:val="single" w:sz="4" w:space="0" w:color="auto"/>
            </w:tcBorders>
          </w:tcPr>
          <w:p>
            <w:pPr>
              <w:pStyle w:val="yTableNAm"/>
              <w:keepNext/>
              <w:keepLines/>
            </w:pPr>
            <w:r>
              <w:rPr>
                <w:b/>
                <w:bCs/>
              </w:rPr>
              <w:t>Class 3 (c/kL)</w:t>
            </w:r>
          </w:p>
        </w:tc>
        <w:tc>
          <w:tcPr>
            <w:tcW w:w="958" w:type="dxa"/>
            <w:tcBorders>
              <w:top w:val="single" w:sz="4" w:space="0" w:color="auto"/>
              <w:bottom w:val="single" w:sz="4" w:space="0" w:color="auto"/>
            </w:tcBorders>
          </w:tcPr>
          <w:p>
            <w:pPr>
              <w:pStyle w:val="yTableNAm"/>
              <w:keepNext/>
              <w:keepLines/>
            </w:pPr>
            <w:r>
              <w:rPr>
                <w:b/>
                <w:bCs/>
              </w:rPr>
              <w:t>Class 4 (c/kL)</w:t>
            </w:r>
          </w:p>
        </w:tc>
        <w:tc>
          <w:tcPr>
            <w:tcW w:w="1032" w:type="dxa"/>
            <w:tcBorders>
              <w:top w:val="single" w:sz="4" w:space="0" w:color="auto"/>
              <w:bottom w:val="single" w:sz="4" w:space="0" w:color="auto"/>
            </w:tcBorders>
          </w:tcPr>
          <w:p>
            <w:pPr>
              <w:pStyle w:val="yTableNAm"/>
              <w:keepNext/>
              <w:keepLines/>
            </w:pPr>
            <w:r>
              <w:rPr>
                <w:b/>
                <w:bCs/>
              </w:rPr>
              <w:t>Class 5 (c/kL)</w:t>
            </w:r>
          </w:p>
        </w:tc>
      </w:tr>
      <w:tr>
        <w:trPr>
          <w:cantSplit/>
        </w:trPr>
        <w:tc>
          <w:tcPr>
            <w:tcW w:w="1409" w:type="dxa"/>
          </w:tcPr>
          <w:p>
            <w:pPr>
              <w:pStyle w:val="yTableNAm"/>
            </w:pPr>
            <w:r>
              <w:t>Up to 350</w:t>
            </w:r>
          </w:p>
        </w:tc>
        <w:tc>
          <w:tcPr>
            <w:tcW w:w="958" w:type="dxa"/>
            <w:vAlign w:val="bottom"/>
          </w:tcPr>
          <w:p>
            <w:pPr>
              <w:pStyle w:val="yTableNAm"/>
            </w:pPr>
            <w:r>
              <w:rPr>
                <w:szCs w:val="22"/>
              </w:rPr>
              <w:t>105.5</w:t>
            </w:r>
          </w:p>
        </w:tc>
        <w:tc>
          <w:tcPr>
            <w:tcW w:w="958" w:type="dxa"/>
            <w:vAlign w:val="bottom"/>
          </w:tcPr>
          <w:p>
            <w:pPr>
              <w:pStyle w:val="yTableNAm"/>
            </w:pPr>
            <w:r>
              <w:rPr>
                <w:szCs w:val="22"/>
              </w:rPr>
              <w:t>138.1</w:t>
            </w:r>
          </w:p>
        </w:tc>
        <w:tc>
          <w:tcPr>
            <w:tcW w:w="958" w:type="dxa"/>
            <w:vAlign w:val="bottom"/>
          </w:tcPr>
          <w:p>
            <w:pPr>
              <w:pStyle w:val="yTableNAm"/>
            </w:pPr>
            <w:r>
              <w:rPr>
                <w:szCs w:val="22"/>
              </w:rPr>
              <w:t>138.1</w:t>
            </w:r>
          </w:p>
        </w:tc>
        <w:tc>
          <w:tcPr>
            <w:tcW w:w="958" w:type="dxa"/>
            <w:vAlign w:val="bottom"/>
          </w:tcPr>
          <w:p>
            <w:pPr>
              <w:pStyle w:val="yTableNAm"/>
            </w:pPr>
            <w:r>
              <w:rPr>
                <w:szCs w:val="22"/>
              </w:rPr>
              <w:t>138.1</w:t>
            </w:r>
          </w:p>
        </w:tc>
        <w:tc>
          <w:tcPr>
            <w:tcW w:w="1032" w:type="dxa"/>
            <w:vAlign w:val="bottom"/>
          </w:tcPr>
          <w:p>
            <w:pPr>
              <w:pStyle w:val="yTableNAm"/>
            </w:pPr>
            <w:r>
              <w:rPr>
                <w:szCs w:val="22"/>
              </w:rPr>
              <w:t>138.1</w:t>
            </w:r>
          </w:p>
        </w:tc>
      </w:tr>
      <w:tr>
        <w:trPr>
          <w:cantSplit/>
        </w:trPr>
        <w:tc>
          <w:tcPr>
            <w:tcW w:w="1409" w:type="dxa"/>
          </w:tcPr>
          <w:p>
            <w:pPr>
              <w:pStyle w:val="yTableNAm"/>
            </w:pPr>
            <w:r>
              <w:t>Over 350 but not over 500</w:t>
            </w:r>
          </w:p>
        </w:tc>
        <w:tc>
          <w:tcPr>
            <w:tcW w:w="958" w:type="dxa"/>
            <w:vAlign w:val="bottom"/>
          </w:tcPr>
          <w:p>
            <w:pPr>
              <w:pStyle w:val="yTableNAm"/>
            </w:pPr>
            <w:r>
              <w:rPr>
                <w:szCs w:val="22"/>
              </w:rPr>
              <w:t>140.4</w:t>
            </w:r>
          </w:p>
        </w:tc>
        <w:tc>
          <w:tcPr>
            <w:tcW w:w="958" w:type="dxa"/>
            <w:vAlign w:val="bottom"/>
          </w:tcPr>
          <w:p>
            <w:pPr>
              <w:pStyle w:val="yTableNAm"/>
            </w:pPr>
            <w:r>
              <w:rPr>
                <w:szCs w:val="22"/>
              </w:rPr>
              <w:t>184.1</w:t>
            </w:r>
          </w:p>
        </w:tc>
        <w:tc>
          <w:tcPr>
            <w:tcW w:w="958" w:type="dxa"/>
            <w:vAlign w:val="bottom"/>
          </w:tcPr>
          <w:p>
            <w:pPr>
              <w:pStyle w:val="yTableNAm"/>
            </w:pPr>
            <w:r>
              <w:rPr>
                <w:szCs w:val="22"/>
              </w:rPr>
              <w:t>184.1</w:t>
            </w:r>
          </w:p>
        </w:tc>
        <w:tc>
          <w:tcPr>
            <w:tcW w:w="958" w:type="dxa"/>
            <w:vAlign w:val="bottom"/>
          </w:tcPr>
          <w:p>
            <w:pPr>
              <w:pStyle w:val="yTableNAm"/>
            </w:pPr>
            <w:r>
              <w:rPr>
                <w:szCs w:val="22"/>
              </w:rPr>
              <w:t>184.1</w:t>
            </w:r>
          </w:p>
        </w:tc>
        <w:tc>
          <w:tcPr>
            <w:tcW w:w="1032" w:type="dxa"/>
            <w:vAlign w:val="bottom"/>
          </w:tcPr>
          <w:p>
            <w:pPr>
              <w:pStyle w:val="yTableNAm"/>
            </w:pPr>
            <w:r>
              <w:rPr>
                <w:szCs w:val="22"/>
              </w:rPr>
              <w:t>184.1</w:t>
            </w:r>
          </w:p>
        </w:tc>
      </w:tr>
      <w:tr>
        <w:trPr>
          <w:cantSplit/>
        </w:trPr>
        <w:tc>
          <w:tcPr>
            <w:tcW w:w="1409" w:type="dxa"/>
          </w:tcPr>
          <w:p>
            <w:pPr>
              <w:pStyle w:val="yTableNAm"/>
            </w:pPr>
            <w:r>
              <w:t>Over 500 but not over 750</w:t>
            </w:r>
          </w:p>
        </w:tc>
        <w:tc>
          <w:tcPr>
            <w:tcW w:w="958" w:type="dxa"/>
            <w:vAlign w:val="bottom"/>
          </w:tcPr>
          <w:p>
            <w:pPr>
              <w:pStyle w:val="yTableNAm"/>
            </w:pPr>
            <w:r>
              <w:rPr>
                <w:szCs w:val="22"/>
              </w:rPr>
              <w:t>148.6</w:t>
            </w:r>
          </w:p>
        </w:tc>
        <w:tc>
          <w:tcPr>
            <w:tcW w:w="958" w:type="dxa"/>
            <w:vAlign w:val="bottom"/>
          </w:tcPr>
          <w:p>
            <w:pPr>
              <w:pStyle w:val="yTableNAm"/>
            </w:pPr>
            <w:r>
              <w:rPr>
                <w:szCs w:val="22"/>
              </w:rPr>
              <w:t>204.3</w:t>
            </w:r>
          </w:p>
        </w:tc>
        <w:tc>
          <w:tcPr>
            <w:tcW w:w="958" w:type="dxa"/>
            <w:vAlign w:val="bottom"/>
          </w:tcPr>
          <w:p>
            <w:pPr>
              <w:pStyle w:val="yTableNAm"/>
            </w:pPr>
            <w:r>
              <w:rPr>
                <w:szCs w:val="22"/>
              </w:rPr>
              <w:t>272.2</w:t>
            </w:r>
          </w:p>
        </w:tc>
        <w:tc>
          <w:tcPr>
            <w:tcW w:w="958" w:type="dxa"/>
            <w:vAlign w:val="bottom"/>
          </w:tcPr>
          <w:p>
            <w:pPr>
              <w:pStyle w:val="yTableNAm"/>
            </w:pPr>
            <w:r>
              <w:rPr>
                <w:szCs w:val="22"/>
              </w:rPr>
              <w:t>320.2</w:t>
            </w:r>
          </w:p>
        </w:tc>
        <w:tc>
          <w:tcPr>
            <w:tcW w:w="1032" w:type="dxa"/>
            <w:vAlign w:val="bottom"/>
          </w:tcPr>
          <w:p>
            <w:pPr>
              <w:pStyle w:val="yTableNAm"/>
            </w:pPr>
            <w:r>
              <w:rPr>
                <w:szCs w:val="22"/>
              </w:rPr>
              <w:t>376.6</w:t>
            </w:r>
          </w:p>
        </w:tc>
      </w:tr>
      <w:tr>
        <w:trPr>
          <w:cantSplit/>
        </w:trPr>
        <w:tc>
          <w:tcPr>
            <w:tcW w:w="1409" w:type="dxa"/>
            <w:tcBorders>
              <w:bottom w:val="single" w:sz="4" w:space="0" w:color="auto"/>
            </w:tcBorders>
          </w:tcPr>
          <w:p>
            <w:pPr>
              <w:pStyle w:val="yTableNAm"/>
            </w:pPr>
            <w:r>
              <w:t>Over 750</w:t>
            </w:r>
          </w:p>
        </w:tc>
        <w:tc>
          <w:tcPr>
            <w:tcW w:w="958" w:type="dxa"/>
            <w:tcBorders>
              <w:bottom w:val="single" w:sz="4" w:space="0" w:color="auto"/>
            </w:tcBorders>
            <w:vAlign w:val="bottom"/>
          </w:tcPr>
          <w:p>
            <w:pPr>
              <w:pStyle w:val="yTableNAm"/>
            </w:pPr>
            <w:r>
              <w:rPr>
                <w:szCs w:val="22"/>
              </w:rPr>
              <w:t>173.4</w:t>
            </w:r>
          </w:p>
        </w:tc>
        <w:tc>
          <w:tcPr>
            <w:tcW w:w="958" w:type="dxa"/>
            <w:tcBorders>
              <w:bottom w:val="single" w:sz="4" w:space="0" w:color="auto"/>
            </w:tcBorders>
            <w:vAlign w:val="bottom"/>
          </w:tcPr>
          <w:p>
            <w:pPr>
              <w:pStyle w:val="yTableNAm"/>
            </w:pPr>
            <w:r>
              <w:rPr>
                <w:szCs w:val="22"/>
              </w:rPr>
              <w:t>260.7</w:t>
            </w:r>
          </w:p>
        </w:tc>
        <w:tc>
          <w:tcPr>
            <w:tcW w:w="958" w:type="dxa"/>
            <w:tcBorders>
              <w:bottom w:val="single" w:sz="4" w:space="0" w:color="auto"/>
            </w:tcBorders>
            <w:vAlign w:val="bottom"/>
          </w:tcPr>
          <w:p>
            <w:pPr>
              <w:pStyle w:val="yTableNAm"/>
            </w:pPr>
            <w:r>
              <w:rPr>
                <w:szCs w:val="22"/>
              </w:rPr>
              <w:t>347.0</w:t>
            </w:r>
          </w:p>
        </w:tc>
        <w:tc>
          <w:tcPr>
            <w:tcW w:w="958" w:type="dxa"/>
            <w:tcBorders>
              <w:bottom w:val="single" w:sz="4" w:space="0" w:color="auto"/>
            </w:tcBorders>
            <w:vAlign w:val="bottom"/>
          </w:tcPr>
          <w:p>
            <w:pPr>
              <w:pStyle w:val="yTableNAm"/>
            </w:pPr>
            <w:r>
              <w:rPr>
                <w:szCs w:val="22"/>
              </w:rPr>
              <w:t>480.0</w:t>
            </w:r>
          </w:p>
        </w:tc>
        <w:tc>
          <w:tcPr>
            <w:tcW w:w="1032" w:type="dxa"/>
            <w:tcBorders>
              <w:bottom w:val="single" w:sz="4" w:space="0" w:color="auto"/>
            </w:tcBorders>
            <w:vAlign w:val="bottom"/>
          </w:tcPr>
          <w:p>
            <w:pPr>
              <w:pStyle w:val="yTableNAm"/>
            </w:pPr>
            <w:r>
              <w:rPr>
                <w:szCs w:val="22"/>
              </w:rPr>
              <w:t>647.4</w:t>
            </w:r>
          </w:p>
        </w:tc>
      </w:tr>
    </w:tbl>
    <w:p>
      <w:pPr>
        <w:pStyle w:val="yHeading5"/>
      </w:pPr>
      <w:bookmarkStart w:id="171" w:name="_Toc391906956"/>
      <w:bookmarkStart w:id="172" w:name="_Toc426119817"/>
      <w:r>
        <w:rPr>
          <w:rStyle w:val="CharSClsNo"/>
        </w:rPr>
        <w:t>23</w:t>
      </w:r>
      <w:r>
        <w:t>.</w:t>
      </w:r>
      <w:r>
        <w:tab/>
        <w:t>Community residential</w:t>
      </w:r>
      <w:bookmarkEnd w:id="171"/>
      <w:bookmarkEnd w:id="172"/>
    </w:p>
    <w:tbl>
      <w:tblPr>
        <w:tblW w:w="0" w:type="auto"/>
        <w:tblInd w:w="-34" w:type="dxa"/>
        <w:tblLook w:val="0000" w:firstRow="0" w:lastRow="0" w:firstColumn="0" w:lastColumn="0" w:noHBand="0" w:noVBand="0"/>
      </w:tblPr>
      <w:tblGrid>
        <w:gridCol w:w="907"/>
        <w:gridCol w:w="5103"/>
        <w:gridCol w:w="1276"/>
      </w:tblGrid>
      <w:tr>
        <w:trPr>
          <w:cantSplit/>
        </w:trPr>
        <w:tc>
          <w:tcPr>
            <w:tcW w:w="6010" w:type="dxa"/>
            <w:gridSpan w:val="2"/>
          </w:tcPr>
          <w:p>
            <w:pPr>
              <w:pStyle w:val="yTableNAm"/>
              <w:tabs>
                <w:tab w:val="clear" w:pos="567"/>
                <w:tab w:val="left" w:pos="460"/>
                <w:tab w:val="left" w:pos="885"/>
              </w:tabs>
              <w:ind w:left="885" w:hanging="885"/>
              <w:rPr>
                <w:rFonts w:ascii="Arial" w:hAnsi="Arial"/>
                <w:b/>
              </w:rPr>
            </w:pPr>
            <w:r>
              <w:tab/>
              <w:t>(1)</w:t>
            </w:r>
            <w:r>
              <w:tab/>
              <w:t>For each kilolitre of water supplied to a discrete residential unit as determined under by</w:t>
            </w:r>
            <w:r>
              <w:noBreakHyphen/>
              <w:t>law 16 that is in the metropolitan area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403"/>
                <w:tab w:val="right" w:leader="dot" w:pos="4887"/>
              </w:tabs>
              <w:ind w:left="982" w:hanging="982"/>
              <w:rPr>
                <w:rFonts w:ascii="Arial" w:hAnsi="Arial"/>
                <w:b/>
              </w:rPr>
            </w:pPr>
            <w:r>
              <w:rPr>
                <w:spacing w:val="-1"/>
              </w:rPr>
              <w:tab/>
            </w:r>
            <w:r>
              <w:t>up</w:t>
            </w:r>
            <w:r>
              <w:rPr>
                <w:spacing w:val="-1"/>
              </w:rPr>
              <w:t xml:space="preserve"> to 150 kL </w:t>
            </w:r>
            <w:r>
              <w:rPr>
                <w:spacing w:val="-1"/>
              </w:rPr>
              <w:tab/>
            </w:r>
          </w:p>
        </w:tc>
        <w:tc>
          <w:tcPr>
            <w:tcW w:w="1276" w:type="dxa"/>
            <w:vAlign w:val="bottom"/>
          </w:tcPr>
          <w:p>
            <w:pPr>
              <w:pStyle w:val="yTableNAm"/>
            </w:pPr>
            <w:r>
              <w:rPr>
                <w:szCs w:val="22"/>
              </w:rPr>
              <w:t>69.0 cents</w:t>
            </w:r>
          </w:p>
        </w:tc>
      </w:tr>
      <w:tr>
        <w:trPr>
          <w:cantSplit/>
        </w:trPr>
        <w:tc>
          <w:tcPr>
            <w:tcW w:w="907" w:type="dxa"/>
          </w:tcPr>
          <w:p>
            <w:pPr>
              <w:pStyle w:val="zyTableNAm"/>
            </w:pPr>
          </w:p>
        </w:tc>
        <w:tc>
          <w:tcPr>
            <w:tcW w:w="5103" w:type="dxa"/>
          </w:tcPr>
          <w:p>
            <w:pPr>
              <w:pStyle w:val="yTableNAm"/>
              <w:tabs>
                <w:tab w:val="clear" w:pos="567"/>
                <w:tab w:val="left" w:pos="403"/>
                <w:tab w:val="right" w:leader="dot" w:pos="4887"/>
              </w:tabs>
              <w:ind w:left="982" w:hanging="982"/>
              <w:rPr>
                <w:rFonts w:ascii="Arial" w:hAnsi="Arial"/>
                <w:b/>
              </w:rPr>
            </w:pPr>
            <w:r>
              <w:rPr>
                <w:spacing w:val="-1"/>
              </w:rPr>
              <w:tab/>
            </w:r>
            <w:r>
              <w:t>over</w:t>
            </w:r>
            <w:r>
              <w:rPr>
                <w:spacing w:val="-1"/>
              </w:rPr>
              <w:t xml:space="preserve"> </w:t>
            </w:r>
            <w:r>
              <w:t>150</w:t>
            </w:r>
            <w:r>
              <w:rPr>
                <w:spacing w:val="-1"/>
              </w:rPr>
              <w:t xml:space="preserve"> but not over 500 kL </w:t>
            </w:r>
            <w:r>
              <w:rPr>
                <w:spacing w:val="-1"/>
              </w:rPr>
              <w:tab/>
            </w:r>
          </w:p>
        </w:tc>
        <w:tc>
          <w:tcPr>
            <w:tcW w:w="1276" w:type="dxa"/>
            <w:vAlign w:val="bottom"/>
          </w:tcPr>
          <w:p>
            <w:pPr>
              <w:pStyle w:val="yTableNAm"/>
            </w:pPr>
            <w:r>
              <w:rPr>
                <w:szCs w:val="22"/>
              </w:rPr>
              <w:t>184.1 cents</w:t>
            </w:r>
          </w:p>
        </w:tc>
      </w:tr>
      <w:tr>
        <w:trPr>
          <w:cantSplit/>
        </w:trPr>
        <w:tc>
          <w:tcPr>
            <w:tcW w:w="907" w:type="dxa"/>
          </w:tcPr>
          <w:p>
            <w:pPr>
              <w:pStyle w:val="zyTableNAm"/>
            </w:pPr>
          </w:p>
        </w:tc>
        <w:tc>
          <w:tcPr>
            <w:tcW w:w="5103" w:type="dxa"/>
          </w:tcPr>
          <w:p>
            <w:pPr>
              <w:pStyle w:val="yTableNAm"/>
              <w:tabs>
                <w:tab w:val="clear" w:pos="567"/>
                <w:tab w:val="left" w:pos="403"/>
                <w:tab w:val="right" w:leader="dot" w:pos="4887"/>
              </w:tabs>
              <w:ind w:left="982" w:hanging="982"/>
              <w:rPr>
                <w:rFonts w:ascii="Arial" w:hAnsi="Arial"/>
                <w:b/>
              </w:rPr>
            </w:pPr>
            <w:r>
              <w:rPr>
                <w:spacing w:val="-1"/>
              </w:rPr>
              <w:tab/>
            </w:r>
            <w:r>
              <w:t>over</w:t>
            </w:r>
            <w:r>
              <w:rPr>
                <w:spacing w:val="-1"/>
              </w:rPr>
              <w:t xml:space="preserve"> </w:t>
            </w:r>
            <w:r>
              <w:t>500</w:t>
            </w:r>
            <w:r>
              <w:rPr>
                <w:spacing w:val="-1"/>
              </w:rPr>
              <w:t xml:space="preserve"> kL </w:t>
            </w:r>
            <w:r>
              <w:rPr>
                <w:spacing w:val="-1"/>
              </w:rPr>
              <w:tab/>
            </w:r>
          </w:p>
        </w:tc>
        <w:tc>
          <w:tcPr>
            <w:tcW w:w="1276" w:type="dxa"/>
            <w:vAlign w:val="bottom"/>
          </w:tcPr>
          <w:p>
            <w:pPr>
              <w:pStyle w:val="yTableNAm"/>
            </w:pPr>
            <w:r>
              <w:rPr>
                <w:szCs w:val="22"/>
              </w:rPr>
              <w:t>260.7 cents</w:t>
            </w:r>
          </w:p>
        </w:tc>
      </w:tr>
      <w:tr>
        <w:trPr>
          <w:cantSplit/>
        </w:trPr>
        <w:tc>
          <w:tcPr>
            <w:tcW w:w="6010" w:type="dxa"/>
            <w:gridSpan w:val="2"/>
          </w:tcPr>
          <w:p>
            <w:pPr>
              <w:pStyle w:val="yTableNAm"/>
              <w:tabs>
                <w:tab w:val="clear" w:pos="567"/>
                <w:tab w:val="left" w:pos="460"/>
                <w:tab w:val="left" w:pos="885"/>
              </w:tabs>
              <w:ind w:left="885" w:hanging="885"/>
              <w:rPr>
                <w:rFonts w:ascii="Arial" w:hAnsi="Arial"/>
                <w:b/>
              </w:rPr>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76" w:type="dxa"/>
            <w:vAlign w:val="bottom"/>
          </w:tcPr>
          <w:p>
            <w:pPr>
              <w:pStyle w:val="yTableNAm"/>
            </w:pPr>
          </w:p>
        </w:tc>
      </w:tr>
    </w:tbl>
    <w:p/>
    <w:tbl>
      <w:tblPr>
        <w:tblW w:w="0" w:type="auto"/>
        <w:tblInd w:w="879" w:type="dxa"/>
        <w:tblCellMar>
          <w:left w:w="28" w:type="dxa"/>
          <w:right w:w="28" w:type="dxa"/>
        </w:tblCellMar>
        <w:tblLook w:val="0000" w:firstRow="0" w:lastRow="0" w:firstColumn="0" w:lastColumn="0" w:noHBand="0" w:noVBand="0"/>
      </w:tblPr>
      <w:tblGrid>
        <w:gridCol w:w="1411"/>
        <w:gridCol w:w="972"/>
        <w:gridCol w:w="972"/>
        <w:gridCol w:w="972"/>
        <w:gridCol w:w="972"/>
        <w:gridCol w:w="974"/>
      </w:tblGrid>
      <w:tr>
        <w:trPr>
          <w:cantSplit/>
          <w:tblHeader/>
        </w:trPr>
        <w:tc>
          <w:tcPr>
            <w:tcW w:w="1411" w:type="dxa"/>
            <w:tcBorders>
              <w:top w:val="single" w:sz="4" w:space="0" w:color="auto"/>
              <w:bottom w:val="single" w:sz="4" w:space="0" w:color="auto"/>
            </w:tcBorders>
          </w:tcPr>
          <w:p>
            <w:pPr>
              <w:pStyle w:val="yTableNAm"/>
            </w:pPr>
            <w:r>
              <w:rPr>
                <w:b/>
                <w:bCs/>
                <w:szCs w:val="22"/>
              </w:rPr>
              <w:br w:type="page"/>
              <w:t>Consumption (kL)</w:t>
            </w:r>
          </w:p>
        </w:tc>
        <w:tc>
          <w:tcPr>
            <w:tcW w:w="972" w:type="dxa"/>
            <w:tcBorders>
              <w:top w:val="single" w:sz="4" w:space="0" w:color="auto"/>
              <w:bottom w:val="single" w:sz="4" w:space="0" w:color="auto"/>
            </w:tcBorders>
          </w:tcPr>
          <w:p>
            <w:pPr>
              <w:pStyle w:val="yTableNAm"/>
              <w:jc w:val="center"/>
            </w:pPr>
            <w:r>
              <w:rPr>
                <w:b/>
                <w:bCs/>
                <w:szCs w:val="22"/>
              </w:rPr>
              <w:t>Class 1 (c/kL)</w:t>
            </w:r>
          </w:p>
        </w:tc>
        <w:tc>
          <w:tcPr>
            <w:tcW w:w="972" w:type="dxa"/>
            <w:tcBorders>
              <w:top w:val="single" w:sz="4" w:space="0" w:color="auto"/>
              <w:bottom w:val="single" w:sz="4" w:space="0" w:color="auto"/>
            </w:tcBorders>
          </w:tcPr>
          <w:p>
            <w:pPr>
              <w:pStyle w:val="yTableNAm"/>
              <w:jc w:val="center"/>
            </w:pPr>
            <w:r>
              <w:rPr>
                <w:b/>
                <w:bCs/>
                <w:szCs w:val="22"/>
              </w:rPr>
              <w:t>Class 2 (c/kL)</w:t>
            </w:r>
          </w:p>
        </w:tc>
        <w:tc>
          <w:tcPr>
            <w:tcW w:w="972" w:type="dxa"/>
            <w:tcBorders>
              <w:top w:val="single" w:sz="4" w:space="0" w:color="auto"/>
              <w:bottom w:val="single" w:sz="4" w:space="0" w:color="auto"/>
            </w:tcBorders>
          </w:tcPr>
          <w:p>
            <w:pPr>
              <w:pStyle w:val="yTableNAm"/>
              <w:jc w:val="center"/>
            </w:pPr>
            <w:r>
              <w:rPr>
                <w:b/>
                <w:bCs/>
                <w:szCs w:val="22"/>
              </w:rPr>
              <w:t>Class 3 (c/kL)</w:t>
            </w:r>
          </w:p>
        </w:tc>
        <w:tc>
          <w:tcPr>
            <w:tcW w:w="972" w:type="dxa"/>
            <w:tcBorders>
              <w:top w:val="single" w:sz="4" w:space="0" w:color="auto"/>
              <w:bottom w:val="single" w:sz="4" w:space="0" w:color="auto"/>
            </w:tcBorders>
          </w:tcPr>
          <w:p>
            <w:pPr>
              <w:pStyle w:val="yTableNAm"/>
              <w:jc w:val="center"/>
            </w:pPr>
            <w:r>
              <w:rPr>
                <w:b/>
                <w:bCs/>
                <w:szCs w:val="22"/>
              </w:rPr>
              <w:t>Class 4 (c/kL)</w:t>
            </w:r>
          </w:p>
        </w:tc>
        <w:tc>
          <w:tcPr>
            <w:tcW w:w="974" w:type="dxa"/>
            <w:tcBorders>
              <w:top w:val="single" w:sz="4" w:space="0" w:color="auto"/>
              <w:bottom w:val="single" w:sz="4" w:space="0" w:color="auto"/>
            </w:tcBorders>
          </w:tcPr>
          <w:p>
            <w:pPr>
              <w:pStyle w:val="yTableNAm"/>
              <w:jc w:val="center"/>
            </w:pPr>
            <w:r>
              <w:rPr>
                <w:b/>
                <w:bCs/>
                <w:szCs w:val="22"/>
              </w:rPr>
              <w:t>Class 5 (c/kL)</w:t>
            </w:r>
          </w:p>
        </w:tc>
      </w:tr>
      <w:tr>
        <w:trPr>
          <w:cantSplit/>
        </w:trPr>
        <w:tc>
          <w:tcPr>
            <w:tcW w:w="1411" w:type="dxa"/>
          </w:tcPr>
          <w:p>
            <w:pPr>
              <w:pStyle w:val="yTableNAm"/>
            </w:pPr>
            <w:r>
              <w:rPr>
                <w:szCs w:val="22"/>
              </w:rPr>
              <w:t>Up to 150</w:t>
            </w:r>
          </w:p>
        </w:tc>
        <w:tc>
          <w:tcPr>
            <w:tcW w:w="972" w:type="dxa"/>
            <w:vAlign w:val="bottom"/>
          </w:tcPr>
          <w:p>
            <w:pPr>
              <w:pStyle w:val="yTableNAm"/>
              <w:jc w:val="center"/>
              <w:rPr>
                <w:rFonts w:ascii="Arial" w:hAnsi="Arial"/>
                <w:b/>
              </w:rPr>
            </w:pPr>
            <w:r>
              <w:rPr>
                <w:szCs w:val="22"/>
              </w:rPr>
              <w:t>52.7</w:t>
            </w:r>
          </w:p>
        </w:tc>
        <w:tc>
          <w:tcPr>
            <w:tcW w:w="972" w:type="dxa"/>
            <w:vAlign w:val="bottom"/>
          </w:tcPr>
          <w:p>
            <w:pPr>
              <w:pStyle w:val="yTableNAm"/>
              <w:jc w:val="center"/>
              <w:rPr>
                <w:rFonts w:ascii="Arial" w:hAnsi="Arial"/>
                <w:b/>
              </w:rPr>
            </w:pPr>
            <w:r>
              <w:rPr>
                <w:szCs w:val="22"/>
              </w:rPr>
              <w:t>69.0</w:t>
            </w:r>
          </w:p>
        </w:tc>
        <w:tc>
          <w:tcPr>
            <w:tcW w:w="972" w:type="dxa"/>
            <w:vAlign w:val="bottom"/>
          </w:tcPr>
          <w:p>
            <w:pPr>
              <w:pStyle w:val="yTableNAm"/>
              <w:jc w:val="center"/>
              <w:rPr>
                <w:rFonts w:ascii="Arial" w:hAnsi="Arial"/>
                <w:b/>
              </w:rPr>
            </w:pPr>
            <w:r>
              <w:rPr>
                <w:szCs w:val="22"/>
              </w:rPr>
              <w:t>69.0</w:t>
            </w:r>
          </w:p>
        </w:tc>
        <w:tc>
          <w:tcPr>
            <w:tcW w:w="972" w:type="dxa"/>
            <w:vAlign w:val="bottom"/>
          </w:tcPr>
          <w:p>
            <w:pPr>
              <w:pStyle w:val="yTableNAm"/>
              <w:jc w:val="center"/>
              <w:rPr>
                <w:rFonts w:ascii="Arial" w:hAnsi="Arial"/>
                <w:b/>
              </w:rPr>
            </w:pPr>
            <w:r>
              <w:rPr>
                <w:szCs w:val="22"/>
              </w:rPr>
              <w:t>69.0</w:t>
            </w:r>
          </w:p>
        </w:tc>
        <w:tc>
          <w:tcPr>
            <w:tcW w:w="974" w:type="dxa"/>
            <w:vAlign w:val="bottom"/>
          </w:tcPr>
          <w:p>
            <w:pPr>
              <w:pStyle w:val="yTableNAm"/>
              <w:jc w:val="center"/>
              <w:rPr>
                <w:rFonts w:ascii="Arial" w:hAnsi="Arial"/>
                <w:b/>
              </w:rPr>
            </w:pPr>
            <w:r>
              <w:rPr>
                <w:szCs w:val="22"/>
              </w:rPr>
              <w:t>69.0</w:t>
            </w:r>
          </w:p>
        </w:tc>
      </w:tr>
      <w:tr>
        <w:trPr>
          <w:cantSplit/>
        </w:trPr>
        <w:tc>
          <w:tcPr>
            <w:tcW w:w="1411" w:type="dxa"/>
          </w:tcPr>
          <w:p>
            <w:pPr>
              <w:pStyle w:val="yTableNAm"/>
            </w:pPr>
            <w:r>
              <w:rPr>
                <w:szCs w:val="22"/>
              </w:rPr>
              <w:t>Over 150 but not over 300</w:t>
            </w:r>
          </w:p>
        </w:tc>
        <w:tc>
          <w:tcPr>
            <w:tcW w:w="972" w:type="dxa"/>
            <w:vAlign w:val="bottom"/>
          </w:tcPr>
          <w:p>
            <w:pPr>
              <w:pStyle w:val="yTableNAm"/>
              <w:jc w:val="center"/>
              <w:rPr>
                <w:rFonts w:ascii="Arial" w:hAnsi="Arial"/>
                <w:b/>
              </w:rPr>
            </w:pPr>
            <w:r>
              <w:rPr>
                <w:szCs w:val="22"/>
              </w:rPr>
              <w:t>70.2</w:t>
            </w:r>
          </w:p>
        </w:tc>
        <w:tc>
          <w:tcPr>
            <w:tcW w:w="972" w:type="dxa"/>
            <w:vAlign w:val="bottom"/>
          </w:tcPr>
          <w:p>
            <w:pPr>
              <w:pStyle w:val="yTableNAm"/>
              <w:jc w:val="center"/>
              <w:rPr>
                <w:rFonts w:ascii="Arial" w:hAnsi="Arial"/>
                <w:b/>
              </w:rPr>
            </w:pPr>
            <w:r>
              <w:rPr>
                <w:szCs w:val="22"/>
              </w:rPr>
              <w:t>92.0</w:t>
            </w:r>
          </w:p>
        </w:tc>
        <w:tc>
          <w:tcPr>
            <w:tcW w:w="972" w:type="dxa"/>
            <w:vAlign w:val="bottom"/>
          </w:tcPr>
          <w:p>
            <w:pPr>
              <w:pStyle w:val="yTableNAm"/>
              <w:jc w:val="center"/>
              <w:rPr>
                <w:rFonts w:ascii="Arial" w:hAnsi="Arial"/>
                <w:b/>
              </w:rPr>
            </w:pPr>
            <w:r>
              <w:rPr>
                <w:szCs w:val="22"/>
              </w:rPr>
              <w:t>92.0</w:t>
            </w:r>
          </w:p>
        </w:tc>
        <w:tc>
          <w:tcPr>
            <w:tcW w:w="972" w:type="dxa"/>
            <w:vAlign w:val="bottom"/>
          </w:tcPr>
          <w:p>
            <w:pPr>
              <w:pStyle w:val="yTableNAm"/>
              <w:jc w:val="center"/>
              <w:rPr>
                <w:rFonts w:ascii="Arial" w:hAnsi="Arial"/>
                <w:b/>
              </w:rPr>
            </w:pPr>
            <w:r>
              <w:rPr>
                <w:szCs w:val="22"/>
              </w:rPr>
              <w:t>92.0</w:t>
            </w:r>
          </w:p>
        </w:tc>
        <w:tc>
          <w:tcPr>
            <w:tcW w:w="974" w:type="dxa"/>
            <w:vAlign w:val="bottom"/>
          </w:tcPr>
          <w:p>
            <w:pPr>
              <w:pStyle w:val="yTableNAm"/>
              <w:jc w:val="center"/>
              <w:rPr>
                <w:rFonts w:ascii="Arial" w:hAnsi="Arial"/>
                <w:b/>
              </w:rPr>
            </w:pPr>
            <w:r>
              <w:rPr>
                <w:szCs w:val="22"/>
              </w:rPr>
              <w:t>92.0</w:t>
            </w:r>
          </w:p>
        </w:tc>
      </w:tr>
      <w:tr>
        <w:trPr>
          <w:cantSplit/>
        </w:trPr>
        <w:tc>
          <w:tcPr>
            <w:tcW w:w="1411" w:type="dxa"/>
          </w:tcPr>
          <w:p>
            <w:pPr>
              <w:pStyle w:val="yTableNAm"/>
            </w:pPr>
            <w:r>
              <w:rPr>
                <w:szCs w:val="22"/>
              </w:rPr>
              <w:t>Over 300 but not over 400</w:t>
            </w:r>
          </w:p>
        </w:tc>
        <w:tc>
          <w:tcPr>
            <w:tcW w:w="972" w:type="dxa"/>
            <w:vAlign w:val="bottom"/>
          </w:tcPr>
          <w:p>
            <w:pPr>
              <w:pStyle w:val="yTableNAm"/>
              <w:jc w:val="center"/>
              <w:rPr>
                <w:rFonts w:ascii="Arial" w:hAnsi="Arial"/>
                <w:b/>
              </w:rPr>
            </w:pPr>
            <w:r>
              <w:rPr>
                <w:szCs w:val="22"/>
              </w:rPr>
              <w:t>74.3</w:t>
            </w:r>
          </w:p>
        </w:tc>
        <w:tc>
          <w:tcPr>
            <w:tcW w:w="972" w:type="dxa"/>
            <w:vAlign w:val="bottom"/>
          </w:tcPr>
          <w:p>
            <w:pPr>
              <w:pStyle w:val="yTableNAm"/>
              <w:jc w:val="center"/>
              <w:rPr>
                <w:rFonts w:ascii="Arial" w:hAnsi="Arial"/>
                <w:b/>
              </w:rPr>
            </w:pPr>
            <w:r>
              <w:rPr>
                <w:szCs w:val="22"/>
              </w:rPr>
              <w:t>102.1</w:t>
            </w:r>
          </w:p>
        </w:tc>
        <w:tc>
          <w:tcPr>
            <w:tcW w:w="972" w:type="dxa"/>
            <w:vAlign w:val="bottom"/>
          </w:tcPr>
          <w:p>
            <w:pPr>
              <w:pStyle w:val="yTableNAm"/>
              <w:jc w:val="center"/>
              <w:rPr>
                <w:rFonts w:ascii="Arial" w:hAnsi="Arial"/>
                <w:b/>
              </w:rPr>
            </w:pPr>
            <w:r>
              <w:rPr>
                <w:szCs w:val="22"/>
              </w:rPr>
              <w:t>136.1</w:t>
            </w:r>
          </w:p>
        </w:tc>
        <w:tc>
          <w:tcPr>
            <w:tcW w:w="972" w:type="dxa"/>
            <w:vAlign w:val="bottom"/>
          </w:tcPr>
          <w:p>
            <w:pPr>
              <w:pStyle w:val="yTableNAm"/>
              <w:jc w:val="center"/>
              <w:rPr>
                <w:rFonts w:ascii="Arial" w:hAnsi="Arial"/>
                <w:b/>
              </w:rPr>
            </w:pPr>
            <w:r>
              <w:rPr>
                <w:szCs w:val="22"/>
              </w:rPr>
              <w:t>160.1</w:t>
            </w:r>
          </w:p>
        </w:tc>
        <w:tc>
          <w:tcPr>
            <w:tcW w:w="974" w:type="dxa"/>
            <w:vAlign w:val="bottom"/>
          </w:tcPr>
          <w:p>
            <w:pPr>
              <w:pStyle w:val="yTableNAm"/>
              <w:jc w:val="center"/>
              <w:rPr>
                <w:rFonts w:ascii="Arial" w:hAnsi="Arial"/>
                <w:b/>
              </w:rPr>
            </w:pPr>
            <w:r>
              <w:rPr>
                <w:szCs w:val="22"/>
              </w:rPr>
              <w:t>188.3</w:t>
            </w:r>
          </w:p>
        </w:tc>
      </w:tr>
      <w:tr>
        <w:trPr>
          <w:cantSplit/>
        </w:trPr>
        <w:tc>
          <w:tcPr>
            <w:tcW w:w="1411" w:type="dxa"/>
          </w:tcPr>
          <w:p>
            <w:pPr>
              <w:pStyle w:val="yTableNAm"/>
            </w:pPr>
            <w:r>
              <w:rPr>
                <w:szCs w:val="22"/>
              </w:rPr>
              <w:t>Over 400 but not over 550</w:t>
            </w:r>
          </w:p>
        </w:tc>
        <w:tc>
          <w:tcPr>
            <w:tcW w:w="972" w:type="dxa"/>
            <w:vAlign w:val="bottom"/>
          </w:tcPr>
          <w:p>
            <w:pPr>
              <w:pStyle w:val="yTableNAm"/>
              <w:jc w:val="center"/>
              <w:rPr>
                <w:rFonts w:ascii="Arial" w:hAnsi="Arial"/>
                <w:b/>
              </w:rPr>
            </w:pPr>
            <w:r>
              <w:rPr>
                <w:szCs w:val="22"/>
              </w:rPr>
              <w:t>148.6</w:t>
            </w:r>
          </w:p>
        </w:tc>
        <w:tc>
          <w:tcPr>
            <w:tcW w:w="972" w:type="dxa"/>
            <w:vAlign w:val="bottom"/>
          </w:tcPr>
          <w:p>
            <w:pPr>
              <w:pStyle w:val="yTableNAm"/>
              <w:jc w:val="center"/>
              <w:rPr>
                <w:rFonts w:ascii="Arial" w:hAnsi="Arial"/>
                <w:b/>
              </w:rPr>
            </w:pPr>
            <w:r>
              <w:rPr>
                <w:szCs w:val="22"/>
              </w:rPr>
              <w:t>204.3</w:t>
            </w:r>
          </w:p>
        </w:tc>
        <w:tc>
          <w:tcPr>
            <w:tcW w:w="972" w:type="dxa"/>
            <w:vAlign w:val="bottom"/>
          </w:tcPr>
          <w:p>
            <w:pPr>
              <w:pStyle w:val="yTableNAm"/>
              <w:jc w:val="center"/>
              <w:rPr>
                <w:rFonts w:ascii="Arial" w:hAnsi="Arial"/>
                <w:b/>
              </w:rPr>
            </w:pPr>
            <w:r>
              <w:rPr>
                <w:szCs w:val="22"/>
              </w:rPr>
              <w:t>272.2</w:t>
            </w:r>
          </w:p>
        </w:tc>
        <w:tc>
          <w:tcPr>
            <w:tcW w:w="972" w:type="dxa"/>
            <w:vAlign w:val="bottom"/>
          </w:tcPr>
          <w:p>
            <w:pPr>
              <w:pStyle w:val="yTableNAm"/>
              <w:jc w:val="center"/>
              <w:rPr>
                <w:rFonts w:ascii="Arial" w:hAnsi="Arial"/>
                <w:b/>
              </w:rPr>
            </w:pPr>
            <w:r>
              <w:rPr>
                <w:szCs w:val="22"/>
              </w:rPr>
              <w:t>320.2</w:t>
            </w:r>
          </w:p>
        </w:tc>
        <w:tc>
          <w:tcPr>
            <w:tcW w:w="974" w:type="dxa"/>
            <w:vAlign w:val="bottom"/>
          </w:tcPr>
          <w:p>
            <w:pPr>
              <w:pStyle w:val="yTableNAm"/>
              <w:jc w:val="center"/>
              <w:rPr>
                <w:rFonts w:ascii="Arial" w:hAnsi="Arial"/>
                <w:b/>
              </w:rPr>
            </w:pPr>
            <w:r>
              <w:rPr>
                <w:szCs w:val="22"/>
              </w:rPr>
              <w:t>376.6</w:t>
            </w:r>
          </w:p>
        </w:tc>
      </w:tr>
      <w:tr>
        <w:trPr>
          <w:cantSplit/>
        </w:trPr>
        <w:tc>
          <w:tcPr>
            <w:tcW w:w="1411" w:type="dxa"/>
            <w:tcBorders>
              <w:bottom w:val="single" w:sz="4" w:space="0" w:color="auto"/>
            </w:tcBorders>
          </w:tcPr>
          <w:p>
            <w:pPr>
              <w:pStyle w:val="yTableNAm"/>
            </w:pPr>
            <w:r>
              <w:rPr>
                <w:szCs w:val="22"/>
              </w:rPr>
              <w:t>Over 550</w:t>
            </w:r>
          </w:p>
        </w:tc>
        <w:tc>
          <w:tcPr>
            <w:tcW w:w="972" w:type="dxa"/>
            <w:tcBorders>
              <w:bottom w:val="single" w:sz="4" w:space="0" w:color="auto"/>
            </w:tcBorders>
            <w:vAlign w:val="bottom"/>
          </w:tcPr>
          <w:p>
            <w:pPr>
              <w:pStyle w:val="yTableNAm"/>
              <w:jc w:val="center"/>
              <w:rPr>
                <w:rFonts w:ascii="Arial" w:hAnsi="Arial"/>
                <w:b/>
              </w:rPr>
            </w:pPr>
            <w:r>
              <w:rPr>
                <w:szCs w:val="22"/>
              </w:rPr>
              <w:t>173.4</w:t>
            </w:r>
          </w:p>
        </w:tc>
        <w:tc>
          <w:tcPr>
            <w:tcW w:w="972" w:type="dxa"/>
            <w:tcBorders>
              <w:bottom w:val="single" w:sz="4" w:space="0" w:color="auto"/>
            </w:tcBorders>
            <w:vAlign w:val="bottom"/>
          </w:tcPr>
          <w:p>
            <w:pPr>
              <w:pStyle w:val="yTableNAm"/>
              <w:jc w:val="center"/>
              <w:rPr>
                <w:rFonts w:ascii="Arial" w:hAnsi="Arial"/>
                <w:b/>
              </w:rPr>
            </w:pPr>
            <w:r>
              <w:rPr>
                <w:szCs w:val="22"/>
              </w:rPr>
              <w:t>260.7</w:t>
            </w:r>
          </w:p>
        </w:tc>
        <w:tc>
          <w:tcPr>
            <w:tcW w:w="972" w:type="dxa"/>
            <w:tcBorders>
              <w:bottom w:val="single" w:sz="4" w:space="0" w:color="auto"/>
            </w:tcBorders>
            <w:vAlign w:val="bottom"/>
          </w:tcPr>
          <w:p>
            <w:pPr>
              <w:pStyle w:val="yTableNAm"/>
              <w:jc w:val="center"/>
              <w:rPr>
                <w:rFonts w:ascii="Arial" w:hAnsi="Arial"/>
                <w:b/>
              </w:rPr>
            </w:pPr>
            <w:r>
              <w:rPr>
                <w:szCs w:val="22"/>
              </w:rPr>
              <w:t>347.0</w:t>
            </w:r>
          </w:p>
        </w:tc>
        <w:tc>
          <w:tcPr>
            <w:tcW w:w="972" w:type="dxa"/>
            <w:tcBorders>
              <w:bottom w:val="single" w:sz="4" w:space="0" w:color="auto"/>
            </w:tcBorders>
            <w:vAlign w:val="bottom"/>
          </w:tcPr>
          <w:p>
            <w:pPr>
              <w:pStyle w:val="yTableNAm"/>
              <w:jc w:val="center"/>
              <w:rPr>
                <w:rFonts w:ascii="Arial" w:hAnsi="Arial"/>
                <w:b/>
              </w:rPr>
            </w:pPr>
            <w:r>
              <w:rPr>
                <w:szCs w:val="22"/>
              </w:rPr>
              <w:t>480.0</w:t>
            </w:r>
          </w:p>
        </w:tc>
        <w:tc>
          <w:tcPr>
            <w:tcW w:w="974" w:type="dxa"/>
            <w:tcBorders>
              <w:bottom w:val="single" w:sz="4" w:space="0" w:color="auto"/>
            </w:tcBorders>
            <w:vAlign w:val="bottom"/>
          </w:tcPr>
          <w:p>
            <w:pPr>
              <w:pStyle w:val="yTableNAm"/>
              <w:jc w:val="center"/>
              <w:rPr>
                <w:rFonts w:ascii="Arial" w:hAnsi="Arial"/>
                <w:b/>
              </w:rPr>
            </w:pPr>
            <w:r>
              <w:rPr>
                <w:szCs w:val="22"/>
              </w:rPr>
              <w:t>647.4</w:t>
            </w:r>
          </w:p>
        </w:tc>
      </w:tr>
    </w:tbl>
    <w:p>
      <w:pPr>
        <w:pStyle w:val="yTableNAm"/>
        <w:keepNext/>
        <w:ind w:left="851" w:right="1281"/>
      </w:pPr>
      <w:r>
        <w:t>except that if the property is —</w:t>
      </w:r>
    </w:p>
    <w:p>
      <w:pPr>
        <w:pStyle w:val="yTableNAm"/>
        <w:tabs>
          <w:tab w:val="clear" w:pos="567"/>
          <w:tab w:val="left" w:pos="1276"/>
          <w:tab w:val="left" w:pos="1701"/>
        </w:tabs>
        <w:ind w:left="1701" w:right="1284" w:hanging="1580"/>
      </w:pPr>
      <w:r>
        <w:tab/>
        <w:t>(a)</w:t>
      </w:r>
      <w:r>
        <w:tab/>
        <w:t>in the town of Cue, Laverton, Leonora, Meekatharra, Menzies, Mt Magnet, Mullewa, Sandstone, Wiluna or Yalgoo; or</w:t>
      </w:r>
    </w:p>
    <w:p>
      <w:pPr>
        <w:pStyle w:val="yTableNAm"/>
        <w:tabs>
          <w:tab w:val="clear" w:pos="567"/>
          <w:tab w:val="left" w:pos="1276"/>
          <w:tab w:val="left" w:pos="1701"/>
        </w:tabs>
        <w:ind w:left="1701" w:right="1284" w:hanging="1580"/>
      </w:pPr>
      <w:r>
        <w:tab/>
        <w:t>(b)</w:t>
      </w:r>
      <w:r>
        <w:tab/>
        <w:t>north of 26°S Latitude,</w:t>
      </w:r>
    </w:p>
    <w:p>
      <w:pPr>
        <w:pStyle w:val="yTableNAm"/>
        <w:spacing w:after="120"/>
        <w:ind w:left="851" w:right="1284"/>
      </w:pPr>
      <w:r>
        <w:t>the charge for each kilolitre of water is —</w:t>
      </w:r>
    </w:p>
    <w:tbl>
      <w:tblPr>
        <w:tblW w:w="0" w:type="auto"/>
        <w:jc w:val="right"/>
        <w:tblCellMar>
          <w:left w:w="28" w:type="dxa"/>
          <w:right w:w="28" w:type="dxa"/>
        </w:tblCellMar>
        <w:tblLook w:val="0000" w:firstRow="0" w:lastRow="0" w:firstColumn="0" w:lastColumn="0" w:noHBand="0" w:noVBand="0"/>
      </w:tblPr>
      <w:tblGrid>
        <w:gridCol w:w="1411"/>
        <w:gridCol w:w="972"/>
        <w:gridCol w:w="972"/>
        <w:gridCol w:w="972"/>
        <w:gridCol w:w="972"/>
        <w:gridCol w:w="974"/>
      </w:tblGrid>
      <w:tr>
        <w:trPr>
          <w:cantSplit/>
          <w:tblHeader/>
          <w:jc w:val="right"/>
        </w:trPr>
        <w:tc>
          <w:tcPr>
            <w:tcW w:w="1411" w:type="dxa"/>
            <w:tcBorders>
              <w:top w:val="single" w:sz="4" w:space="0" w:color="auto"/>
              <w:bottom w:val="single" w:sz="4" w:space="0" w:color="auto"/>
            </w:tcBorders>
          </w:tcPr>
          <w:p>
            <w:pPr>
              <w:pStyle w:val="yTableNAm"/>
            </w:pPr>
            <w:r>
              <w:rPr>
                <w:b/>
                <w:bCs/>
              </w:rPr>
              <w:br w:type="page"/>
              <w:t>Consumption (kL)</w:t>
            </w:r>
          </w:p>
        </w:tc>
        <w:tc>
          <w:tcPr>
            <w:tcW w:w="972" w:type="dxa"/>
            <w:tcBorders>
              <w:top w:val="single" w:sz="4" w:space="0" w:color="auto"/>
              <w:bottom w:val="single" w:sz="4" w:space="0" w:color="auto"/>
            </w:tcBorders>
          </w:tcPr>
          <w:p>
            <w:pPr>
              <w:pStyle w:val="yTableNAm"/>
              <w:jc w:val="center"/>
            </w:pPr>
            <w:r>
              <w:rPr>
                <w:b/>
                <w:bCs/>
              </w:rPr>
              <w:t>Class 1 (c/kL)</w:t>
            </w:r>
          </w:p>
        </w:tc>
        <w:tc>
          <w:tcPr>
            <w:tcW w:w="972" w:type="dxa"/>
            <w:tcBorders>
              <w:top w:val="single" w:sz="4" w:space="0" w:color="auto"/>
              <w:bottom w:val="single" w:sz="4" w:space="0" w:color="auto"/>
            </w:tcBorders>
          </w:tcPr>
          <w:p>
            <w:pPr>
              <w:pStyle w:val="yTableNAm"/>
              <w:jc w:val="center"/>
            </w:pPr>
            <w:r>
              <w:rPr>
                <w:b/>
                <w:bCs/>
              </w:rPr>
              <w:t>Class 2 (c/kL)</w:t>
            </w:r>
          </w:p>
        </w:tc>
        <w:tc>
          <w:tcPr>
            <w:tcW w:w="972" w:type="dxa"/>
            <w:tcBorders>
              <w:top w:val="single" w:sz="4" w:space="0" w:color="auto"/>
              <w:bottom w:val="single" w:sz="4" w:space="0" w:color="auto"/>
            </w:tcBorders>
          </w:tcPr>
          <w:p>
            <w:pPr>
              <w:pStyle w:val="yTableNAm"/>
              <w:jc w:val="center"/>
            </w:pPr>
            <w:r>
              <w:rPr>
                <w:b/>
                <w:bCs/>
              </w:rPr>
              <w:t>Class 3 (c/kL)</w:t>
            </w:r>
          </w:p>
        </w:tc>
        <w:tc>
          <w:tcPr>
            <w:tcW w:w="972" w:type="dxa"/>
            <w:tcBorders>
              <w:top w:val="single" w:sz="4" w:space="0" w:color="auto"/>
              <w:bottom w:val="single" w:sz="4" w:space="0" w:color="auto"/>
            </w:tcBorders>
          </w:tcPr>
          <w:p>
            <w:pPr>
              <w:pStyle w:val="yTableNAm"/>
              <w:jc w:val="center"/>
            </w:pPr>
            <w:r>
              <w:rPr>
                <w:b/>
                <w:bCs/>
              </w:rPr>
              <w:t>Class 4 (c/kL)</w:t>
            </w:r>
          </w:p>
        </w:tc>
        <w:tc>
          <w:tcPr>
            <w:tcW w:w="974" w:type="dxa"/>
            <w:tcBorders>
              <w:top w:val="single" w:sz="4" w:space="0" w:color="auto"/>
              <w:bottom w:val="single" w:sz="4" w:space="0" w:color="auto"/>
            </w:tcBorders>
          </w:tcPr>
          <w:p>
            <w:pPr>
              <w:pStyle w:val="yTableNAm"/>
              <w:jc w:val="center"/>
            </w:pPr>
            <w:r>
              <w:rPr>
                <w:b/>
                <w:bCs/>
              </w:rPr>
              <w:t>Class 5 (c/kL)</w:t>
            </w:r>
          </w:p>
        </w:tc>
      </w:tr>
      <w:tr>
        <w:trPr>
          <w:cantSplit/>
          <w:jc w:val="right"/>
        </w:trPr>
        <w:tc>
          <w:tcPr>
            <w:tcW w:w="1411" w:type="dxa"/>
          </w:tcPr>
          <w:p>
            <w:pPr>
              <w:pStyle w:val="yTableNAm"/>
            </w:pPr>
            <w:r>
              <w:t>Up to 350</w:t>
            </w:r>
          </w:p>
        </w:tc>
        <w:tc>
          <w:tcPr>
            <w:tcW w:w="972" w:type="dxa"/>
            <w:vAlign w:val="bottom"/>
          </w:tcPr>
          <w:p>
            <w:pPr>
              <w:pStyle w:val="yTableNAm"/>
              <w:jc w:val="center"/>
              <w:rPr>
                <w:rFonts w:ascii="Arial" w:hAnsi="Arial"/>
                <w:b/>
              </w:rPr>
            </w:pPr>
            <w:r>
              <w:rPr>
                <w:szCs w:val="22"/>
              </w:rPr>
              <w:t>52.7</w:t>
            </w:r>
          </w:p>
        </w:tc>
        <w:tc>
          <w:tcPr>
            <w:tcW w:w="972" w:type="dxa"/>
            <w:vAlign w:val="bottom"/>
          </w:tcPr>
          <w:p>
            <w:pPr>
              <w:pStyle w:val="yTableNAm"/>
              <w:jc w:val="center"/>
              <w:rPr>
                <w:rFonts w:ascii="Arial" w:hAnsi="Arial"/>
                <w:b/>
              </w:rPr>
            </w:pPr>
            <w:r>
              <w:rPr>
                <w:szCs w:val="22"/>
              </w:rPr>
              <w:t>69.0</w:t>
            </w:r>
          </w:p>
        </w:tc>
        <w:tc>
          <w:tcPr>
            <w:tcW w:w="972" w:type="dxa"/>
            <w:vAlign w:val="bottom"/>
          </w:tcPr>
          <w:p>
            <w:pPr>
              <w:pStyle w:val="yTableNAm"/>
              <w:jc w:val="center"/>
              <w:rPr>
                <w:rFonts w:ascii="Arial" w:hAnsi="Arial"/>
                <w:b/>
              </w:rPr>
            </w:pPr>
            <w:r>
              <w:rPr>
                <w:szCs w:val="22"/>
              </w:rPr>
              <w:t>69.0</w:t>
            </w:r>
          </w:p>
        </w:tc>
        <w:tc>
          <w:tcPr>
            <w:tcW w:w="972" w:type="dxa"/>
            <w:vAlign w:val="bottom"/>
          </w:tcPr>
          <w:p>
            <w:pPr>
              <w:pStyle w:val="yTableNAm"/>
              <w:jc w:val="center"/>
              <w:rPr>
                <w:rFonts w:ascii="Arial" w:hAnsi="Arial"/>
                <w:b/>
              </w:rPr>
            </w:pPr>
            <w:r>
              <w:rPr>
                <w:szCs w:val="22"/>
              </w:rPr>
              <w:t>69.0</w:t>
            </w:r>
          </w:p>
        </w:tc>
        <w:tc>
          <w:tcPr>
            <w:tcW w:w="974" w:type="dxa"/>
            <w:vAlign w:val="bottom"/>
          </w:tcPr>
          <w:p>
            <w:pPr>
              <w:pStyle w:val="yTableNAm"/>
              <w:jc w:val="center"/>
              <w:rPr>
                <w:rFonts w:ascii="Arial" w:hAnsi="Arial"/>
                <w:b/>
              </w:rPr>
            </w:pPr>
            <w:r>
              <w:rPr>
                <w:szCs w:val="22"/>
              </w:rPr>
              <w:t>69.0</w:t>
            </w:r>
          </w:p>
        </w:tc>
      </w:tr>
      <w:tr>
        <w:trPr>
          <w:cantSplit/>
          <w:jc w:val="right"/>
        </w:trPr>
        <w:tc>
          <w:tcPr>
            <w:tcW w:w="1411" w:type="dxa"/>
          </w:tcPr>
          <w:p>
            <w:pPr>
              <w:pStyle w:val="yTableNAm"/>
            </w:pPr>
            <w:r>
              <w:t>Over 350 but not over 500</w:t>
            </w:r>
          </w:p>
        </w:tc>
        <w:tc>
          <w:tcPr>
            <w:tcW w:w="972" w:type="dxa"/>
            <w:vAlign w:val="bottom"/>
          </w:tcPr>
          <w:p>
            <w:pPr>
              <w:pStyle w:val="yTableNAm"/>
              <w:jc w:val="center"/>
              <w:rPr>
                <w:rFonts w:ascii="Arial" w:hAnsi="Arial"/>
                <w:b/>
              </w:rPr>
            </w:pPr>
            <w:r>
              <w:rPr>
                <w:szCs w:val="22"/>
              </w:rPr>
              <w:t>70.2</w:t>
            </w:r>
          </w:p>
        </w:tc>
        <w:tc>
          <w:tcPr>
            <w:tcW w:w="972" w:type="dxa"/>
            <w:vAlign w:val="bottom"/>
          </w:tcPr>
          <w:p>
            <w:pPr>
              <w:pStyle w:val="yTableNAm"/>
              <w:jc w:val="center"/>
              <w:rPr>
                <w:rFonts w:ascii="Arial" w:hAnsi="Arial"/>
                <w:b/>
              </w:rPr>
            </w:pPr>
            <w:r>
              <w:rPr>
                <w:szCs w:val="22"/>
              </w:rPr>
              <w:t>92.0</w:t>
            </w:r>
          </w:p>
        </w:tc>
        <w:tc>
          <w:tcPr>
            <w:tcW w:w="972" w:type="dxa"/>
            <w:vAlign w:val="bottom"/>
          </w:tcPr>
          <w:p>
            <w:pPr>
              <w:pStyle w:val="yTableNAm"/>
              <w:jc w:val="center"/>
              <w:rPr>
                <w:rFonts w:ascii="Arial" w:hAnsi="Arial"/>
                <w:b/>
              </w:rPr>
            </w:pPr>
            <w:r>
              <w:rPr>
                <w:szCs w:val="22"/>
              </w:rPr>
              <w:t>92.0</w:t>
            </w:r>
          </w:p>
        </w:tc>
        <w:tc>
          <w:tcPr>
            <w:tcW w:w="972" w:type="dxa"/>
            <w:vAlign w:val="bottom"/>
          </w:tcPr>
          <w:p>
            <w:pPr>
              <w:pStyle w:val="yTableNAm"/>
              <w:jc w:val="center"/>
              <w:rPr>
                <w:rFonts w:ascii="Arial" w:hAnsi="Arial"/>
                <w:b/>
              </w:rPr>
            </w:pPr>
            <w:r>
              <w:rPr>
                <w:szCs w:val="22"/>
              </w:rPr>
              <w:t>92.0</w:t>
            </w:r>
          </w:p>
        </w:tc>
        <w:tc>
          <w:tcPr>
            <w:tcW w:w="974" w:type="dxa"/>
            <w:vAlign w:val="bottom"/>
          </w:tcPr>
          <w:p>
            <w:pPr>
              <w:pStyle w:val="yTableNAm"/>
              <w:jc w:val="center"/>
              <w:rPr>
                <w:rFonts w:ascii="Arial" w:hAnsi="Arial"/>
                <w:b/>
              </w:rPr>
            </w:pPr>
            <w:r>
              <w:rPr>
                <w:szCs w:val="22"/>
              </w:rPr>
              <w:t>92.0</w:t>
            </w:r>
          </w:p>
        </w:tc>
      </w:tr>
      <w:tr>
        <w:trPr>
          <w:cantSplit/>
          <w:jc w:val="right"/>
        </w:trPr>
        <w:tc>
          <w:tcPr>
            <w:tcW w:w="1411" w:type="dxa"/>
          </w:tcPr>
          <w:p>
            <w:pPr>
              <w:pStyle w:val="yTableNAm"/>
            </w:pPr>
            <w:r>
              <w:t>Over 500 but not over 600</w:t>
            </w:r>
          </w:p>
        </w:tc>
        <w:tc>
          <w:tcPr>
            <w:tcW w:w="972" w:type="dxa"/>
            <w:vAlign w:val="bottom"/>
          </w:tcPr>
          <w:p>
            <w:pPr>
              <w:pStyle w:val="yTableNAm"/>
              <w:jc w:val="center"/>
              <w:rPr>
                <w:rFonts w:ascii="Arial" w:hAnsi="Arial"/>
                <w:b/>
              </w:rPr>
            </w:pPr>
            <w:r>
              <w:rPr>
                <w:szCs w:val="22"/>
              </w:rPr>
              <w:t>74.3</w:t>
            </w:r>
          </w:p>
        </w:tc>
        <w:tc>
          <w:tcPr>
            <w:tcW w:w="972" w:type="dxa"/>
            <w:vAlign w:val="bottom"/>
          </w:tcPr>
          <w:p>
            <w:pPr>
              <w:pStyle w:val="yTableNAm"/>
              <w:jc w:val="center"/>
              <w:rPr>
                <w:rFonts w:ascii="Arial" w:hAnsi="Arial"/>
                <w:b/>
              </w:rPr>
            </w:pPr>
            <w:r>
              <w:rPr>
                <w:szCs w:val="22"/>
              </w:rPr>
              <w:t>102.1</w:t>
            </w:r>
          </w:p>
        </w:tc>
        <w:tc>
          <w:tcPr>
            <w:tcW w:w="972" w:type="dxa"/>
            <w:vAlign w:val="bottom"/>
          </w:tcPr>
          <w:p>
            <w:pPr>
              <w:pStyle w:val="yTableNAm"/>
              <w:jc w:val="center"/>
              <w:rPr>
                <w:rFonts w:ascii="Arial" w:hAnsi="Arial"/>
                <w:b/>
              </w:rPr>
            </w:pPr>
            <w:r>
              <w:rPr>
                <w:szCs w:val="22"/>
              </w:rPr>
              <w:t>136.1</w:t>
            </w:r>
          </w:p>
        </w:tc>
        <w:tc>
          <w:tcPr>
            <w:tcW w:w="972" w:type="dxa"/>
            <w:vAlign w:val="bottom"/>
          </w:tcPr>
          <w:p>
            <w:pPr>
              <w:pStyle w:val="yTableNAm"/>
              <w:jc w:val="center"/>
              <w:rPr>
                <w:rFonts w:ascii="Arial" w:hAnsi="Arial"/>
                <w:b/>
              </w:rPr>
            </w:pPr>
            <w:r>
              <w:rPr>
                <w:szCs w:val="22"/>
              </w:rPr>
              <w:t>160.1</w:t>
            </w:r>
          </w:p>
        </w:tc>
        <w:tc>
          <w:tcPr>
            <w:tcW w:w="974" w:type="dxa"/>
            <w:vAlign w:val="bottom"/>
          </w:tcPr>
          <w:p>
            <w:pPr>
              <w:pStyle w:val="yTableNAm"/>
              <w:jc w:val="center"/>
              <w:rPr>
                <w:rFonts w:ascii="Arial" w:hAnsi="Arial"/>
                <w:b/>
              </w:rPr>
            </w:pPr>
            <w:r>
              <w:rPr>
                <w:szCs w:val="22"/>
              </w:rPr>
              <w:t>188.3</w:t>
            </w:r>
          </w:p>
        </w:tc>
      </w:tr>
      <w:tr>
        <w:trPr>
          <w:cantSplit/>
          <w:jc w:val="right"/>
        </w:trPr>
        <w:tc>
          <w:tcPr>
            <w:tcW w:w="1411" w:type="dxa"/>
          </w:tcPr>
          <w:p>
            <w:pPr>
              <w:pStyle w:val="yTableNAm"/>
            </w:pPr>
            <w:r>
              <w:t>Over 600 but not over 750</w:t>
            </w:r>
          </w:p>
        </w:tc>
        <w:tc>
          <w:tcPr>
            <w:tcW w:w="972" w:type="dxa"/>
            <w:vAlign w:val="bottom"/>
          </w:tcPr>
          <w:p>
            <w:pPr>
              <w:pStyle w:val="yTableNAm"/>
              <w:jc w:val="center"/>
              <w:rPr>
                <w:rFonts w:ascii="Arial" w:hAnsi="Arial"/>
                <w:b/>
              </w:rPr>
            </w:pPr>
            <w:r>
              <w:rPr>
                <w:szCs w:val="22"/>
              </w:rPr>
              <w:t>148.6</w:t>
            </w:r>
          </w:p>
        </w:tc>
        <w:tc>
          <w:tcPr>
            <w:tcW w:w="972" w:type="dxa"/>
            <w:vAlign w:val="bottom"/>
          </w:tcPr>
          <w:p>
            <w:pPr>
              <w:pStyle w:val="yTableNAm"/>
              <w:jc w:val="center"/>
              <w:rPr>
                <w:rFonts w:ascii="Arial" w:hAnsi="Arial"/>
                <w:b/>
              </w:rPr>
            </w:pPr>
            <w:r>
              <w:rPr>
                <w:szCs w:val="22"/>
              </w:rPr>
              <w:t>204.3</w:t>
            </w:r>
          </w:p>
        </w:tc>
        <w:tc>
          <w:tcPr>
            <w:tcW w:w="972" w:type="dxa"/>
            <w:vAlign w:val="bottom"/>
          </w:tcPr>
          <w:p>
            <w:pPr>
              <w:pStyle w:val="yTableNAm"/>
              <w:jc w:val="center"/>
              <w:rPr>
                <w:rFonts w:ascii="Arial" w:hAnsi="Arial"/>
                <w:b/>
              </w:rPr>
            </w:pPr>
            <w:r>
              <w:rPr>
                <w:szCs w:val="22"/>
              </w:rPr>
              <w:t>272.2</w:t>
            </w:r>
          </w:p>
        </w:tc>
        <w:tc>
          <w:tcPr>
            <w:tcW w:w="972" w:type="dxa"/>
            <w:vAlign w:val="bottom"/>
          </w:tcPr>
          <w:p>
            <w:pPr>
              <w:pStyle w:val="yTableNAm"/>
              <w:jc w:val="center"/>
              <w:rPr>
                <w:rFonts w:ascii="Arial" w:hAnsi="Arial"/>
                <w:b/>
              </w:rPr>
            </w:pPr>
            <w:r>
              <w:rPr>
                <w:szCs w:val="22"/>
              </w:rPr>
              <w:t>320.2</w:t>
            </w:r>
          </w:p>
        </w:tc>
        <w:tc>
          <w:tcPr>
            <w:tcW w:w="974" w:type="dxa"/>
            <w:vAlign w:val="bottom"/>
          </w:tcPr>
          <w:p>
            <w:pPr>
              <w:pStyle w:val="yTableNAm"/>
              <w:jc w:val="center"/>
              <w:rPr>
                <w:rFonts w:ascii="Arial" w:hAnsi="Arial"/>
                <w:b/>
              </w:rPr>
            </w:pPr>
            <w:r>
              <w:rPr>
                <w:szCs w:val="22"/>
              </w:rPr>
              <w:t>376.6</w:t>
            </w:r>
          </w:p>
        </w:tc>
      </w:tr>
      <w:tr>
        <w:trPr>
          <w:cantSplit/>
          <w:jc w:val="right"/>
        </w:trPr>
        <w:tc>
          <w:tcPr>
            <w:tcW w:w="1411" w:type="dxa"/>
            <w:tcBorders>
              <w:bottom w:val="single" w:sz="4" w:space="0" w:color="auto"/>
            </w:tcBorders>
          </w:tcPr>
          <w:p>
            <w:pPr>
              <w:pStyle w:val="yTableNAm"/>
            </w:pPr>
            <w:r>
              <w:t>Over 750</w:t>
            </w:r>
          </w:p>
        </w:tc>
        <w:tc>
          <w:tcPr>
            <w:tcW w:w="972" w:type="dxa"/>
            <w:tcBorders>
              <w:bottom w:val="single" w:sz="4" w:space="0" w:color="auto"/>
            </w:tcBorders>
            <w:vAlign w:val="bottom"/>
          </w:tcPr>
          <w:p>
            <w:pPr>
              <w:pStyle w:val="yTableNAm"/>
              <w:jc w:val="center"/>
              <w:rPr>
                <w:rFonts w:ascii="Arial" w:hAnsi="Arial"/>
                <w:b/>
              </w:rPr>
            </w:pPr>
            <w:r>
              <w:rPr>
                <w:szCs w:val="22"/>
              </w:rPr>
              <w:t>173.4</w:t>
            </w:r>
          </w:p>
        </w:tc>
        <w:tc>
          <w:tcPr>
            <w:tcW w:w="972" w:type="dxa"/>
            <w:tcBorders>
              <w:bottom w:val="single" w:sz="4" w:space="0" w:color="auto"/>
            </w:tcBorders>
            <w:vAlign w:val="bottom"/>
          </w:tcPr>
          <w:p>
            <w:pPr>
              <w:pStyle w:val="yTableNAm"/>
              <w:jc w:val="center"/>
              <w:rPr>
                <w:rFonts w:ascii="Arial" w:hAnsi="Arial"/>
                <w:b/>
              </w:rPr>
            </w:pPr>
            <w:r>
              <w:rPr>
                <w:szCs w:val="22"/>
              </w:rPr>
              <w:t>260.7</w:t>
            </w:r>
          </w:p>
        </w:tc>
        <w:tc>
          <w:tcPr>
            <w:tcW w:w="972" w:type="dxa"/>
            <w:tcBorders>
              <w:bottom w:val="single" w:sz="4" w:space="0" w:color="auto"/>
            </w:tcBorders>
            <w:vAlign w:val="bottom"/>
          </w:tcPr>
          <w:p>
            <w:pPr>
              <w:pStyle w:val="yTableNAm"/>
              <w:jc w:val="center"/>
              <w:rPr>
                <w:rFonts w:ascii="Arial" w:hAnsi="Arial"/>
                <w:b/>
              </w:rPr>
            </w:pPr>
            <w:r>
              <w:rPr>
                <w:szCs w:val="22"/>
              </w:rPr>
              <w:t>347.0</w:t>
            </w:r>
          </w:p>
        </w:tc>
        <w:tc>
          <w:tcPr>
            <w:tcW w:w="972" w:type="dxa"/>
            <w:tcBorders>
              <w:bottom w:val="single" w:sz="4" w:space="0" w:color="auto"/>
            </w:tcBorders>
            <w:vAlign w:val="bottom"/>
          </w:tcPr>
          <w:p>
            <w:pPr>
              <w:pStyle w:val="yTableNAm"/>
              <w:jc w:val="center"/>
              <w:rPr>
                <w:rFonts w:ascii="Arial" w:hAnsi="Arial"/>
                <w:b/>
              </w:rPr>
            </w:pPr>
            <w:r>
              <w:rPr>
                <w:szCs w:val="22"/>
              </w:rPr>
              <w:t>480.0</w:t>
            </w:r>
          </w:p>
        </w:tc>
        <w:tc>
          <w:tcPr>
            <w:tcW w:w="974" w:type="dxa"/>
            <w:tcBorders>
              <w:bottom w:val="single" w:sz="4" w:space="0" w:color="auto"/>
            </w:tcBorders>
            <w:vAlign w:val="bottom"/>
          </w:tcPr>
          <w:p>
            <w:pPr>
              <w:pStyle w:val="yTableNAm"/>
              <w:jc w:val="center"/>
              <w:rPr>
                <w:rFonts w:ascii="Arial" w:hAnsi="Arial"/>
                <w:b/>
              </w:rPr>
            </w:pPr>
            <w:r>
              <w:rPr>
                <w:szCs w:val="22"/>
              </w:rPr>
              <w:t>647.4</w:t>
            </w:r>
          </w:p>
        </w:tc>
      </w:tr>
    </w:tbl>
    <w:p>
      <w:pPr>
        <w:pStyle w:val="yHeading5"/>
      </w:pPr>
      <w:bookmarkStart w:id="173" w:name="_Toc391906957"/>
      <w:bookmarkStart w:id="174" w:name="_Toc426119818"/>
      <w:r>
        <w:rPr>
          <w:rStyle w:val="CharSClsNo"/>
        </w:rPr>
        <w:t>24</w:t>
      </w:r>
      <w:r>
        <w:t>.</w:t>
      </w:r>
      <w:r>
        <w:tab/>
        <w:t>Metropolitan non</w:t>
      </w:r>
      <w:r>
        <w:noBreakHyphen/>
        <w:t>residential</w:t>
      </w:r>
      <w:bookmarkEnd w:id="173"/>
      <w:bookmarkEnd w:id="174"/>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4887"/>
              </w:tabs>
              <w:ind w:left="731" w:hanging="731"/>
              <w:rPr>
                <w:rFonts w:ascii="Arial" w:hAnsi="Arial"/>
                <w:b/>
              </w:rPr>
            </w:pPr>
            <w:r>
              <w:tab/>
              <w:t>(a)</w:t>
            </w:r>
            <w:r>
              <w:tab/>
              <w:t>in the case of land not mentioned in paragraph (b) </w:t>
            </w:r>
            <w:r>
              <w:tab/>
            </w:r>
          </w:p>
        </w:tc>
        <w:tc>
          <w:tcPr>
            <w:tcW w:w="1276" w:type="dxa"/>
            <w:vAlign w:val="bottom"/>
          </w:tcPr>
          <w:p>
            <w:pPr>
              <w:pStyle w:val="yTableNAm"/>
            </w:pPr>
            <w:r>
              <w:t>204.3 cents</w:t>
            </w: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3952"/>
              </w:tabs>
              <w:ind w:left="731" w:hanging="731"/>
              <w:rPr>
                <w:rFonts w:ascii="Arial" w:hAnsi="Arial"/>
                <w:b/>
              </w:rPr>
            </w:pPr>
            <w:r>
              <w:tab/>
              <w:t>(b)</w:t>
            </w:r>
            <w:r>
              <w:tab/>
              <w:t>in the case of land classified as commercial residential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 xml:space="preserve">up to </w:t>
            </w:r>
            <w:r>
              <w:rPr>
                <w:spacing w:val="-1"/>
              </w:rPr>
              <w:t>150</w:t>
            </w:r>
            <w:r>
              <w:t xml:space="preserve"> kL </w:t>
            </w:r>
            <w:r>
              <w:tab/>
            </w:r>
          </w:p>
        </w:tc>
        <w:tc>
          <w:tcPr>
            <w:tcW w:w="1276" w:type="dxa"/>
            <w:vAlign w:val="bottom"/>
          </w:tcPr>
          <w:p>
            <w:pPr>
              <w:pStyle w:val="yTableNAm"/>
            </w:pPr>
            <w:r>
              <w:t>138.1 cents</w:t>
            </w: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 xml:space="preserve">over 150 kL </w:t>
            </w:r>
            <w:r>
              <w:tab/>
            </w:r>
          </w:p>
        </w:tc>
        <w:tc>
          <w:tcPr>
            <w:tcW w:w="1276" w:type="dxa"/>
            <w:vAlign w:val="bottom"/>
          </w:tcPr>
          <w:p>
            <w:pPr>
              <w:pStyle w:val="yTableNAm"/>
            </w:pPr>
            <w:r>
              <w:t>204.3 cents</w:t>
            </w:r>
          </w:p>
        </w:tc>
      </w:tr>
    </w:tbl>
    <w:p>
      <w:pPr>
        <w:pStyle w:val="yHeading5"/>
      </w:pPr>
      <w:bookmarkStart w:id="175" w:name="_Toc391906958"/>
      <w:bookmarkStart w:id="176" w:name="_Toc426119819"/>
      <w:r>
        <w:rPr>
          <w:rStyle w:val="CharSClsNo"/>
        </w:rPr>
        <w:t>25</w:t>
      </w:r>
      <w:r>
        <w:t>.</w:t>
      </w:r>
      <w:r>
        <w:tab/>
        <w:t>Connected metropolitan exempt</w:t>
      </w:r>
      <w:bookmarkEnd w:id="175"/>
      <w:bookmarkEnd w:id="176"/>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tabs>
                <w:tab w:val="right" w:leader="dot" w:pos="4887"/>
              </w:tabs>
              <w:rPr>
                <w:rFonts w:ascii="Arial" w:hAnsi="Arial"/>
                <w:b/>
              </w:rPr>
            </w:pPr>
            <w:r>
              <w:t>For each kilolitre of water, not being water for which a charge is otherwise provided in item 29 or 31, supplied to land described in by</w:t>
            </w:r>
            <w:r>
              <w:noBreakHyphen/>
              <w:t xml:space="preserve">law 4 that is in the metropolitan area and that is not classified as residential </w:t>
            </w:r>
            <w:r>
              <w:tab/>
            </w:r>
          </w:p>
        </w:tc>
        <w:tc>
          <w:tcPr>
            <w:tcW w:w="1276" w:type="dxa"/>
            <w:vAlign w:val="bottom"/>
          </w:tcPr>
          <w:p>
            <w:pPr>
              <w:pStyle w:val="yTableNAm"/>
            </w:pPr>
            <w:r>
              <w:t>204.3 cents</w:t>
            </w:r>
          </w:p>
        </w:tc>
      </w:tr>
    </w:tbl>
    <w:p>
      <w:pPr>
        <w:pStyle w:val="yHeading5"/>
      </w:pPr>
      <w:bookmarkStart w:id="177" w:name="_Toc391906959"/>
      <w:bookmarkStart w:id="178" w:name="_Toc426119820"/>
      <w:r>
        <w:rPr>
          <w:rStyle w:val="CharSClsNo"/>
        </w:rPr>
        <w:t>26</w:t>
      </w:r>
      <w:r>
        <w:t>.</w:t>
      </w:r>
      <w:r>
        <w:tab/>
        <w:t>Connected non</w:t>
      </w:r>
      <w:r>
        <w:noBreakHyphen/>
        <w:t>metropolitan residential exempt</w:t>
      </w:r>
      <w:bookmarkEnd w:id="177"/>
      <w:bookmarkEnd w:id="178"/>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widowControl w:val="0"/>
            </w:pPr>
          </w:p>
        </w:tc>
        <w:tc>
          <w:tcPr>
            <w:tcW w:w="5103" w:type="dxa"/>
          </w:tcPr>
          <w:p>
            <w:pPr>
              <w:pStyle w:val="yTableNAm"/>
              <w:tabs>
                <w:tab w:val="right" w:leader="dot" w:pos="4887"/>
              </w:tabs>
              <w:rPr>
                <w:rFonts w:ascii="Arial" w:hAnsi="Arial"/>
                <w:b/>
              </w:rPr>
            </w:pPr>
            <w:r>
              <w:t>For each kilolitre of water, not being water for which a charge is otherwise specifically provided in this Division, supplied to land described in by</w:t>
            </w:r>
            <w:r>
              <w:noBreakHyphen/>
              <w:t xml:space="preserve">law 4 that is comprised in a residential property and is not in the metropolitan area </w:t>
            </w:r>
            <w:r>
              <w:tab/>
            </w:r>
          </w:p>
        </w:tc>
        <w:tc>
          <w:tcPr>
            <w:tcW w:w="1276" w:type="dxa"/>
            <w:vAlign w:val="bottom"/>
          </w:tcPr>
          <w:p>
            <w:pPr>
              <w:pStyle w:val="yTableNAm"/>
            </w:pPr>
            <w:r>
              <w:t>196.5 cents</w:t>
            </w:r>
          </w:p>
        </w:tc>
      </w:tr>
    </w:tbl>
    <w:p>
      <w:pPr>
        <w:pStyle w:val="yHeading5"/>
      </w:pPr>
      <w:bookmarkStart w:id="179" w:name="_Toc391906960"/>
      <w:bookmarkStart w:id="180" w:name="_Toc426119821"/>
      <w:r>
        <w:rPr>
          <w:rStyle w:val="CharSClsNo"/>
        </w:rPr>
        <w:t>27</w:t>
      </w:r>
      <w:r>
        <w:t>.</w:t>
      </w:r>
      <w:r>
        <w:tab/>
        <w:t>Non</w:t>
      </w:r>
      <w:r>
        <w:noBreakHyphen/>
        <w:t>metropolitan non</w:t>
      </w:r>
      <w:r>
        <w:noBreakHyphen/>
        <w:t>residential</w:t>
      </w:r>
      <w:bookmarkEnd w:id="179"/>
      <w:bookmarkEnd w:id="180"/>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4887"/>
              </w:tabs>
              <w:ind w:left="731" w:hanging="731"/>
              <w:rPr>
                <w:rFonts w:ascii="Arial" w:hAnsi="Arial"/>
                <w:b/>
              </w:rPr>
            </w:pPr>
            <w:r>
              <w:rPr>
                <w:snapToGrid w:val="0"/>
              </w:rPr>
              <w:tab/>
              <w:t>(a)</w:t>
            </w:r>
            <w:r>
              <w:rPr>
                <w:snapToGrid w:val="0"/>
              </w:rPr>
              <w:tab/>
              <w:t xml:space="preserve">local government </w:t>
            </w:r>
            <w:r>
              <w:rPr>
                <w:snapToGrid w:val="0"/>
              </w:rPr>
              <w:tab/>
            </w:r>
          </w:p>
        </w:tc>
        <w:tc>
          <w:tcPr>
            <w:tcW w:w="1276" w:type="dxa"/>
            <w:vAlign w:val="bottom"/>
          </w:tcPr>
          <w:p>
            <w:pPr>
              <w:pStyle w:val="yTableNAm"/>
            </w:pPr>
            <w:r>
              <w:t>196.5 cents</w:t>
            </w: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3952"/>
              </w:tabs>
              <w:ind w:left="731" w:hanging="731"/>
              <w:rPr>
                <w:rFonts w:ascii="Arial" w:hAnsi="Arial"/>
                <w:b/>
              </w:rPr>
            </w:pPr>
            <w:r>
              <w:rPr>
                <w:snapToGrid w:val="0"/>
              </w:rPr>
              <w:tab/>
              <w:t>(b)</w:t>
            </w:r>
            <w:r>
              <w:rPr>
                <w:snapToGrid w:val="0"/>
              </w:rPr>
              <w:tab/>
              <w:t>non</w:t>
            </w:r>
            <w:r>
              <w:rPr>
                <w:snapToGrid w:val="0"/>
              </w:rPr>
              <w:noBreakHyphen/>
              <w:t>residential or vacant land (according to the non</w:t>
            </w:r>
            <w:r>
              <w:rPr>
                <w:snapToGrid w:val="0"/>
              </w:rPr>
              <w:noBreakHyphen/>
              <w:t>residential classification of the town/area in which that property is situated, as set out in Schedule 10) —</w:t>
            </w:r>
          </w:p>
        </w:tc>
        <w:tc>
          <w:tcPr>
            <w:tcW w:w="1276" w:type="dxa"/>
            <w:vAlign w:val="bottom"/>
          </w:tcPr>
          <w:p>
            <w:pPr>
              <w:pStyle w:val="yTableNAm"/>
            </w:pPr>
          </w:p>
        </w:tc>
      </w:tr>
    </w:tbl>
    <w:p>
      <w:pPr>
        <w:ind w:left="426"/>
        <w:rPr>
          <w:sz w:val="12"/>
          <w:szCs w:val="12"/>
        </w:rPr>
      </w:pPr>
    </w:p>
    <w:tbl>
      <w:tblPr>
        <w:tblW w:w="0" w:type="auto"/>
        <w:tblInd w:w="1588" w:type="dxa"/>
        <w:tblCellMar>
          <w:left w:w="28" w:type="dxa"/>
          <w:right w:w="28" w:type="dxa"/>
        </w:tblCellMar>
        <w:tblLook w:val="0000" w:firstRow="0" w:lastRow="0" w:firstColumn="0" w:lastColumn="0" w:noHBand="0" w:noVBand="0"/>
      </w:tblPr>
      <w:tblGrid>
        <w:gridCol w:w="1701"/>
        <w:gridCol w:w="3863"/>
      </w:tblGrid>
      <w:tr>
        <w:trPr>
          <w:cantSplit/>
          <w:trHeight w:val="217"/>
          <w:tblHeader/>
        </w:trPr>
        <w:tc>
          <w:tcPr>
            <w:tcW w:w="1701" w:type="dxa"/>
            <w:tcBorders>
              <w:top w:val="single" w:sz="4" w:space="0" w:color="auto"/>
              <w:bottom w:val="single" w:sz="4" w:space="0" w:color="auto"/>
            </w:tcBorders>
          </w:tcPr>
          <w:p>
            <w:pPr>
              <w:pStyle w:val="yTableNAm"/>
            </w:pPr>
            <w:r>
              <w:rPr>
                <w:b/>
                <w:bCs/>
              </w:rPr>
              <w:t>Class</w:t>
            </w:r>
          </w:p>
        </w:tc>
        <w:tc>
          <w:tcPr>
            <w:tcW w:w="3863" w:type="dxa"/>
            <w:tcBorders>
              <w:top w:val="single" w:sz="4" w:space="0" w:color="auto"/>
              <w:bottom w:val="single" w:sz="4" w:space="0" w:color="auto"/>
            </w:tcBorders>
          </w:tcPr>
          <w:p>
            <w:pPr>
              <w:pStyle w:val="yTableNAm"/>
              <w:jc w:val="center"/>
            </w:pPr>
            <w:r>
              <w:rPr>
                <w:b/>
                <w:bCs/>
              </w:rPr>
              <w:t>Charge (c/kL)</w:t>
            </w:r>
          </w:p>
        </w:tc>
      </w:tr>
      <w:tr>
        <w:tc>
          <w:tcPr>
            <w:tcW w:w="1701" w:type="dxa"/>
            <w:tcBorders>
              <w:top w:val="single" w:sz="4" w:space="0" w:color="auto"/>
            </w:tcBorders>
          </w:tcPr>
          <w:p>
            <w:pPr>
              <w:pStyle w:val="yTableNAm"/>
            </w:pPr>
            <w:r>
              <w:rPr>
                <w:bCs/>
              </w:rPr>
              <w:t xml:space="preserve">Class 1 </w:t>
            </w:r>
          </w:p>
        </w:tc>
        <w:tc>
          <w:tcPr>
            <w:tcW w:w="3863" w:type="dxa"/>
            <w:tcBorders>
              <w:top w:val="single" w:sz="4" w:space="0" w:color="auto"/>
            </w:tcBorders>
            <w:vAlign w:val="bottom"/>
          </w:tcPr>
          <w:p>
            <w:pPr>
              <w:pStyle w:val="yTableNAm"/>
              <w:jc w:val="center"/>
              <w:rPr>
                <w:rFonts w:ascii="Arial" w:hAnsi="Arial"/>
                <w:b/>
              </w:rPr>
            </w:pPr>
            <w:r>
              <w:t>196.5</w:t>
            </w:r>
          </w:p>
        </w:tc>
      </w:tr>
      <w:tr>
        <w:tc>
          <w:tcPr>
            <w:tcW w:w="1701" w:type="dxa"/>
          </w:tcPr>
          <w:p>
            <w:pPr>
              <w:pStyle w:val="yTableNAm"/>
            </w:pPr>
            <w:r>
              <w:rPr>
                <w:bCs/>
              </w:rPr>
              <w:t xml:space="preserve">Class 2 </w:t>
            </w:r>
          </w:p>
        </w:tc>
        <w:tc>
          <w:tcPr>
            <w:tcW w:w="3863" w:type="dxa"/>
            <w:vAlign w:val="bottom"/>
          </w:tcPr>
          <w:p>
            <w:pPr>
              <w:pStyle w:val="yTableNAm"/>
              <w:jc w:val="center"/>
              <w:rPr>
                <w:rFonts w:ascii="Arial" w:hAnsi="Arial"/>
                <w:b/>
              </w:rPr>
            </w:pPr>
            <w:r>
              <w:t>214.0</w:t>
            </w:r>
          </w:p>
        </w:tc>
      </w:tr>
      <w:tr>
        <w:tc>
          <w:tcPr>
            <w:tcW w:w="1701" w:type="dxa"/>
          </w:tcPr>
          <w:p>
            <w:pPr>
              <w:pStyle w:val="yTableNAm"/>
            </w:pPr>
            <w:r>
              <w:rPr>
                <w:bCs/>
              </w:rPr>
              <w:t xml:space="preserve">Class 3 </w:t>
            </w:r>
          </w:p>
        </w:tc>
        <w:tc>
          <w:tcPr>
            <w:tcW w:w="3863" w:type="dxa"/>
            <w:vAlign w:val="bottom"/>
          </w:tcPr>
          <w:p>
            <w:pPr>
              <w:pStyle w:val="yTableNAm"/>
              <w:jc w:val="center"/>
              <w:rPr>
                <w:rFonts w:ascii="Arial" w:hAnsi="Arial"/>
                <w:b/>
              </w:rPr>
            </w:pPr>
            <w:r>
              <w:t>232.8</w:t>
            </w:r>
          </w:p>
        </w:tc>
      </w:tr>
      <w:tr>
        <w:tc>
          <w:tcPr>
            <w:tcW w:w="1701" w:type="dxa"/>
          </w:tcPr>
          <w:p>
            <w:pPr>
              <w:pStyle w:val="yTableNAm"/>
              <w:spacing w:before="100"/>
            </w:pPr>
            <w:r>
              <w:rPr>
                <w:bCs/>
              </w:rPr>
              <w:t xml:space="preserve">Class 4 </w:t>
            </w:r>
          </w:p>
        </w:tc>
        <w:tc>
          <w:tcPr>
            <w:tcW w:w="3863" w:type="dxa"/>
            <w:vAlign w:val="bottom"/>
          </w:tcPr>
          <w:p>
            <w:pPr>
              <w:pStyle w:val="yTableNAm"/>
              <w:spacing w:before="100"/>
              <w:jc w:val="center"/>
              <w:rPr>
                <w:rFonts w:ascii="Arial" w:hAnsi="Arial"/>
                <w:b/>
              </w:rPr>
            </w:pPr>
            <w:r>
              <w:t>253.6</w:t>
            </w:r>
          </w:p>
        </w:tc>
      </w:tr>
      <w:tr>
        <w:tc>
          <w:tcPr>
            <w:tcW w:w="1701" w:type="dxa"/>
          </w:tcPr>
          <w:p>
            <w:pPr>
              <w:pStyle w:val="yTableNAm"/>
              <w:spacing w:before="100"/>
            </w:pPr>
            <w:r>
              <w:rPr>
                <w:bCs/>
              </w:rPr>
              <w:t xml:space="preserve">Class 5 </w:t>
            </w:r>
          </w:p>
        </w:tc>
        <w:tc>
          <w:tcPr>
            <w:tcW w:w="3863" w:type="dxa"/>
            <w:vAlign w:val="bottom"/>
          </w:tcPr>
          <w:p>
            <w:pPr>
              <w:pStyle w:val="yTableNAm"/>
              <w:spacing w:before="100"/>
              <w:jc w:val="center"/>
              <w:rPr>
                <w:rFonts w:ascii="Arial" w:hAnsi="Arial"/>
                <w:b/>
              </w:rPr>
            </w:pPr>
            <w:r>
              <w:t>276.1</w:t>
            </w:r>
          </w:p>
        </w:tc>
      </w:tr>
      <w:tr>
        <w:tc>
          <w:tcPr>
            <w:tcW w:w="1701" w:type="dxa"/>
          </w:tcPr>
          <w:p>
            <w:pPr>
              <w:pStyle w:val="yTableNAm"/>
              <w:spacing w:before="100"/>
            </w:pPr>
            <w:r>
              <w:rPr>
                <w:bCs/>
              </w:rPr>
              <w:t xml:space="preserve">Class 6 </w:t>
            </w:r>
          </w:p>
        </w:tc>
        <w:tc>
          <w:tcPr>
            <w:tcW w:w="3863" w:type="dxa"/>
            <w:vAlign w:val="bottom"/>
          </w:tcPr>
          <w:p>
            <w:pPr>
              <w:pStyle w:val="yTableNAm"/>
              <w:spacing w:before="100"/>
              <w:jc w:val="center"/>
              <w:rPr>
                <w:rFonts w:ascii="Arial" w:hAnsi="Arial"/>
                <w:b/>
              </w:rPr>
            </w:pPr>
            <w:r>
              <w:t>300.7</w:t>
            </w:r>
          </w:p>
        </w:tc>
      </w:tr>
      <w:tr>
        <w:tc>
          <w:tcPr>
            <w:tcW w:w="1701" w:type="dxa"/>
          </w:tcPr>
          <w:p>
            <w:pPr>
              <w:pStyle w:val="yTableNAm"/>
              <w:spacing w:before="100"/>
            </w:pPr>
            <w:r>
              <w:rPr>
                <w:bCs/>
              </w:rPr>
              <w:t xml:space="preserve">Class 7 </w:t>
            </w:r>
          </w:p>
        </w:tc>
        <w:tc>
          <w:tcPr>
            <w:tcW w:w="3863" w:type="dxa"/>
            <w:vAlign w:val="bottom"/>
          </w:tcPr>
          <w:p>
            <w:pPr>
              <w:pStyle w:val="yTableNAm"/>
              <w:spacing w:before="100"/>
              <w:jc w:val="center"/>
              <w:rPr>
                <w:rFonts w:ascii="Arial" w:hAnsi="Arial"/>
                <w:b/>
              </w:rPr>
            </w:pPr>
            <w:r>
              <w:t>327.5</w:t>
            </w:r>
          </w:p>
        </w:tc>
      </w:tr>
      <w:tr>
        <w:tc>
          <w:tcPr>
            <w:tcW w:w="1701" w:type="dxa"/>
          </w:tcPr>
          <w:p>
            <w:pPr>
              <w:pStyle w:val="yTableNAm"/>
              <w:spacing w:before="100"/>
            </w:pPr>
            <w:r>
              <w:rPr>
                <w:bCs/>
              </w:rPr>
              <w:t xml:space="preserve">Class 8 </w:t>
            </w:r>
          </w:p>
        </w:tc>
        <w:tc>
          <w:tcPr>
            <w:tcW w:w="3863" w:type="dxa"/>
            <w:vAlign w:val="bottom"/>
          </w:tcPr>
          <w:p>
            <w:pPr>
              <w:pStyle w:val="yTableNAm"/>
              <w:spacing w:before="100"/>
              <w:jc w:val="center"/>
              <w:rPr>
                <w:rFonts w:ascii="Arial" w:hAnsi="Arial"/>
                <w:b/>
              </w:rPr>
            </w:pPr>
            <w:r>
              <w:t>356.6</w:t>
            </w:r>
          </w:p>
        </w:tc>
      </w:tr>
      <w:tr>
        <w:tc>
          <w:tcPr>
            <w:tcW w:w="1701" w:type="dxa"/>
          </w:tcPr>
          <w:p>
            <w:pPr>
              <w:pStyle w:val="yTableNAm"/>
              <w:spacing w:before="100"/>
            </w:pPr>
            <w:r>
              <w:rPr>
                <w:bCs/>
              </w:rPr>
              <w:t xml:space="preserve">Class 9 </w:t>
            </w:r>
          </w:p>
        </w:tc>
        <w:tc>
          <w:tcPr>
            <w:tcW w:w="3863" w:type="dxa"/>
            <w:vAlign w:val="bottom"/>
          </w:tcPr>
          <w:p>
            <w:pPr>
              <w:pStyle w:val="yTableNAm"/>
              <w:spacing w:before="100"/>
              <w:jc w:val="center"/>
              <w:rPr>
                <w:rFonts w:ascii="Arial" w:hAnsi="Arial"/>
                <w:b/>
              </w:rPr>
            </w:pPr>
            <w:r>
              <w:t>388.3</w:t>
            </w:r>
          </w:p>
        </w:tc>
      </w:tr>
      <w:tr>
        <w:tc>
          <w:tcPr>
            <w:tcW w:w="1701" w:type="dxa"/>
          </w:tcPr>
          <w:p>
            <w:pPr>
              <w:pStyle w:val="yTableNAm"/>
              <w:spacing w:before="100"/>
            </w:pPr>
            <w:r>
              <w:rPr>
                <w:bCs/>
              </w:rPr>
              <w:t xml:space="preserve">Class 10 </w:t>
            </w:r>
          </w:p>
        </w:tc>
        <w:tc>
          <w:tcPr>
            <w:tcW w:w="3863" w:type="dxa"/>
            <w:vAlign w:val="bottom"/>
          </w:tcPr>
          <w:p>
            <w:pPr>
              <w:pStyle w:val="yTableNAm"/>
              <w:spacing w:before="100"/>
              <w:jc w:val="center"/>
              <w:rPr>
                <w:rFonts w:ascii="Arial" w:hAnsi="Arial"/>
                <w:b/>
              </w:rPr>
            </w:pPr>
            <w:r>
              <w:t>422.9</w:t>
            </w:r>
          </w:p>
        </w:tc>
      </w:tr>
      <w:tr>
        <w:tc>
          <w:tcPr>
            <w:tcW w:w="1701" w:type="dxa"/>
          </w:tcPr>
          <w:p>
            <w:pPr>
              <w:pStyle w:val="yTableNAm"/>
              <w:spacing w:before="100"/>
            </w:pPr>
            <w:r>
              <w:rPr>
                <w:bCs/>
              </w:rPr>
              <w:t xml:space="preserve">Class 11 </w:t>
            </w:r>
          </w:p>
        </w:tc>
        <w:tc>
          <w:tcPr>
            <w:tcW w:w="3863" w:type="dxa"/>
            <w:vAlign w:val="bottom"/>
          </w:tcPr>
          <w:p>
            <w:pPr>
              <w:pStyle w:val="yTableNAm"/>
              <w:spacing w:before="100"/>
              <w:jc w:val="center"/>
              <w:rPr>
                <w:rFonts w:ascii="Arial" w:hAnsi="Arial"/>
                <w:b/>
              </w:rPr>
            </w:pPr>
            <w:r>
              <w:t>460.4</w:t>
            </w:r>
          </w:p>
        </w:tc>
      </w:tr>
      <w:tr>
        <w:tc>
          <w:tcPr>
            <w:tcW w:w="1701" w:type="dxa"/>
          </w:tcPr>
          <w:p>
            <w:pPr>
              <w:pStyle w:val="yTableNAm"/>
              <w:spacing w:before="100"/>
            </w:pPr>
            <w:r>
              <w:rPr>
                <w:bCs/>
              </w:rPr>
              <w:t xml:space="preserve">Class 12 </w:t>
            </w:r>
          </w:p>
        </w:tc>
        <w:tc>
          <w:tcPr>
            <w:tcW w:w="3863" w:type="dxa"/>
            <w:vAlign w:val="bottom"/>
          </w:tcPr>
          <w:p>
            <w:pPr>
              <w:pStyle w:val="yTableNAm"/>
              <w:spacing w:before="100"/>
              <w:jc w:val="center"/>
              <w:rPr>
                <w:rFonts w:ascii="Arial" w:hAnsi="Arial"/>
                <w:b/>
              </w:rPr>
            </w:pPr>
            <w:r>
              <w:t>501.4</w:t>
            </w:r>
          </w:p>
        </w:tc>
      </w:tr>
      <w:tr>
        <w:tc>
          <w:tcPr>
            <w:tcW w:w="1701" w:type="dxa"/>
          </w:tcPr>
          <w:p>
            <w:pPr>
              <w:pStyle w:val="yTableNAm"/>
              <w:spacing w:before="100"/>
            </w:pPr>
            <w:r>
              <w:rPr>
                <w:bCs/>
              </w:rPr>
              <w:t xml:space="preserve">Class 13 </w:t>
            </w:r>
          </w:p>
        </w:tc>
        <w:tc>
          <w:tcPr>
            <w:tcW w:w="3863" w:type="dxa"/>
            <w:vAlign w:val="bottom"/>
          </w:tcPr>
          <w:p>
            <w:pPr>
              <w:pStyle w:val="yTableNAm"/>
              <w:spacing w:before="100"/>
              <w:jc w:val="center"/>
              <w:rPr>
                <w:rFonts w:ascii="Arial" w:hAnsi="Arial"/>
                <w:b/>
              </w:rPr>
            </w:pPr>
            <w:r>
              <w:t>546.0</w:t>
            </w:r>
          </w:p>
        </w:tc>
      </w:tr>
      <w:tr>
        <w:tc>
          <w:tcPr>
            <w:tcW w:w="1701" w:type="dxa"/>
          </w:tcPr>
          <w:p>
            <w:pPr>
              <w:pStyle w:val="yTableNAm"/>
              <w:spacing w:before="100"/>
            </w:pPr>
            <w:r>
              <w:rPr>
                <w:bCs/>
              </w:rPr>
              <w:t xml:space="preserve">Class 14 </w:t>
            </w:r>
          </w:p>
        </w:tc>
        <w:tc>
          <w:tcPr>
            <w:tcW w:w="3863" w:type="dxa"/>
            <w:vAlign w:val="bottom"/>
          </w:tcPr>
          <w:p>
            <w:pPr>
              <w:pStyle w:val="yTableNAm"/>
              <w:spacing w:before="100"/>
              <w:jc w:val="center"/>
              <w:rPr>
                <w:rFonts w:ascii="Arial" w:hAnsi="Arial"/>
                <w:b/>
              </w:rPr>
            </w:pPr>
            <w:r>
              <w:t>594.6</w:t>
            </w:r>
          </w:p>
        </w:tc>
      </w:tr>
      <w:tr>
        <w:tc>
          <w:tcPr>
            <w:tcW w:w="1701" w:type="dxa"/>
            <w:tcBorders>
              <w:bottom w:val="single" w:sz="4" w:space="0" w:color="auto"/>
            </w:tcBorders>
          </w:tcPr>
          <w:p>
            <w:pPr>
              <w:pStyle w:val="yTableNAm"/>
              <w:spacing w:before="100"/>
            </w:pPr>
            <w:r>
              <w:rPr>
                <w:bCs/>
              </w:rPr>
              <w:t xml:space="preserve">Class 15 </w:t>
            </w:r>
          </w:p>
        </w:tc>
        <w:tc>
          <w:tcPr>
            <w:tcW w:w="3863" w:type="dxa"/>
            <w:tcBorders>
              <w:bottom w:val="single" w:sz="4" w:space="0" w:color="auto"/>
            </w:tcBorders>
            <w:vAlign w:val="bottom"/>
          </w:tcPr>
          <w:p>
            <w:pPr>
              <w:pStyle w:val="yTableNAm"/>
              <w:spacing w:before="100"/>
              <w:jc w:val="center"/>
              <w:rPr>
                <w:rFonts w:ascii="Arial" w:hAnsi="Arial"/>
                <w:b/>
              </w:rPr>
            </w:pPr>
            <w:r>
              <w:t>647.4</w:t>
            </w:r>
          </w:p>
        </w:tc>
      </w:tr>
    </w:tbl>
    <w:p>
      <w:pPr>
        <w:rPr>
          <w:sz w:val="12"/>
          <w:szCs w:val="12"/>
        </w:rPr>
      </w:pPr>
    </w:p>
    <w:tbl>
      <w:tblPr>
        <w:tblW w:w="0" w:type="auto"/>
        <w:tblInd w:w="-34" w:type="dxa"/>
        <w:tblLook w:val="0000" w:firstRow="0" w:lastRow="0" w:firstColumn="0" w:lastColumn="0" w:noHBand="0" w:noVBand="0"/>
      </w:tblPr>
      <w:tblGrid>
        <w:gridCol w:w="907"/>
        <w:gridCol w:w="4961"/>
        <w:gridCol w:w="1362"/>
      </w:tblGrid>
      <w:tr>
        <w:trPr>
          <w:cantSplit/>
        </w:trPr>
        <w:tc>
          <w:tcPr>
            <w:tcW w:w="907" w:type="dxa"/>
          </w:tcPr>
          <w:p>
            <w:pPr>
              <w:pStyle w:val="zyTableNAm"/>
              <w:spacing w:before="0"/>
            </w:pPr>
          </w:p>
        </w:tc>
        <w:tc>
          <w:tcPr>
            <w:tcW w:w="4961" w:type="dxa"/>
          </w:tcPr>
          <w:p>
            <w:pPr>
              <w:pStyle w:val="yTableNAm"/>
              <w:tabs>
                <w:tab w:val="clear" w:pos="567"/>
                <w:tab w:val="left" w:pos="268"/>
                <w:tab w:val="left" w:pos="715"/>
                <w:tab w:val="right" w:leader="dot" w:pos="4745"/>
              </w:tabs>
              <w:spacing w:before="0"/>
              <w:ind w:left="731" w:hanging="731"/>
              <w:rPr>
                <w:snapToGrid w:val="0"/>
              </w:rPr>
            </w:pPr>
            <w:r>
              <w:rPr>
                <w:snapToGrid w:val="0"/>
              </w:rPr>
              <w:tab/>
              <w:t>(c)</w:t>
            </w:r>
            <w:r>
              <w:rPr>
                <w:snapToGrid w:val="0"/>
              </w:rPr>
              <w:tab/>
              <w:t>farmland</w:t>
            </w:r>
            <w:r>
              <w:rPr>
                <w:snapToGrid w:val="0"/>
              </w:rPr>
              <w:tab/>
            </w:r>
          </w:p>
        </w:tc>
        <w:tc>
          <w:tcPr>
            <w:tcW w:w="1362" w:type="dxa"/>
            <w:vAlign w:val="bottom"/>
          </w:tcPr>
          <w:p>
            <w:pPr>
              <w:pStyle w:val="yTableNAm"/>
              <w:spacing w:before="0"/>
              <w:jc w:val="center"/>
              <w:rPr>
                <w:rFonts w:ascii="Arial" w:hAnsi="Arial"/>
                <w:b/>
              </w:rPr>
            </w:pPr>
            <w:r>
              <w:t>176.0 cents</w:t>
            </w:r>
          </w:p>
        </w:tc>
      </w:tr>
      <w:tr>
        <w:trPr>
          <w:cantSplit/>
        </w:trPr>
        <w:tc>
          <w:tcPr>
            <w:tcW w:w="907" w:type="dxa"/>
          </w:tcPr>
          <w:p>
            <w:pPr>
              <w:pStyle w:val="zyTableNAm"/>
            </w:pPr>
          </w:p>
        </w:tc>
        <w:tc>
          <w:tcPr>
            <w:tcW w:w="4961" w:type="dxa"/>
          </w:tcPr>
          <w:p>
            <w:pPr>
              <w:pStyle w:val="yTableNAm"/>
              <w:tabs>
                <w:tab w:val="clear" w:pos="567"/>
                <w:tab w:val="left" w:pos="268"/>
                <w:tab w:val="left" w:pos="715"/>
                <w:tab w:val="right" w:leader="dot" w:pos="4745"/>
              </w:tabs>
              <w:ind w:left="731" w:hanging="731"/>
              <w:rPr>
                <w:rFonts w:ascii="Arial" w:hAnsi="Arial"/>
                <w:b/>
                <w:snapToGrid w:val="0"/>
              </w:rPr>
            </w:pPr>
            <w:r>
              <w:rPr>
                <w:snapToGrid w:val="0"/>
              </w:rPr>
              <w:tab/>
              <w:t>(d)</w:t>
            </w:r>
            <w:r>
              <w:rPr>
                <w:snapToGrid w:val="0"/>
              </w:rPr>
              <w:tab/>
              <w:t>mining</w:t>
            </w:r>
            <w:r>
              <w:rPr>
                <w:snapToGrid w:val="0"/>
              </w:rPr>
              <w:tab/>
            </w:r>
          </w:p>
        </w:tc>
        <w:tc>
          <w:tcPr>
            <w:tcW w:w="1362" w:type="dxa"/>
            <w:vAlign w:val="bottom"/>
          </w:tcPr>
          <w:p>
            <w:pPr>
              <w:pStyle w:val="yTableNAm"/>
              <w:jc w:val="center"/>
              <w:rPr>
                <w:rFonts w:ascii="Arial" w:hAnsi="Arial"/>
                <w:b/>
              </w:rPr>
            </w:pPr>
            <w:r>
              <w:t>376.2 cents</w:t>
            </w:r>
          </w:p>
        </w:tc>
      </w:tr>
      <w:tr>
        <w:trPr>
          <w:cantSplit/>
        </w:trPr>
        <w:tc>
          <w:tcPr>
            <w:tcW w:w="907" w:type="dxa"/>
          </w:tcPr>
          <w:p>
            <w:pPr>
              <w:pStyle w:val="zyTableNAm"/>
            </w:pPr>
          </w:p>
        </w:tc>
        <w:tc>
          <w:tcPr>
            <w:tcW w:w="4961" w:type="dxa"/>
          </w:tcPr>
          <w:p>
            <w:pPr>
              <w:pStyle w:val="yTableNAm"/>
              <w:tabs>
                <w:tab w:val="clear" w:pos="567"/>
                <w:tab w:val="left" w:pos="268"/>
                <w:tab w:val="left" w:pos="715"/>
                <w:tab w:val="right" w:leader="dot" w:pos="4745"/>
              </w:tabs>
              <w:ind w:left="731" w:hanging="731"/>
              <w:rPr>
                <w:rFonts w:ascii="Arial" w:hAnsi="Arial"/>
                <w:b/>
                <w:snapToGrid w:val="0"/>
              </w:rPr>
            </w:pPr>
            <w:r>
              <w:rPr>
                <w:snapToGrid w:val="0"/>
              </w:rPr>
              <w:tab/>
              <w:t>(e)</w:t>
            </w:r>
            <w:r>
              <w:rPr>
                <w:snapToGrid w:val="0"/>
              </w:rPr>
              <w:tab/>
              <w:t xml:space="preserve">institutional public </w:t>
            </w:r>
            <w:r>
              <w:rPr>
                <w:snapToGrid w:val="0"/>
              </w:rPr>
              <w:tab/>
            </w:r>
          </w:p>
        </w:tc>
        <w:tc>
          <w:tcPr>
            <w:tcW w:w="1362" w:type="dxa"/>
            <w:vAlign w:val="bottom"/>
          </w:tcPr>
          <w:p>
            <w:pPr>
              <w:pStyle w:val="yTableNAm"/>
              <w:jc w:val="center"/>
              <w:rPr>
                <w:rFonts w:ascii="Arial" w:hAnsi="Arial"/>
                <w:b/>
              </w:rPr>
            </w:pPr>
            <w:r>
              <w:t>196.5 cents</w:t>
            </w:r>
          </w:p>
        </w:tc>
      </w:tr>
      <w:tr>
        <w:trPr>
          <w:cantSplit/>
        </w:trPr>
        <w:tc>
          <w:tcPr>
            <w:tcW w:w="907" w:type="dxa"/>
          </w:tcPr>
          <w:p>
            <w:pPr>
              <w:pStyle w:val="zyTableNAm"/>
            </w:pPr>
          </w:p>
        </w:tc>
        <w:tc>
          <w:tcPr>
            <w:tcW w:w="4961" w:type="dxa"/>
          </w:tcPr>
          <w:p>
            <w:pPr>
              <w:pStyle w:val="yTableNAm"/>
              <w:tabs>
                <w:tab w:val="clear" w:pos="567"/>
                <w:tab w:val="left" w:pos="268"/>
                <w:tab w:val="left" w:pos="715"/>
                <w:tab w:val="right" w:leader="dot" w:pos="4745"/>
              </w:tabs>
              <w:ind w:left="731" w:hanging="731"/>
              <w:rPr>
                <w:rFonts w:ascii="Arial" w:hAnsi="Arial"/>
                <w:b/>
              </w:rPr>
            </w:pPr>
            <w:r>
              <w:rPr>
                <w:snapToGrid w:val="0"/>
              </w:rPr>
              <w:tab/>
              <w:t>(f)</w:t>
            </w:r>
            <w:r>
              <w:rPr>
                <w:snapToGrid w:val="0"/>
              </w:rPr>
              <w:tab/>
              <w:t xml:space="preserve">charitable purposes </w:t>
            </w:r>
            <w:r>
              <w:rPr>
                <w:snapToGrid w:val="0"/>
              </w:rPr>
              <w:tab/>
            </w:r>
          </w:p>
        </w:tc>
        <w:tc>
          <w:tcPr>
            <w:tcW w:w="1362" w:type="dxa"/>
            <w:vAlign w:val="bottom"/>
          </w:tcPr>
          <w:p>
            <w:pPr>
              <w:pStyle w:val="yTableNAm"/>
              <w:jc w:val="center"/>
              <w:rPr>
                <w:rFonts w:ascii="Arial" w:hAnsi="Arial"/>
                <w:b/>
              </w:rPr>
            </w:pPr>
            <w:r>
              <w:t>196.5 cents</w:t>
            </w:r>
          </w:p>
        </w:tc>
      </w:tr>
      <w:tr>
        <w:trPr>
          <w:cantSplit/>
        </w:trPr>
        <w:tc>
          <w:tcPr>
            <w:tcW w:w="907" w:type="dxa"/>
          </w:tcPr>
          <w:p>
            <w:pPr>
              <w:pStyle w:val="zyTableNAm"/>
            </w:pPr>
          </w:p>
        </w:tc>
        <w:tc>
          <w:tcPr>
            <w:tcW w:w="4961" w:type="dxa"/>
          </w:tcPr>
          <w:p>
            <w:pPr>
              <w:pStyle w:val="yTableNAm"/>
              <w:tabs>
                <w:tab w:val="clear" w:pos="567"/>
                <w:tab w:val="left" w:pos="268"/>
                <w:tab w:val="left" w:pos="715"/>
                <w:tab w:val="right" w:leader="dot" w:pos="3952"/>
              </w:tabs>
              <w:ind w:left="731" w:hanging="731"/>
              <w:rPr>
                <w:snapToGrid w:val="0"/>
              </w:rPr>
            </w:pPr>
            <w:r>
              <w:rPr>
                <w:snapToGrid w:val="0"/>
              </w:rPr>
              <w:tab/>
              <w:t>(g)</w:t>
            </w:r>
            <w:r>
              <w:rPr>
                <w:snapToGrid w:val="0"/>
              </w:rPr>
              <w:tab/>
              <w:t>commercial residential (according to the non</w:t>
            </w:r>
            <w:r>
              <w:rPr>
                <w:snapToGrid w:val="0"/>
              </w:rPr>
              <w:noBreakHyphen/>
              <w:t>residential classification of the town/area in which that property is situated, as set out in Schedule 10) —</w:t>
            </w:r>
          </w:p>
        </w:tc>
        <w:tc>
          <w:tcPr>
            <w:tcW w:w="1362" w:type="dxa"/>
            <w:vAlign w:val="bottom"/>
          </w:tcPr>
          <w:p>
            <w:pPr>
              <w:pStyle w:val="yTableNAm"/>
              <w:jc w:val="center"/>
            </w:pPr>
          </w:p>
        </w:tc>
      </w:tr>
    </w:tbl>
    <w:p>
      <w:pPr>
        <w:pStyle w:val="yMiscellaneousBody"/>
        <w:spacing w:before="0"/>
      </w:pPr>
    </w:p>
    <w:tbl>
      <w:tblPr>
        <w:tblW w:w="5528" w:type="dxa"/>
        <w:tblInd w:w="1588" w:type="dxa"/>
        <w:tblLayout w:type="fixed"/>
        <w:tblCellMar>
          <w:left w:w="28" w:type="dxa"/>
          <w:right w:w="28" w:type="dxa"/>
        </w:tblCellMar>
        <w:tblLook w:val="0000" w:firstRow="0" w:lastRow="0" w:firstColumn="0" w:lastColumn="0" w:noHBand="0" w:noVBand="0"/>
      </w:tblPr>
      <w:tblGrid>
        <w:gridCol w:w="1984"/>
        <w:gridCol w:w="1843"/>
        <w:gridCol w:w="1701"/>
      </w:tblGrid>
      <w:tr>
        <w:trPr>
          <w:cantSplit/>
          <w:tblHeader/>
        </w:trPr>
        <w:tc>
          <w:tcPr>
            <w:tcW w:w="1984" w:type="dxa"/>
            <w:vMerge w:val="restart"/>
            <w:tcBorders>
              <w:top w:val="single" w:sz="4" w:space="0" w:color="auto"/>
            </w:tcBorders>
          </w:tcPr>
          <w:p>
            <w:pPr>
              <w:pStyle w:val="yTableNAm"/>
            </w:pPr>
            <w:r>
              <w:rPr>
                <w:b/>
                <w:bCs/>
              </w:rPr>
              <w:t>Class</w:t>
            </w:r>
          </w:p>
        </w:tc>
        <w:tc>
          <w:tcPr>
            <w:tcW w:w="3544" w:type="dxa"/>
            <w:gridSpan w:val="2"/>
            <w:tcBorders>
              <w:top w:val="single" w:sz="4" w:space="0" w:color="auto"/>
            </w:tcBorders>
          </w:tcPr>
          <w:p>
            <w:pPr>
              <w:pStyle w:val="yTableNAm"/>
              <w:jc w:val="center"/>
            </w:pPr>
            <w:r>
              <w:rPr>
                <w:b/>
                <w:bCs/>
              </w:rPr>
              <w:t>Consumption (kL)</w:t>
            </w:r>
          </w:p>
        </w:tc>
      </w:tr>
      <w:tr>
        <w:trPr>
          <w:cantSplit/>
          <w:tblHeader/>
        </w:trPr>
        <w:tc>
          <w:tcPr>
            <w:tcW w:w="1984" w:type="dxa"/>
            <w:vMerge/>
            <w:tcBorders>
              <w:bottom w:val="single" w:sz="4" w:space="0" w:color="auto"/>
            </w:tcBorders>
          </w:tcPr>
          <w:p>
            <w:pPr>
              <w:pStyle w:val="zyTableNAm"/>
              <w:keepNext/>
              <w:keepLines/>
              <w:rPr>
                <w:b/>
                <w:bCs/>
              </w:rPr>
            </w:pPr>
          </w:p>
        </w:tc>
        <w:tc>
          <w:tcPr>
            <w:tcW w:w="1843" w:type="dxa"/>
            <w:tcBorders>
              <w:bottom w:val="single" w:sz="4" w:space="0" w:color="auto"/>
            </w:tcBorders>
          </w:tcPr>
          <w:p>
            <w:pPr>
              <w:pStyle w:val="yTableNAm"/>
              <w:jc w:val="center"/>
              <w:rPr>
                <w:rFonts w:ascii="Arial" w:hAnsi="Arial"/>
                <w:b/>
              </w:rPr>
            </w:pPr>
            <w:r>
              <w:rPr>
                <w:b/>
                <w:bCs/>
              </w:rPr>
              <w:t>Up to 150</w:t>
            </w:r>
          </w:p>
        </w:tc>
        <w:tc>
          <w:tcPr>
            <w:tcW w:w="1701" w:type="dxa"/>
            <w:tcBorders>
              <w:bottom w:val="single" w:sz="4" w:space="0" w:color="auto"/>
            </w:tcBorders>
          </w:tcPr>
          <w:p>
            <w:pPr>
              <w:pStyle w:val="yTableNAm"/>
              <w:jc w:val="center"/>
              <w:rPr>
                <w:rFonts w:ascii="Arial" w:hAnsi="Arial"/>
                <w:b/>
              </w:rPr>
            </w:pPr>
            <w:r>
              <w:rPr>
                <w:b/>
                <w:bCs/>
              </w:rPr>
              <w:t>Over 150</w:t>
            </w:r>
          </w:p>
        </w:tc>
      </w:tr>
      <w:tr>
        <w:tc>
          <w:tcPr>
            <w:tcW w:w="1984" w:type="dxa"/>
            <w:tcBorders>
              <w:top w:val="single" w:sz="4" w:space="0" w:color="auto"/>
            </w:tcBorders>
          </w:tcPr>
          <w:p>
            <w:pPr>
              <w:pStyle w:val="yTableNAm"/>
              <w:spacing w:before="100"/>
            </w:pPr>
            <w:r>
              <w:rPr>
                <w:bCs/>
              </w:rPr>
              <w:t>Class 1 (c/kL)</w:t>
            </w:r>
          </w:p>
        </w:tc>
        <w:tc>
          <w:tcPr>
            <w:tcW w:w="1843" w:type="dxa"/>
            <w:tcBorders>
              <w:top w:val="single" w:sz="4" w:space="0" w:color="auto"/>
            </w:tcBorders>
            <w:vAlign w:val="bottom"/>
          </w:tcPr>
          <w:p>
            <w:pPr>
              <w:pStyle w:val="yTableNAm"/>
              <w:spacing w:before="100"/>
              <w:jc w:val="center"/>
              <w:rPr>
                <w:rFonts w:ascii="Arial" w:hAnsi="Arial"/>
                <w:b/>
              </w:rPr>
            </w:pPr>
            <w:r>
              <w:t>138.1</w:t>
            </w:r>
          </w:p>
        </w:tc>
        <w:tc>
          <w:tcPr>
            <w:tcW w:w="1701" w:type="dxa"/>
            <w:tcBorders>
              <w:top w:val="single" w:sz="4" w:space="0" w:color="auto"/>
            </w:tcBorders>
            <w:vAlign w:val="bottom"/>
          </w:tcPr>
          <w:p>
            <w:pPr>
              <w:pStyle w:val="yTableNAm"/>
              <w:spacing w:before="100"/>
              <w:jc w:val="center"/>
              <w:rPr>
                <w:rFonts w:ascii="Arial" w:hAnsi="Arial"/>
                <w:b/>
              </w:rPr>
            </w:pPr>
            <w:r>
              <w:t>196.5</w:t>
            </w:r>
          </w:p>
        </w:tc>
      </w:tr>
      <w:tr>
        <w:tc>
          <w:tcPr>
            <w:tcW w:w="1984" w:type="dxa"/>
          </w:tcPr>
          <w:p>
            <w:pPr>
              <w:pStyle w:val="yTableNAm"/>
              <w:spacing w:before="100"/>
            </w:pPr>
            <w:r>
              <w:rPr>
                <w:bCs/>
              </w:rPr>
              <w:t>Class 2 (c/kL)</w:t>
            </w:r>
          </w:p>
        </w:tc>
        <w:tc>
          <w:tcPr>
            <w:tcW w:w="1843" w:type="dxa"/>
            <w:vAlign w:val="bottom"/>
          </w:tcPr>
          <w:p>
            <w:pPr>
              <w:pStyle w:val="yTableNAm"/>
              <w:spacing w:before="100"/>
              <w:jc w:val="center"/>
              <w:rPr>
                <w:rFonts w:ascii="Arial" w:hAnsi="Arial"/>
                <w:b/>
              </w:rPr>
            </w:pPr>
            <w:r>
              <w:t>138.1</w:t>
            </w:r>
          </w:p>
        </w:tc>
        <w:tc>
          <w:tcPr>
            <w:tcW w:w="1701" w:type="dxa"/>
            <w:vAlign w:val="bottom"/>
          </w:tcPr>
          <w:p>
            <w:pPr>
              <w:pStyle w:val="yTableNAm"/>
              <w:spacing w:before="100"/>
              <w:jc w:val="center"/>
              <w:rPr>
                <w:rFonts w:ascii="Arial" w:hAnsi="Arial"/>
                <w:b/>
              </w:rPr>
            </w:pPr>
            <w:r>
              <w:t>214.0</w:t>
            </w:r>
          </w:p>
        </w:tc>
      </w:tr>
      <w:tr>
        <w:tc>
          <w:tcPr>
            <w:tcW w:w="1984" w:type="dxa"/>
          </w:tcPr>
          <w:p>
            <w:pPr>
              <w:pStyle w:val="yTableNAm"/>
              <w:spacing w:before="100"/>
            </w:pPr>
            <w:r>
              <w:rPr>
                <w:bCs/>
              </w:rPr>
              <w:t>Class 3 (c/kL)</w:t>
            </w:r>
          </w:p>
        </w:tc>
        <w:tc>
          <w:tcPr>
            <w:tcW w:w="1843" w:type="dxa"/>
            <w:vAlign w:val="bottom"/>
          </w:tcPr>
          <w:p>
            <w:pPr>
              <w:pStyle w:val="yTableNAm"/>
              <w:spacing w:before="100"/>
              <w:jc w:val="center"/>
              <w:rPr>
                <w:rFonts w:ascii="Arial" w:hAnsi="Arial"/>
                <w:b/>
              </w:rPr>
            </w:pPr>
            <w:r>
              <w:t>138.1</w:t>
            </w:r>
          </w:p>
        </w:tc>
        <w:tc>
          <w:tcPr>
            <w:tcW w:w="1701" w:type="dxa"/>
            <w:vAlign w:val="bottom"/>
          </w:tcPr>
          <w:p>
            <w:pPr>
              <w:pStyle w:val="yTableNAm"/>
              <w:spacing w:before="100"/>
              <w:jc w:val="center"/>
              <w:rPr>
                <w:rFonts w:ascii="Arial" w:hAnsi="Arial"/>
                <w:b/>
              </w:rPr>
            </w:pPr>
            <w:r>
              <w:t>232.8</w:t>
            </w:r>
          </w:p>
        </w:tc>
      </w:tr>
      <w:tr>
        <w:tc>
          <w:tcPr>
            <w:tcW w:w="1984" w:type="dxa"/>
          </w:tcPr>
          <w:p>
            <w:pPr>
              <w:pStyle w:val="yTableNAm"/>
              <w:spacing w:before="100"/>
            </w:pPr>
            <w:r>
              <w:rPr>
                <w:bCs/>
              </w:rPr>
              <w:t>Class 4 (c/kL)</w:t>
            </w:r>
          </w:p>
        </w:tc>
        <w:tc>
          <w:tcPr>
            <w:tcW w:w="1843" w:type="dxa"/>
            <w:vAlign w:val="bottom"/>
          </w:tcPr>
          <w:p>
            <w:pPr>
              <w:pStyle w:val="yTableNAm"/>
              <w:spacing w:before="100"/>
              <w:jc w:val="center"/>
              <w:rPr>
                <w:rFonts w:ascii="Arial" w:hAnsi="Arial"/>
                <w:b/>
              </w:rPr>
            </w:pPr>
            <w:r>
              <w:t>138.1</w:t>
            </w:r>
          </w:p>
        </w:tc>
        <w:tc>
          <w:tcPr>
            <w:tcW w:w="1701" w:type="dxa"/>
            <w:vAlign w:val="bottom"/>
          </w:tcPr>
          <w:p>
            <w:pPr>
              <w:pStyle w:val="yTableNAm"/>
              <w:spacing w:before="100"/>
              <w:jc w:val="center"/>
              <w:rPr>
                <w:rFonts w:ascii="Arial" w:hAnsi="Arial"/>
                <w:b/>
              </w:rPr>
            </w:pPr>
            <w:r>
              <w:t>253.6</w:t>
            </w:r>
          </w:p>
        </w:tc>
      </w:tr>
      <w:tr>
        <w:tc>
          <w:tcPr>
            <w:tcW w:w="1984" w:type="dxa"/>
          </w:tcPr>
          <w:p>
            <w:pPr>
              <w:pStyle w:val="yTableNAm"/>
              <w:spacing w:before="100"/>
            </w:pPr>
            <w:r>
              <w:rPr>
                <w:bCs/>
              </w:rPr>
              <w:t>Class 5 (c/kL)</w:t>
            </w:r>
          </w:p>
        </w:tc>
        <w:tc>
          <w:tcPr>
            <w:tcW w:w="1843" w:type="dxa"/>
            <w:vAlign w:val="bottom"/>
          </w:tcPr>
          <w:p>
            <w:pPr>
              <w:pStyle w:val="yTableNAm"/>
              <w:spacing w:before="100"/>
              <w:jc w:val="center"/>
              <w:rPr>
                <w:rFonts w:ascii="Arial" w:hAnsi="Arial"/>
                <w:b/>
              </w:rPr>
            </w:pPr>
            <w:r>
              <w:t>138.1</w:t>
            </w:r>
          </w:p>
        </w:tc>
        <w:tc>
          <w:tcPr>
            <w:tcW w:w="1701" w:type="dxa"/>
            <w:vAlign w:val="bottom"/>
          </w:tcPr>
          <w:p>
            <w:pPr>
              <w:pStyle w:val="yTableNAm"/>
              <w:spacing w:before="100"/>
              <w:jc w:val="center"/>
              <w:rPr>
                <w:rFonts w:ascii="Arial" w:hAnsi="Arial"/>
                <w:b/>
              </w:rPr>
            </w:pPr>
            <w:r>
              <w:t>276.1</w:t>
            </w:r>
          </w:p>
        </w:tc>
      </w:tr>
      <w:tr>
        <w:tc>
          <w:tcPr>
            <w:tcW w:w="1984" w:type="dxa"/>
          </w:tcPr>
          <w:p>
            <w:pPr>
              <w:pStyle w:val="yTableNAm"/>
            </w:pPr>
            <w:r>
              <w:rPr>
                <w:bCs/>
              </w:rPr>
              <w:t>Class 6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300.7</w:t>
            </w:r>
          </w:p>
        </w:tc>
      </w:tr>
      <w:tr>
        <w:tc>
          <w:tcPr>
            <w:tcW w:w="1984" w:type="dxa"/>
          </w:tcPr>
          <w:p>
            <w:pPr>
              <w:pStyle w:val="yTableNAm"/>
            </w:pPr>
            <w:r>
              <w:rPr>
                <w:bCs/>
              </w:rPr>
              <w:t>Class 7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327.5</w:t>
            </w:r>
          </w:p>
        </w:tc>
      </w:tr>
      <w:tr>
        <w:tc>
          <w:tcPr>
            <w:tcW w:w="1984" w:type="dxa"/>
          </w:tcPr>
          <w:p>
            <w:pPr>
              <w:pStyle w:val="yTableNAm"/>
            </w:pPr>
            <w:r>
              <w:rPr>
                <w:bCs/>
              </w:rPr>
              <w:t>Class 8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356.6</w:t>
            </w:r>
          </w:p>
        </w:tc>
      </w:tr>
      <w:tr>
        <w:tc>
          <w:tcPr>
            <w:tcW w:w="1984" w:type="dxa"/>
          </w:tcPr>
          <w:p>
            <w:pPr>
              <w:pStyle w:val="yTableNAm"/>
            </w:pPr>
            <w:r>
              <w:rPr>
                <w:bCs/>
              </w:rPr>
              <w:t>Class 9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388.3</w:t>
            </w:r>
          </w:p>
        </w:tc>
      </w:tr>
      <w:tr>
        <w:tc>
          <w:tcPr>
            <w:tcW w:w="1984" w:type="dxa"/>
          </w:tcPr>
          <w:p>
            <w:pPr>
              <w:pStyle w:val="yTableNAm"/>
            </w:pPr>
            <w:r>
              <w:rPr>
                <w:bCs/>
              </w:rPr>
              <w:t>Class 10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422.9</w:t>
            </w:r>
          </w:p>
        </w:tc>
      </w:tr>
      <w:tr>
        <w:tc>
          <w:tcPr>
            <w:tcW w:w="1984" w:type="dxa"/>
          </w:tcPr>
          <w:p>
            <w:pPr>
              <w:pStyle w:val="yTableNAm"/>
            </w:pPr>
            <w:r>
              <w:rPr>
                <w:bCs/>
              </w:rPr>
              <w:t>Class 11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460.4</w:t>
            </w:r>
          </w:p>
        </w:tc>
      </w:tr>
      <w:tr>
        <w:tc>
          <w:tcPr>
            <w:tcW w:w="1984" w:type="dxa"/>
          </w:tcPr>
          <w:p>
            <w:pPr>
              <w:pStyle w:val="yTableNAm"/>
            </w:pPr>
            <w:r>
              <w:rPr>
                <w:bCs/>
              </w:rPr>
              <w:t>Class 12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501.4</w:t>
            </w:r>
          </w:p>
        </w:tc>
      </w:tr>
      <w:tr>
        <w:tc>
          <w:tcPr>
            <w:tcW w:w="1984" w:type="dxa"/>
          </w:tcPr>
          <w:p>
            <w:pPr>
              <w:pStyle w:val="yTableNAm"/>
            </w:pPr>
            <w:r>
              <w:rPr>
                <w:bCs/>
              </w:rPr>
              <w:t>Class 13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546.0</w:t>
            </w:r>
          </w:p>
        </w:tc>
      </w:tr>
      <w:tr>
        <w:tc>
          <w:tcPr>
            <w:tcW w:w="1984" w:type="dxa"/>
          </w:tcPr>
          <w:p>
            <w:pPr>
              <w:pStyle w:val="yTableNAm"/>
            </w:pPr>
            <w:r>
              <w:rPr>
                <w:bCs/>
              </w:rPr>
              <w:t>Class 14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594.6</w:t>
            </w:r>
          </w:p>
        </w:tc>
      </w:tr>
      <w:tr>
        <w:tc>
          <w:tcPr>
            <w:tcW w:w="1984" w:type="dxa"/>
            <w:tcBorders>
              <w:bottom w:val="single" w:sz="4" w:space="0" w:color="auto"/>
            </w:tcBorders>
          </w:tcPr>
          <w:p>
            <w:pPr>
              <w:pStyle w:val="yTableNAm"/>
            </w:pPr>
            <w:r>
              <w:rPr>
                <w:bCs/>
              </w:rPr>
              <w:t>Class 15 (c/kL)</w:t>
            </w:r>
          </w:p>
        </w:tc>
        <w:tc>
          <w:tcPr>
            <w:tcW w:w="1843" w:type="dxa"/>
            <w:tcBorders>
              <w:bottom w:val="single" w:sz="4" w:space="0" w:color="auto"/>
            </w:tcBorders>
            <w:vAlign w:val="bottom"/>
          </w:tcPr>
          <w:p>
            <w:pPr>
              <w:pStyle w:val="yTableNAm"/>
              <w:jc w:val="center"/>
              <w:rPr>
                <w:rFonts w:ascii="Arial" w:hAnsi="Arial"/>
                <w:b/>
              </w:rPr>
            </w:pPr>
            <w:r>
              <w:t>138.1</w:t>
            </w:r>
          </w:p>
        </w:tc>
        <w:tc>
          <w:tcPr>
            <w:tcW w:w="1701" w:type="dxa"/>
            <w:tcBorders>
              <w:bottom w:val="single" w:sz="4" w:space="0" w:color="auto"/>
            </w:tcBorders>
            <w:vAlign w:val="bottom"/>
          </w:tcPr>
          <w:p>
            <w:pPr>
              <w:pStyle w:val="yTableNAm"/>
              <w:jc w:val="center"/>
              <w:rPr>
                <w:rFonts w:ascii="Arial" w:hAnsi="Arial"/>
                <w:b/>
              </w:rPr>
            </w:pPr>
            <w:r>
              <w:t>647.4</w:t>
            </w:r>
          </w:p>
        </w:tc>
      </w:tr>
    </w:tbl>
    <w:p>
      <w:pPr>
        <w:pStyle w:val="yHeading5"/>
      </w:pPr>
      <w:bookmarkStart w:id="181" w:name="_Toc391906961"/>
      <w:bookmarkStart w:id="182" w:name="_Toc426119822"/>
      <w:r>
        <w:rPr>
          <w:rStyle w:val="CharSClsNo"/>
        </w:rPr>
        <w:t>28</w:t>
      </w:r>
      <w:r>
        <w:t>.</w:t>
      </w:r>
      <w:r>
        <w:tab/>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desalinated</w:t>
      </w:r>
      <w:bookmarkEnd w:id="181"/>
      <w:bookmarkEnd w:id="182"/>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keepNext/>
              <w:keepLines/>
            </w:pPr>
          </w:p>
        </w:tc>
        <w:tc>
          <w:tcPr>
            <w:tcW w:w="5103" w:type="dxa"/>
          </w:tcPr>
          <w:p>
            <w:pPr>
              <w:pStyle w:val="yTableNAm"/>
              <w:keepNext/>
              <w:keepLines/>
              <w:tabs>
                <w:tab w:val="right" w:leader="dot" w:pos="4887"/>
              </w:tabs>
              <w:rPr>
                <w:rFonts w:ascii="Arial" w:hAnsi="Arial"/>
                <w:b/>
              </w:rPr>
            </w:pPr>
            <w:r>
              <w:rPr>
                <w:spacing w:val="-1"/>
              </w:rPr>
              <w:t xml:space="preserve">For each </w:t>
            </w:r>
            <w:r>
              <w:t>kilolitre</w:t>
            </w:r>
            <w:r>
              <w:rPr>
                <w:spacing w:val="-1"/>
              </w:rPr>
              <w:t xml:space="preserve"> of water supplied to land in </w:t>
            </w:r>
            <w:r>
              <w:rPr>
                <w:szCs w:val="22"/>
              </w:rPr>
              <w:t>Coral Bay</w:t>
            </w:r>
            <w:r>
              <w:rPr>
                <w:spacing w:val="-1"/>
              </w:rPr>
              <w:t xml:space="preserve"> not classified as residential </w:t>
            </w:r>
            <w:r>
              <w:t>land</w:t>
            </w:r>
            <w:r>
              <w:rPr>
                <w:spacing w:val="-1"/>
              </w:rPr>
              <w:t>, being water that has been treated to reduce the level of, or remove, salts</w:t>
            </w:r>
          </w:p>
        </w:tc>
        <w:tc>
          <w:tcPr>
            <w:tcW w:w="1276" w:type="dxa"/>
            <w:vAlign w:val="bottom"/>
          </w:tcPr>
          <w:p>
            <w:pPr>
              <w:pStyle w:val="yTableNAm"/>
            </w:pPr>
            <w:r>
              <w:t>675.1 cents</w:t>
            </w:r>
          </w:p>
        </w:tc>
      </w:tr>
    </w:tbl>
    <w:p>
      <w:pPr>
        <w:pStyle w:val="yHeading5"/>
      </w:pPr>
      <w:bookmarkStart w:id="183" w:name="_Toc391906962"/>
      <w:bookmarkStart w:id="184" w:name="_Toc426119823"/>
      <w:r>
        <w:rPr>
          <w:rStyle w:val="CharSClsNo"/>
        </w:rPr>
        <w:t>29</w:t>
      </w:r>
      <w:r>
        <w:t>.</w:t>
      </w:r>
      <w:r>
        <w:tab/>
        <w:t>Denham desalinated</w:t>
      </w:r>
      <w:bookmarkEnd w:id="183"/>
      <w:bookmarkEnd w:id="184"/>
    </w:p>
    <w:tbl>
      <w:tblPr>
        <w:tblW w:w="7513" w:type="dxa"/>
        <w:tblInd w:w="-34" w:type="dxa"/>
        <w:tblLayout w:type="fixed"/>
        <w:tblLook w:val="0000" w:firstRow="0" w:lastRow="0" w:firstColumn="0" w:lastColumn="0" w:noHBand="0" w:noVBand="0"/>
      </w:tblPr>
      <w:tblGrid>
        <w:gridCol w:w="907"/>
        <w:gridCol w:w="5103"/>
        <w:gridCol w:w="1503"/>
      </w:tblGrid>
      <w:tr>
        <w:trPr>
          <w:cantSplit/>
        </w:trPr>
        <w:tc>
          <w:tcPr>
            <w:tcW w:w="907" w:type="dxa"/>
          </w:tcPr>
          <w:p>
            <w:pPr>
              <w:pStyle w:val="zyTableNAm"/>
            </w:pPr>
          </w:p>
        </w:tc>
        <w:tc>
          <w:tcPr>
            <w:tcW w:w="5103" w:type="dxa"/>
          </w:tcPr>
          <w:p>
            <w:pPr>
              <w:pStyle w:val="yTableNAm"/>
            </w:pPr>
            <w:r>
              <w:t xml:space="preserve">For each kilolitre of water supplied to land in </w:t>
            </w:r>
            <w:r>
              <w:rPr>
                <w:szCs w:val="22"/>
              </w:rPr>
              <w:t xml:space="preserve">Denham, </w:t>
            </w:r>
            <w:r>
              <w:t>being water that has been treated to reduce the level of, or remove, salts —</w:t>
            </w:r>
          </w:p>
        </w:tc>
        <w:tc>
          <w:tcPr>
            <w:tcW w:w="1503"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3952"/>
              </w:tabs>
              <w:ind w:left="731" w:hanging="731"/>
              <w:rPr>
                <w:rFonts w:ascii="Arial" w:hAnsi="Arial"/>
                <w:b/>
              </w:rPr>
            </w:pPr>
            <w:r>
              <w:rPr>
                <w:snapToGrid w:val="0"/>
              </w:rPr>
              <w:tab/>
              <w:t>(a)</w:t>
            </w:r>
            <w:r>
              <w:rPr>
                <w:snapToGrid w:val="0"/>
              </w:rPr>
              <w:tab/>
              <w:t>in the case of land classified as residential —</w:t>
            </w:r>
          </w:p>
        </w:tc>
        <w:tc>
          <w:tcPr>
            <w:tcW w:w="1503"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 xml:space="preserve">up to quota for each 2 month period </w:t>
            </w:r>
            <w:r>
              <w:tab/>
            </w:r>
          </w:p>
        </w:tc>
        <w:tc>
          <w:tcPr>
            <w:tcW w:w="1503" w:type="dxa"/>
            <w:vAlign w:val="bottom"/>
          </w:tcPr>
          <w:p>
            <w:pPr>
              <w:pStyle w:val="yTableNAm"/>
            </w:pPr>
            <w:r>
              <w:t>62.2 cents</w:t>
            </w: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over quota by up to shoulder amount</w:t>
            </w:r>
            <w:r>
              <w:tab/>
            </w:r>
          </w:p>
        </w:tc>
        <w:tc>
          <w:tcPr>
            <w:tcW w:w="1503" w:type="dxa"/>
            <w:vAlign w:val="bottom"/>
          </w:tcPr>
          <w:p>
            <w:pPr>
              <w:pStyle w:val="yTableNAm"/>
            </w:pPr>
            <w:r>
              <w:t>456.7 cents</w:t>
            </w: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 xml:space="preserve">over quota by more than shoulder amount </w:t>
            </w:r>
            <w:r>
              <w:tab/>
            </w:r>
          </w:p>
        </w:tc>
        <w:tc>
          <w:tcPr>
            <w:tcW w:w="1503" w:type="dxa"/>
            <w:vAlign w:val="bottom"/>
          </w:tcPr>
          <w:p>
            <w:pPr>
              <w:pStyle w:val="yTableNAm"/>
            </w:pPr>
            <w:r>
              <w:t>1 422.8 cents</w:t>
            </w: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3952"/>
              </w:tabs>
              <w:ind w:left="731" w:hanging="731"/>
              <w:rPr>
                <w:rFonts w:ascii="Arial" w:hAnsi="Arial"/>
                <w:b/>
              </w:rPr>
            </w:pPr>
            <w:r>
              <w:rPr>
                <w:snapToGrid w:val="0"/>
              </w:rPr>
              <w:tab/>
            </w:r>
            <w:r>
              <w:rPr>
                <w:snapToGrid w:val="0"/>
              </w:rPr>
              <w:tab/>
              <w:t>where the quota for each 2 month period is 18 kL plus 4 kL for each person in excess of 4 persons who is resident on the land and the shoulder amount is 3 kL plus 1 kL for each person in excess of 4 persons who is resident on the land;</w:t>
            </w:r>
          </w:p>
        </w:tc>
        <w:tc>
          <w:tcPr>
            <w:tcW w:w="1503" w:type="dxa"/>
            <w:vAlign w:val="bottom"/>
          </w:tcPr>
          <w:p>
            <w:pPr>
              <w:pStyle w:val="yTableNAm"/>
            </w:pPr>
          </w:p>
        </w:tc>
      </w:tr>
      <w:tr>
        <w:trPr>
          <w:cantSplit/>
        </w:trPr>
        <w:tc>
          <w:tcPr>
            <w:tcW w:w="907" w:type="dxa"/>
          </w:tcPr>
          <w:p>
            <w:pPr>
              <w:pStyle w:val="zyTableNAm"/>
              <w:keepNext/>
            </w:pPr>
          </w:p>
        </w:tc>
        <w:tc>
          <w:tcPr>
            <w:tcW w:w="5103" w:type="dxa"/>
          </w:tcPr>
          <w:p>
            <w:pPr>
              <w:pStyle w:val="yTableNAm"/>
              <w:keepNext/>
              <w:tabs>
                <w:tab w:val="clear" w:pos="567"/>
                <w:tab w:val="left" w:pos="268"/>
                <w:tab w:val="left" w:pos="715"/>
                <w:tab w:val="right" w:leader="dot" w:pos="3952"/>
              </w:tabs>
              <w:ind w:left="731" w:hanging="731"/>
              <w:rPr>
                <w:rFonts w:ascii="Arial" w:hAnsi="Arial"/>
                <w:b/>
              </w:rPr>
            </w:pPr>
            <w:r>
              <w:rPr>
                <w:snapToGrid w:val="0"/>
              </w:rPr>
              <w:tab/>
              <w:t>(b)</w:t>
            </w:r>
            <w:r>
              <w:rPr>
                <w:snapToGrid w:val="0"/>
              </w:rPr>
              <w:tab/>
              <w:t>in the case of land not classified as residential —</w:t>
            </w:r>
          </w:p>
        </w:tc>
        <w:tc>
          <w:tcPr>
            <w:tcW w:w="1503" w:type="dxa"/>
            <w:vAlign w:val="bottom"/>
          </w:tcPr>
          <w:p>
            <w:pPr>
              <w:pStyle w:val="yTableNAm"/>
              <w:keepNext/>
            </w:pPr>
          </w:p>
        </w:tc>
      </w:tr>
      <w:tr>
        <w:trPr>
          <w:cantSplit/>
        </w:trPr>
        <w:tc>
          <w:tcPr>
            <w:tcW w:w="907" w:type="dxa"/>
          </w:tcPr>
          <w:p>
            <w:pPr>
              <w:pStyle w:val="zyTableNAm"/>
              <w:keepNext/>
            </w:pPr>
          </w:p>
        </w:tc>
        <w:tc>
          <w:tcPr>
            <w:tcW w:w="5103" w:type="dxa"/>
          </w:tcPr>
          <w:p>
            <w:pPr>
              <w:pStyle w:val="yTableNAm"/>
              <w:keepNext/>
              <w:tabs>
                <w:tab w:val="clear" w:pos="567"/>
                <w:tab w:val="left" w:pos="982"/>
                <w:tab w:val="right" w:leader="dot" w:pos="4887"/>
              </w:tabs>
              <w:ind w:left="982" w:hanging="982"/>
              <w:rPr>
                <w:rFonts w:ascii="Arial" w:hAnsi="Arial"/>
                <w:b/>
              </w:rPr>
            </w:pPr>
            <w:r>
              <w:tab/>
              <w:t xml:space="preserve">up to quota </w:t>
            </w:r>
            <w:r>
              <w:tab/>
            </w:r>
          </w:p>
        </w:tc>
        <w:tc>
          <w:tcPr>
            <w:tcW w:w="1503" w:type="dxa"/>
            <w:vAlign w:val="bottom"/>
          </w:tcPr>
          <w:p>
            <w:pPr>
              <w:pStyle w:val="yTableNAm"/>
              <w:keepNext/>
            </w:pPr>
            <w:r>
              <w:t>62.2 cents</w:t>
            </w: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 xml:space="preserve">over quota </w:t>
            </w:r>
            <w:r>
              <w:tab/>
            </w:r>
          </w:p>
        </w:tc>
        <w:tc>
          <w:tcPr>
            <w:tcW w:w="1503" w:type="dxa"/>
            <w:vAlign w:val="bottom"/>
          </w:tcPr>
          <w:p>
            <w:pPr>
              <w:pStyle w:val="yTableNAm"/>
            </w:pPr>
            <w:r>
              <w:t>1 422.8 cents</w:t>
            </w: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3952"/>
              </w:tabs>
              <w:ind w:left="731" w:hanging="731"/>
              <w:rPr>
                <w:rFonts w:ascii="Arial" w:hAnsi="Arial"/>
                <w:b/>
              </w:rPr>
            </w:pPr>
            <w:r>
              <w:rPr>
                <w:snapToGrid w:val="0"/>
              </w:rPr>
              <w:tab/>
            </w:r>
            <w:r>
              <w:rPr>
                <w:snapToGrid w:val="0"/>
              </w:rPr>
              <w:tab/>
              <w:t>where the quota for the year is 108 kL or such greater amount as the Corporation may from time to time determine for the land concerned.</w:t>
            </w:r>
          </w:p>
        </w:tc>
        <w:tc>
          <w:tcPr>
            <w:tcW w:w="1503" w:type="dxa"/>
            <w:vAlign w:val="bottom"/>
          </w:tcPr>
          <w:p>
            <w:pPr>
              <w:pStyle w:val="yTableNAm"/>
            </w:pPr>
          </w:p>
        </w:tc>
      </w:tr>
    </w:tbl>
    <w:p>
      <w:pPr>
        <w:pStyle w:val="yHeading5"/>
      </w:pPr>
      <w:bookmarkStart w:id="185" w:name="_Toc391906963"/>
      <w:bookmarkStart w:id="186" w:name="_Toc426119824"/>
      <w:r>
        <w:rPr>
          <w:rStyle w:val="CharSClsNo"/>
        </w:rPr>
        <w:t>30</w:t>
      </w:r>
      <w:r>
        <w:t>.</w:t>
      </w:r>
      <w:r>
        <w:tab/>
        <w:t>Local government standpipes</w:t>
      </w:r>
      <w:bookmarkEnd w:id="185"/>
      <w:bookmarkEnd w:id="186"/>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keepNext/>
              <w:keepLines/>
            </w:pPr>
          </w:p>
        </w:tc>
        <w:tc>
          <w:tcPr>
            <w:tcW w:w="5103" w:type="dxa"/>
          </w:tcPr>
          <w:p>
            <w:pPr>
              <w:pStyle w:val="yTableNAm"/>
              <w:tabs>
                <w:tab w:val="right" w:leader="dot" w:pos="4887"/>
              </w:tabs>
              <w:rPr>
                <w:rFonts w:ascii="Arial" w:hAnsi="Arial"/>
                <w:b/>
              </w:rPr>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r>
              <w:rPr>
                <w:spacing w:val="-1"/>
              </w:rPr>
              <w:tab/>
            </w:r>
          </w:p>
        </w:tc>
        <w:tc>
          <w:tcPr>
            <w:tcW w:w="1276" w:type="dxa"/>
            <w:vAlign w:val="bottom"/>
          </w:tcPr>
          <w:p>
            <w:pPr>
              <w:pStyle w:val="yTableNAm"/>
            </w:pPr>
            <w:r>
              <w:t>176.0 cents</w:t>
            </w:r>
          </w:p>
        </w:tc>
      </w:tr>
    </w:tbl>
    <w:p>
      <w:pPr>
        <w:pStyle w:val="yHeading5"/>
      </w:pPr>
      <w:bookmarkStart w:id="187" w:name="_Toc391906964"/>
      <w:bookmarkStart w:id="188" w:name="_Toc426119825"/>
      <w:r>
        <w:rPr>
          <w:rStyle w:val="CharSClsNo"/>
        </w:rPr>
        <w:t>31</w:t>
      </w:r>
      <w:r>
        <w:t>.</w:t>
      </w:r>
      <w:r>
        <w:tab/>
        <w:t>Shipping</w:t>
      </w:r>
      <w:bookmarkEnd w:id="187"/>
      <w:bookmarkEnd w:id="188"/>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rPr>
                <w:rStyle w:val="CharSClsNo"/>
              </w:rPr>
            </w:pPr>
          </w:p>
        </w:tc>
        <w:tc>
          <w:tcPr>
            <w:tcW w:w="5103" w:type="dxa"/>
          </w:tcPr>
          <w:p>
            <w:pPr>
              <w:pStyle w:val="yTableNAm"/>
            </w:pPr>
            <w:r>
              <w:t xml:space="preserve">For </w:t>
            </w:r>
            <w:r>
              <w:rPr>
                <w:snapToGrid w:val="0"/>
              </w:rPr>
              <w:t>each</w:t>
            </w:r>
            <w:r>
              <w:t xml:space="preserve"> kilolitre of water supplied for the purpose of being taken on board any ship in port —</w:t>
            </w:r>
          </w:p>
        </w:tc>
        <w:tc>
          <w:tcPr>
            <w:tcW w:w="1276" w:type="dxa"/>
            <w:vAlign w:val="bottom"/>
          </w:tcPr>
          <w:p>
            <w:pPr>
              <w:pStyle w:val="yTableNAm"/>
            </w:pPr>
          </w:p>
        </w:tc>
      </w:tr>
      <w:tr>
        <w:trPr>
          <w:cantSplit/>
        </w:trPr>
        <w:tc>
          <w:tcPr>
            <w:tcW w:w="907" w:type="dxa"/>
          </w:tcPr>
          <w:p>
            <w:pPr>
              <w:pStyle w:val="zyTableNAm"/>
              <w:rPr>
                <w:rStyle w:val="CharSClsNo"/>
              </w:rPr>
            </w:pPr>
          </w:p>
        </w:tc>
        <w:tc>
          <w:tcPr>
            <w:tcW w:w="5103" w:type="dxa"/>
          </w:tcPr>
          <w:p>
            <w:pPr>
              <w:pStyle w:val="yTableNAm"/>
              <w:tabs>
                <w:tab w:val="clear" w:pos="567"/>
                <w:tab w:val="left" w:pos="268"/>
                <w:tab w:val="left" w:pos="715"/>
                <w:tab w:val="right" w:leader="dot" w:pos="4887"/>
              </w:tabs>
              <w:ind w:left="731" w:hanging="731"/>
              <w:rPr>
                <w:rFonts w:ascii="Arial" w:hAnsi="Arial"/>
                <w:b/>
                <w:snapToGrid w:val="0"/>
              </w:rPr>
            </w:pPr>
            <w:r>
              <w:rPr>
                <w:snapToGrid w:val="0"/>
              </w:rPr>
              <w:tab/>
              <w:t>(a)</w:t>
            </w:r>
            <w:r>
              <w:rPr>
                <w:snapToGrid w:val="0"/>
              </w:rPr>
              <w:tab/>
              <w:t xml:space="preserve">in the metropolitan area </w:t>
            </w:r>
            <w:r>
              <w:rPr>
                <w:snapToGrid w:val="0"/>
              </w:rPr>
              <w:tab/>
            </w:r>
          </w:p>
        </w:tc>
        <w:tc>
          <w:tcPr>
            <w:tcW w:w="1276" w:type="dxa"/>
            <w:vAlign w:val="bottom"/>
          </w:tcPr>
          <w:p>
            <w:pPr>
              <w:pStyle w:val="yTableNAm"/>
            </w:pPr>
            <w:r>
              <w:t>204.3 cents</w:t>
            </w:r>
          </w:p>
        </w:tc>
      </w:tr>
      <w:tr>
        <w:trPr>
          <w:cantSplit/>
        </w:trPr>
        <w:tc>
          <w:tcPr>
            <w:tcW w:w="907" w:type="dxa"/>
          </w:tcPr>
          <w:p>
            <w:pPr>
              <w:pStyle w:val="zyTableNAm"/>
              <w:rPr>
                <w:rStyle w:val="CharSClsNo"/>
              </w:rPr>
            </w:pPr>
          </w:p>
        </w:tc>
        <w:tc>
          <w:tcPr>
            <w:tcW w:w="5103"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276" w:type="dxa"/>
            <w:vAlign w:val="bottom"/>
          </w:tcPr>
          <w:p>
            <w:pPr>
              <w:pStyle w:val="yTableNAm"/>
            </w:pPr>
          </w:p>
        </w:tc>
      </w:tr>
    </w:tbl>
    <w:p>
      <w:pPr>
        <w:ind w:firstLine="426"/>
        <w:rPr>
          <w:sz w:val="16"/>
          <w:szCs w:val="16"/>
        </w:rPr>
      </w:pPr>
    </w:p>
    <w:tbl>
      <w:tblPr>
        <w:tblW w:w="5528" w:type="dxa"/>
        <w:tblInd w:w="1588" w:type="dxa"/>
        <w:tblLayout w:type="fixed"/>
        <w:tblCellMar>
          <w:left w:w="28" w:type="dxa"/>
          <w:right w:w="28" w:type="dxa"/>
        </w:tblCellMar>
        <w:tblLook w:val="0000" w:firstRow="0" w:lastRow="0" w:firstColumn="0" w:lastColumn="0" w:noHBand="0" w:noVBand="0"/>
      </w:tblPr>
      <w:tblGrid>
        <w:gridCol w:w="2409"/>
        <w:gridCol w:w="3119"/>
      </w:tblGrid>
      <w:tr>
        <w:trPr>
          <w:cantSplit/>
          <w:trHeight w:val="217"/>
          <w:tblHeader/>
        </w:trPr>
        <w:tc>
          <w:tcPr>
            <w:tcW w:w="2409" w:type="dxa"/>
            <w:tcBorders>
              <w:top w:val="single" w:sz="4" w:space="0" w:color="auto"/>
              <w:bottom w:val="single" w:sz="4" w:space="0" w:color="auto"/>
            </w:tcBorders>
          </w:tcPr>
          <w:p>
            <w:pPr>
              <w:pStyle w:val="yTableNAm"/>
            </w:pPr>
            <w:r>
              <w:rPr>
                <w:b/>
                <w:bCs/>
              </w:rPr>
              <w:t>Class</w:t>
            </w:r>
          </w:p>
        </w:tc>
        <w:tc>
          <w:tcPr>
            <w:tcW w:w="3119" w:type="dxa"/>
            <w:tcBorders>
              <w:top w:val="single" w:sz="4" w:space="0" w:color="auto"/>
              <w:bottom w:val="single" w:sz="4" w:space="0" w:color="auto"/>
            </w:tcBorders>
          </w:tcPr>
          <w:p>
            <w:pPr>
              <w:pStyle w:val="yTableNAm"/>
              <w:jc w:val="center"/>
            </w:pPr>
            <w:r>
              <w:rPr>
                <w:b/>
                <w:bCs/>
              </w:rPr>
              <w:t>Charge (c/kL)</w:t>
            </w:r>
          </w:p>
        </w:tc>
      </w:tr>
      <w:tr>
        <w:tc>
          <w:tcPr>
            <w:tcW w:w="2409" w:type="dxa"/>
            <w:tcBorders>
              <w:top w:val="single" w:sz="4" w:space="0" w:color="auto"/>
            </w:tcBorders>
          </w:tcPr>
          <w:p>
            <w:pPr>
              <w:pStyle w:val="yTableNAm"/>
            </w:pPr>
            <w:r>
              <w:rPr>
                <w:bCs/>
              </w:rPr>
              <w:t xml:space="preserve">Class 1 </w:t>
            </w:r>
          </w:p>
        </w:tc>
        <w:tc>
          <w:tcPr>
            <w:tcW w:w="3119" w:type="dxa"/>
            <w:tcBorders>
              <w:top w:val="single" w:sz="4" w:space="0" w:color="auto"/>
            </w:tcBorders>
            <w:vAlign w:val="bottom"/>
          </w:tcPr>
          <w:p>
            <w:pPr>
              <w:pStyle w:val="yTableNAm"/>
              <w:jc w:val="center"/>
              <w:rPr>
                <w:rFonts w:ascii="Arial" w:hAnsi="Arial"/>
                <w:b/>
              </w:rPr>
            </w:pPr>
            <w:r>
              <w:t>196.5</w:t>
            </w:r>
          </w:p>
        </w:tc>
      </w:tr>
      <w:tr>
        <w:tc>
          <w:tcPr>
            <w:tcW w:w="2409" w:type="dxa"/>
          </w:tcPr>
          <w:p>
            <w:pPr>
              <w:pStyle w:val="yTableNAm"/>
            </w:pPr>
            <w:r>
              <w:rPr>
                <w:bCs/>
              </w:rPr>
              <w:t xml:space="preserve">Class 2 </w:t>
            </w:r>
          </w:p>
        </w:tc>
        <w:tc>
          <w:tcPr>
            <w:tcW w:w="3119" w:type="dxa"/>
            <w:vAlign w:val="bottom"/>
          </w:tcPr>
          <w:p>
            <w:pPr>
              <w:pStyle w:val="yTableNAm"/>
              <w:jc w:val="center"/>
              <w:rPr>
                <w:rFonts w:ascii="Arial" w:hAnsi="Arial"/>
                <w:b/>
              </w:rPr>
            </w:pPr>
            <w:r>
              <w:t>214.0</w:t>
            </w:r>
          </w:p>
        </w:tc>
      </w:tr>
      <w:tr>
        <w:tc>
          <w:tcPr>
            <w:tcW w:w="2409" w:type="dxa"/>
          </w:tcPr>
          <w:p>
            <w:pPr>
              <w:pStyle w:val="yTableNAm"/>
            </w:pPr>
            <w:r>
              <w:rPr>
                <w:bCs/>
              </w:rPr>
              <w:t xml:space="preserve">Class 3 </w:t>
            </w:r>
          </w:p>
        </w:tc>
        <w:tc>
          <w:tcPr>
            <w:tcW w:w="3119" w:type="dxa"/>
            <w:vAlign w:val="bottom"/>
          </w:tcPr>
          <w:p>
            <w:pPr>
              <w:pStyle w:val="yTableNAm"/>
              <w:jc w:val="center"/>
              <w:rPr>
                <w:rFonts w:ascii="Arial" w:hAnsi="Arial"/>
                <w:b/>
              </w:rPr>
            </w:pPr>
            <w:r>
              <w:t>232.8</w:t>
            </w:r>
          </w:p>
        </w:tc>
      </w:tr>
      <w:tr>
        <w:tc>
          <w:tcPr>
            <w:tcW w:w="2409" w:type="dxa"/>
          </w:tcPr>
          <w:p>
            <w:pPr>
              <w:pStyle w:val="yTableNAm"/>
            </w:pPr>
            <w:r>
              <w:rPr>
                <w:bCs/>
              </w:rPr>
              <w:t xml:space="preserve">Class 4 </w:t>
            </w:r>
          </w:p>
        </w:tc>
        <w:tc>
          <w:tcPr>
            <w:tcW w:w="3119" w:type="dxa"/>
            <w:vAlign w:val="bottom"/>
          </w:tcPr>
          <w:p>
            <w:pPr>
              <w:pStyle w:val="yTableNAm"/>
              <w:jc w:val="center"/>
              <w:rPr>
                <w:rFonts w:ascii="Arial" w:hAnsi="Arial"/>
                <w:b/>
              </w:rPr>
            </w:pPr>
            <w:r>
              <w:t>253.6</w:t>
            </w:r>
          </w:p>
        </w:tc>
      </w:tr>
      <w:tr>
        <w:tc>
          <w:tcPr>
            <w:tcW w:w="2409" w:type="dxa"/>
          </w:tcPr>
          <w:p>
            <w:pPr>
              <w:pStyle w:val="yTableNAm"/>
            </w:pPr>
            <w:r>
              <w:rPr>
                <w:bCs/>
              </w:rPr>
              <w:t xml:space="preserve">Class 5 </w:t>
            </w:r>
          </w:p>
        </w:tc>
        <w:tc>
          <w:tcPr>
            <w:tcW w:w="3119" w:type="dxa"/>
            <w:vAlign w:val="bottom"/>
          </w:tcPr>
          <w:p>
            <w:pPr>
              <w:pStyle w:val="yTableNAm"/>
              <w:jc w:val="center"/>
              <w:rPr>
                <w:rFonts w:ascii="Arial" w:hAnsi="Arial"/>
                <w:b/>
              </w:rPr>
            </w:pPr>
            <w:r>
              <w:t>276.1</w:t>
            </w:r>
          </w:p>
        </w:tc>
      </w:tr>
      <w:tr>
        <w:tc>
          <w:tcPr>
            <w:tcW w:w="2409" w:type="dxa"/>
          </w:tcPr>
          <w:p>
            <w:pPr>
              <w:pStyle w:val="yTableNAm"/>
            </w:pPr>
            <w:r>
              <w:rPr>
                <w:bCs/>
              </w:rPr>
              <w:t xml:space="preserve">Class 6 </w:t>
            </w:r>
          </w:p>
        </w:tc>
        <w:tc>
          <w:tcPr>
            <w:tcW w:w="3119" w:type="dxa"/>
            <w:vAlign w:val="bottom"/>
          </w:tcPr>
          <w:p>
            <w:pPr>
              <w:pStyle w:val="yTableNAm"/>
              <w:jc w:val="center"/>
              <w:rPr>
                <w:rFonts w:ascii="Arial" w:hAnsi="Arial"/>
                <w:b/>
              </w:rPr>
            </w:pPr>
            <w:r>
              <w:t>300.7</w:t>
            </w:r>
          </w:p>
        </w:tc>
      </w:tr>
      <w:tr>
        <w:tc>
          <w:tcPr>
            <w:tcW w:w="2409" w:type="dxa"/>
          </w:tcPr>
          <w:p>
            <w:pPr>
              <w:pStyle w:val="yTableNAm"/>
            </w:pPr>
            <w:r>
              <w:rPr>
                <w:bCs/>
              </w:rPr>
              <w:t xml:space="preserve">Class 7 </w:t>
            </w:r>
          </w:p>
        </w:tc>
        <w:tc>
          <w:tcPr>
            <w:tcW w:w="3119" w:type="dxa"/>
            <w:vAlign w:val="bottom"/>
          </w:tcPr>
          <w:p>
            <w:pPr>
              <w:pStyle w:val="yTableNAm"/>
              <w:jc w:val="center"/>
              <w:rPr>
                <w:rFonts w:ascii="Arial" w:hAnsi="Arial"/>
                <w:b/>
              </w:rPr>
            </w:pPr>
            <w:r>
              <w:t>327.5</w:t>
            </w:r>
          </w:p>
        </w:tc>
      </w:tr>
      <w:tr>
        <w:tc>
          <w:tcPr>
            <w:tcW w:w="2409" w:type="dxa"/>
          </w:tcPr>
          <w:p>
            <w:pPr>
              <w:pStyle w:val="yTableNAm"/>
            </w:pPr>
            <w:r>
              <w:rPr>
                <w:bCs/>
              </w:rPr>
              <w:t xml:space="preserve">Class 8 </w:t>
            </w:r>
          </w:p>
        </w:tc>
        <w:tc>
          <w:tcPr>
            <w:tcW w:w="3119" w:type="dxa"/>
            <w:vAlign w:val="bottom"/>
          </w:tcPr>
          <w:p>
            <w:pPr>
              <w:pStyle w:val="yTableNAm"/>
              <w:jc w:val="center"/>
              <w:rPr>
                <w:rFonts w:ascii="Arial" w:hAnsi="Arial"/>
                <w:b/>
              </w:rPr>
            </w:pPr>
            <w:r>
              <w:t>356.6</w:t>
            </w:r>
          </w:p>
        </w:tc>
      </w:tr>
      <w:tr>
        <w:tc>
          <w:tcPr>
            <w:tcW w:w="2409" w:type="dxa"/>
          </w:tcPr>
          <w:p>
            <w:pPr>
              <w:pStyle w:val="yTableNAm"/>
            </w:pPr>
            <w:r>
              <w:rPr>
                <w:bCs/>
              </w:rPr>
              <w:t xml:space="preserve">Class 9 </w:t>
            </w:r>
          </w:p>
        </w:tc>
        <w:tc>
          <w:tcPr>
            <w:tcW w:w="3119" w:type="dxa"/>
            <w:vAlign w:val="bottom"/>
          </w:tcPr>
          <w:p>
            <w:pPr>
              <w:pStyle w:val="yTableNAm"/>
              <w:jc w:val="center"/>
              <w:rPr>
                <w:rFonts w:ascii="Arial" w:hAnsi="Arial"/>
                <w:b/>
              </w:rPr>
            </w:pPr>
            <w:r>
              <w:t>388.3</w:t>
            </w:r>
          </w:p>
        </w:tc>
      </w:tr>
      <w:tr>
        <w:tc>
          <w:tcPr>
            <w:tcW w:w="2409" w:type="dxa"/>
          </w:tcPr>
          <w:p>
            <w:pPr>
              <w:pStyle w:val="yTableNAm"/>
              <w:keepNext/>
            </w:pPr>
            <w:r>
              <w:rPr>
                <w:bCs/>
              </w:rPr>
              <w:t xml:space="preserve">Class 10 </w:t>
            </w:r>
          </w:p>
        </w:tc>
        <w:tc>
          <w:tcPr>
            <w:tcW w:w="3119" w:type="dxa"/>
            <w:vAlign w:val="bottom"/>
          </w:tcPr>
          <w:p>
            <w:pPr>
              <w:pStyle w:val="yTableNAm"/>
              <w:keepNext/>
              <w:jc w:val="center"/>
              <w:rPr>
                <w:rFonts w:ascii="Arial" w:hAnsi="Arial"/>
                <w:b/>
              </w:rPr>
            </w:pPr>
            <w:r>
              <w:t>422.9</w:t>
            </w:r>
          </w:p>
        </w:tc>
      </w:tr>
      <w:tr>
        <w:tc>
          <w:tcPr>
            <w:tcW w:w="2409" w:type="dxa"/>
          </w:tcPr>
          <w:p>
            <w:pPr>
              <w:pStyle w:val="yTableNAm"/>
            </w:pPr>
            <w:r>
              <w:rPr>
                <w:bCs/>
              </w:rPr>
              <w:t xml:space="preserve">Class 11 </w:t>
            </w:r>
          </w:p>
        </w:tc>
        <w:tc>
          <w:tcPr>
            <w:tcW w:w="3119" w:type="dxa"/>
            <w:vAlign w:val="bottom"/>
          </w:tcPr>
          <w:p>
            <w:pPr>
              <w:pStyle w:val="yTableNAm"/>
              <w:jc w:val="center"/>
              <w:rPr>
                <w:rFonts w:ascii="Arial" w:hAnsi="Arial"/>
                <w:b/>
              </w:rPr>
            </w:pPr>
            <w:r>
              <w:t>460.4</w:t>
            </w:r>
          </w:p>
        </w:tc>
      </w:tr>
      <w:tr>
        <w:tc>
          <w:tcPr>
            <w:tcW w:w="2409" w:type="dxa"/>
          </w:tcPr>
          <w:p>
            <w:pPr>
              <w:pStyle w:val="yTableNAm"/>
            </w:pPr>
            <w:r>
              <w:rPr>
                <w:bCs/>
              </w:rPr>
              <w:t xml:space="preserve">Class 12 </w:t>
            </w:r>
          </w:p>
        </w:tc>
        <w:tc>
          <w:tcPr>
            <w:tcW w:w="3119" w:type="dxa"/>
            <w:vAlign w:val="bottom"/>
          </w:tcPr>
          <w:p>
            <w:pPr>
              <w:pStyle w:val="yTableNAm"/>
              <w:jc w:val="center"/>
              <w:rPr>
                <w:rFonts w:ascii="Arial" w:hAnsi="Arial"/>
                <w:b/>
              </w:rPr>
            </w:pPr>
            <w:r>
              <w:t>501.4</w:t>
            </w:r>
          </w:p>
        </w:tc>
      </w:tr>
      <w:tr>
        <w:tc>
          <w:tcPr>
            <w:tcW w:w="2409" w:type="dxa"/>
          </w:tcPr>
          <w:p>
            <w:pPr>
              <w:pStyle w:val="yTableNAm"/>
            </w:pPr>
            <w:r>
              <w:rPr>
                <w:bCs/>
              </w:rPr>
              <w:t xml:space="preserve">Class 13 </w:t>
            </w:r>
          </w:p>
        </w:tc>
        <w:tc>
          <w:tcPr>
            <w:tcW w:w="3119" w:type="dxa"/>
            <w:vAlign w:val="bottom"/>
          </w:tcPr>
          <w:p>
            <w:pPr>
              <w:pStyle w:val="yTableNAm"/>
              <w:jc w:val="center"/>
              <w:rPr>
                <w:rFonts w:ascii="Arial" w:hAnsi="Arial"/>
                <w:b/>
              </w:rPr>
            </w:pPr>
            <w:r>
              <w:t>546.0</w:t>
            </w:r>
          </w:p>
        </w:tc>
      </w:tr>
      <w:tr>
        <w:tc>
          <w:tcPr>
            <w:tcW w:w="2409" w:type="dxa"/>
          </w:tcPr>
          <w:p>
            <w:pPr>
              <w:pStyle w:val="yTableNAm"/>
            </w:pPr>
            <w:r>
              <w:rPr>
                <w:bCs/>
              </w:rPr>
              <w:t xml:space="preserve">Class 14 </w:t>
            </w:r>
          </w:p>
        </w:tc>
        <w:tc>
          <w:tcPr>
            <w:tcW w:w="3119" w:type="dxa"/>
            <w:vAlign w:val="bottom"/>
          </w:tcPr>
          <w:p>
            <w:pPr>
              <w:pStyle w:val="yTableNAm"/>
              <w:jc w:val="center"/>
              <w:rPr>
                <w:rFonts w:ascii="Arial" w:hAnsi="Arial"/>
                <w:b/>
              </w:rPr>
            </w:pPr>
            <w:r>
              <w:t>594.6</w:t>
            </w:r>
          </w:p>
        </w:tc>
      </w:tr>
      <w:tr>
        <w:tc>
          <w:tcPr>
            <w:tcW w:w="2409" w:type="dxa"/>
            <w:tcBorders>
              <w:bottom w:val="single" w:sz="4" w:space="0" w:color="auto"/>
            </w:tcBorders>
          </w:tcPr>
          <w:p>
            <w:pPr>
              <w:pStyle w:val="yTableNAm"/>
            </w:pPr>
            <w:r>
              <w:rPr>
                <w:bCs/>
              </w:rPr>
              <w:t xml:space="preserve">Class 15 </w:t>
            </w:r>
          </w:p>
        </w:tc>
        <w:tc>
          <w:tcPr>
            <w:tcW w:w="3119" w:type="dxa"/>
            <w:tcBorders>
              <w:bottom w:val="single" w:sz="4" w:space="0" w:color="auto"/>
            </w:tcBorders>
            <w:vAlign w:val="bottom"/>
          </w:tcPr>
          <w:p>
            <w:pPr>
              <w:pStyle w:val="yTableNAm"/>
              <w:jc w:val="center"/>
              <w:rPr>
                <w:rFonts w:ascii="Arial" w:hAnsi="Arial"/>
                <w:b/>
              </w:rPr>
            </w:pPr>
            <w:r>
              <w:t>647.4</w:t>
            </w:r>
          </w:p>
        </w:tc>
      </w:tr>
    </w:tbl>
    <w:p>
      <w:pPr>
        <w:pStyle w:val="yHeading5"/>
      </w:pPr>
      <w:bookmarkStart w:id="189" w:name="_Toc391906965"/>
      <w:bookmarkStart w:id="190" w:name="_Toc426119826"/>
      <w:r>
        <w:rPr>
          <w:rStyle w:val="CharSClsNo"/>
        </w:rPr>
        <w:t>32</w:t>
      </w:r>
      <w:r>
        <w:t>.</w:t>
      </w:r>
      <w:r>
        <w:tab/>
        <w:t>Stock</w:t>
      </w:r>
      <w:bookmarkEnd w:id="189"/>
      <w:bookmarkEnd w:id="190"/>
    </w:p>
    <w:tbl>
      <w:tblPr>
        <w:tblW w:w="7230" w:type="dxa"/>
        <w:tblInd w:w="-34" w:type="dxa"/>
        <w:tblLayout w:type="fixed"/>
        <w:tblLook w:val="0000" w:firstRow="0" w:lastRow="0" w:firstColumn="0" w:lastColumn="0" w:noHBand="0" w:noVBand="0"/>
      </w:tblPr>
      <w:tblGrid>
        <w:gridCol w:w="907"/>
        <w:gridCol w:w="4961"/>
        <w:gridCol w:w="1362"/>
      </w:tblGrid>
      <w:tr>
        <w:trPr>
          <w:cantSplit/>
        </w:trPr>
        <w:tc>
          <w:tcPr>
            <w:tcW w:w="907" w:type="dxa"/>
          </w:tcPr>
          <w:p>
            <w:pPr>
              <w:pStyle w:val="zyTableNAm"/>
              <w:rPr>
                <w:rStyle w:val="CharSClsNo"/>
              </w:rPr>
            </w:pPr>
          </w:p>
        </w:tc>
        <w:tc>
          <w:tcPr>
            <w:tcW w:w="4961" w:type="dxa"/>
          </w:tcPr>
          <w:p>
            <w:pPr>
              <w:pStyle w:val="yTableNAm"/>
              <w:tabs>
                <w:tab w:val="right" w:leader="dot" w:pos="4745"/>
              </w:tabs>
              <w:rPr>
                <w:rFonts w:ascii="Arial" w:hAnsi="Arial"/>
                <w:b/>
              </w:rPr>
            </w:pPr>
            <w:r>
              <w:rPr>
                <w:spacing w:val="-1"/>
              </w:rPr>
              <w:t xml:space="preserve">For each kilolitre of water supplied for the purpose of watering stock on land that is not the subject of a charge under item 10 </w:t>
            </w:r>
            <w:r>
              <w:rPr>
                <w:spacing w:val="-1"/>
              </w:rPr>
              <w:tab/>
            </w:r>
          </w:p>
        </w:tc>
        <w:tc>
          <w:tcPr>
            <w:tcW w:w="1362" w:type="dxa"/>
            <w:vAlign w:val="bottom"/>
          </w:tcPr>
          <w:p>
            <w:pPr>
              <w:pStyle w:val="yTableNAm"/>
            </w:pPr>
            <w:r>
              <w:rPr>
                <w:spacing w:val="-1"/>
              </w:rPr>
              <w:t xml:space="preserve">176.0 </w:t>
            </w:r>
            <w:r>
              <w:t>cents</w:t>
            </w:r>
          </w:p>
        </w:tc>
      </w:tr>
    </w:tbl>
    <w:p>
      <w:pPr>
        <w:pStyle w:val="yHeading5"/>
      </w:pPr>
      <w:bookmarkStart w:id="191" w:name="_Toc391906966"/>
      <w:bookmarkStart w:id="192" w:name="_Toc426119827"/>
      <w:r>
        <w:rPr>
          <w:rStyle w:val="CharSClsNo"/>
        </w:rPr>
        <w:t>33</w:t>
      </w:r>
      <w:r>
        <w:t>.</w:t>
      </w:r>
      <w:r>
        <w:tab/>
        <w:t>Building</w:t>
      </w:r>
      <w:bookmarkEnd w:id="191"/>
      <w:bookmarkEnd w:id="192"/>
    </w:p>
    <w:tbl>
      <w:tblPr>
        <w:tblW w:w="7230" w:type="dxa"/>
        <w:tblInd w:w="-34" w:type="dxa"/>
        <w:tblLayout w:type="fixed"/>
        <w:tblLook w:val="0000" w:firstRow="0" w:lastRow="0" w:firstColumn="0" w:lastColumn="0" w:noHBand="0" w:noVBand="0"/>
      </w:tblPr>
      <w:tblGrid>
        <w:gridCol w:w="907"/>
        <w:gridCol w:w="4961"/>
        <w:gridCol w:w="1362"/>
      </w:tblGrid>
      <w:tr>
        <w:trPr>
          <w:cantSplit/>
        </w:trPr>
        <w:tc>
          <w:tcPr>
            <w:tcW w:w="907" w:type="dxa"/>
          </w:tcPr>
          <w:p>
            <w:pPr>
              <w:pStyle w:val="zyTableNAm"/>
              <w:rPr>
                <w:rStyle w:val="CharSClsNo"/>
              </w:rPr>
            </w:pPr>
          </w:p>
        </w:tc>
        <w:tc>
          <w:tcPr>
            <w:tcW w:w="4961" w:type="dxa"/>
          </w:tcPr>
          <w:p>
            <w:pPr>
              <w:pStyle w:val="yTableNAm"/>
            </w:pPr>
            <w:r>
              <w:t>For each kilolitre of water supplied to land that is neither a residential property, nor any other property held for residential purposes, through a water supply connection that is provided for building purposes —</w:t>
            </w:r>
          </w:p>
        </w:tc>
        <w:tc>
          <w:tcPr>
            <w:tcW w:w="1362" w:type="dxa"/>
            <w:vAlign w:val="bottom"/>
          </w:tcPr>
          <w:p>
            <w:pPr>
              <w:pStyle w:val="yTableNAm"/>
            </w:pPr>
          </w:p>
        </w:tc>
      </w:tr>
      <w:tr>
        <w:trPr>
          <w:cantSplit/>
        </w:trPr>
        <w:tc>
          <w:tcPr>
            <w:tcW w:w="907" w:type="dxa"/>
          </w:tcPr>
          <w:p>
            <w:pPr>
              <w:pStyle w:val="zyTableNAm"/>
              <w:rPr>
                <w:rStyle w:val="CharSClsNo"/>
              </w:rPr>
            </w:pPr>
          </w:p>
        </w:tc>
        <w:tc>
          <w:tcPr>
            <w:tcW w:w="4961"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(a)</w:t>
            </w:r>
            <w:r>
              <w:rPr>
                <w:snapToGrid w:val="0"/>
              </w:rPr>
              <w:tab/>
              <w:t>in the metropolitan area, the charge that would apply under item 24 if the water supplied through that connection were the only water supplied to the land;</w:t>
            </w:r>
          </w:p>
        </w:tc>
        <w:tc>
          <w:tcPr>
            <w:tcW w:w="1362" w:type="dxa"/>
            <w:vAlign w:val="bottom"/>
          </w:tcPr>
          <w:p>
            <w:pPr>
              <w:pStyle w:val="yTableNAm"/>
            </w:pPr>
          </w:p>
        </w:tc>
      </w:tr>
      <w:tr>
        <w:trPr>
          <w:cantSplit/>
        </w:trPr>
        <w:tc>
          <w:tcPr>
            <w:tcW w:w="907" w:type="dxa"/>
          </w:tcPr>
          <w:p>
            <w:pPr>
              <w:pStyle w:val="zyTableNAm"/>
              <w:rPr>
                <w:rStyle w:val="CharSClsNo"/>
              </w:rPr>
            </w:pPr>
          </w:p>
        </w:tc>
        <w:tc>
          <w:tcPr>
            <w:tcW w:w="4961"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(b)</w:t>
            </w:r>
            <w:r>
              <w:rPr>
                <w:snapToGrid w:val="0"/>
              </w:rPr>
              <w:tab/>
              <w:t>not in the metropolitan area, the charge that would apply under item 27(b) if the water supplied through that connection were the only water supplied to the land.</w:t>
            </w:r>
          </w:p>
        </w:tc>
        <w:tc>
          <w:tcPr>
            <w:tcW w:w="1362" w:type="dxa"/>
            <w:vAlign w:val="bottom"/>
          </w:tcPr>
          <w:p>
            <w:pPr>
              <w:pStyle w:val="yTableNAm"/>
            </w:pPr>
          </w:p>
        </w:tc>
      </w:tr>
    </w:tbl>
    <w:p>
      <w:pPr>
        <w:pStyle w:val="yHeading5"/>
      </w:pPr>
      <w:bookmarkStart w:id="193" w:name="_Toc391906967"/>
      <w:bookmarkStart w:id="194" w:name="_Toc426119828"/>
      <w:r>
        <w:rPr>
          <w:rStyle w:val="CharSClsNo"/>
        </w:rPr>
        <w:t>34</w:t>
      </w:r>
      <w:r>
        <w:t>.</w:t>
      </w:r>
      <w:r>
        <w:tab/>
        <w:t>Metropolitan hydrant standpipes</w:t>
      </w:r>
      <w:bookmarkEnd w:id="193"/>
      <w:bookmarkEnd w:id="194"/>
    </w:p>
    <w:tbl>
      <w:tblPr>
        <w:tblW w:w="7144" w:type="dxa"/>
        <w:tblInd w:w="-34" w:type="dxa"/>
        <w:tblLayout w:type="fixed"/>
        <w:tblLook w:val="0000" w:firstRow="0" w:lastRow="0" w:firstColumn="0" w:lastColumn="0" w:noHBand="0" w:noVBand="0"/>
      </w:tblPr>
      <w:tblGrid>
        <w:gridCol w:w="907"/>
        <w:gridCol w:w="4961"/>
        <w:gridCol w:w="1276"/>
      </w:tblGrid>
      <w:tr>
        <w:trPr>
          <w:cantSplit/>
        </w:trPr>
        <w:tc>
          <w:tcPr>
            <w:tcW w:w="907" w:type="dxa"/>
          </w:tcPr>
          <w:p>
            <w:pPr>
              <w:pStyle w:val="zyTableNAm"/>
              <w:rPr>
                <w:rStyle w:val="CharSClsNo"/>
              </w:rPr>
            </w:pPr>
          </w:p>
        </w:tc>
        <w:tc>
          <w:tcPr>
            <w:tcW w:w="4961" w:type="dxa"/>
          </w:tcPr>
          <w:p>
            <w:pPr>
              <w:pStyle w:val="yTableNAm"/>
              <w:tabs>
                <w:tab w:val="right" w:leader="dot" w:pos="4745"/>
              </w:tabs>
              <w:rPr>
                <w:rFonts w:ascii="Arial" w:hAnsi="Arial"/>
                <w:b/>
              </w:rPr>
            </w:pPr>
            <w:r>
              <w:rPr>
                <w:spacing w:val="-1"/>
              </w:rPr>
              <w:t xml:space="preserve">For each kilolitre of water supplied through a hydrant standpipe in the metropolitan area </w:t>
            </w:r>
            <w:r>
              <w:rPr>
                <w:spacing w:val="-1"/>
              </w:rPr>
              <w:tab/>
            </w:r>
          </w:p>
        </w:tc>
        <w:tc>
          <w:tcPr>
            <w:tcW w:w="1276" w:type="dxa"/>
            <w:vAlign w:val="bottom"/>
          </w:tcPr>
          <w:p>
            <w:pPr>
              <w:pStyle w:val="yTableNAm"/>
            </w:pPr>
            <w:r>
              <w:rPr>
                <w:spacing w:val="-1"/>
              </w:rPr>
              <w:t>204.3 cents</w:t>
            </w:r>
          </w:p>
        </w:tc>
      </w:tr>
    </w:tbl>
    <w:p>
      <w:pPr>
        <w:pStyle w:val="yFootnotesection"/>
      </w:pPr>
      <w:r>
        <w:tab/>
        <w:t>[Division 2 inserted in Gazette 19 Jun 2013 p. 2361-70; amended in Gazette 14 Nov 2013 p. 5091.]</w:t>
      </w:r>
    </w:p>
    <w:p>
      <w:pPr>
        <w:pStyle w:val="yHeading3"/>
      </w:pPr>
      <w:bookmarkStart w:id="195" w:name="_Toc390772101"/>
      <w:bookmarkStart w:id="196" w:name="_Toc391906968"/>
      <w:bookmarkStart w:id="197" w:name="_Toc426119829"/>
      <w:r>
        <w:rPr>
          <w:rStyle w:val="CharSDivNo"/>
        </w:rPr>
        <w:t>Division 3</w:t>
      </w:r>
      <w:r>
        <w:rPr>
          <w:b w:val="0"/>
        </w:rPr>
        <w:t> — </w:t>
      </w:r>
      <w:r>
        <w:rPr>
          <w:rStyle w:val="CharSDivText"/>
        </w:rPr>
        <w:t>Formula for the purposes of by</w:t>
      </w:r>
      <w:r>
        <w:rPr>
          <w:rStyle w:val="CharSDivText"/>
        </w:rPr>
        <w:noBreakHyphen/>
        <w:t>law 17(3)</w:t>
      </w:r>
      <w:bookmarkEnd w:id="195"/>
      <w:bookmarkEnd w:id="196"/>
      <w:bookmarkEnd w:id="197"/>
    </w:p>
    <w:p>
      <w:pPr>
        <w:pStyle w:val="yFootnoteheading"/>
        <w:keepNext/>
        <w:spacing w:before="100"/>
      </w:pPr>
      <w:r>
        <w:tab/>
        <w:t>[Heading inserted in Gazette 20 Jun 2012 p. 2720.]</w:t>
      </w:r>
    </w:p>
    <w:p>
      <w:pPr>
        <w:pStyle w:val="yHeading5"/>
        <w:spacing w:before="200"/>
      </w:pPr>
      <w:bookmarkStart w:id="198" w:name="_Toc391906969"/>
      <w:bookmarkStart w:id="199" w:name="_Toc426119830"/>
      <w:r>
        <w:rPr>
          <w:rStyle w:val="CharSClsNo"/>
        </w:rPr>
        <w:t>35</w:t>
      </w:r>
      <w:r>
        <w:t>.</w:t>
      </w:r>
      <w:r>
        <w:rPr>
          <w:b w:val="0"/>
        </w:rPr>
        <w:tab/>
      </w:r>
      <w:r>
        <w:t>Formula for the purposes of by</w:t>
      </w:r>
      <w:r>
        <w:noBreakHyphen/>
        <w:t>law 17(3)</w:t>
      </w:r>
      <w:bookmarkEnd w:id="198"/>
      <w:bookmarkEnd w:id="199"/>
    </w:p>
    <w:p>
      <w:pPr>
        <w:pStyle w:val="ySubsection"/>
        <w:spacing w:before="140"/>
      </w:pPr>
      <w:r>
        <w:tab/>
      </w:r>
      <w:r>
        <w:tab/>
        <w:t>The formula for the purposes of by</w:t>
      </w:r>
      <w:r>
        <w:noBreakHyphen/>
        <w:t xml:space="preserve">law 17(3) is as follows — </w:t>
      </w:r>
    </w:p>
    <w:p>
      <w:pPr>
        <w:pStyle w:val="Equation"/>
        <w:spacing w:before="80"/>
        <w:jc w:val="center"/>
      </w:pPr>
      <w:r>
        <w:rPr>
          <w:position w:val="-10"/>
        </w:rPr>
        <w:drawing>
          <wp:inline distT="0" distB="0" distL="0" distR="0">
            <wp:extent cx="409575" cy="198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Subsection"/>
        <w:spacing w:before="80"/>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80"/>
        <w:jc w:val="center"/>
      </w:pPr>
      <w:r>
        <w:rPr>
          <w:position w:val="-10"/>
        </w:rPr>
        <w:drawing>
          <wp:inline distT="0" distB="0" distL="0" distR="0">
            <wp:extent cx="409575" cy="1981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spacing w:before="100"/>
      </w:pPr>
      <w:r>
        <w:tab/>
        <w:t>[Division 3 inserted in Gazette 20 Jun 2012 p. 2720.]</w:t>
      </w:r>
    </w:p>
    <w:p>
      <w:pPr>
        <w:pStyle w:val="yHeading3"/>
      </w:pPr>
      <w:bookmarkStart w:id="200" w:name="_Toc390772103"/>
      <w:bookmarkStart w:id="201" w:name="_Toc391906970"/>
      <w:bookmarkStart w:id="202" w:name="_Toc426119831"/>
      <w:r>
        <w:rPr>
          <w:rStyle w:val="CharSDivNo"/>
        </w:rPr>
        <w:t>Division 4</w:t>
      </w:r>
      <w:r>
        <w:rPr>
          <w:b w:val="0"/>
        </w:rPr>
        <w:t> — </w:t>
      </w:r>
      <w:r>
        <w:rPr>
          <w:rStyle w:val="CharSDivText"/>
        </w:rPr>
        <w:t>Capital infrastructure charges determined under by</w:t>
      </w:r>
      <w:r>
        <w:rPr>
          <w:rStyle w:val="CharSDivText"/>
        </w:rPr>
        <w:noBreakHyphen/>
        <w:t>law 19A</w:t>
      </w:r>
      <w:bookmarkEnd w:id="200"/>
      <w:bookmarkEnd w:id="201"/>
      <w:bookmarkEnd w:id="202"/>
    </w:p>
    <w:p>
      <w:pPr>
        <w:pStyle w:val="yFootnoteheading"/>
        <w:keepNext/>
        <w:spacing w:before="100"/>
      </w:pPr>
      <w:r>
        <w:tab/>
        <w:t>[Heading inserted in Gazette 20 Jun 2012 p. 2720.]</w:t>
      </w:r>
    </w:p>
    <w:p>
      <w:pPr>
        <w:pStyle w:val="yHeading5"/>
        <w:spacing w:before="200"/>
      </w:pPr>
      <w:bookmarkStart w:id="203" w:name="_Toc391906971"/>
      <w:bookmarkStart w:id="204" w:name="_Toc426119832"/>
      <w:r>
        <w:rPr>
          <w:rStyle w:val="CharSClsNo"/>
        </w:rPr>
        <w:t>36</w:t>
      </w:r>
      <w:r>
        <w:t>.</w:t>
      </w:r>
      <w:r>
        <w:rPr>
          <w:b w:val="0"/>
        </w:rPr>
        <w:tab/>
      </w:r>
      <w:r>
        <w:t>Capital infrastructure charges determined under by</w:t>
      </w:r>
      <w:r>
        <w:noBreakHyphen/>
        <w:t>law 19A</w:t>
      </w:r>
      <w:bookmarkEnd w:id="203"/>
      <w:bookmarkEnd w:id="204"/>
    </w:p>
    <w:p>
      <w:pPr>
        <w:pStyle w:val="ySubsection"/>
        <w:keepNext/>
        <w:spacing w:before="140" w:after="80"/>
      </w:pPr>
      <w:r>
        <w:tab/>
      </w:r>
      <w:r>
        <w:tab/>
        <w:t>The capital infrastructure charges determined under by</w:t>
      </w:r>
      <w:r>
        <w:noBreakHyphen/>
        <w:t xml:space="preserve">law 19A are as follows — </w:t>
      </w:r>
    </w:p>
    <w:tbl>
      <w:tblPr>
        <w:tblW w:w="6626" w:type="dxa"/>
        <w:tblInd w:w="567" w:type="dxa"/>
        <w:tblLayout w:type="fixed"/>
        <w:tblCellMar>
          <w:left w:w="56" w:type="dxa"/>
          <w:right w:w="56" w:type="dxa"/>
        </w:tblCellMar>
        <w:tblLook w:val="0000" w:firstRow="0" w:lastRow="0" w:firstColumn="0" w:lastColumn="0" w:noHBand="0" w:noVBand="0"/>
      </w:tblPr>
      <w:tblGrid>
        <w:gridCol w:w="1559"/>
        <w:gridCol w:w="1701"/>
        <w:gridCol w:w="1701"/>
        <w:gridCol w:w="1665"/>
      </w:tblGrid>
      <w:tr>
        <w:trPr>
          <w:tblHeader/>
        </w:trPr>
        <w:tc>
          <w:tcPr>
            <w:tcW w:w="1559" w:type="dxa"/>
            <w:tcBorders>
              <w:top w:val="single" w:sz="4" w:space="0" w:color="auto"/>
            </w:tcBorders>
          </w:tcPr>
          <w:p>
            <w:pPr>
              <w:pStyle w:val="yTableNAm"/>
              <w:keepNext/>
              <w:spacing w:before="80"/>
              <w:jc w:val="center"/>
            </w:pPr>
            <w:r>
              <w:rPr>
                <w:b/>
                <w:bCs/>
              </w:rPr>
              <w:br w:type="page"/>
              <w:t>Column 1</w:t>
            </w:r>
          </w:p>
        </w:tc>
        <w:tc>
          <w:tcPr>
            <w:tcW w:w="1701" w:type="dxa"/>
            <w:tcBorders>
              <w:top w:val="single" w:sz="4" w:space="0" w:color="auto"/>
            </w:tcBorders>
          </w:tcPr>
          <w:p>
            <w:pPr>
              <w:pStyle w:val="yTableNAm"/>
              <w:keepNext/>
              <w:spacing w:before="80"/>
              <w:jc w:val="center"/>
            </w:pPr>
            <w:r>
              <w:rPr>
                <w:b/>
                <w:bCs/>
              </w:rPr>
              <w:t>Column 2</w:t>
            </w:r>
          </w:p>
        </w:tc>
        <w:tc>
          <w:tcPr>
            <w:tcW w:w="1701" w:type="dxa"/>
            <w:tcBorders>
              <w:top w:val="single" w:sz="4" w:space="0" w:color="auto"/>
            </w:tcBorders>
          </w:tcPr>
          <w:p>
            <w:pPr>
              <w:pStyle w:val="yTableNAm"/>
              <w:keepNext/>
              <w:spacing w:before="80"/>
              <w:jc w:val="center"/>
            </w:pPr>
            <w:r>
              <w:rPr>
                <w:b/>
                <w:bCs/>
              </w:rPr>
              <w:t>Column 3</w:t>
            </w:r>
          </w:p>
        </w:tc>
        <w:tc>
          <w:tcPr>
            <w:tcW w:w="1665" w:type="dxa"/>
            <w:tcBorders>
              <w:top w:val="single" w:sz="4" w:space="0" w:color="auto"/>
            </w:tcBorders>
          </w:tcPr>
          <w:p>
            <w:pPr>
              <w:pStyle w:val="yTableNAm"/>
              <w:keepNext/>
              <w:spacing w:before="80"/>
              <w:jc w:val="center"/>
            </w:pPr>
            <w:r>
              <w:rPr>
                <w:b/>
                <w:bCs/>
              </w:rPr>
              <w:t>Column 4</w:t>
            </w:r>
          </w:p>
        </w:tc>
      </w:tr>
      <w:tr>
        <w:trPr>
          <w:tblHeader/>
        </w:trPr>
        <w:tc>
          <w:tcPr>
            <w:tcW w:w="1559" w:type="dxa"/>
            <w:tcBorders>
              <w:bottom w:val="single" w:sz="4" w:space="0" w:color="auto"/>
            </w:tcBorders>
          </w:tcPr>
          <w:p>
            <w:pPr>
              <w:pStyle w:val="yTableNAm"/>
              <w:keepNext/>
              <w:spacing w:before="80"/>
              <w:jc w:val="center"/>
            </w:pPr>
            <w:r>
              <w:rPr>
                <w:b/>
                <w:bCs/>
                <w:i/>
              </w:rPr>
              <w:t>Area</w:t>
            </w:r>
          </w:p>
        </w:tc>
        <w:tc>
          <w:tcPr>
            <w:tcW w:w="1701" w:type="dxa"/>
            <w:tcBorders>
              <w:bottom w:val="single" w:sz="4" w:space="0" w:color="auto"/>
            </w:tcBorders>
          </w:tcPr>
          <w:p>
            <w:pPr>
              <w:pStyle w:val="yTableNAm"/>
              <w:keepNext/>
              <w:spacing w:before="80"/>
              <w:jc w:val="center"/>
            </w:pPr>
            <w:r>
              <w:rPr>
                <w:b/>
                <w:bCs/>
                <w:i/>
              </w:rPr>
              <w:t>Single Charge</w:t>
            </w:r>
          </w:p>
        </w:tc>
        <w:tc>
          <w:tcPr>
            <w:tcW w:w="1701" w:type="dxa"/>
            <w:tcBorders>
              <w:bottom w:val="single" w:sz="4" w:space="0" w:color="auto"/>
            </w:tcBorders>
          </w:tcPr>
          <w:p>
            <w:pPr>
              <w:pStyle w:val="yTableNAm"/>
              <w:keepNext/>
              <w:spacing w:before="80"/>
              <w:jc w:val="center"/>
            </w:pPr>
            <w:r>
              <w:rPr>
                <w:b/>
                <w:bCs/>
                <w:i/>
              </w:rPr>
              <w:t>Annual Charge</w:t>
            </w:r>
          </w:p>
        </w:tc>
        <w:tc>
          <w:tcPr>
            <w:tcW w:w="1665" w:type="dxa"/>
            <w:tcBorders>
              <w:bottom w:val="single" w:sz="4" w:space="0" w:color="auto"/>
            </w:tcBorders>
          </w:tcPr>
          <w:p>
            <w:pPr>
              <w:pStyle w:val="yTableNAm"/>
              <w:keepNext/>
              <w:spacing w:before="80"/>
              <w:jc w:val="center"/>
            </w:pPr>
            <w:r>
              <w:rPr>
                <w:b/>
                <w:bCs/>
                <w:i/>
              </w:rPr>
              <w:t>No. of years</w:t>
            </w:r>
          </w:p>
        </w:tc>
      </w:tr>
      <w:tr>
        <w:tc>
          <w:tcPr>
            <w:tcW w:w="1559" w:type="dxa"/>
            <w:tcBorders>
              <w:bottom w:val="single" w:sz="4" w:space="0" w:color="auto"/>
            </w:tcBorders>
          </w:tcPr>
          <w:p>
            <w:pPr>
              <w:pStyle w:val="yTableNAm"/>
              <w:spacing w:before="80"/>
              <w:jc w:val="center"/>
            </w:pPr>
            <w:r>
              <w:t>Nilgen</w:t>
            </w:r>
          </w:p>
        </w:tc>
        <w:tc>
          <w:tcPr>
            <w:tcW w:w="1701" w:type="dxa"/>
            <w:tcBorders>
              <w:bottom w:val="single" w:sz="4" w:space="0" w:color="auto"/>
            </w:tcBorders>
          </w:tcPr>
          <w:p>
            <w:pPr>
              <w:pStyle w:val="yTableNAm"/>
              <w:spacing w:before="80"/>
              <w:jc w:val="center"/>
            </w:pPr>
            <w:r>
              <w:t>$3 120.00</w:t>
            </w:r>
          </w:p>
        </w:tc>
        <w:tc>
          <w:tcPr>
            <w:tcW w:w="1701" w:type="dxa"/>
            <w:tcBorders>
              <w:bottom w:val="single" w:sz="4" w:space="0" w:color="auto"/>
            </w:tcBorders>
          </w:tcPr>
          <w:p>
            <w:pPr>
              <w:pStyle w:val="yTableNAm"/>
              <w:spacing w:before="80"/>
              <w:jc w:val="center"/>
            </w:pPr>
            <w:r>
              <w:t>$463.80</w:t>
            </w:r>
          </w:p>
        </w:tc>
        <w:tc>
          <w:tcPr>
            <w:tcW w:w="1665" w:type="dxa"/>
            <w:tcBorders>
              <w:bottom w:val="single" w:sz="4" w:space="0" w:color="auto"/>
            </w:tcBorders>
          </w:tcPr>
          <w:p>
            <w:pPr>
              <w:pStyle w:val="yTableNAm"/>
              <w:spacing w:before="80"/>
              <w:jc w:val="center"/>
            </w:pPr>
            <w:r>
              <w:t>10</w:t>
            </w:r>
          </w:p>
        </w:tc>
      </w:tr>
    </w:tbl>
    <w:p>
      <w:pPr>
        <w:pStyle w:val="yFootnotesection"/>
        <w:spacing w:before="100"/>
      </w:pPr>
      <w:r>
        <w:tab/>
        <w:t>[Division 4 inserted in Gazette 20 Jun 2012 p. 2720.]</w:t>
      </w:r>
    </w:p>
    <w:p>
      <w:pPr>
        <w:pStyle w:val="yScheduleHeading"/>
      </w:pPr>
      <w:bookmarkStart w:id="205" w:name="_Toc390772105"/>
      <w:bookmarkStart w:id="206" w:name="_Toc391906972"/>
      <w:bookmarkStart w:id="207" w:name="_Toc426119833"/>
      <w:r>
        <w:rPr>
          <w:rStyle w:val="CharSchNo"/>
        </w:rPr>
        <w:t>Schedule 2</w:t>
      </w:r>
      <w:r>
        <w:rPr>
          <w:rStyle w:val="CharSDivNo"/>
        </w:rPr>
        <w:t> </w:t>
      </w:r>
      <w:r>
        <w:t>—</w:t>
      </w:r>
      <w:r>
        <w:rPr>
          <w:rStyle w:val="CharSDivText"/>
        </w:rPr>
        <w:t> </w:t>
      </w:r>
      <w:r>
        <w:rPr>
          <w:rStyle w:val="CharSchText"/>
        </w:rPr>
        <w:t>Charges for water supply from certain irrigation works, other than for irrigation, for 2013/2014</w:t>
      </w:r>
      <w:bookmarkEnd w:id="205"/>
      <w:bookmarkEnd w:id="206"/>
      <w:bookmarkEnd w:id="207"/>
    </w:p>
    <w:p>
      <w:pPr>
        <w:pStyle w:val="yShoulderClause"/>
      </w:pPr>
      <w:r>
        <w:t>[bl. 20]</w:t>
      </w:r>
    </w:p>
    <w:p>
      <w:pPr>
        <w:pStyle w:val="yFootnotesection"/>
        <w:spacing w:after="60"/>
      </w:pPr>
      <w:r>
        <w:tab/>
        <w:t>[Heading inserted in Gazette 14 Nov 2013 p. 5091.]</w:t>
      </w:r>
    </w:p>
    <w:p>
      <w:pPr>
        <w:pStyle w:val="yHeading5"/>
      </w:pPr>
      <w:bookmarkStart w:id="208" w:name="_Toc391906973"/>
      <w:bookmarkStart w:id="209" w:name="_Toc426119834"/>
      <w:r>
        <w:rPr>
          <w:rStyle w:val="CharSClsNo"/>
        </w:rPr>
        <w:t>1</w:t>
      </w:r>
      <w:r>
        <w:t>.</w:t>
      </w:r>
      <w:r>
        <w:tab/>
        <w:t>Supply other than for stock</w:t>
      </w:r>
      <w:r>
        <w:noBreakHyphen/>
        <w:t>water or dust prevention</w:t>
      </w:r>
      <w:bookmarkEnd w:id="208"/>
      <w:bookmarkEnd w:id="209"/>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In respect of land to which water is supplied from irrigation works of the Corporation in the Ord Irrigation District, for purposes other than those mentioned in item 2, an amount per supply point of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459"/>
                <w:tab w:val="left" w:pos="992"/>
                <w:tab w:val="right" w:leader="dot" w:pos="4887"/>
              </w:tabs>
              <w:ind w:left="996" w:hanging="996"/>
              <w:rPr>
                <w:rFonts w:ascii="Arial" w:hAnsi="Arial"/>
                <w:b/>
              </w:rPr>
            </w:pPr>
            <w:r>
              <w:tab/>
              <w:t>(a)</w:t>
            </w:r>
            <w:r>
              <w:tab/>
              <w:t xml:space="preserve">if the supply is assured </w:t>
            </w:r>
            <w:r>
              <w:tab/>
            </w:r>
          </w:p>
        </w:tc>
        <w:tc>
          <w:tcPr>
            <w:tcW w:w="1276" w:type="dxa"/>
            <w:vAlign w:val="bottom"/>
          </w:tcPr>
          <w:p>
            <w:pPr>
              <w:pStyle w:val="yTableNAm"/>
            </w:pPr>
            <w:r>
              <w:t>$247.50</w:t>
            </w:r>
          </w:p>
        </w:tc>
      </w:tr>
      <w:tr>
        <w:trPr>
          <w:cantSplit/>
        </w:trPr>
        <w:tc>
          <w:tcPr>
            <w:tcW w:w="907" w:type="dxa"/>
          </w:tcPr>
          <w:p>
            <w:pPr>
              <w:pStyle w:val="zyTableNAm"/>
            </w:pPr>
          </w:p>
        </w:tc>
        <w:tc>
          <w:tcPr>
            <w:tcW w:w="5103" w:type="dxa"/>
          </w:tcPr>
          <w:p>
            <w:pPr>
              <w:pStyle w:val="yTableNAm"/>
              <w:tabs>
                <w:tab w:val="clear" w:pos="567"/>
                <w:tab w:val="left" w:pos="459"/>
                <w:tab w:val="left" w:pos="992"/>
                <w:tab w:val="right" w:leader="dot" w:pos="4887"/>
              </w:tabs>
              <w:ind w:left="996" w:hanging="996"/>
              <w:rPr>
                <w:rFonts w:ascii="Arial" w:hAnsi="Arial"/>
                <w:b/>
              </w:rPr>
            </w:pPr>
            <w:r>
              <w:tab/>
              <w:t>(b)</w:t>
            </w:r>
            <w:r>
              <w:tab/>
              <w:t xml:space="preserve">if the supply is not assured </w:t>
            </w:r>
            <w:r>
              <w:tab/>
            </w:r>
          </w:p>
        </w:tc>
        <w:tc>
          <w:tcPr>
            <w:tcW w:w="1276" w:type="dxa"/>
            <w:vAlign w:val="bottom"/>
          </w:tcPr>
          <w:p>
            <w:pPr>
              <w:pStyle w:val="yTableNAm"/>
            </w:pPr>
            <w:r>
              <w:t>$181.00</w:t>
            </w:r>
          </w:p>
        </w:tc>
      </w:tr>
    </w:tbl>
    <w:p>
      <w:pPr>
        <w:pStyle w:val="yHeading5"/>
      </w:pPr>
      <w:bookmarkStart w:id="210" w:name="_Toc391906974"/>
      <w:bookmarkStart w:id="211" w:name="_Toc426119835"/>
      <w:r>
        <w:rPr>
          <w:rStyle w:val="CharSClsNo"/>
        </w:rPr>
        <w:t>2</w:t>
      </w:r>
      <w:r>
        <w:t>.</w:t>
      </w:r>
      <w:r>
        <w:tab/>
        <w:t>Supply for stock</w:t>
      </w:r>
      <w:r>
        <w:noBreakHyphen/>
        <w:t>water or dust prevention</w:t>
      </w:r>
      <w:bookmarkEnd w:id="210"/>
      <w:bookmarkEnd w:id="211"/>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In respect of land to which water is supplied from irrigation works of the Corporation in the Ord Irrigation District for the purposes of stock</w:t>
            </w:r>
            <w:r>
              <w:noBreakHyphen/>
              <w:t>water or dust prevention in feed lots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459"/>
                <w:tab w:val="left" w:pos="992"/>
                <w:tab w:val="right" w:leader="dot" w:pos="4887"/>
              </w:tabs>
              <w:ind w:left="996" w:hanging="996"/>
              <w:rPr>
                <w:rFonts w:ascii="Arial" w:hAnsi="Arial"/>
                <w:b/>
              </w:rPr>
            </w:pPr>
            <w:r>
              <w:tab/>
              <w:t>(a)</w:t>
            </w:r>
            <w:r>
              <w:tab/>
              <w:t xml:space="preserve">if the maximum area used as a feed lot during the year is not more than 4 ha, an amount of </w:t>
            </w:r>
            <w:r>
              <w:tab/>
            </w:r>
          </w:p>
        </w:tc>
        <w:tc>
          <w:tcPr>
            <w:tcW w:w="1276" w:type="dxa"/>
            <w:vAlign w:val="bottom"/>
          </w:tcPr>
          <w:p>
            <w:pPr>
              <w:pStyle w:val="yTableNAm"/>
            </w:pPr>
            <w:r>
              <w:t>$664.00</w:t>
            </w:r>
          </w:p>
        </w:tc>
      </w:tr>
      <w:tr>
        <w:trPr>
          <w:cantSplit/>
        </w:trPr>
        <w:tc>
          <w:tcPr>
            <w:tcW w:w="907" w:type="dxa"/>
          </w:tcPr>
          <w:p>
            <w:pPr>
              <w:pStyle w:val="zyTableNAm"/>
            </w:pPr>
          </w:p>
        </w:tc>
        <w:tc>
          <w:tcPr>
            <w:tcW w:w="5103" w:type="dxa"/>
          </w:tcPr>
          <w:p>
            <w:pPr>
              <w:pStyle w:val="yTableNAm"/>
              <w:tabs>
                <w:tab w:val="clear" w:pos="567"/>
                <w:tab w:val="left" w:pos="459"/>
                <w:tab w:val="left" w:pos="992"/>
                <w:tab w:val="right" w:leader="dot" w:pos="4887"/>
              </w:tabs>
              <w:ind w:left="996" w:hanging="996"/>
              <w:rPr>
                <w:rFonts w:ascii="Arial" w:hAnsi="Arial"/>
                <w:b/>
              </w:rPr>
            </w:pPr>
            <w:r>
              <w:tab/>
              <w:t>(b)</w:t>
            </w:r>
            <w:r>
              <w:tab/>
              <w:t xml:space="preserve">if the maximum area used as a feed lot during the year is more than 4 ha, the amount specified in paragraph (a) and, for each hectare (or part thereof) in excess of 4 ha that is so used, a further amount of </w:t>
            </w:r>
            <w:r>
              <w:tab/>
            </w:r>
          </w:p>
        </w:tc>
        <w:tc>
          <w:tcPr>
            <w:tcW w:w="1276" w:type="dxa"/>
            <w:vAlign w:val="bottom"/>
          </w:tcPr>
          <w:p>
            <w:pPr>
              <w:pStyle w:val="yTableNAm"/>
            </w:pPr>
            <w:r>
              <w:t>$131.50</w:t>
            </w:r>
          </w:p>
        </w:tc>
      </w:tr>
    </w:tbl>
    <w:p>
      <w:pPr>
        <w:pStyle w:val="yFootnotesection"/>
        <w:spacing w:after="60"/>
      </w:pPr>
      <w:r>
        <w:tab/>
        <w:t>[Schedule 2 inserted in Gazette 14 Nov 2013 p. 5091-2.]</w:t>
      </w:r>
    </w:p>
    <w:p>
      <w:pPr>
        <w:pStyle w:val="yScheduleHeading"/>
      </w:pPr>
      <w:bookmarkStart w:id="212" w:name="_Toc390772108"/>
      <w:bookmarkStart w:id="213" w:name="_Toc391906975"/>
      <w:bookmarkStart w:id="214" w:name="_Toc426119836"/>
      <w:r>
        <w:rPr>
          <w:rStyle w:val="CharSchNo"/>
        </w:rPr>
        <w:t>Schedule 3</w:t>
      </w:r>
      <w:r>
        <w:t> — </w:t>
      </w:r>
      <w:r>
        <w:rPr>
          <w:rStyle w:val="CharSchText"/>
        </w:rPr>
        <w:t>Charges for sewerage for 2013/2014</w:t>
      </w:r>
      <w:bookmarkEnd w:id="212"/>
      <w:bookmarkEnd w:id="213"/>
      <w:bookmarkEnd w:id="214"/>
    </w:p>
    <w:p>
      <w:pPr>
        <w:pStyle w:val="yShoulderClause"/>
      </w:pPr>
      <w:r>
        <w:t>[bl. 21, 25A, 25B, 25C, 26, 26A and 26B]</w:t>
      </w:r>
    </w:p>
    <w:p>
      <w:pPr>
        <w:pStyle w:val="yFootnoteheading"/>
        <w:spacing w:after="60"/>
      </w:pPr>
      <w:r>
        <w:tab/>
        <w:t>[Heading inserted in Gazette 19 Jun 2013 p. 2371.]</w:t>
      </w:r>
    </w:p>
    <w:p>
      <w:pPr>
        <w:pStyle w:val="yHeading3"/>
      </w:pPr>
      <w:bookmarkStart w:id="215" w:name="_Toc390772109"/>
      <w:bookmarkStart w:id="216" w:name="_Toc391906976"/>
      <w:bookmarkStart w:id="217" w:name="_Toc426119837"/>
      <w:r>
        <w:rPr>
          <w:rStyle w:val="CharSDivNo"/>
        </w:rPr>
        <w:t>Division 1</w:t>
      </w:r>
      <w:r>
        <w:rPr>
          <w:b w:val="0"/>
        </w:rPr>
        <w:t> — </w:t>
      </w:r>
      <w:r>
        <w:rPr>
          <w:rStyle w:val="CharSDivText"/>
        </w:rPr>
        <w:t>Fixed charges</w:t>
      </w:r>
      <w:bookmarkEnd w:id="215"/>
      <w:bookmarkEnd w:id="216"/>
      <w:bookmarkEnd w:id="217"/>
    </w:p>
    <w:p>
      <w:pPr>
        <w:pStyle w:val="yFootnoteheading"/>
        <w:spacing w:after="120"/>
      </w:pPr>
      <w:r>
        <w:tab/>
        <w:t>[Heading inserted in Gazette 19 Jun 2013 p. 2371.]</w:t>
      </w:r>
    </w:p>
    <w:p>
      <w:pPr>
        <w:pStyle w:val="yHeading5"/>
      </w:pPr>
      <w:bookmarkStart w:id="218" w:name="_Toc391906977"/>
      <w:bookmarkStart w:id="219" w:name="_Toc426119838"/>
      <w:r>
        <w:rPr>
          <w:rStyle w:val="CharSClsNo"/>
        </w:rPr>
        <w:t>1</w:t>
      </w:r>
      <w:r>
        <w:t>.</w:t>
      </w:r>
      <w:r>
        <w:tab/>
        <w:t>Connected metropolitan exempt</w:t>
      </w:r>
      <w:bookmarkEnd w:id="218"/>
      <w:bookmarkEnd w:id="219"/>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pPr>
          </w:p>
        </w:tc>
        <w:tc>
          <w:tcPr>
            <w:tcW w:w="4820" w:type="dxa"/>
          </w:tcPr>
          <w:p>
            <w:pPr>
              <w:pStyle w:val="yTableNAm"/>
            </w:pPr>
            <w:r>
              <w:t>In respect of land in the metropolitan area that is classified as —</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(a)</w:t>
            </w:r>
            <w:r>
              <w:tab/>
              <w:t>aged home; or </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rPr>
                <w:spacing w:val="-1"/>
              </w:rPr>
              <w:tab/>
              <w:t>(b)</w:t>
            </w:r>
            <w:r>
              <w:rPr>
                <w:spacing w:val="-1"/>
              </w:rPr>
              <w:tab/>
              <w:t>charitable or community purposes,</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pPr>
            <w:r>
              <w:rPr>
                <w:spacing w:val="-1"/>
              </w:rPr>
              <w:t xml:space="preserve">a charge determined by meter size minus the discount as set out in the following Table — </w:t>
            </w:r>
          </w:p>
        </w:tc>
        <w:tc>
          <w:tcPr>
            <w:tcW w:w="1559" w:type="dxa"/>
            <w:vAlign w:val="bottom"/>
          </w:tcPr>
          <w:p>
            <w:pPr>
              <w:pStyle w:val="yTableNAm"/>
            </w:pPr>
          </w:p>
        </w:tc>
      </w:tr>
    </w:tbl>
    <w:p>
      <w:pPr>
        <w:pStyle w:val="yTHeadingNAm"/>
        <w:ind w:left="567"/>
      </w:pPr>
      <w:r>
        <w:t>Table — charges (</w:t>
      </w:r>
      <w:r>
        <w:rPr>
          <w:iCs/>
        </w:rPr>
        <w:t>per fixture</w:t>
      </w:r>
      <w:r>
        <w:t>)</w:t>
      </w:r>
    </w:p>
    <w:tbl>
      <w:tblPr>
        <w:tblW w:w="6520" w:type="dxa"/>
        <w:tblInd w:w="567"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rFonts w:ascii="Arial" w:hAnsi="Arial"/>
                <w:b/>
              </w:rPr>
            </w:pPr>
            <w:r>
              <w:rPr>
                <w:b/>
                <w:bCs/>
              </w:rPr>
              <w:t>No. of fixtures</w:t>
            </w:r>
          </w:p>
        </w:tc>
        <w:tc>
          <w:tcPr>
            <w:tcW w:w="2173" w:type="dxa"/>
            <w:vMerge w:val="restart"/>
            <w:tcBorders>
              <w:top w:val="single" w:sz="4" w:space="0" w:color="auto"/>
            </w:tcBorders>
          </w:tcPr>
          <w:p>
            <w:pPr>
              <w:pStyle w:val="yTableNAm"/>
              <w:jc w:val="cente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zyTableNAm"/>
              <w:keepNext/>
              <w:keepLines/>
              <w:jc w:val="center"/>
              <w:rPr>
                <w:b/>
                <w:bCs/>
              </w:rPr>
            </w:pPr>
          </w:p>
        </w:tc>
        <w:tc>
          <w:tcPr>
            <w:tcW w:w="2173" w:type="dxa"/>
            <w:vMerge/>
            <w:tcBorders>
              <w:bottom w:val="single" w:sz="4" w:space="0" w:color="auto"/>
            </w:tcBorders>
          </w:tcPr>
          <w:p>
            <w:pPr>
              <w:pStyle w:val="zyTableNAm"/>
              <w:keepNext/>
              <w:keepLines/>
              <w:jc w:val="center"/>
              <w:rPr>
                <w:b/>
                <w:bCs/>
              </w:rPr>
            </w:pPr>
          </w:p>
        </w:tc>
        <w:tc>
          <w:tcPr>
            <w:tcW w:w="1087" w:type="dxa"/>
            <w:tcBorders>
              <w:top w:val="single" w:sz="4" w:space="0" w:color="auto"/>
              <w:bottom w:val="single" w:sz="4" w:space="0" w:color="auto"/>
            </w:tcBorders>
          </w:tcPr>
          <w:p>
            <w:pPr>
              <w:pStyle w:val="yTableNAm"/>
              <w:jc w:val="center"/>
              <w:rPr>
                <w:rFonts w:ascii="Arial" w:hAnsi="Arial"/>
                <w:b/>
              </w:rPr>
            </w:pPr>
            <w:r>
              <w:rPr>
                <w:b/>
                <w:bCs/>
              </w:rPr>
              <w:t>Item 1(a)</w:t>
            </w:r>
          </w:p>
        </w:tc>
        <w:tc>
          <w:tcPr>
            <w:tcW w:w="1087" w:type="dxa"/>
            <w:tcBorders>
              <w:top w:val="single" w:sz="4" w:space="0" w:color="auto"/>
              <w:bottom w:val="single" w:sz="4" w:space="0" w:color="auto"/>
            </w:tcBorders>
          </w:tcPr>
          <w:p>
            <w:pPr>
              <w:pStyle w:val="yTableNAm"/>
              <w:jc w:val="center"/>
              <w:rPr>
                <w:rFonts w:ascii="Arial" w:hAnsi="Arial"/>
                <w:b/>
              </w:rPr>
            </w:pPr>
            <w:r>
              <w:rPr>
                <w:b/>
                <w:bCs/>
              </w:rPr>
              <w:t>Item 1(b)</w:t>
            </w:r>
          </w:p>
        </w:tc>
      </w:tr>
      <w:tr>
        <w:trPr>
          <w:cantSplit/>
        </w:trPr>
        <w:tc>
          <w:tcPr>
            <w:tcW w:w="2173" w:type="dxa"/>
          </w:tcPr>
          <w:p>
            <w:pPr>
              <w:pStyle w:val="yTableNAm"/>
              <w:jc w:val="center"/>
            </w:pPr>
            <w:r>
              <w:t>1</w:t>
            </w:r>
          </w:p>
        </w:tc>
        <w:tc>
          <w:tcPr>
            <w:tcW w:w="2173" w:type="dxa"/>
          </w:tcPr>
          <w:p>
            <w:pPr>
              <w:pStyle w:val="yTableNAm"/>
              <w:jc w:val="center"/>
              <w:rPr>
                <w:rFonts w:ascii="Arial" w:hAnsi="Arial"/>
                <w:b/>
              </w:rPr>
            </w:pPr>
            <w:r>
              <w:t>772.10</w:t>
            </w:r>
          </w:p>
        </w:tc>
        <w:tc>
          <w:tcPr>
            <w:tcW w:w="1087" w:type="dxa"/>
          </w:tcPr>
          <w:p>
            <w:pPr>
              <w:pStyle w:val="yTableNAm"/>
              <w:jc w:val="center"/>
              <w:rPr>
                <w:rFonts w:ascii="Arial" w:hAnsi="Arial"/>
                <w:b/>
              </w:rPr>
            </w:pPr>
            <w:r>
              <w:t>73.133</w:t>
            </w:r>
          </w:p>
        </w:tc>
        <w:tc>
          <w:tcPr>
            <w:tcW w:w="1087" w:type="dxa"/>
          </w:tcPr>
          <w:p>
            <w:pPr>
              <w:pStyle w:val="yTableNAm"/>
              <w:jc w:val="center"/>
              <w:rPr>
                <w:rFonts w:ascii="Arial" w:hAnsi="Arial"/>
                <w:b/>
              </w:rPr>
            </w:pPr>
            <w:r>
              <w:t>73.133</w:t>
            </w:r>
          </w:p>
        </w:tc>
      </w:tr>
      <w:tr>
        <w:trPr>
          <w:cantSplit/>
        </w:trPr>
        <w:tc>
          <w:tcPr>
            <w:tcW w:w="2173" w:type="dxa"/>
          </w:tcPr>
          <w:p>
            <w:pPr>
              <w:pStyle w:val="yTableNAm"/>
              <w:jc w:val="center"/>
              <w:rPr>
                <w:rFonts w:ascii="Arial" w:hAnsi="Arial"/>
                <w:b/>
              </w:rPr>
            </w:pPr>
            <w:r>
              <w:t>2</w:t>
            </w:r>
          </w:p>
        </w:tc>
        <w:tc>
          <w:tcPr>
            <w:tcW w:w="2173" w:type="dxa"/>
          </w:tcPr>
          <w:p>
            <w:pPr>
              <w:pStyle w:val="yTableNAm"/>
              <w:jc w:val="center"/>
              <w:rPr>
                <w:rFonts w:ascii="Arial" w:hAnsi="Arial"/>
                <w:b/>
              </w:rPr>
            </w:pPr>
            <w:r>
              <w:t>330.51</w:t>
            </w:r>
          </w:p>
        </w:tc>
        <w:tc>
          <w:tcPr>
            <w:tcW w:w="1087" w:type="dxa"/>
          </w:tcPr>
          <w:p>
            <w:pPr>
              <w:pStyle w:val="yTableNAm"/>
              <w:jc w:val="center"/>
              <w:rPr>
                <w:rFonts w:ascii="Arial" w:hAnsi="Arial"/>
                <w:b/>
              </w:rPr>
            </w:pPr>
            <w:r>
              <w:t>72.385</w:t>
            </w:r>
          </w:p>
        </w:tc>
        <w:tc>
          <w:tcPr>
            <w:tcW w:w="1087" w:type="dxa"/>
          </w:tcPr>
          <w:p>
            <w:pPr>
              <w:pStyle w:val="yTableNAm"/>
              <w:jc w:val="center"/>
              <w:rPr>
                <w:rFonts w:ascii="Arial" w:hAnsi="Arial"/>
                <w:b/>
              </w:rPr>
            </w:pPr>
            <w:r>
              <w:t>37.246</w:t>
            </w:r>
          </w:p>
        </w:tc>
      </w:tr>
      <w:tr>
        <w:trPr>
          <w:cantSplit/>
        </w:trPr>
        <w:tc>
          <w:tcPr>
            <w:tcW w:w="2173" w:type="dxa"/>
          </w:tcPr>
          <w:p>
            <w:pPr>
              <w:pStyle w:val="yTableNAm"/>
              <w:jc w:val="center"/>
              <w:rPr>
                <w:rFonts w:ascii="Arial" w:hAnsi="Arial"/>
                <w:b/>
              </w:rPr>
            </w:pPr>
            <w:r>
              <w:t>3</w:t>
            </w:r>
          </w:p>
        </w:tc>
        <w:tc>
          <w:tcPr>
            <w:tcW w:w="2173" w:type="dxa"/>
          </w:tcPr>
          <w:p>
            <w:pPr>
              <w:pStyle w:val="yTableNAm"/>
              <w:jc w:val="center"/>
              <w:rPr>
                <w:rFonts w:ascii="Arial" w:hAnsi="Arial"/>
                <w:b/>
              </w:rPr>
            </w:pPr>
            <w:r>
              <w:t>441.38</w:t>
            </w:r>
          </w:p>
        </w:tc>
        <w:tc>
          <w:tcPr>
            <w:tcW w:w="1087" w:type="dxa"/>
          </w:tcPr>
          <w:p>
            <w:pPr>
              <w:pStyle w:val="yTableNAm"/>
              <w:jc w:val="center"/>
              <w:rPr>
                <w:rFonts w:ascii="Arial" w:hAnsi="Arial"/>
                <w:b/>
              </w:rPr>
            </w:pPr>
            <w:r>
              <w:t>79.321</w:t>
            </w:r>
          </w:p>
        </w:tc>
        <w:tc>
          <w:tcPr>
            <w:tcW w:w="1087" w:type="dxa"/>
          </w:tcPr>
          <w:p>
            <w:pPr>
              <w:pStyle w:val="yTableNAm"/>
              <w:jc w:val="center"/>
              <w:rPr>
                <w:rFonts w:ascii="Arial" w:hAnsi="Arial"/>
                <w:b/>
              </w:rPr>
            </w:pPr>
            <w:r>
              <w:t>53.001</w:t>
            </w:r>
          </w:p>
        </w:tc>
      </w:tr>
      <w:tr>
        <w:trPr>
          <w:cantSplit/>
        </w:trPr>
        <w:tc>
          <w:tcPr>
            <w:tcW w:w="2173" w:type="dxa"/>
            <w:tcBorders>
              <w:bottom w:val="single" w:sz="4" w:space="0" w:color="auto"/>
            </w:tcBorders>
          </w:tcPr>
          <w:p>
            <w:pPr>
              <w:pStyle w:val="yTableNAm"/>
              <w:jc w:val="center"/>
              <w:rPr>
                <w:rFonts w:ascii="Arial" w:hAnsi="Arial"/>
                <w:b/>
              </w:rPr>
            </w:pPr>
            <w:r>
              <w:t>4+</w:t>
            </w:r>
          </w:p>
        </w:tc>
        <w:tc>
          <w:tcPr>
            <w:tcW w:w="2173" w:type="dxa"/>
            <w:tcBorders>
              <w:bottom w:val="single" w:sz="4" w:space="0" w:color="auto"/>
            </w:tcBorders>
          </w:tcPr>
          <w:p>
            <w:pPr>
              <w:pStyle w:val="yTableNAm"/>
              <w:jc w:val="center"/>
              <w:rPr>
                <w:rFonts w:ascii="Arial" w:hAnsi="Arial"/>
                <w:b/>
              </w:rPr>
            </w:pPr>
            <w:r>
              <w:t>479.97</w:t>
            </w:r>
          </w:p>
        </w:tc>
        <w:tc>
          <w:tcPr>
            <w:tcW w:w="1087" w:type="dxa"/>
            <w:tcBorders>
              <w:bottom w:val="single" w:sz="4" w:space="0" w:color="auto"/>
            </w:tcBorders>
          </w:tcPr>
          <w:p>
            <w:pPr>
              <w:pStyle w:val="yTableNAm"/>
              <w:jc w:val="center"/>
              <w:rPr>
                <w:rFonts w:ascii="Arial" w:hAnsi="Arial"/>
                <w:b/>
              </w:rPr>
            </w:pPr>
            <w:r>
              <w:t>80.984</w:t>
            </w:r>
          </w:p>
        </w:tc>
        <w:tc>
          <w:tcPr>
            <w:tcW w:w="1087" w:type="dxa"/>
            <w:tcBorders>
              <w:bottom w:val="single" w:sz="4" w:space="0" w:color="auto"/>
            </w:tcBorders>
          </w:tcPr>
          <w:p>
            <w:pPr>
              <w:pStyle w:val="yTableNAm"/>
              <w:jc w:val="center"/>
              <w:rPr>
                <w:rFonts w:ascii="Arial" w:hAnsi="Arial"/>
                <w:b/>
              </w:rPr>
            </w:pPr>
            <w:r>
              <w:t>56.780</w:t>
            </w:r>
          </w:p>
        </w:tc>
      </w:tr>
    </w:tbl>
    <w:p>
      <w:pPr>
        <w:pStyle w:val="yHeading5"/>
      </w:pPr>
      <w:bookmarkStart w:id="220" w:name="_Toc391906978"/>
      <w:bookmarkStart w:id="221" w:name="_Toc426119839"/>
      <w:r>
        <w:rPr>
          <w:rStyle w:val="CharSClsNo"/>
        </w:rPr>
        <w:t>2</w:t>
      </w:r>
      <w:r>
        <w:t>.</w:t>
      </w:r>
      <w:r>
        <w:tab/>
        <w:t>Connected country exempt</w:t>
      </w:r>
      <w:bookmarkEnd w:id="220"/>
      <w:bookmarkEnd w:id="221"/>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keepNext/>
              <w:keepLines/>
            </w:pPr>
          </w:p>
        </w:tc>
        <w:tc>
          <w:tcPr>
            <w:tcW w:w="4820" w:type="dxa"/>
          </w:tcPr>
          <w:p>
            <w:pPr>
              <w:pStyle w:val="yTableNAm"/>
            </w:pPr>
            <w:r>
              <w:t xml:space="preserve">In respect of land in a </w:t>
            </w:r>
            <w:r>
              <w:rPr>
                <w:szCs w:val="22"/>
              </w:rPr>
              <w:t>non</w:t>
            </w:r>
            <w:r>
              <w:rPr>
                <w:szCs w:val="22"/>
              </w:rPr>
              <w:noBreakHyphen/>
              <w:t>metropolitan area</w:t>
            </w:r>
            <w:r>
              <w:t xml:space="preserve"> that is classified as —</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(a)</w:t>
            </w:r>
            <w:r>
              <w:tab/>
              <w:t>community residential</w:t>
            </w:r>
            <w:r>
              <w:rPr>
                <w:snapToGrid w:val="0"/>
                <w:spacing w:val="-4"/>
              </w:rPr>
              <w:t>; or</w:t>
            </w:r>
          </w:p>
        </w:tc>
        <w:tc>
          <w:tcPr>
            <w:tcW w:w="1559" w:type="dxa"/>
            <w:vAlign w:val="bottom"/>
          </w:tcPr>
          <w:p>
            <w:pPr>
              <w:pStyle w:val="yTableNAm"/>
            </w:pPr>
          </w:p>
        </w:tc>
      </w:tr>
      <w:tr>
        <w:trPr>
          <w:cantSplit/>
        </w:trPr>
        <w:tc>
          <w:tcPr>
            <w:tcW w:w="907" w:type="dxa"/>
          </w:tcPr>
          <w:p>
            <w:pPr>
              <w:pStyle w:val="zyTableNAm"/>
              <w:keepNext/>
            </w:pPr>
          </w:p>
        </w:tc>
        <w:tc>
          <w:tcPr>
            <w:tcW w:w="4820" w:type="dxa"/>
          </w:tcPr>
          <w:p>
            <w:pPr>
              <w:pStyle w:val="yTableNAm"/>
              <w:keepNext/>
              <w:tabs>
                <w:tab w:val="clear" w:pos="567"/>
                <w:tab w:val="left" w:pos="281"/>
                <w:tab w:val="left" w:pos="743"/>
              </w:tabs>
              <w:ind w:left="744" w:hanging="744"/>
              <w:rPr>
                <w:rFonts w:ascii="Arial" w:hAnsi="Arial"/>
                <w:b/>
              </w:rPr>
            </w:pPr>
            <w:r>
              <w:rPr>
                <w:spacing w:val="-1"/>
              </w:rPr>
              <w:tab/>
              <w:t>(b)</w:t>
            </w:r>
            <w:r>
              <w:rPr>
                <w:spacing w:val="-1"/>
              </w:rPr>
              <w:tab/>
              <w:t xml:space="preserve">aged home, </w:t>
            </w:r>
            <w:r>
              <w:t>charitable purposes</w:t>
            </w:r>
            <w:r>
              <w:rPr>
                <w:spacing w:val="-1"/>
              </w:rPr>
              <w:t>, community purposes, institutional public or local government,</w:t>
            </w:r>
          </w:p>
        </w:tc>
        <w:tc>
          <w:tcPr>
            <w:tcW w:w="1559" w:type="dxa"/>
            <w:vAlign w:val="bottom"/>
          </w:tcPr>
          <w:p>
            <w:pPr>
              <w:pStyle w:val="yTableNAm"/>
              <w:keepNext/>
            </w:pPr>
          </w:p>
        </w:tc>
      </w:tr>
      <w:tr>
        <w:trPr>
          <w:cantSplit/>
        </w:trPr>
        <w:tc>
          <w:tcPr>
            <w:tcW w:w="907" w:type="dxa"/>
          </w:tcPr>
          <w:p>
            <w:pPr>
              <w:pStyle w:val="zyTableNAm"/>
            </w:pPr>
          </w:p>
        </w:tc>
        <w:tc>
          <w:tcPr>
            <w:tcW w:w="4820" w:type="dxa"/>
          </w:tcPr>
          <w:p>
            <w:pPr>
              <w:pStyle w:val="yTableNAm"/>
            </w:pPr>
            <w:r>
              <w:rPr>
                <w:szCs w:val="22"/>
              </w:rPr>
              <w:t>a charge determined by meter size minus the discount as set out in the following Table —</w:t>
            </w:r>
          </w:p>
        </w:tc>
        <w:tc>
          <w:tcPr>
            <w:tcW w:w="1559" w:type="dxa"/>
            <w:vAlign w:val="bottom"/>
          </w:tcPr>
          <w:p>
            <w:pPr>
              <w:pStyle w:val="yTableNAm"/>
            </w:pPr>
          </w:p>
        </w:tc>
      </w:tr>
    </w:tbl>
    <w:p>
      <w:pPr>
        <w:pStyle w:val="yTHeadingNAm"/>
        <w:ind w:left="567"/>
      </w:pPr>
      <w:r>
        <w:t>Table — charges (per fixture)</w:t>
      </w:r>
    </w:p>
    <w:tbl>
      <w:tblPr>
        <w:tblW w:w="6520" w:type="dxa"/>
        <w:tblInd w:w="567"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rFonts w:ascii="Arial" w:hAnsi="Arial"/>
                <w:b/>
              </w:rPr>
            </w:pPr>
            <w:r>
              <w:rPr>
                <w:b/>
                <w:bCs/>
              </w:rPr>
              <w:t>No. of fixtures</w:t>
            </w:r>
          </w:p>
        </w:tc>
        <w:tc>
          <w:tcPr>
            <w:tcW w:w="2173" w:type="dxa"/>
            <w:vMerge w:val="restart"/>
            <w:tcBorders>
              <w:top w:val="single" w:sz="4" w:space="0" w:color="auto"/>
            </w:tcBorders>
          </w:tcPr>
          <w:p>
            <w:pPr>
              <w:pStyle w:val="yTableNAm"/>
              <w:jc w:val="cente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zyTableNAm"/>
              <w:keepNext/>
              <w:jc w:val="center"/>
              <w:rPr>
                <w:b/>
                <w:bCs/>
              </w:rPr>
            </w:pPr>
          </w:p>
        </w:tc>
        <w:tc>
          <w:tcPr>
            <w:tcW w:w="2173" w:type="dxa"/>
            <w:vMerge/>
            <w:tcBorders>
              <w:bottom w:val="single" w:sz="4" w:space="0" w:color="auto"/>
            </w:tcBorders>
          </w:tcPr>
          <w:p>
            <w:pPr>
              <w:pStyle w:val="zyTableNAm"/>
              <w:keepNext/>
              <w:jc w:val="center"/>
              <w:rPr>
                <w:b/>
                <w:bCs/>
              </w:rPr>
            </w:pPr>
          </w:p>
        </w:tc>
        <w:tc>
          <w:tcPr>
            <w:tcW w:w="1087" w:type="dxa"/>
            <w:tcBorders>
              <w:top w:val="single" w:sz="4" w:space="0" w:color="auto"/>
              <w:bottom w:val="single" w:sz="4" w:space="0" w:color="auto"/>
            </w:tcBorders>
          </w:tcPr>
          <w:p>
            <w:pPr>
              <w:pStyle w:val="yTableNAm"/>
              <w:jc w:val="center"/>
              <w:rPr>
                <w:rFonts w:ascii="Arial" w:hAnsi="Arial"/>
                <w:b/>
              </w:rPr>
            </w:pPr>
            <w:r>
              <w:rPr>
                <w:b/>
                <w:bCs/>
              </w:rPr>
              <w:t>Item 2(a)</w:t>
            </w:r>
          </w:p>
        </w:tc>
        <w:tc>
          <w:tcPr>
            <w:tcW w:w="1087" w:type="dxa"/>
            <w:tcBorders>
              <w:top w:val="single" w:sz="4" w:space="0" w:color="auto"/>
              <w:bottom w:val="single" w:sz="4" w:space="0" w:color="auto"/>
            </w:tcBorders>
          </w:tcPr>
          <w:p>
            <w:pPr>
              <w:pStyle w:val="yTableNAm"/>
              <w:jc w:val="center"/>
              <w:rPr>
                <w:rFonts w:ascii="Arial" w:hAnsi="Arial"/>
                <w:b/>
              </w:rPr>
            </w:pPr>
            <w:r>
              <w:rPr>
                <w:b/>
                <w:bCs/>
              </w:rPr>
              <w:t>Item 2(b)</w:t>
            </w:r>
          </w:p>
        </w:tc>
      </w:tr>
      <w:tr>
        <w:trPr>
          <w:cantSplit/>
        </w:trPr>
        <w:tc>
          <w:tcPr>
            <w:tcW w:w="2173" w:type="dxa"/>
          </w:tcPr>
          <w:p>
            <w:pPr>
              <w:pStyle w:val="yTableNAm"/>
              <w:jc w:val="center"/>
            </w:pPr>
            <w:r>
              <w:t>1</w:t>
            </w:r>
          </w:p>
        </w:tc>
        <w:tc>
          <w:tcPr>
            <w:tcW w:w="2173" w:type="dxa"/>
          </w:tcPr>
          <w:p>
            <w:pPr>
              <w:pStyle w:val="yTableNAm"/>
              <w:jc w:val="center"/>
              <w:rPr>
                <w:rFonts w:ascii="Arial" w:hAnsi="Arial"/>
                <w:b/>
              </w:rPr>
            </w:pPr>
            <w:r>
              <w:t>772.10</w:t>
            </w:r>
          </w:p>
        </w:tc>
        <w:tc>
          <w:tcPr>
            <w:tcW w:w="1087" w:type="dxa"/>
          </w:tcPr>
          <w:p>
            <w:pPr>
              <w:pStyle w:val="yTableNAm"/>
              <w:jc w:val="center"/>
              <w:rPr>
                <w:rFonts w:ascii="Arial" w:hAnsi="Arial"/>
                <w:b/>
              </w:rPr>
            </w:pPr>
            <w:r>
              <w:t>88.179</w:t>
            </w:r>
          </w:p>
        </w:tc>
        <w:tc>
          <w:tcPr>
            <w:tcW w:w="1087" w:type="dxa"/>
          </w:tcPr>
          <w:p>
            <w:pPr>
              <w:pStyle w:val="yTableNAm"/>
              <w:jc w:val="center"/>
              <w:rPr>
                <w:rFonts w:ascii="Arial" w:hAnsi="Arial"/>
                <w:b/>
              </w:rPr>
            </w:pPr>
            <w:r>
              <w:t>73.133</w:t>
            </w:r>
          </w:p>
        </w:tc>
      </w:tr>
      <w:tr>
        <w:trPr>
          <w:cantSplit/>
        </w:trPr>
        <w:tc>
          <w:tcPr>
            <w:tcW w:w="2173" w:type="dxa"/>
          </w:tcPr>
          <w:p>
            <w:pPr>
              <w:pStyle w:val="yTableNAm"/>
              <w:jc w:val="center"/>
              <w:rPr>
                <w:rFonts w:ascii="Arial" w:hAnsi="Arial"/>
                <w:b/>
              </w:rPr>
            </w:pPr>
            <w:r>
              <w:t>2</w:t>
            </w:r>
          </w:p>
        </w:tc>
        <w:tc>
          <w:tcPr>
            <w:tcW w:w="2173" w:type="dxa"/>
          </w:tcPr>
          <w:p>
            <w:pPr>
              <w:pStyle w:val="yTableNAm"/>
              <w:jc w:val="center"/>
              <w:rPr>
                <w:rFonts w:ascii="Arial" w:hAnsi="Arial"/>
                <w:b/>
              </w:rPr>
            </w:pPr>
            <w:r>
              <w:t>330.51</w:t>
            </w:r>
          </w:p>
        </w:tc>
        <w:tc>
          <w:tcPr>
            <w:tcW w:w="1087" w:type="dxa"/>
          </w:tcPr>
          <w:p>
            <w:pPr>
              <w:pStyle w:val="yTableNAm"/>
              <w:jc w:val="center"/>
              <w:rPr>
                <w:rFonts w:ascii="Arial" w:hAnsi="Arial"/>
                <w:b/>
              </w:rPr>
            </w:pPr>
            <w:r>
              <w:t>72.385</w:t>
            </w:r>
          </w:p>
        </w:tc>
        <w:tc>
          <w:tcPr>
            <w:tcW w:w="1087" w:type="dxa"/>
          </w:tcPr>
          <w:p>
            <w:pPr>
              <w:pStyle w:val="yTableNAm"/>
              <w:jc w:val="center"/>
              <w:rPr>
                <w:rFonts w:ascii="Arial" w:hAnsi="Arial"/>
                <w:b/>
              </w:rPr>
            </w:pPr>
            <w:r>
              <w:t>72.385</w:t>
            </w:r>
          </w:p>
        </w:tc>
      </w:tr>
      <w:tr>
        <w:trPr>
          <w:cantSplit/>
        </w:trPr>
        <w:tc>
          <w:tcPr>
            <w:tcW w:w="2173" w:type="dxa"/>
          </w:tcPr>
          <w:p>
            <w:pPr>
              <w:pStyle w:val="yTableNAm"/>
              <w:jc w:val="center"/>
              <w:rPr>
                <w:rFonts w:ascii="Arial" w:hAnsi="Arial"/>
                <w:b/>
              </w:rPr>
            </w:pPr>
            <w:r>
              <w:t>3</w:t>
            </w:r>
          </w:p>
        </w:tc>
        <w:tc>
          <w:tcPr>
            <w:tcW w:w="2173" w:type="dxa"/>
          </w:tcPr>
          <w:p>
            <w:pPr>
              <w:pStyle w:val="yTableNAm"/>
              <w:jc w:val="center"/>
              <w:rPr>
                <w:rFonts w:ascii="Arial" w:hAnsi="Arial"/>
                <w:b/>
              </w:rPr>
            </w:pPr>
            <w:r>
              <w:t>441.38</w:t>
            </w:r>
          </w:p>
        </w:tc>
        <w:tc>
          <w:tcPr>
            <w:tcW w:w="1087" w:type="dxa"/>
          </w:tcPr>
          <w:p>
            <w:pPr>
              <w:pStyle w:val="yTableNAm"/>
              <w:jc w:val="center"/>
              <w:rPr>
                <w:rFonts w:ascii="Arial" w:hAnsi="Arial"/>
                <w:b/>
              </w:rPr>
            </w:pPr>
            <w:r>
              <w:t>79.321</w:t>
            </w:r>
          </w:p>
        </w:tc>
        <w:tc>
          <w:tcPr>
            <w:tcW w:w="1087" w:type="dxa"/>
          </w:tcPr>
          <w:p>
            <w:pPr>
              <w:pStyle w:val="yTableNAm"/>
              <w:jc w:val="center"/>
              <w:rPr>
                <w:rFonts w:ascii="Arial" w:hAnsi="Arial"/>
                <w:b/>
              </w:rPr>
            </w:pPr>
            <w:r>
              <w:t>79.321</w:t>
            </w:r>
          </w:p>
        </w:tc>
      </w:tr>
      <w:tr>
        <w:trPr>
          <w:cantSplit/>
        </w:trPr>
        <w:tc>
          <w:tcPr>
            <w:tcW w:w="2173" w:type="dxa"/>
            <w:tcBorders>
              <w:bottom w:val="single" w:sz="4" w:space="0" w:color="auto"/>
            </w:tcBorders>
          </w:tcPr>
          <w:p>
            <w:pPr>
              <w:pStyle w:val="yTableNAm"/>
              <w:jc w:val="center"/>
              <w:rPr>
                <w:rFonts w:ascii="Arial" w:hAnsi="Arial"/>
                <w:b/>
              </w:rPr>
            </w:pPr>
            <w:r>
              <w:t>4+</w:t>
            </w:r>
          </w:p>
        </w:tc>
        <w:tc>
          <w:tcPr>
            <w:tcW w:w="2173" w:type="dxa"/>
            <w:tcBorders>
              <w:bottom w:val="single" w:sz="4" w:space="0" w:color="auto"/>
            </w:tcBorders>
          </w:tcPr>
          <w:p>
            <w:pPr>
              <w:pStyle w:val="yTableNAm"/>
              <w:jc w:val="center"/>
              <w:rPr>
                <w:rFonts w:ascii="Arial" w:hAnsi="Arial"/>
                <w:b/>
              </w:rPr>
            </w:pPr>
            <w:r>
              <w:t>479.97</w:t>
            </w:r>
          </w:p>
        </w:tc>
        <w:tc>
          <w:tcPr>
            <w:tcW w:w="1087" w:type="dxa"/>
            <w:tcBorders>
              <w:bottom w:val="single" w:sz="4" w:space="0" w:color="auto"/>
            </w:tcBorders>
          </w:tcPr>
          <w:p>
            <w:pPr>
              <w:pStyle w:val="yTableNAm"/>
              <w:jc w:val="center"/>
              <w:rPr>
                <w:rFonts w:ascii="Arial" w:hAnsi="Arial"/>
                <w:b/>
              </w:rPr>
            </w:pPr>
            <w:r>
              <w:t>80.984</w:t>
            </w:r>
          </w:p>
        </w:tc>
        <w:tc>
          <w:tcPr>
            <w:tcW w:w="1087" w:type="dxa"/>
            <w:tcBorders>
              <w:bottom w:val="single" w:sz="4" w:space="0" w:color="auto"/>
            </w:tcBorders>
          </w:tcPr>
          <w:p>
            <w:pPr>
              <w:pStyle w:val="yTableNAm"/>
              <w:jc w:val="center"/>
              <w:rPr>
                <w:rFonts w:ascii="Arial" w:hAnsi="Arial"/>
                <w:b/>
              </w:rPr>
            </w:pPr>
            <w:r>
              <w:t>80.984</w:t>
            </w:r>
          </w:p>
        </w:tc>
      </w:tr>
    </w:tbl>
    <w:p>
      <w:pPr>
        <w:pStyle w:val="yHeading5"/>
      </w:pPr>
      <w:bookmarkStart w:id="222" w:name="_Toc391906979"/>
      <w:bookmarkStart w:id="223" w:name="_Toc426119840"/>
      <w:r>
        <w:rPr>
          <w:rStyle w:val="CharSClsNo"/>
        </w:rPr>
        <w:t>3</w:t>
      </w:r>
      <w:r>
        <w:t>.</w:t>
      </w:r>
      <w:r>
        <w:tab/>
        <w:t>Strata</w:t>
      </w:r>
      <w:r>
        <w:noBreakHyphen/>
        <w:t>titled caravan bay</w:t>
      </w:r>
      <w:bookmarkEnd w:id="222"/>
      <w:bookmarkEnd w:id="223"/>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keepNext/>
              <w:keepLines/>
            </w:pPr>
          </w:p>
        </w:tc>
        <w:tc>
          <w:tcPr>
            <w:tcW w:w="4820" w:type="dxa"/>
          </w:tcPr>
          <w:p>
            <w:pPr>
              <w:pStyle w:val="yTableNAm"/>
              <w:tabs>
                <w:tab w:val="clear" w:pos="567"/>
                <w:tab w:val="right" w:leader="dot" w:pos="4604"/>
              </w:tabs>
              <w:rPr>
                <w:rFonts w:ascii="Arial" w:hAnsi="Arial"/>
                <w:b/>
              </w:rPr>
            </w:pPr>
            <w:r>
              <w:rPr>
                <w:spacing w:val="-1"/>
              </w:rPr>
              <w:t xml:space="preserve">In </w:t>
            </w:r>
            <w:r>
              <w:t>respect</w:t>
            </w:r>
            <w:r>
              <w:rPr>
                <w:spacing w:val="-1"/>
              </w:rPr>
              <w:t xml:space="preserve"> of each residential property being a single caravan bay that is a lot within the meaning of the </w:t>
            </w:r>
            <w:r>
              <w:rPr>
                <w:i/>
              </w:rPr>
              <w:t>Strata Titles Act 1985</w:t>
            </w:r>
            <w:r>
              <w:rPr>
                <w:spacing w:val="-1"/>
              </w:rPr>
              <w:t xml:space="preserve"> </w:t>
            </w:r>
            <w:r>
              <w:rPr>
                <w:spacing w:val="-1"/>
              </w:rPr>
              <w:tab/>
            </w:r>
          </w:p>
        </w:tc>
        <w:tc>
          <w:tcPr>
            <w:tcW w:w="1559" w:type="dxa"/>
            <w:vAlign w:val="bottom"/>
          </w:tcPr>
          <w:p>
            <w:pPr>
              <w:pStyle w:val="yTableNAm"/>
            </w:pPr>
            <w:r>
              <w:rPr>
                <w:spacing w:val="-1"/>
              </w:rPr>
              <w:t>$254.93</w:t>
            </w:r>
          </w:p>
        </w:tc>
      </w:tr>
    </w:tbl>
    <w:p>
      <w:pPr>
        <w:pStyle w:val="yHeading5"/>
      </w:pPr>
      <w:bookmarkStart w:id="224" w:name="_Toc391906980"/>
      <w:bookmarkStart w:id="225" w:name="_Toc426119841"/>
      <w:r>
        <w:rPr>
          <w:rStyle w:val="CharSClsNo"/>
        </w:rPr>
        <w:t>4</w:t>
      </w:r>
      <w:r>
        <w:t>.</w:t>
      </w:r>
      <w:r>
        <w:tab/>
        <w:t>Strata</w:t>
      </w:r>
      <w:r>
        <w:noBreakHyphen/>
        <w:t>titled storage unit and strata</w:t>
      </w:r>
      <w:r>
        <w:noBreakHyphen/>
        <w:t>titled parking bay</w:t>
      </w:r>
      <w:bookmarkEnd w:id="224"/>
      <w:bookmarkEnd w:id="225"/>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pPr>
          </w:p>
        </w:tc>
        <w:tc>
          <w:tcPr>
            <w:tcW w:w="4820" w:type="dxa"/>
          </w:tcPr>
          <w:p>
            <w:pPr>
              <w:pStyle w:val="yTableNAm"/>
              <w:tabs>
                <w:tab w:val="clear" w:pos="567"/>
                <w:tab w:val="right" w:leader="dot" w:pos="4604"/>
              </w:tabs>
              <w:rPr>
                <w:rFonts w:ascii="Arial" w:hAnsi="Arial"/>
                <w:b/>
              </w:rPr>
            </w:pPr>
            <w:r>
              <w:rPr>
                <w:spacing w:val="-1"/>
              </w:rPr>
              <w:t xml:space="preserve">In respect of land comprised in a unit used for storage purposes or as a parking bay that is a lot within the meaning of the </w:t>
            </w:r>
            <w:r>
              <w:rPr>
                <w:i/>
              </w:rPr>
              <w:t>Strata Titles Act 1985</w:t>
            </w:r>
            <w:r>
              <w:rPr>
                <w:spacing w:val="-1"/>
              </w:rPr>
              <w:t xml:space="preserve"> </w:t>
            </w:r>
            <w:r>
              <w:rPr>
                <w:spacing w:val="-1"/>
              </w:rPr>
              <w:tab/>
            </w:r>
          </w:p>
        </w:tc>
        <w:tc>
          <w:tcPr>
            <w:tcW w:w="1559" w:type="dxa"/>
            <w:vAlign w:val="bottom"/>
          </w:tcPr>
          <w:p>
            <w:pPr>
              <w:pStyle w:val="yTableNAm"/>
            </w:pPr>
            <w:r>
              <w:rPr>
                <w:spacing w:val="-1"/>
              </w:rPr>
              <w:t>$76.53</w:t>
            </w:r>
          </w:p>
        </w:tc>
      </w:tr>
    </w:tbl>
    <w:p>
      <w:pPr>
        <w:pStyle w:val="yHeading5"/>
      </w:pPr>
      <w:bookmarkStart w:id="226" w:name="_Toc391906981"/>
      <w:bookmarkStart w:id="227" w:name="_Toc426119842"/>
      <w:r>
        <w:rPr>
          <w:rStyle w:val="CharSClsNo"/>
        </w:rPr>
        <w:t>5</w:t>
      </w:r>
      <w:r>
        <w:t>.</w:t>
      </w:r>
      <w:r>
        <w:tab/>
        <w:t>Non</w:t>
      </w:r>
      <w:r>
        <w:noBreakHyphen/>
        <w:t>residential strata</w:t>
      </w:r>
      <w:r>
        <w:noBreakHyphen/>
        <w:t>titled unit (except a storage unit or parking bay)</w:t>
      </w:r>
      <w:bookmarkEnd w:id="226"/>
      <w:bookmarkEnd w:id="227"/>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pPr>
          </w:p>
        </w:tc>
        <w:tc>
          <w:tcPr>
            <w:tcW w:w="4820" w:type="dxa"/>
          </w:tcPr>
          <w:p>
            <w:pPr>
              <w:pStyle w:val="yTableNAm"/>
            </w:pPr>
            <w:r>
              <w:t>In respect of land that —</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(a)</w:t>
            </w:r>
            <w:r>
              <w:tab/>
              <w:t>is classified non</w:t>
            </w:r>
            <w:r>
              <w:noBreakHyphen/>
              <w:t>residential; and</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(b)</w:t>
            </w:r>
            <w:r>
              <w:tab/>
              <w:t xml:space="preserve">comprises a unit that is a lot within the meaning of the </w:t>
            </w:r>
            <w:r>
              <w:rPr>
                <w:i/>
              </w:rPr>
              <w:t>Strata Titles Act 1985</w:t>
            </w:r>
            <w:r>
              <w:t>; and</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(c)</w:t>
            </w:r>
            <w:r>
              <w:tab/>
              <w:t>shares a major fixture with another unit described in paragraph (b) and has no other major fixtures that discharge into the sewer; and</w:t>
            </w:r>
          </w:p>
        </w:tc>
        <w:tc>
          <w:tcPr>
            <w:tcW w:w="1559" w:type="dxa"/>
            <w:vAlign w:val="bottom"/>
          </w:tcPr>
          <w:p>
            <w:pPr>
              <w:pStyle w:val="yTableNAm"/>
            </w:pPr>
          </w:p>
        </w:tc>
      </w:tr>
      <w:tr>
        <w:trPr>
          <w:cantSplit/>
        </w:trPr>
        <w:tc>
          <w:tcPr>
            <w:tcW w:w="907" w:type="dxa"/>
          </w:tcPr>
          <w:p>
            <w:pPr>
              <w:pStyle w:val="zyTableNAm"/>
              <w:keepNext/>
            </w:pPr>
          </w:p>
        </w:tc>
        <w:tc>
          <w:tcPr>
            <w:tcW w:w="4820" w:type="dxa"/>
          </w:tcPr>
          <w:p>
            <w:pPr>
              <w:pStyle w:val="yTableNAm"/>
              <w:keepNext/>
              <w:tabs>
                <w:tab w:val="clear" w:pos="567"/>
                <w:tab w:val="left" w:pos="281"/>
                <w:tab w:val="left" w:pos="743"/>
              </w:tabs>
              <w:ind w:left="744" w:hanging="744"/>
              <w:rPr>
                <w:rFonts w:ascii="Arial" w:hAnsi="Arial"/>
                <w:b/>
              </w:rPr>
            </w:pPr>
            <w:r>
              <w:tab/>
              <w:t>(d)</w:t>
            </w:r>
            <w:r>
              <w:tab/>
              <w:t>is not land mentioned in item 4,</w:t>
            </w:r>
          </w:p>
        </w:tc>
        <w:tc>
          <w:tcPr>
            <w:tcW w:w="1559" w:type="dxa"/>
            <w:vAlign w:val="bottom"/>
          </w:tcPr>
          <w:p>
            <w:pPr>
              <w:pStyle w:val="yTableNAm"/>
              <w:keepNext/>
            </w:pPr>
          </w:p>
        </w:tc>
      </w:tr>
      <w:tr>
        <w:trPr>
          <w:cantSplit/>
        </w:trPr>
        <w:tc>
          <w:tcPr>
            <w:tcW w:w="907" w:type="dxa"/>
          </w:tcPr>
          <w:p>
            <w:pPr>
              <w:pStyle w:val="zyTableNAm"/>
            </w:pPr>
          </w:p>
        </w:tc>
        <w:tc>
          <w:tcPr>
            <w:tcW w:w="4820" w:type="dxa"/>
          </w:tcPr>
          <w:p>
            <w:pPr>
              <w:pStyle w:val="yTableNAm"/>
              <w:tabs>
                <w:tab w:val="clear" w:pos="567"/>
                <w:tab w:val="right" w:leader="dot" w:pos="4604"/>
              </w:tabs>
              <w:rPr>
                <w:rFonts w:ascii="Arial" w:hAnsi="Arial"/>
                <w:b/>
              </w:rPr>
            </w:pPr>
            <w:r>
              <w:rPr>
                <w:spacing w:val="-1"/>
              </w:rPr>
              <w:t>and where</w:t>
            </w:r>
            <w:r>
              <w:t xml:space="preserve"> </w:t>
            </w:r>
            <w:r>
              <w:rPr>
                <w:spacing w:val="-1"/>
              </w:rPr>
              <w:t xml:space="preserve">the total number of major fixtures shared by all the units on the relevant strata plan is less than the number of those units </w:t>
            </w:r>
            <w:r>
              <w:rPr>
                <w:spacing w:val="-1"/>
              </w:rPr>
              <w:tab/>
            </w:r>
          </w:p>
        </w:tc>
        <w:tc>
          <w:tcPr>
            <w:tcW w:w="1559" w:type="dxa"/>
            <w:vAlign w:val="bottom"/>
          </w:tcPr>
          <w:p>
            <w:pPr>
              <w:pStyle w:val="yTableNAm"/>
            </w:pPr>
            <w:r>
              <w:rPr>
                <w:spacing w:val="-1"/>
              </w:rPr>
              <w:t>$479.97</w:t>
            </w:r>
          </w:p>
        </w:tc>
      </w:tr>
    </w:tbl>
    <w:p>
      <w:pPr>
        <w:pStyle w:val="yHeading5"/>
      </w:pPr>
      <w:bookmarkStart w:id="228" w:name="_Toc391906982"/>
      <w:bookmarkStart w:id="229" w:name="_Toc426119843"/>
      <w:r>
        <w:rPr>
          <w:rStyle w:val="CharSClsNo"/>
        </w:rPr>
        <w:t>6</w:t>
      </w:r>
      <w:r>
        <w:t>.</w:t>
      </w:r>
      <w:r>
        <w:tab/>
        <w:t>Land from which trade waste is discharged into a sewer of the Corporation</w:t>
      </w:r>
      <w:bookmarkEnd w:id="228"/>
      <w:bookmarkEnd w:id="229"/>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pPr>
          </w:p>
        </w:tc>
        <w:tc>
          <w:tcPr>
            <w:tcW w:w="4820" w:type="dxa"/>
          </w:tcPr>
          <w:p>
            <w:pPr>
              <w:pStyle w:val="yTableNAm"/>
              <w:tabs>
                <w:tab w:val="clear" w:pos="567"/>
                <w:tab w:val="right" w:leader="dot" w:pos="4604"/>
              </w:tabs>
              <w:rPr>
                <w:rFonts w:ascii="Arial" w:hAnsi="Arial"/>
                <w:b/>
              </w:rPr>
            </w:pPr>
            <w:r>
              <w:t xml:space="preserve">In respect of the discharge of trade waste under an approval of the Corporation, for the period for which the approval has effect (which cannot be of less than 12 months), an amount of </w:t>
            </w:r>
            <w:r>
              <w:tab/>
            </w:r>
          </w:p>
        </w:tc>
        <w:tc>
          <w:tcPr>
            <w:tcW w:w="1559" w:type="dxa"/>
            <w:vAlign w:val="bottom"/>
          </w:tcPr>
          <w:p>
            <w:pPr>
              <w:pStyle w:val="yTableNAm"/>
            </w:pPr>
            <w:r>
              <w:t>$217.35</w:t>
            </w:r>
          </w:p>
        </w:tc>
      </w:tr>
    </w:tbl>
    <w:p>
      <w:pPr>
        <w:pStyle w:val="yHeading5"/>
      </w:pPr>
      <w:bookmarkStart w:id="230" w:name="_Toc391906983"/>
      <w:bookmarkStart w:id="231" w:name="_Toc426119844"/>
      <w:r>
        <w:rPr>
          <w:rStyle w:val="CharSClsNo"/>
        </w:rPr>
        <w:t>7</w:t>
      </w:r>
      <w:r>
        <w:t>.</w:t>
      </w:r>
      <w:r>
        <w:tab/>
        <w:t>Land from which trade waste is discharged into a sewer of the Corporation through grease arrestor</w:t>
      </w:r>
      <w:bookmarkEnd w:id="230"/>
      <w:bookmarkEnd w:id="231"/>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rPr>
                <w:rStyle w:val="CharSClsNo"/>
              </w:rPr>
            </w:pPr>
          </w:p>
        </w:tc>
        <w:tc>
          <w:tcPr>
            <w:tcW w:w="4820" w:type="dxa"/>
          </w:tcPr>
          <w:p>
            <w:pPr>
              <w:pStyle w:val="yTableNAm"/>
            </w:pPr>
            <w:r>
              <w:t>In respect of the discharge of trade waste through one or more grease arrestors under an approval of the Corporation, for the period for which the approval has effect (which cannot be of less than 12 months), in addition to any other charge applicable to the land under this Schedule —</w:t>
            </w:r>
          </w:p>
        </w:tc>
        <w:tc>
          <w:tcPr>
            <w:tcW w:w="1559" w:type="dxa"/>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(a)</w:t>
            </w:r>
            <w:r>
              <w:tab/>
              <w:t xml:space="preserve">in respect of each grease arrestor, not being a grease arrestor that is shared with other land the subject of an approval of the Corporation, an amount of </w:t>
            </w:r>
            <w:r>
              <w:tab/>
            </w:r>
          </w:p>
        </w:tc>
        <w:tc>
          <w:tcPr>
            <w:tcW w:w="1559" w:type="dxa"/>
            <w:vAlign w:val="bottom"/>
          </w:tcPr>
          <w:p>
            <w:pPr>
              <w:pStyle w:val="yTableNAm"/>
            </w:pPr>
            <w:r>
              <w:t>$95.50</w:t>
            </w: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(b)</w:t>
            </w:r>
            <w:r>
              <w:tab/>
              <w:t xml:space="preserve">in respect of each grease arrestor that is shared with other land the subject of an approval of the Corporation, an amount of </w:t>
            </w:r>
            <w:r>
              <w:tab/>
            </w:r>
          </w:p>
        </w:tc>
        <w:tc>
          <w:tcPr>
            <w:tcW w:w="1559" w:type="dxa"/>
            <w:vAlign w:val="bottom"/>
          </w:tcPr>
          <w:p>
            <w:pPr>
              <w:pStyle w:val="yTableNAm"/>
            </w:pPr>
            <w:r>
              <w:t>$52.15</w:t>
            </w:r>
          </w:p>
        </w:tc>
      </w:tr>
    </w:tbl>
    <w:p>
      <w:pPr>
        <w:pStyle w:val="yFootnotesection"/>
      </w:pPr>
      <w:r>
        <w:tab/>
        <w:t>[Division 1 inserted in Gazette 19 Jun 2013 p. 2371-3; amended in Gazette 14 Nov 2013 p. 5092-3 and 5095.]</w:t>
      </w:r>
    </w:p>
    <w:p>
      <w:pPr>
        <w:pStyle w:val="yHeading3"/>
      </w:pPr>
      <w:bookmarkStart w:id="232" w:name="_Toc390772117"/>
      <w:bookmarkStart w:id="233" w:name="_Toc391906984"/>
      <w:bookmarkStart w:id="234" w:name="_Toc426119845"/>
      <w:r>
        <w:rPr>
          <w:rStyle w:val="CharSDivNo"/>
        </w:rPr>
        <w:t>Division 2</w:t>
      </w:r>
      <w:r>
        <w:t> — </w:t>
      </w:r>
      <w:r>
        <w:rPr>
          <w:rStyle w:val="CharSDivText"/>
        </w:rPr>
        <w:t>Variable charges and charges by way of a rate</w:t>
      </w:r>
      <w:bookmarkEnd w:id="232"/>
      <w:bookmarkEnd w:id="233"/>
      <w:bookmarkEnd w:id="234"/>
    </w:p>
    <w:p>
      <w:pPr>
        <w:pStyle w:val="yFootnoteheading"/>
        <w:keepNext/>
        <w:spacing w:after="120"/>
      </w:pPr>
      <w:r>
        <w:tab/>
        <w:t>[Heading inserted in Gazette 19 Jun 2013 p. 2374.]</w:t>
      </w:r>
    </w:p>
    <w:p>
      <w:pPr>
        <w:pStyle w:val="yHeading5"/>
      </w:pPr>
      <w:bookmarkStart w:id="235" w:name="_Toc391906985"/>
      <w:bookmarkStart w:id="236" w:name="_Toc426119846"/>
      <w:r>
        <w:rPr>
          <w:rStyle w:val="CharSClsNo"/>
        </w:rPr>
        <w:t>8</w:t>
      </w:r>
      <w:r>
        <w:t>.</w:t>
      </w:r>
      <w:r>
        <w:tab/>
        <w:t>Metropolitan residential</w:t>
      </w:r>
      <w:bookmarkEnd w:id="235"/>
      <w:bookmarkEnd w:id="236"/>
    </w:p>
    <w:tbl>
      <w:tblPr>
        <w:tblW w:w="0" w:type="auto"/>
        <w:tblInd w:w="-34" w:type="dxa"/>
        <w:tblLook w:val="0000" w:firstRow="0" w:lastRow="0" w:firstColumn="0" w:lastColumn="0" w:noHBand="0" w:noVBand="0"/>
      </w:tblPr>
      <w:tblGrid>
        <w:gridCol w:w="907"/>
        <w:gridCol w:w="4820"/>
        <w:gridCol w:w="1559"/>
      </w:tblGrid>
      <w:tr>
        <w:trPr>
          <w:cantSplit/>
        </w:trPr>
        <w:tc>
          <w:tcPr>
            <w:tcW w:w="907" w:type="dxa"/>
          </w:tcPr>
          <w:p>
            <w:pPr>
              <w:pStyle w:val="zyTableNAm"/>
              <w:keepNext/>
              <w:keepLines/>
              <w:rPr>
                <w:rStyle w:val="CharSClsNo"/>
              </w:rPr>
            </w:pPr>
          </w:p>
        </w:tc>
        <w:tc>
          <w:tcPr>
            <w:tcW w:w="4820" w:type="dxa"/>
          </w:tcPr>
          <w:p>
            <w:pPr>
              <w:pStyle w:val="yTableNAm"/>
            </w:pPr>
            <w:r>
              <w:t>In respect of each residential property in the metropolitan area not being —</w:t>
            </w:r>
          </w:p>
        </w:tc>
        <w:tc>
          <w:tcPr>
            <w:tcW w:w="1559" w:type="dxa"/>
            <w:vAlign w:val="bottom"/>
          </w:tcPr>
          <w:p>
            <w:pPr>
              <w:pStyle w:val="yTableNAm"/>
            </w:pPr>
          </w:p>
        </w:tc>
      </w:tr>
      <w:tr>
        <w:trPr>
          <w:cantSplit/>
        </w:trPr>
        <w:tc>
          <w:tcPr>
            <w:tcW w:w="907" w:type="dxa"/>
          </w:tcPr>
          <w:p>
            <w:pPr>
              <w:pStyle w:val="zyTableNAm"/>
              <w:keepNext/>
              <w:keepLines/>
              <w:rPr>
                <w:rStyle w:val="CharSClsNo"/>
              </w:rPr>
            </w:pPr>
          </w:p>
        </w:tc>
        <w:tc>
          <w:tcPr>
            <w:tcW w:w="4820" w:type="dxa"/>
          </w:tcPr>
          <w:p>
            <w:pPr>
              <w:pStyle w:val="yTableNAm"/>
              <w:tabs>
                <w:tab w:val="clear" w:pos="567"/>
                <w:tab w:val="left" w:pos="281"/>
                <w:tab w:val="left" w:pos="743"/>
              </w:tabs>
              <w:ind w:left="744" w:hanging="744"/>
              <w:rPr>
                <w:rFonts w:ascii="Arial" w:hAnsi="Arial"/>
                <w:b/>
              </w:rPr>
            </w:pPr>
            <w:r>
              <w:tab/>
              <w:t>(a)</w:t>
            </w:r>
            <w:r>
              <w:tab/>
              <w:t>subject to a charge under item 1 or 3; or</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(b)</w:t>
            </w:r>
            <w:r>
              <w:tab/>
              <w:t>a caravan park or a nursing home,</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pPr>
            <w:r>
              <w:t>an amount for each dollar of the GRV —</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right" w:leader="dot" w:pos="4604"/>
              </w:tabs>
              <w:ind w:left="578" w:hanging="578"/>
              <w:rPr>
                <w:rFonts w:ascii="Arial" w:hAnsi="Arial"/>
                <w:b/>
              </w:rPr>
            </w:pPr>
            <w:r>
              <w:tab/>
              <w:t>up</w:t>
            </w:r>
            <w:r>
              <w:rPr>
                <w:spacing w:val="-1"/>
              </w:rPr>
              <w:t xml:space="preserve"> to $16 700 </w:t>
            </w:r>
            <w:r>
              <w:rPr>
                <w:spacing w:val="-1"/>
              </w:rPr>
              <w:tab/>
            </w:r>
          </w:p>
        </w:tc>
        <w:tc>
          <w:tcPr>
            <w:tcW w:w="1559" w:type="dxa"/>
            <w:vAlign w:val="bottom"/>
          </w:tcPr>
          <w:p>
            <w:pPr>
              <w:pStyle w:val="yTableNAm"/>
            </w:pPr>
            <w:r>
              <w:t>4.470 cents</w:t>
            </w:r>
            <w:r>
              <w:rPr>
                <w:spacing w:val="-1"/>
              </w:rPr>
              <w:t>/</w:t>
            </w:r>
            <w:r>
              <w:rPr>
                <w:spacing w:val="-1"/>
              </w:rPr>
              <w:br/>
              <w:t>$ of GRV</w:t>
            </w:r>
          </w:p>
        </w:tc>
      </w:tr>
      <w:tr>
        <w:trPr>
          <w:cantSplit/>
        </w:trPr>
        <w:tc>
          <w:tcPr>
            <w:tcW w:w="907" w:type="dxa"/>
          </w:tcPr>
          <w:p>
            <w:pPr>
              <w:pStyle w:val="zyTableNAm"/>
              <w:rPr>
                <w:rStyle w:val="CharSClsNo"/>
              </w:rPr>
            </w:pPr>
          </w:p>
        </w:tc>
        <w:tc>
          <w:tcPr>
            <w:tcW w:w="4820" w:type="dxa"/>
          </w:tcPr>
          <w:p>
            <w:pPr>
              <w:pStyle w:val="yTableNAm"/>
              <w:tabs>
                <w:tab w:val="right" w:leader="dot" w:pos="4604"/>
              </w:tabs>
              <w:ind w:left="578" w:hanging="578"/>
              <w:rPr>
                <w:rFonts w:ascii="Arial" w:hAnsi="Arial"/>
                <w:b/>
              </w:rPr>
            </w:pPr>
            <w:r>
              <w:tab/>
              <w:t>over</w:t>
            </w:r>
            <w:r>
              <w:rPr>
                <w:spacing w:val="-1"/>
              </w:rPr>
              <w:t xml:space="preserve"> $</w:t>
            </w:r>
            <w:r>
              <w:t>16</w:t>
            </w:r>
            <w:r>
              <w:rPr>
                <w:spacing w:val="-1"/>
              </w:rPr>
              <w:t> </w:t>
            </w:r>
            <w:r>
              <w:t>700</w:t>
            </w:r>
            <w:r>
              <w:rPr>
                <w:spacing w:val="-1"/>
              </w:rPr>
              <w:t xml:space="preserve"> </w:t>
            </w:r>
            <w:r>
              <w:rPr>
                <w:spacing w:val="-1"/>
              </w:rPr>
              <w:tab/>
            </w:r>
          </w:p>
        </w:tc>
        <w:tc>
          <w:tcPr>
            <w:tcW w:w="1559" w:type="dxa"/>
            <w:vAlign w:val="bottom"/>
          </w:tcPr>
          <w:p>
            <w:pPr>
              <w:pStyle w:val="yTableNAm"/>
            </w:pPr>
            <w:r>
              <w:rPr>
                <w:spacing w:val="-1"/>
              </w:rPr>
              <w:t>0.830 cents/</w:t>
            </w:r>
            <w:r>
              <w:rPr>
                <w:spacing w:val="-1"/>
              </w:rPr>
              <w:br/>
              <w:t>$ of GRV</w:t>
            </w:r>
          </w:p>
        </w:tc>
      </w:tr>
      <w:tr>
        <w:trPr>
          <w:cantSplit/>
        </w:trPr>
        <w:tc>
          <w:tcPr>
            <w:tcW w:w="907" w:type="dxa"/>
          </w:tcPr>
          <w:p>
            <w:pPr>
              <w:pStyle w:val="zyTableNAm"/>
              <w:rPr>
                <w:rStyle w:val="CharSClsNo"/>
              </w:rPr>
            </w:pPr>
          </w:p>
        </w:tc>
        <w:tc>
          <w:tcPr>
            <w:tcW w:w="4820" w:type="dxa"/>
          </w:tcPr>
          <w:p>
            <w:pPr>
              <w:pStyle w:val="yTableNAm"/>
              <w:tabs>
                <w:tab w:val="clear" w:pos="567"/>
                <w:tab w:val="right" w:leader="dot" w:pos="4604"/>
              </w:tabs>
              <w:rPr>
                <w:rFonts w:ascii="Arial" w:hAnsi="Arial"/>
                <w:b/>
              </w:rPr>
            </w:pPr>
            <w:r>
              <w:rPr>
                <w:spacing w:val="-1"/>
              </w:rPr>
              <w:t xml:space="preserve">Subject to a </w:t>
            </w:r>
            <w:r>
              <w:t>minimum</w:t>
            </w:r>
            <w:r>
              <w:rPr>
                <w:spacing w:val="-1"/>
              </w:rPr>
              <w:t xml:space="preserve"> of </w:t>
            </w:r>
            <w:r>
              <w:rPr>
                <w:spacing w:val="-1"/>
              </w:rPr>
              <w:tab/>
            </w:r>
          </w:p>
        </w:tc>
        <w:tc>
          <w:tcPr>
            <w:tcW w:w="1559" w:type="dxa"/>
            <w:vAlign w:val="bottom"/>
          </w:tcPr>
          <w:p>
            <w:pPr>
              <w:pStyle w:val="yTableNAm"/>
            </w:pPr>
            <w:r>
              <w:rPr>
                <w:spacing w:val="-1"/>
              </w:rPr>
              <w:t>$331.99</w:t>
            </w:r>
          </w:p>
        </w:tc>
      </w:tr>
    </w:tbl>
    <w:p>
      <w:pPr>
        <w:pStyle w:val="yHeading5"/>
      </w:pPr>
      <w:bookmarkStart w:id="237" w:name="_Toc391906986"/>
      <w:bookmarkStart w:id="238" w:name="_Toc426119847"/>
      <w:r>
        <w:rPr>
          <w:rStyle w:val="CharSClsNo"/>
        </w:rPr>
        <w:t>9</w:t>
      </w:r>
      <w:r>
        <w:t>.</w:t>
      </w:r>
      <w:r>
        <w:tab/>
        <w:t>Metropolitan vacant land</w:t>
      </w:r>
      <w:bookmarkEnd w:id="237"/>
      <w:bookmarkEnd w:id="238"/>
    </w:p>
    <w:tbl>
      <w:tblPr>
        <w:tblW w:w="0" w:type="auto"/>
        <w:tblInd w:w="-34" w:type="dxa"/>
        <w:tblLook w:val="0000" w:firstRow="0" w:lastRow="0" w:firstColumn="0" w:lastColumn="0" w:noHBand="0" w:noVBand="0"/>
      </w:tblPr>
      <w:tblGrid>
        <w:gridCol w:w="907"/>
        <w:gridCol w:w="4820"/>
        <w:gridCol w:w="1559"/>
      </w:tblGrid>
      <w:tr>
        <w:trPr>
          <w:cantSplit/>
        </w:trPr>
        <w:tc>
          <w:tcPr>
            <w:tcW w:w="907" w:type="dxa"/>
          </w:tcPr>
          <w:p>
            <w:pPr>
              <w:pStyle w:val="zyTableNAm"/>
              <w:rPr>
                <w:rStyle w:val="CharSClsNo"/>
              </w:rPr>
            </w:pPr>
          </w:p>
        </w:tc>
        <w:tc>
          <w:tcPr>
            <w:tcW w:w="4820" w:type="dxa"/>
          </w:tcPr>
          <w:p>
            <w:pPr>
              <w:pStyle w:val="yTableNAm"/>
            </w:pPr>
            <w:r>
              <w:t>In respect of vacant land in the metropolitan area not being —</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(a)</w:t>
            </w:r>
            <w:r>
              <w:tab/>
              <w:t>land comprised in a residential property; or</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(b)</w:t>
            </w:r>
            <w:r>
              <w:tab/>
              <w:t>a nursing home; or</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(c)</w:t>
            </w:r>
            <w:r>
              <w:tab/>
              <w:t>a caravan park; or</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(d)</w:t>
            </w:r>
            <w:r>
              <w:tab/>
              <w:t>land referred to in item 1 or 3,</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right" w:leader="dot" w:pos="4604"/>
              </w:tabs>
              <w:rPr>
                <w:rFonts w:ascii="Arial" w:hAnsi="Arial"/>
                <w:b/>
              </w:rPr>
            </w:pPr>
            <w:r>
              <w:t xml:space="preserve">an amount of </w:t>
            </w:r>
            <w:r>
              <w:rPr>
                <w:spacing w:val="-1"/>
              </w:rPr>
              <w:tab/>
            </w:r>
          </w:p>
        </w:tc>
        <w:tc>
          <w:tcPr>
            <w:tcW w:w="1559" w:type="dxa"/>
            <w:vAlign w:val="bottom"/>
          </w:tcPr>
          <w:p>
            <w:pPr>
              <w:pStyle w:val="yTableNAm"/>
            </w:pPr>
            <w:r>
              <w:t>2.810 cents/</w:t>
            </w:r>
            <w:r>
              <w:br/>
              <w:t>$ of GRV</w:t>
            </w:r>
          </w:p>
        </w:tc>
      </w:tr>
      <w:tr>
        <w:trPr>
          <w:cantSplit/>
        </w:trPr>
        <w:tc>
          <w:tcPr>
            <w:tcW w:w="907" w:type="dxa"/>
          </w:tcPr>
          <w:p>
            <w:pPr>
              <w:pStyle w:val="zyTableNAm"/>
              <w:rPr>
                <w:rStyle w:val="CharSClsNo"/>
              </w:rPr>
            </w:pPr>
          </w:p>
        </w:tc>
        <w:tc>
          <w:tcPr>
            <w:tcW w:w="4820" w:type="dxa"/>
          </w:tcPr>
          <w:p>
            <w:pPr>
              <w:pStyle w:val="yTableNAm"/>
              <w:tabs>
                <w:tab w:val="clear" w:pos="567"/>
                <w:tab w:val="right" w:leader="dot" w:pos="4604"/>
              </w:tabs>
              <w:rPr>
                <w:rFonts w:ascii="Arial" w:hAnsi="Arial"/>
                <w:b/>
              </w:rPr>
            </w:pPr>
            <w:r>
              <w:rPr>
                <w:spacing w:val="-1"/>
              </w:rPr>
              <w:t xml:space="preserve">subject to a </w:t>
            </w:r>
            <w:r>
              <w:t>minimum</w:t>
            </w:r>
            <w:r>
              <w:rPr>
                <w:spacing w:val="-1"/>
              </w:rPr>
              <w:t xml:space="preserve"> in respect of any vacant land the subject of a separate assessment of </w:t>
            </w:r>
            <w:r>
              <w:rPr>
                <w:spacing w:val="-1"/>
              </w:rPr>
              <w:tab/>
            </w:r>
          </w:p>
        </w:tc>
        <w:tc>
          <w:tcPr>
            <w:tcW w:w="1559" w:type="dxa"/>
            <w:vAlign w:val="bottom"/>
          </w:tcPr>
          <w:p>
            <w:pPr>
              <w:pStyle w:val="yTableNAm"/>
            </w:pPr>
            <w:r>
              <w:rPr>
                <w:spacing w:val="-1"/>
              </w:rPr>
              <w:t>$249.63</w:t>
            </w:r>
          </w:p>
        </w:tc>
      </w:tr>
    </w:tbl>
    <w:p>
      <w:pPr>
        <w:pStyle w:val="yHeading5"/>
      </w:pPr>
      <w:bookmarkStart w:id="239" w:name="_Toc391906987"/>
      <w:bookmarkStart w:id="240" w:name="_Toc426119848"/>
      <w:r>
        <w:rPr>
          <w:rStyle w:val="CharSClsNo"/>
        </w:rPr>
        <w:t>10</w:t>
      </w:r>
      <w:r>
        <w:t>.</w:t>
      </w:r>
      <w:r>
        <w:tab/>
        <w:t>Country</w:t>
      </w:r>
      <w:bookmarkEnd w:id="239"/>
      <w:bookmarkEnd w:id="240"/>
    </w:p>
    <w:tbl>
      <w:tblPr>
        <w:tblW w:w="0" w:type="auto"/>
        <w:tblInd w:w="-34" w:type="dxa"/>
        <w:tblLook w:val="0000" w:firstRow="0" w:lastRow="0" w:firstColumn="0" w:lastColumn="0" w:noHBand="0" w:noVBand="0"/>
      </w:tblPr>
      <w:tblGrid>
        <w:gridCol w:w="907"/>
        <w:gridCol w:w="4820"/>
        <w:gridCol w:w="1559"/>
      </w:tblGrid>
      <w:tr>
        <w:trPr>
          <w:cantSplit/>
        </w:trPr>
        <w:tc>
          <w:tcPr>
            <w:tcW w:w="907" w:type="dxa"/>
          </w:tcPr>
          <w:p>
            <w:pPr>
              <w:pStyle w:val="zyTableNAm"/>
              <w:keepNext/>
              <w:rPr>
                <w:rStyle w:val="CharSClsNo"/>
              </w:rPr>
            </w:pPr>
          </w:p>
        </w:tc>
        <w:tc>
          <w:tcPr>
            <w:tcW w:w="4820" w:type="dxa"/>
          </w:tcPr>
          <w:p>
            <w:pPr>
              <w:pStyle w:val="yTableNAm"/>
              <w:keepNext/>
            </w:pPr>
            <w:r>
              <w:t>In respect of land in a country sewerage area referred to in column 1 of the following Table, not being land referred to in Division 1 or 7 —</w:t>
            </w:r>
          </w:p>
        </w:tc>
        <w:tc>
          <w:tcPr>
            <w:tcW w:w="1559" w:type="dxa"/>
            <w:vAlign w:val="bottom"/>
          </w:tcPr>
          <w:p>
            <w:pPr>
              <w:pStyle w:val="yTableNAm"/>
              <w:keepNext/>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(a)</w:t>
            </w:r>
            <w:r>
              <w:tab/>
              <w:t>where the land is classified as residential, an amount for each dollar of the GRV as set out in column 2 of the Table;</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(b)</w:t>
            </w:r>
            <w:r>
              <w:tab/>
              <w:t>where the land is not classified as residential, an amount for each dollar of the GRV as set out in column 3 of the Table,</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pPr>
            <w:r>
              <w:t>subject to a minimum in respect of any land the subject of a separate assessment of —</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(c)</w:t>
            </w:r>
            <w:r>
              <w:tab/>
              <w:t xml:space="preserve">in the case of land classified as residential </w:t>
            </w:r>
            <w:r>
              <w:tab/>
            </w:r>
          </w:p>
        </w:tc>
        <w:tc>
          <w:tcPr>
            <w:tcW w:w="1559" w:type="dxa"/>
            <w:vAlign w:val="bottom"/>
          </w:tcPr>
          <w:p>
            <w:pPr>
              <w:pStyle w:val="yTableNAm"/>
            </w:pPr>
            <w:r>
              <w:t>$331.99</w:t>
            </w: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(d)</w:t>
            </w:r>
            <w:r>
              <w:tab/>
              <w:t xml:space="preserve">in the case of land classified as vacant land </w:t>
            </w:r>
            <w:r>
              <w:tab/>
            </w:r>
          </w:p>
        </w:tc>
        <w:tc>
          <w:tcPr>
            <w:tcW w:w="1559" w:type="dxa"/>
            <w:vAlign w:val="bottom"/>
          </w:tcPr>
          <w:p>
            <w:pPr>
              <w:pStyle w:val="yTableNAm"/>
            </w:pPr>
            <w:r>
              <w:t>$218.47</w:t>
            </w: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(e)</w:t>
            </w:r>
            <w:r>
              <w:tab/>
              <w:t xml:space="preserve">in the case of land not classified as residential or vacant land </w:t>
            </w:r>
            <w:r>
              <w:tab/>
            </w:r>
          </w:p>
        </w:tc>
        <w:tc>
          <w:tcPr>
            <w:tcW w:w="1559" w:type="dxa"/>
            <w:vAlign w:val="bottom"/>
          </w:tcPr>
          <w:p>
            <w:pPr>
              <w:pStyle w:val="yTableNAm"/>
            </w:pPr>
            <w:r>
              <w:t>$772.10</w:t>
            </w:r>
          </w:p>
        </w:tc>
      </w:tr>
      <w:tr>
        <w:trPr>
          <w:cantSplit/>
        </w:trPr>
        <w:tc>
          <w:tcPr>
            <w:tcW w:w="907" w:type="dxa"/>
          </w:tcPr>
          <w:p>
            <w:pPr>
              <w:pStyle w:val="zyTableNAm"/>
              <w:rPr>
                <w:rStyle w:val="CharSClsNo"/>
              </w:rPr>
            </w:pPr>
          </w:p>
        </w:tc>
        <w:tc>
          <w:tcPr>
            <w:tcW w:w="4820" w:type="dxa"/>
          </w:tcPr>
          <w:p>
            <w:pPr>
              <w:pStyle w:val="yTableNAm"/>
              <w:tabs>
                <w:tab w:val="clear" w:pos="567"/>
                <w:tab w:val="right" w:leader="dot" w:pos="4656"/>
              </w:tabs>
              <w:rPr>
                <w:rFonts w:ascii="Arial" w:hAnsi="Arial"/>
                <w:b/>
              </w:rPr>
            </w:pPr>
            <w:r>
              <w:t xml:space="preserve">and subject to a maximum in respect of any land classified as residential or classified as vacant land and held for residential purposes </w:t>
            </w:r>
            <w:r>
              <w:tab/>
            </w:r>
          </w:p>
        </w:tc>
        <w:tc>
          <w:tcPr>
            <w:tcW w:w="1559" w:type="dxa"/>
            <w:vAlign w:val="bottom"/>
          </w:tcPr>
          <w:p>
            <w:pPr>
              <w:pStyle w:val="yTableNAm"/>
            </w:pPr>
            <w:r>
              <w:t>$827.22</w:t>
            </w:r>
          </w:p>
        </w:tc>
      </w:tr>
    </w:tbl>
    <w:p>
      <w:pPr>
        <w:pStyle w:val="yMiscellaneousBody"/>
        <w:spacing w:before="0"/>
      </w:pPr>
    </w:p>
    <w:tbl>
      <w:tblPr>
        <w:tblW w:w="0" w:type="auto"/>
        <w:tblInd w:w="680" w:type="dxa"/>
        <w:tblLayout w:type="fixed"/>
        <w:tblCellMar>
          <w:left w:w="141" w:type="dxa"/>
          <w:right w:w="141" w:type="dxa"/>
        </w:tblCellMar>
        <w:tblLook w:val="0000" w:firstRow="0" w:lastRow="0" w:firstColumn="0" w:lastColumn="0" w:noHBand="0" w:noVBand="0"/>
      </w:tblPr>
      <w:tblGrid>
        <w:gridCol w:w="2173"/>
        <w:gridCol w:w="2173"/>
        <w:gridCol w:w="2174"/>
        <w:gridCol w:w="33"/>
      </w:tblGrid>
      <w:tr>
        <w:trPr>
          <w:gridAfter w:val="1"/>
          <w:wAfter w:w="33" w:type="dxa"/>
          <w:cantSplit/>
          <w:trHeight w:hRule="exact" w:val="851"/>
          <w:tblHeader/>
        </w:trPr>
        <w:tc>
          <w:tcPr>
            <w:tcW w:w="2173" w:type="dxa"/>
            <w:tcBorders>
              <w:top w:val="single" w:sz="4" w:space="0" w:color="auto"/>
              <w:bottom w:val="single" w:sz="4" w:space="0" w:color="auto"/>
            </w:tcBorders>
          </w:tcPr>
          <w:p>
            <w:pPr>
              <w:pStyle w:val="yTableNAm"/>
              <w:spacing w:before="100"/>
              <w:jc w:val="center"/>
              <w:rPr>
                <w:rFonts w:ascii="Arial" w:hAnsi="Arial"/>
                <w:b/>
              </w:rPr>
            </w:pPr>
            <w:r>
              <w:rPr>
                <w:b/>
                <w:bCs/>
                <w:szCs w:val="22"/>
              </w:rPr>
              <w:t>Column 1</w:t>
            </w:r>
            <w:r>
              <w:rPr>
                <w:b/>
                <w:bCs/>
                <w:szCs w:val="22"/>
              </w:rPr>
              <w:br/>
              <w:t>Country sewerage area</w:t>
            </w:r>
          </w:p>
        </w:tc>
        <w:tc>
          <w:tcPr>
            <w:tcW w:w="2173" w:type="dxa"/>
            <w:tcBorders>
              <w:top w:val="single" w:sz="4" w:space="0" w:color="auto"/>
              <w:bottom w:val="single" w:sz="4" w:space="0" w:color="auto"/>
            </w:tcBorders>
          </w:tcPr>
          <w:p>
            <w:pPr>
              <w:pStyle w:val="yTableNAm"/>
              <w:spacing w:before="100"/>
              <w:jc w:val="center"/>
            </w:pPr>
            <w:r>
              <w:rPr>
                <w:b/>
                <w:bCs/>
                <w:szCs w:val="22"/>
              </w:rPr>
              <w:t>Column 2</w:t>
            </w:r>
            <w:r>
              <w:rPr>
                <w:b/>
                <w:bCs/>
                <w:szCs w:val="22"/>
              </w:rPr>
              <w:br/>
              <w:t>(Residential)</w:t>
            </w:r>
            <w:r>
              <w:rPr>
                <w:b/>
                <w:bCs/>
                <w:szCs w:val="22"/>
              </w:rPr>
              <w:br/>
              <w:t>cents/$ of GRV</w:t>
            </w:r>
          </w:p>
        </w:tc>
        <w:tc>
          <w:tcPr>
            <w:tcW w:w="2174" w:type="dxa"/>
            <w:tcBorders>
              <w:top w:val="single" w:sz="4" w:space="0" w:color="auto"/>
              <w:bottom w:val="single" w:sz="4" w:space="0" w:color="auto"/>
            </w:tcBorders>
          </w:tcPr>
          <w:p>
            <w:pPr>
              <w:pStyle w:val="yTableNAm"/>
              <w:spacing w:before="100"/>
              <w:jc w:val="center"/>
            </w:pPr>
            <w:r>
              <w:rPr>
                <w:b/>
                <w:bCs/>
                <w:szCs w:val="22"/>
              </w:rPr>
              <w:t>Column 3</w:t>
            </w:r>
            <w:r>
              <w:rPr>
                <w:b/>
                <w:bCs/>
                <w:szCs w:val="22"/>
              </w:rPr>
              <w:br/>
              <w:t>(Non</w:t>
            </w:r>
            <w:r>
              <w:rPr>
                <w:b/>
                <w:bCs/>
                <w:szCs w:val="22"/>
              </w:rPr>
              <w:noBreakHyphen/>
              <w:t>residential)</w:t>
            </w:r>
            <w:r>
              <w:rPr>
                <w:b/>
                <w:bCs/>
                <w:szCs w:val="22"/>
              </w:rPr>
              <w:br/>
              <w:t>cents/$ of GRV</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Albany</w:t>
                </w:r>
              </w:smartTag>
            </w:smartTag>
          </w:p>
        </w:tc>
        <w:tc>
          <w:tcPr>
            <w:tcW w:w="2173" w:type="dxa"/>
            <w:vAlign w:val="bottom"/>
          </w:tcPr>
          <w:p>
            <w:pPr>
              <w:pStyle w:val="yTableNAm"/>
              <w:spacing w:before="100"/>
              <w:jc w:val="center"/>
              <w:rPr>
                <w:rFonts w:ascii="Arial" w:hAnsi="Arial"/>
                <w:b/>
              </w:rPr>
            </w:pPr>
            <w:r>
              <w:t>9.611</w:t>
            </w:r>
          </w:p>
        </w:tc>
        <w:tc>
          <w:tcPr>
            <w:tcW w:w="2174" w:type="dxa"/>
            <w:vAlign w:val="bottom"/>
          </w:tcPr>
          <w:p>
            <w:pPr>
              <w:pStyle w:val="yTableNAm"/>
              <w:spacing w:before="100"/>
              <w:jc w:val="center"/>
              <w:rPr>
                <w:rFonts w:ascii="Arial" w:hAnsi="Arial"/>
                <w:b/>
              </w:rPr>
            </w:pPr>
            <w:r>
              <w:t>11.075</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Augusta</w:t>
                </w:r>
              </w:smartTag>
            </w:smartTag>
          </w:p>
        </w:tc>
        <w:tc>
          <w:tcPr>
            <w:tcW w:w="2173" w:type="dxa"/>
            <w:vAlign w:val="bottom"/>
          </w:tcPr>
          <w:p>
            <w:pPr>
              <w:pStyle w:val="yTableNAm"/>
              <w:spacing w:before="100"/>
              <w:jc w:val="center"/>
              <w:rPr>
                <w:rFonts w:ascii="Arial" w:hAnsi="Arial"/>
                <w:b/>
              </w:rPr>
            </w:pPr>
            <w:r>
              <w:t>9.805</w:t>
            </w:r>
          </w:p>
        </w:tc>
        <w:tc>
          <w:tcPr>
            <w:tcW w:w="2174" w:type="dxa"/>
            <w:vAlign w:val="bottom"/>
          </w:tcPr>
          <w:p>
            <w:pPr>
              <w:pStyle w:val="yTableNAm"/>
              <w:spacing w:before="100"/>
              <w:jc w:val="center"/>
              <w:rPr>
                <w:rFonts w:ascii="Arial" w:hAnsi="Arial"/>
                <w:b/>
              </w:rPr>
            </w:pPr>
            <w:r>
              <w:t>7.001</w:t>
            </w:r>
          </w:p>
        </w:tc>
      </w:tr>
      <w:tr>
        <w:trPr>
          <w:gridAfter w:val="1"/>
          <w:wAfter w:w="33" w:type="dxa"/>
          <w:cantSplit/>
        </w:trPr>
        <w:tc>
          <w:tcPr>
            <w:tcW w:w="2173" w:type="dxa"/>
          </w:tcPr>
          <w:p>
            <w:pPr>
              <w:pStyle w:val="yTableNAm"/>
              <w:spacing w:before="100"/>
            </w:pPr>
            <w:r>
              <w:rPr>
                <w:szCs w:val="22"/>
              </w:rPr>
              <w:t>Australind</w:t>
            </w:r>
          </w:p>
        </w:tc>
        <w:tc>
          <w:tcPr>
            <w:tcW w:w="2173" w:type="dxa"/>
            <w:vAlign w:val="bottom"/>
          </w:tcPr>
          <w:p>
            <w:pPr>
              <w:pStyle w:val="yTableNAm"/>
              <w:spacing w:before="100"/>
              <w:jc w:val="center"/>
              <w:rPr>
                <w:rFonts w:ascii="Arial" w:hAnsi="Arial"/>
                <w:b/>
              </w:rPr>
            </w:pPr>
            <w:r>
              <w:t>6.248</w:t>
            </w:r>
          </w:p>
        </w:tc>
        <w:tc>
          <w:tcPr>
            <w:tcW w:w="2174" w:type="dxa"/>
            <w:vAlign w:val="bottom"/>
          </w:tcPr>
          <w:p>
            <w:pPr>
              <w:pStyle w:val="yTableNAm"/>
              <w:spacing w:before="100"/>
              <w:jc w:val="center"/>
              <w:rPr>
                <w:rFonts w:ascii="Arial" w:hAnsi="Arial"/>
                <w:b/>
              </w:rPr>
            </w:pPr>
            <w:r>
              <w:t>1.583</w:t>
            </w:r>
          </w:p>
        </w:tc>
      </w:tr>
      <w:tr>
        <w:trPr>
          <w:gridAfter w:val="1"/>
          <w:wAfter w:w="33" w:type="dxa"/>
          <w:cantSplit/>
        </w:trPr>
        <w:tc>
          <w:tcPr>
            <w:tcW w:w="2173" w:type="dxa"/>
          </w:tcPr>
          <w:p>
            <w:pPr>
              <w:pStyle w:val="yTableNAm"/>
              <w:spacing w:before="100"/>
            </w:pPr>
            <w:r>
              <w:rPr>
                <w:szCs w:val="22"/>
              </w:rPr>
              <w:t>Beverley</w:t>
            </w:r>
          </w:p>
        </w:tc>
        <w:tc>
          <w:tcPr>
            <w:tcW w:w="2173" w:type="dxa"/>
            <w:vAlign w:val="bottom"/>
          </w:tcPr>
          <w:p>
            <w:pPr>
              <w:pStyle w:val="yTableNAm"/>
              <w:spacing w:before="100"/>
              <w:jc w:val="center"/>
              <w:rPr>
                <w:rFonts w:ascii="Arial" w:hAnsi="Arial"/>
                <w:b/>
              </w:rPr>
            </w:pPr>
            <w:r>
              <w:t>9.750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Binningup</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Boddington</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10.261</w:t>
            </w:r>
          </w:p>
        </w:tc>
      </w:tr>
      <w:tr>
        <w:trPr>
          <w:gridAfter w:val="1"/>
          <w:wAfter w:w="33" w:type="dxa"/>
          <w:cantSplit/>
        </w:trPr>
        <w:tc>
          <w:tcPr>
            <w:tcW w:w="2173" w:type="dxa"/>
          </w:tcPr>
          <w:p>
            <w:pPr>
              <w:pStyle w:val="yTableNAm"/>
              <w:spacing w:before="100"/>
            </w:pPr>
            <w:r>
              <w:rPr>
                <w:szCs w:val="22"/>
              </w:rPr>
              <w:t>Boyanup</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6.969</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2173" w:type="dxa"/>
            <w:vAlign w:val="bottom"/>
          </w:tcPr>
          <w:p>
            <w:pPr>
              <w:pStyle w:val="yTableNAm"/>
              <w:spacing w:before="100"/>
              <w:jc w:val="center"/>
              <w:rPr>
                <w:rFonts w:ascii="Arial" w:hAnsi="Arial"/>
                <w:b/>
              </w:rPr>
            </w:pPr>
            <w:r>
              <w:t>8.582</w:t>
            </w:r>
          </w:p>
        </w:tc>
        <w:tc>
          <w:tcPr>
            <w:tcW w:w="2174" w:type="dxa"/>
            <w:vAlign w:val="bottom"/>
          </w:tcPr>
          <w:p>
            <w:pPr>
              <w:pStyle w:val="yTableNAm"/>
              <w:spacing w:before="100"/>
              <w:jc w:val="center"/>
              <w:rPr>
                <w:rFonts w:ascii="Arial" w:hAnsi="Arial"/>
                <w:b/>
              </w:rPr>
            </w:pPr>
            <w:r>
              <w:t>6.001</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Bridgetown</w:t>
                </w:r>
              </w:smartTag>
            </w:smartTag>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Broome</w:t>
            </w:r>
          </w:p>
        </w:tc>
        <w:tc>
          <w:tcPr>
            <w:tcW w:w="2173" w:type="dxa"/>
            <w:vAlign w:val="bottom"/>
          </w:tcPr>
          <w:p>
            <w:pPr>
              <w:pStyle w:val="yTableNAm"/>
              <w:spacing w:before="100"/>
              <w:jc w:val="center"/>
              <w:rPr>
                <w:rFonts w:ascii="Arial" w:hAnsi="Arial"/>
                <w:b/>
              </w:rPr>
            </w:pPr>
            <w:r>
              <w:t>6.625</w:t>
            </w:r>
          </w:p>
        </w:tc>
        <w:tc>
          <w:tcPr>
            <w:tcW w:w="2174" w:type="dxa"/>
            <w:vAlign w:val="bottom"/>
          </w:tcPr>
          <w:p>
            <w:pPr>
              <w:pStyle w:val="yTableNAm"/>
              <w:spacing w:before="100"/>
              <w:jc w:val="center"/>
              <w:rPr>
                <w:rFonts w:ascii="Arial" w:hAnsi="Arial"/>
                <w:b/>
              </w:rPr>
            </w:pPr>
            <w:r>
              <w:t>2.701</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Brunswick</w:t>
                </w:r>
              </w:smartTag>
            </w:smartTag>
          </w:p>
        </w:tc>
        <w:tc>
          <w:tcPr>
            <w:tcW w:w="2173" w:type="dxa"/>
            <w:vAlign w:val="bottom"/>
          </w:tcPr>
          <w:p>
            <w:pPr>
              <w:pStyle w:val="yTableNAm"/>
              <w:spacing w:before="100"/>
              <w:jc w:val="center"/>
              <w:rPr>
                <w:rFonts w:ascii="Arial" w:hAnsi="Arial"/>
                <w:b/>
              </w:rPr>
            </w:pPr>
            <w:r>
              <w:t>6.978</w:t>
            </w:r>
          </w:p>
        </w:tc>
        <w:tc>
          <w:tcPr>
            <w:tcW w:w="2174" w:type="dxa"/>
            <w:vAlign w:val="bottom"/>
          </w:tcPr>
          <w:p>
            <w:pPr>
              <w:pStyle w:val="yTableNAm"/>
              <w:spacing w:before="100"/>
              <w:jc w:val="center"/>
              <w:rPr>
                <w:rFonts w:ascii="Arial" w:hAnsi="Arial"/>
                <w:b/>
              </w:rPr>
            </w:pPr>
            <w:r>
              <w:t>10.601</w:t>
            </w:r>
          </w:p>
        </w:tc>
      </w:tr>
      <w:tr>
        <w:trPr>
          <w:gridAfter w:val="1"/>
          <w:wAfter w:w="33" w:type="dxa"/>
          <w:cantSplit/>
        </w:trPr>
        <w:tc>
          <w:tcPr>
            <w:tcW w:w="2173" w:type="dxa"/>
          </w:tcPr>
          <w:p>
            <w:pPr>
              <w:pStyle w:val="yTableNAm"/>
              <w:spacing w:before="100"/>
            </w:pPr>
            <w:r>
              <w:rPr>
                <w:szCs w:val="22"/>
              </w:rPr>
              <w:t>Bunbury</w:t>
            </w:r>
            <w:r>
              <w:rPr>
                <w:szCs w:val="22"/>
              </w:rPr>
              <w:br/>
              <w:t>(1/07/13 Values)</w:t>
            </w:r>
          </w:p>
        </w:tc>
        <w:tc>
          <w:tcPr>
            <w:tcW w:w="2173" w:type="dxa"/>
            <w:vAlign w:val="bottom"/>
          </w:tcPr>
          <w:p>
            <w:pPr>
              <w:pStyle w:val="yTableNAm"/>
              <w:spacing w:before="100"/>
              <w:jc w:val="center"/>
              <w:rPr>
                <w:rFonts w:ascii="Arial" w:hAnsi="Arial"/>
                <w:b/>
              </w:rPr>
            </w:pPr>
            <w:r>
              <w:t>3.765</w:t>
            </w:r>
          </w:p>
        </w:tc>
        <w:tc>
          <w:tcPr>
            <w:tcW w:w="2174" w:type="dxa"/>
            <w:vAlign w:val="bottom"/>
          </w:tcPr>
          <w:p>
            <w:pPr>
              <w:pStyle w:val="yTableNAm"/>
              <w:spacing w:before="100"/>
              <w:jc w:val="center"/>
              <w:rPr>
                <w:rFonts w:ascii="Arial" w:hAnsi="Arial"/>
                <w:b/>
              </w:rPr>
            </w:pPr>
            <w:r>
              <w:t>1.765</w:t>
            </w:r>
          </w:p>
        </w:tc>
      </w:tr>
      <w:tr>
        <w:trPr>
          <w:gridAfter w:val="1"/>
          <w:wAfter w:w="33" w:type="dxa"/>
          <w:cantSplit/>
        </w:trPr>
        <w:tc>
          <w:tcPr>
            <w:tcW w:w="2173" w:type="dxa"/>
          </w:tcPr>
          <w:p>
            <w:pPr>
              <w:pStyle w:val="yTableNAm"/>
              <w:spacing w:before="100"/>
            </w:pPr>
            <w:r>
              <w:rPr>
                <w:szCs w:val="22"/>
              </w:rPr>
              <w:t>Bunbury</w:t>
            </w:r>
            <w:r>
              <w:rPr>
                <w:szCs w:val="22"/>
              </w:rPr>
              <w:br/>
              <w:t>(1/07/11 Values)</w:t>
            </w:r>
          </w:p>
        </w:tc>
        <w:tc>
          <w:tcPr>
            <w:tcW w:w="2173" w:type="dxa"/>
            <w:vAlign w:val="bottom"/>
          </w:tcPr>
          <w:p>
            <w:pPr>
              <w:pStyle w:val="yTableNAm"/>
              <w:spacing w:before="100"/>
              <w:jc w:val="center"/>
              <w:rPr>
                <w:rFonts w:ascii="Arial" w:hAnsi="Arial"/>
                <w:b/>
              </w:rPr>
            </w:pPr>
            <w:r>
              <w:t>6.217</w:t>
            </w:r>
          </w:p>
        </w:tc>
        <w:tc>
          <w:tcPr>
            <w:tcW w:w="2174" w:type="dxa"/>
            <w:vAlign w:val="bottom"/>
          </w:tcPr>
          <w:p>
            <w:pPr>
              <w:pStyle w:val="yTableNAm"/>
              <w:spacing w:before="100"/>
              <w:jc w:val="center"/>
              <w:rPr>
                <w:rFonts w:ascii="Arial" w:hAnsi="Arial"/>
                <w:b/>
              </w:rPr>
            </w:pPr>
            <w:r>
              <w:rPr>
                <w:szCs w:val="22"/>
              </w:rPr>
              <w:t>6.</w:t>
            </w:r>
            <w:r>
              <w:rPr>
                <w:rStyle w:val="CharSClsNo"/>
              </w:rPr>
              <w:t>10</w:t>
            </w:r>
            <w:r>
              <w:rPr>
                <w:szCs w:val="22"/>
              </w:rPr>
              <w:t>0</w:t>
            </w:r>
          </w:p>
        </w:tc>
      </w:tr>
      <w:tr>
        <w:trPr>
          <w:gridAfter w:val="1"/>
          <w:wAfter w:w="33" w:type="dxa"/>
          <w:cantSplit/>
        </w:trPr>
        <w:tc>
          <w:tcPr>
            <w:tcW w:w="2173" w:type="dxa"/>
          </w:tcPr>
          <w:p>
            <w:pPr>
              <w:pStyle w:val="yTableNAm"/>
              <w:spacing w:before="100"/>
            </w:pPr>
            <w:r>
              <w:rPr>
                <w:szCs w:val="22"/>
              </w:rPr>
              <w:t>Burekup</w:t>
            </w:r>
          </w:p>
        </w:tc>
        <w:tc>
          <w:tcPr>
            <w:tcW w:w="2173" w:type="dxa"/>
            <w:vAlign w:val="bottom"/>
          </w:tcPr>
          <w:p>
            <w:pPr>
              <w:pStyle w:val="yTableNAm"/>
              <w:spacing w:before="100"/>
              <w:jc w:val="center"/>
              <w:rPr>
                <w:rFonts w:ascii="Arial" w:hAnsi="Arial"/>
                <w:b/>
              </w:rPr>
            </w:pPr>
            <w:r>
              <w:t>11.397</w:t>
            </w:r>
          </w:p>
        </w:tc>
        <w:tc>
          <w:tcPr>
            <w:tcW w:w="2174" w:type="dxa"/>
            <w:vAlign w:val="bottom"/>
          </w:tcPr>
          <w:p>
            <w:pPr>
              <w:pStyle w:val="yTableNAm"/>
              <w:spacing w:before="100"/>
              <w:jc w:val="center"/>
              <w:rPr>
                <w:rFonts w:ascii="Arial" w:hAnsi="Arial"/>
                <w:b/>
              </w:rPr>
            </w:pPr>
            <w:r>
              <w:t>5.445</w:t>
            </w:r>
          </w:p>
        </w:tc>
      </w:tr>
      <w:tr>
        <w:trPr>
          <w:gridAfter w:val="1"/>
          <w:wAfter w:w="33" w:type="dxa"/>
          <w:cantSplit/>
        </w:trPr>
        <w:tc>
          <w:tcPr>
            <w:tcW w:w="2173" w:type="dxa"/>
          </w:tcPr>
          <w:p>
            <w:pPr>
              <w:pStyle w:val="yTableNAm"/>
              <w:spacing w:before="100"/>
            </w:pPr>
            <w:r>
              <w:rPr>
                <w:szCs w:val="22"/>
              </w:rPr>
              <w:t>Busselton</w:t>
            </w:r>
          </w:p>
        </w:tc>
        <w:tc>
          <w:tcPr>
            <w:tcW w:w="2173" w:type="dxa"/>
            <w:vAlign w:val="bottom"/>
          </w:tcPr>
          <w:p>
            <w:pPr>
              <w:pStyle w:val="yTableNAm"/>
              <w:spacing w:before="100"/>
              <w:jc w:val="center"/>
              <w:rPr>
                <w:rFonts w:ascii="Arial" w:hAnsi="Arial"/>
                <w:b/>
              </w:rPr>
            </w:pPr>
            <w:r>
              <w:t>5.321</w:t>
            </w:r>
          </w:p>
        </w:tc>
        <w:tc>
          <w:tcPr>
            <w:tcW w:w="2174" w:type="dxa"/>
            <w:vAlign w:val="bottom"/>
          </w:tcPr>
          <w:p>
            <w:pPr>
              <w:pStyle w:val="yTableNAm"/>
              <w:spacing w:before="100"/>
              <w:jc w:val="center"/>
              <w:rPr>
                <w:rFonts w:ascii="Arial" w:hAnsi="Arial"/>
                <w:b/>
              </w:rPr>
            </w:pPr>
            <w:r>
              <w:t>7.526</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PlaceType">
                <w:r>
                  <w:rPr>
                    <w:szCs w:val="22"/>
                  </w:rPr>
                  <w:t>Cape</w:t>
                </w:r>
              </w:smartTag>
              <w:r>
                <w:rPr>
                  <w:szCs w:val="22"/>
                </w:rPr>
                <w:t xml:space="preserve"> </w:t>
              </w:r>
              <w:smartTag w:uri="urn:schemas-microsoft-com:office:smarttags" w:element="PlaceName">
                <w:r>
                  <w:rPr>
                    <w:szCs w:val="22"/>
                  </w:rPr>
                  <w:t>Burney</w:t>
                </w:r>
              </w:smartTag>
            </w:smartTag>
          </w:p>
        </w:tc>
        <w:tc>
          <w:tcPr>
            <w:tcW w:w="2173" w:type="dxa"/>
            <w:vAlign w:val="bottom"/>
          </w:tcPr>
          <w:p>
            <w:pPr>
              <w:pStyle w:val="yTableNAm"/>
              <w:spacing w:before="100"/>
              <w:jc w:val="center"/>
              <w:rPr>
                <w:rFonts w:ascii="Arial" w:hAnsi="Arial"/>
                <w:b/>
              </w:rPr>
            </w:pPr>
            <w:r>
              <w:t>6.996</w:t>
            </w:r>
          </w:p>
        </w:tc>
        <w:tc>
          <w:tcPr>
            <w:tcW w:w="2174" w:type="dxa"/>
            <w:vAlign w:val="bottom"/>
          </w:tcPr>
          <w:p>
            <w:pPr>
              <w:pStyle w:val="yTableNAm"/>
              <w:spacing w:before="100"/>
              <w:jc w:val="center"/>
              <w:rPr>
                <w:rFonts w:ascii="Arial" w:hAnsi="Arial"/>
                <w:b/>
              </w:rPr>
            </w:pPr>
            <w:r>
              <w:t>5.141</w:t>
            </w:r>
          </w:p>
        </w:tc>
      </w:tr>
      <w:tr>
        <w:trPr>
          <w:gridAfter w:val="1"/>
          <w:wAfter w:w="33" w:type="dxa"/>
          <w:cantSplit/>
        </w:trPr>
        <w:tc>
          <w:tcPr>
            <w:tcW w:w="2173" w:type="dxa"/>
          </w:tcPr>
          <w:p>
            <w:pPr>
              <w:pStyle w:val="yTableNAm"/>
              <w:spacing w:before="100"/>
            </w:pPr>
            <w:r>
              <w:rPr>
                <w:szCs w:val="22"/>
              </w:rPr>
              <w:t>Capel</w:t>
            </w:r>
          </w:p>
        </w:tc>
        <w:tc>
          <w:tcPr>
            <w:tcW w:w="2173" w:type="dxa"/>
            <w:vAlign w:val="bottom"/>
          </w:tcPr>
          <w:p>
            <w:pPr>
              <w:pStyle w:val="yTableNAm"/>
              <w:spacing w:before="100"/>
              <w:jc w:val="center"/>
              <w:rPr>
                <w:rFonts w:ascii="Arial" w:hAnsi="Arial"/>
                <w:b/>
              </w:rPr>
            </w:pPr>
            <w:r>
              <w:t>8.042</w:t>
            </w:r>
          </w:p>
        </w:tc>
        <w:tc>
          <w:tcPr>
            <w:tcW w:w="2174" w:type="dxa"/>
            <w:vAlign w:val="bottom"/>
          </w:tcPr>
          <w:p>
            <w:pPr>
              <w:pStyle w:val="yTableNAm"/>
              <w:spacing w:before="100"/>
              <w:jc w:val="center"/>
              <w:rPr>
                <w:rFonts w:ascii="Arial" w:hAnsi="Arial"/>
                <w:b/>
              </w:rPr>
            </w:pPr>
            <w:r>
              <w:t>4.653</w:t>
            </w:r>
          </w:p>
        </w:tc>
      </w:tr>
      <w:tr>
        <w:trPr>
          <w:gridAfter w:val="1"/>
          <w:wAfter w:w="33" w:type="dxa"/>
          <w:cantSplit/>
        </w:trPr>
        <w:tc>
          <w:tcPr>
            <w:tcW w:w="2173" w:type="dxa"/>
          </w:tcPr>
          <w:p>
            <w:pPr>
              <w:pStyle w:val="yTableNAm"/>
              <w:spacing w:before="100"/>
            </w:pPr>
            <w:r>
              <w:rPr>
                <w:szCs w:val="22"/>
              </w:rPr>
              <w:t>Carnarvon</w:t>
            </w:r>
          </w:p>
        </w:tc>
        <w:tc>
          <w:tcPr>
            <w:tcW w:w="2173" w:type="dxa"/>
            <w:vAlign w:val="bottom"/>
          </w:tcPr>
          <w:p>
            <w:pPr>
              <w:pStyle w:val="yTableNAm"/>
              <w:spacing w:before="100"/>
              <w:jc w:val="center"/>
              <w:rPr>
                <w:rFonts w:ascii="Arial" w:hAnsi="Arial"/>
                <w:b/>
              </w:rPr>
            </w:pPr>
            <w:r>
              <w:t>9.186</w:t>
            </w:r>
          </w:p>
        </w:tc>
        <w:tc>
          <w:tcPr>
            <w:tcW w:w="2174" w:type="dxa"/>
            <w:vAlign w:val="bottom"/>
          </w:tcPr>
          <w:p>
            <w:pPr>
              <w:pStyle w:val="yTableNAm"/>
              <w:spacing w:before="100"/>
              <w:jc w:val="center"/>
              <w:rPr>
                <w:rFonts w:ascii="Arial" w:hAnsi="Arial"/>
                <w:b/>
              </w:rPr>
            </w:pPr>
            <w:r>
              <w:t>8.187</w:t>
            </w:r>
          </w:p>
        </w:tc>
      </w:tr>
      <w:tr>
        <w:trPr>
          <w:gridAfter w:val="1"/>
          <w:wAfter w:w="33" w:type="dxa"/>
          <w:cantSplit/>
        </w:trPr>
        <w:tc>
          <w:tcPr>
            <w:tcW w:w="2173" w:type="dxa"/>
          </w:tcPr>
          <w:p>
            <w:pPr>
              <w:pStyle w:val="yTableNAm"/>
              <w:spacing w:before="100"/>
            </w:pPr>
            <w:r>
              <w:rPr>
                <w:szCs w:val="22"/>
              </w:rPr>
              <w:t>Cervantes</w:t>
            </w:r>
          </w:p>
        </w:tc>
        <w:tc>
          <w:tcPr>
            <w:tcW w:w="2173" w:type="dxa"/>
            <w:vAlign w:val="bottom"/>
          </w:tcPr>
          <w:p>
            <w:pPr>
              <w:pStyle w:val="yTableNAm"/>
              <w:spacing w:before="100"/>
              <w:jc w:val="center"/>
              <w:rPr>
                <w:rFonts w:ascii="Arial" w:hAnsi="Arial"/>
                <w:b/>
              </w:rPr>
            </w:pPr>
            <w:r>
              <w:t>8.400</w:t>
            </w:r>
          </w:p>
        </w:tc>
        <w:tc>
          <w:tcPr>
            <w:tcW w:w="2174" w:type="dxa"/>
            <w:vAlign w:val="bottom"/>
          </w:tcPr>
          <w:p>
            <w:pPr>
              <w:pStyle w:val="yTableNAm"/>
              <w:spacing w:before="100"/>
              <w:jc w:val="center"/>
              <w:rPr>
                <w:rFonts w:ascii="Arial" w:hAnsi="Arial"/>
                <w:b/>
              </w:rPr>
            </w:pPr>
            <w:r>
              <w:t>3.271</w:t>
            </w:r>
          </w:p>
        </w:tc>
      </w:tr>
      <w:tr>
        <w:trPr>
          <w:gridAfter w:val="1"/>
          <w:wAfter w:w="33" w:type="dxa"/>
          <w:cantSplit/>
        </w:trPr>
        <w:tc>
          <w:tcPr>
            <w:tcW w:w="2173" w:type="dxa"/>
          </w:tcPr>
          <w:p>
            <w:pPr>
              <w:pStyle w:val="yTableNAm"/>
              <w:spacing w:before="100"/>
            </w:pPr>
            <w:r>
              <w:rPr>
                <w:szCs w:val="22"/>
              </w:rPr>
              <w:t>Collie</w:t>
            </w:r>
          </w:p>
        </w:tc>
        <w:tc>
          <w:tcPr>
            <w:tcW w:w="2173" w:type="dxa"/>
            <w:vAlign w:val="bottom"/>
          </w:tcPr>
          <w:p>
            <w:pPr>
              <w:pStyle w:val="yTableNAm"/>
              <w:spacing w:before="100"/>
              <w:jc w:val="center"/>
              <w:rPr>
                <w:rFonts w:ascii="Arial" w:hAnsi="Arial"/>
                <w:b/>
              </w:rPr>
            </w:pPr>
            <w:r>
              <w:t>8.605</w:t>
            </w:r>
          </w:p>
        </w:tc>
        <w:tc>
          <w:tcPr>
            <w:tcW w:w="2174" w:type="dxa"/>
            <w:vAlign w:val="bottom"/>
          </w:tcPr>
          <w:p>
            <w:pPr>
              <w:pStyle w:val="yTableNAm"/>
              <w:spacing w:before="100"/>
              <w:jc w:val="center"/>
              <w:rPr>
                <w:rFonts w:ascii="Arial" w:hAnsi="Arial"/>
                <w:b/>
              </w:rPr>
            </w:pPr>
            <w:r>
              <w:t>10.150</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Corrigin</w:t>
            </w:r>
          </w:p>
        </w:tc>
        <w:tc>
          <w:tcPr>
            <w:tcW w:w="2173" w:type="dxa"/>
            <w:vAlign w:val="bottom"/>
          </w:tcPr>
          <w:p>
            <w:pPr>
              <w:pStyle w:val="yTableNAm"/>
              <w:spacing w:before="100"/>
              <w:jc w:val="center"/>
              <w:rPr>
                <w:rFonts w:ascii="Arial" w:hAnsi="Arial"/>
                <w:b/>
              </w:rPr>
            </w:pPr>
            <w:r>
              <w:t>11.309</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Cowaramup</w:t>
            </w:r>
          </w:p>
        </w:tc>
        <w:tc>
          <w:tcPr>
            <w:tcW w:w="2173" w:type="dxa"/>
            <w:vAlign w:val="bottom"/>
          </w:tcPr>
          <w:p>
            <w:pPr>
              <w:pStyle w:val="yTableNAm"/>
              <w:spacing w:before="100"/>
              <w:jc w:val="center"/>
              <w:rPr>
                <w:rFonts w:ascii="Arial" w:hAnsi="Arial"/>
                <w:b/>
              </w:rPr>
            </w:pPr>
            <w:r>
              <w:t>7.590</w:t>
            </w:r>
          </w:p>
        </w:tc>
        <w:tc>
          <w:tcPr>
            <w:tcW w:w="2174" w:type="dxa"/>
            <w:vAlign w:val="bottom"/>
          </w:tcPr>
          <w:p>
            <w:pPr>
              <w:pStyle w:val="yTableNAm"/>
              <w:spacing w:before="100"/>
              <w:jc w:val="center"/>
              <w:rPr>
                <w:rFonts w:ascii="Arial" w:hAnsi="Arial"/>
                <w:b/>
              </w:rPr>
            </w:pPr>
            <w:r>
              <w:t>8.780</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Cranbrook</w:t>
                </w:r>
              </w:smartTag>
            </w:smartTag>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Cunderdin</w:t>
            </w:r>
          </w:p>
        </w:tc>
        <w:tc>
          <w:tcPr>
            <w:tcW w:w="2173" w:type="dxa"/>
            <w:vAlign w:val="bottom"/>
          </w:tcPr>
          <w:p>
            <w:pPr>
              <w:pStyle w:val="yTableNAm"/>
              <w:spacing w:before="100"/>
              <w:jc w:val="center"/>
              <w:rPr>
                <w:rFonts w:ascii="Arial" w:hAnsi="Arial"/>
                <w:b/>
              </w:rPr>
            </w:pPr>
            <w:r>
              <w:t>8.024</w:t>
            </w:r>
          </w:p>
        </w:tc>
        <w:tc>
          <w:tcPr>
            <w:tcW w:w="2174" w:type="dxa"/>
            <w:vAlign w:val="bottom"/>
          </w:tcPr>
          <w:p>
            <w:pPr>
              <w:pStyle w:val="yTableNAm"/>
              <w:spacing w:before="100"/>
              <w:jc w:val="center"/>
              <w:rPr>
                <w:rFonts w:ascii="Arial" w:hAnsi="Arial"/>
                <w:b/>
              </w:rPr>
            </w:pPr>
            <w:r>
              <w:t>11.476</w:t>
            </w:r>
          </w:p>
        </w:tc>
      </w:tr>
      <w:tr>
        <w:trPr>
          <w:gridAfter w:val="1"/>
          <w:wAfter w:w="33" w:type="dxa"/>
          <w:cantSplit/>
        </w:trPr>
        <w:tc>
          <w:tcPr>
            <w:tcW w:w="2173" w:type="dxa"/>
          </w:tcPr>
          <w:p>
            <w:pPr>
              <w:pStyle w:val="yTableNAm"/>
              <w:spacing w:before="100"/>
            </w:pPr>
            <w:r>
              <w:rPr>
                <w:szCs w:val="22"/>
              </w:rPr>
              <w:t>Dardanup</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9.543</w:t>
            </w:r>
          </w:p>
        </w:tc>
      </w:tr>
      <w:tr>
        <w:trPr>
          <w:gridAfter w:val="1"/>
          <w:wAfter w:w="33" w:type="dxa"/>
          <w:cantSplit/>
        </w:trPr>
        <w:tc>
          <w:tcPr>
            <w:tcW w:w="2173" w:type="dxa"/>
          </w:tcPr>
          <w:p>
            <w:pPr>
              <w:pStyle w:val="yTableNAm"/>
              <w:spacing w:before="100"/>
            </w:pPr>
            <w:r>
              <w:rPr>
                <w:szCs w:val="22"/>
              </w:rPr>
              <w:t>Denham</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ountry-region">
                <w:r>
                  <w:rPr>
                    <w:szCs w:val="22"/>
                  </w:rPr>
                  <w:t>Denmark</w:t>
                </w:r>
              </w:smartTag>
            </w:smartTag>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9.612</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Derby</w:t>
                </w:r>
              </w:smartTag>
            </w:smartTag>
          </w:p>
        </w:tc>
        <w:tc>
          <w:tcPr>
            <w:tcW w:w="2173" w:type="dxa"/>
            <w:vAlign w:val="bottom"/>
          </w:tcPr>
          <w:p>
            <w:pPr>
              <w:pStyle w:val="yTableNAm"/>
              <w:spacing w:before="100"/>
              <w:jc w:val="center"/>
              <w:rPr>
                <w:rFonts w:ascii="Arial" w:hAnsi="Arial"/>
                <w:b/>
              </w:rPr>
            </w:pPr>
            <w:r>
              <w:t>9.313</w:t>
            </w:r>
          </w:p>
        </w:tc>
        <w:tc>
          <w:tcPr>
            <w:tcW w:w="2174" w:type="dxa"/>
            <w:vAlign w:val="bottom"/>
          </w:tcPr>
          <w:p>
            <w:pPr>
              <w:pStyle w:val="yTableNAm"/>
              <w:spacing w:before="100"/>
              <w:jc w:val="center"/>
              <w:rPr>
                <w:rFonts w:ascii="Arial" w:hAnsi="Arial"/>
                <w:b/>
              </w:rPr>
            </w:pPr>
            <w:r>
              <w:t>3.891</w:t>
            </w:r>
          </w:p>
        </w:tc>
      </w:tr>
      <w:tr>
        <w:trPr>
          <w:gridAfter w:val="1"/>
          <w:wAfter w:w="33" w:type="dxa"/>
          <w:cantSplit/>
        </w:trPr>
        <w:tc>
          <w:tcPr>
            <w:tcW w:w="2173" w:type="dxa"/>
          </w:tcPr>
          <w:p>
            <w:pPr>
              <w:pStyle w:val="yTableNAm"/>
              <w:spacing w:before="100"/>
            </w:pPr>
            <w:r>
              <w:rPr>
                <w:szCs w:val="22"/>
              </w:rPr>
              <w:t>Dongara</w:t>
            </w:r>
            <w:r>
              <w:rPr>
                <w:szCs w:val="22"/>
              </w:rPr>
              <w:noBreakHyphen/>
              <w:t>Denison</w:t>
            </w:r>
          </w:p>
        </w:tc>
        <w:tc>
          <w:tcPr>
            <w:tcW w:w="2173" w:type="dxa"/>
            <w:vAlign w:val="bottom"/>
          </w:tcPr>
          <w:p>
            <w:pPr>
              <w:pStyle w:val="yTableNAm"/>
              <w:spacing w:before="100"/>
              <w:jc w:val="center"/>
              <w:rPr>
                <w:rFonts w:ascii="Arial" w:hAnsi="Arial"/>
                <w:b/>
              </w:rPr>
            </w:pPr>
            <w:r>
              <w:t>9.018</w:t>
            </w:r>
          </w:p>
        </w:tc>
        <w:tc>
          <w:tcPr>
            <w:tcW w:w="2174" w:type="dxa"/>
            <w:vAlign w:val="bottom"/>
          </w:tcPr>
          <w:p>
            <w:pPr>
              <w:pStyle w:val="yTableNAm"/>
              <w:spacing w:before="100"/>
              <w:jc w:val="center"/>
              <w:rPr>
                <w:rFonts w:ascii="Arial" w:hAnsi="Arial"/>
                <w:b/>
              </w:rPr>
            </w:pPr>
            <w:r>
              <w:t>5.239</w:t>
            </w:r>
          </w:p>
        </w:tc>
      </w:tr>
      <w:tr>
        <w:trPr>
          <w:gridAfter w:val="1"/>
          <w:wAfter w:w="33" w:type="dxa"/>
          <w:cantSplit/>
        </w:trPr>
        <w:tc>
          <w:tcPr>
            <w:tcW w:w="2173" w:type="dxa"/>
          </w:tcPr>
          <w:p>
            <w:pPr>
              <w:pStyle w:val="yTableNAm"/>
              <w:spacing w:before="100"/>
            </w:pPr>
            <w:r>
              <w:rPr>
                <w:szCs w:val="22"/>
              </w:rPr>
              <w:t>Donnybrook</w:t>
            </w:r>
          </w:p>
        </w:tc>
        <w:tc>
          <w:tcPr>
            <w:tcW w:w="2173" w:type="dxa"/>
            <w:vAlign w:val="bottom"/>
          </w:tcPr>
          <w:p>
            <w:pPr>
              <w:pStyle w:val="yTableNAm"/>
              <w:spacing w:before="100"/>
              <w:jc w:val="center"/>
              <w:rPr>
                <w:rFonts w:ascii="Arial" w:hAnsi="Arial"/>
                <w:b/>
              </w:rPr>
            </w:pPr>
            <w:r>
              <w:t>9.115</w:t>
            </w:r>
          </w:p>
        </w:tc>
        <w:tc>
          <w:tcPr>
            <w:tcW w:w="2174" w:type="dxa"/>
            <w:vAlign w:val="bottom"/>
          </w:tcPr>
          <w:p>
            <w:pPr>
              <w:pStyle w:val="yTableNAm"/>
              <w:spacing w:before="100"/>
              <w:jc w:val="center"/>
              <w:rPr>
                <w:rFonts w:ascii="Arial" w:hAnsi="Arial"/>
                <w:b/>
              </w:rPr>
            </w:pPr>
            <w:r>
              <w:t>9.353</w:t>
            </w:r>
          </w:p>
        </w:tc>
      </w:tr>
      <w:tr>
        <w:trPr>
          <w:gridAfter w:val="1"/>
          <w:wAfter w:w="33" w:type="dxa"/>
          <w:cantSplit/>
        </w:trPr>
        <w:tc>
          <w:tcPr>
            <w:tcW w:w="2173" w:type="dxa"/>
          </w:tcPr>
          <w:p>
            <w:pPr>
              <w:pStyle w:val="yTableNAm"/>
              <w:spacing w:before="100"/>
            </w:pPr>
            <w:r>
              <w:rPr>
                <w:szCs w:val="22"/>
              </w:rPr>
              <w:t>Dunsborough</w:t>
            </w:r>
          </w:p>
        </w:tc>
        <w:tc>
          <w:tcPr>
            <w:tcW w:w="2173" w:type="dxa"/>
            <w:vAlign w:val="bottom"/>
          </w:tcPr>
          <w:p>
            <w:pPr>
              <w:pStyle w:val="yTableNAm"/>
              <w:spacing w:before="100"/>
              <w:jc w:val="center"/>
              <w:rPr>
                <w:rFonts w:ascii="Arial" w:hAnsi="Arial"/>
                <w:b/>
              </w:rPr>
            </w:pPr>
            <w:r>
              <w:t>6.731</w:t>
            </w:r>
          </w:p>
        </w:tc>
        <w:tc>
          <w:tcPr>
            <w:tcW w:w="2174" w:type="dxa"/>
            <w:vAlign w:val="bottom"/>
          </w:tcPr>
          <w:p>
            <w:pPr>
              <w:pStyle w:val="yTableNAm"/>
              <w:spacing w:before="100"/>
              <w:jc w:val="center"/>
              <w:rPr>
                <w:rFonts w:ascii="Arial" w:hAnsi="Arial"/>
                <w:b/>
              </w:rPr>
            </w:pPr>
            <w:r>
              <w:t>5.655</w:t>
            </w:r>
          </w:p>
        </w:tc>
      </w:tr>
      <w:tr>
        <w:trPr>
          <w:gridAfter w:val="1"/>
          <w:wAfter w:w="33" w:type="dxa"/>
          <w:cantSplit/>
        </w:trPr>
        <w:tc>
          <w:tcPr>
            <w:tcW w:w="2173" w:type="dxa"/>
          </w:tcPr>
          <w:p>
            <w:pPr>
              <w:pStyle w:val="yTableNAm"/>
              <w:spacing w:before="100"/>
            </w:pPr>
            <w:r>
              <w:rPr>
                <w:szCs w:val="22"/>
              </w:rPr>
              <w:t>Eaton</w:t>
            </w:r>
          </w:p>
        </w:tc>
        <w:tc>
          <w:tcPr>
            <w:tcW w:w="2173" w:type="dxa"/>
            <w:vAlign w:val="bottom"/>
          </w:tcPr>
          <w:p>
            <w:pPr>
              <w:pStyle w:val="yTableNAm"/>
              <w:spacing w:before="100"/>
              <w:jc w:val="center"/>
              <w:rPr>
                <w:rFonts w:ascii="Arial" w:hAnsi="Arial"/>
                <w:b/>
              </w:rPr>
            </w:pPr>
            <w:r>
              <w:t>10.315</w:t>
            </w:r>
          </w:p>
        </w:tc>
        <w:tc>
          <w:tcPr>
            <w:tcW w:w="2174" w:type="dxa"/>
            <w:vAlign w:val="bottom"/>
          </w:tcPr>
          <w:p>
            <w:pPr>
              <w:pStyle w:val="yTableNAm"/>
              <w:spacing w:before="100"/>
              <w:jc w:val="center"/>
              <w:rPr>
                <w:rFonts w:ascii="Arial" w:hAnsi="Arial"/>
                <w:b/>
              </w:rPr>
            </w:pPr>
            <w:r>
              <w:t>5.660</w:t>
            </w:r>
          </w:p>
        </w:tc>
      </w:tr>
      <w:tr>
        <w:trPr>
          <w:gridAfter w:val="1"/>
          <w:wAfter w:w="33" w:type="dxa"/>
          <w:cantSplit/>
        </w:trPr>
        <w:tc>
          <w:tcPr>
            <w:tcW w:w="2173" w:type="dxa"/>
          </w:tcPr>
          <w:p>
            <w:pPr>
              <w:pStyle w:val="yTableNAm"/>
              <w:spacing w:before="100"/>
            </w:pPr>
            <w:r>
              <w:rPr>
                <w:szCs w:val="22"/>
              </w:rPr>
              <w:t>Eneabba</w:t>
            </w:r>
          </w:p>
        </w:tc>
        <w:tc>
          <w:tcPr>
            <w:tcW w:w="2173" w:type="dxa"/>
            <w:vAlign w:val="bottom"/>
          </w:tcPr>
          <w:p>
            <w:pPr>
              <w:pStyle w:val="yTableNAm"/>
              <w:spacing w:before="100"/>
              <w:jc w:val="center"/>
              <w:rPr>
                <w:rFonts w:ascii="Arial" w:hAnsi="Arial"/>
                <w:b/>
              </w:rPr>
            </w:pPr>
            <w:r>
              <w:t>11.222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Esperance</w:t>
            </w:r>
          </w:p>
        </w:tc>
        <w:tc>
          <w:tcPr>
            <w:tcW w:w="2173" w:type="dxa"/>
            <w:vAlign w:val="bottom"/>
          </w:tcPr>
          <w:p>
            <w:pPr>
              <w:pStyle w:val="yTableNAm"/>
              <w:spacing w:before="100"/>
              <w:jc w:val="center"/>
              <w:rPr>
                <w:rFonts w:ascii="Arial" w:hAnsi="Arial"/>
                <w:b/>
              </w:rPr>
            </w:pPr>
            <w:r>
              <w:t>7.593</w:t>
            </w:r>
          </w:p>
        </w:tc>
        <w:tc>
          <w:tcPr>
            <w:tcW w:w="2174" w:type="dxa"/>
            <w:vAlign w:val="bottom"/>
          </w:tcPr>
          <w:p>
            <w:pPr>
              <w:pStyle w:val="yTableNAm"/>
              <w:spacing w:before="100"/>
              <w:jc w:val="center"/>
              <w:rPr>
                <w:rFonts w:ascii="Arial" w:hAnsi="Arial"/>
                <w:b/>
              </w:rPr>
            </w:pPr>
            <w:r>
              <w:t>6.675</w:t>
            </w:r>
          </w:p>
        </w:tc>
      </w:tr>
      <w:tr>
        <w:trPr>
          <w:gridAfter w:val="1"/>
          <w:wAfter w:w="33" w:type="dxa"/>
          <w:cantSplit/>
        </w:trPr>
        <w:tc>
          <w:tcPr>
            <w:tcW w:w="2173" w:type="dxa"/>
          </w:tcPr>
          <w:p>
            <w:pPr>
              <w:pStyle w:val="yTableNAm"/>
              <w:spacing w:before="100"/>
            </w:pPr>
            <w:r>
              <w:rPr>
                <w:szCs w:val="22"/>
              </w:rPr>
              <w:t>Exmouth</w:t>
            </w:r>
          </w:p>
        </w:tc>
        <w:tc>
          <w:tcPr>
            <w:tcW w:w="2173" w:type="dxa"/>
            <w:vAlign w:val="bottom"/>
          </w:tcPr>
          <w:p>
            <w:pPr>
              <w:pStyle w:val="yTableNAm"/>
              <w:spacing w:before="100"/>
              <w:jc w:val="center"/>
              <w:rPr>
                <w:rFonts w:ascii="Arial" w:hAnsi="Arial"/>
                <w:b/>
              </w:rPr>
            </w:pPr>
            <w:r>
              <w:t>3.949</w:t>
            </w:r>
          </w:p>
        </w:tc>
        <w:tc>
          <w:tcPr>
            <w:tcW w:w="2174" w:type="dxa"/>
            <w:vAlign w:val="bottom"/>
          </w:tcPr>
          <w:p>
            <w:pPr>
              <w:pStyle w:val="yTableNAm"/>
              <w:spacing w:before="100"/>
              <w:jc w:val="center"/>
              <w:rPr>
                <w:rFonts w:ascii="Arial" w:hAnsi="Arial"/>
                <w:b/>
              </w:rPr>
            </w:pPr>
            <w:r>
              <w:t>1.562</w:t>
            </w:r>
          </w:p>
        </w:tc>
      </w:tr>
      <w:tr>
        <w:trPr>
          <w:gridAfter w:val="1"/>
          <w:wAfter w:w="33" w:type="dxa"/>
          <w:cantSplit/>
        </w:trPr>
        <w:tc>
          <w:tcPr>
            <w:tcW w:w="2173" w:type="dxa"/>
          </w:tcPr>
          <w:p>
            <w:pPr>
              <w:pStyle w:val="yTableNAm"/>
              <w:spacing w:before="100"/>
            </w:pPr>
            <w:r>
              <w:rPr>
                <w:szCs w:val="22"/>
              </w:rPr>
              <w:t>Fitzroy Crossing</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11.526</w:t>
            </w:r>
          </w:p>
        </w:tc>
      </w:tr>
      <w:tr>
        <w:trPr>
          <w:gridAfter w:val="1"/>
          <w:wAfter w:w="33" w:type="dxa"/>
          <w:cantSplit/>
        </w:trPr>
        <w:tc>
          <w:tcPr>
            <w:tcW w:w="2173" w:type="dxa"/>
          </w:tcPr>
          <w:p>
            <w:pPr>
              <w:pStyle w:val="yTableNAm"/>
              <w:spacing w:before="100"/>
            </w:pPr>
            <w:r>
              <w:rPr>
                <w:szCs w:val="22"/>
              </w:rPr>
              <w:t>Geraldton</w:t>
            </w:r>
          </w:p>
        </w:tc>
        <w:tc>
          <w:tcPr>
            <w:tcW w:w="2173" w:type="dxa"/>
            <w:vAlign w:val="bottom"/>
          </w:tcPr>
          <w:p>
            <w:pPr>
              <w:pStyle w:val="yTableNAm"/>
              <w:spacing w:before="100"/>
              <w:jc w:val="center"/>
              <w:rPr>
                <w:rFonts w:ascii="Arial" w:hAnsi="Arial"/>
                <w:b/>
              </w:rPr>
            </w:pPr>
            <w:r>
              <w:t>7.192</w:t>
            </w:r>
          </w:p>
        </w:tc>
        <w:tc>
          <w:tcPr>
            <w:tcW w:w="2174" w:type="dxa"/>
            <w:vAlign w:val="bottom"/>
          </w:tcPr>
          <w:p>
            <w:pPr>
              <w:pStyle w:val="yTableNAm"/>
              <w:spacing w:before="100"/>
              <w:jc w:val="center"/>
              <w:rPr>
                <w:rFonts w:ascii="Arial" w:hAnsi="Arial"/>
                <w:b/>
              </w:rPr>
            </w:pPr>
            <w:r>
              <w:t>6.429</w:t>
            </w:r>
          </w:p>
        </w:tc>
      </w:tr>
      <w:tr>
        <w:trPr>
          <w:gridAfter w:val="1"/>
          <w:wAfter w:w="33" w:type="dxa"/>
          <w:cantSplit/>
        </w:trPr>
        <w:tc>
          <w:tcPr>
            <w:tcW w:w="2173" w:type="dxa"/>
          </w:tcPr>
          <w:p>
            <w:pPr>
              <w:pStyle w:val="yTableNAm"/>
              <w:spacing w:before="100"/>
            </w:pPr>
            <w:r>
              <w:rPr>
                <w:szCs w:val="22"/>
              </w:rPr>
              <w:t>Gnarabup</w:t>
            </w:r>
          </w:p>
        </w:tc>
        <w:tc>
          <w:tcPr>
            <w:tcW w:w="2173" w:type="dxa"/>
            <w:vAlign w:val="bottom"/>
          </w:tcPr>
          <w:p>
            <w:pPr>
              <w:pStyle w:val="yTableNAm"/>
              <w:spacing w:before="100"/>
              <w:jc w:val="center"/>
              <w:rPr>
                <w:rFonts w:ascii="Arial" w:hAnsi="Arial"/>
                <w:b/>
              </w:rPr>
            </w:pPr>
            <w:r>
              <w:t>6.265</w:t>
            </w:r>
          </w:p>
        </w:tc>
        <w:tc>
          <w:tcPr>
            <w:tcW w:w="2174" w:type="dxa"/>
            <w:vAlign w:val="bottom"/>
          </w:tcPr>
          <w:p>
            <w:pPr>
              <w:pStyle w:val="yTableNAm"/>
              <w:spacing w:before="100"/>
              <w:jc w:val="center"/>
              <w:rPr>
                <w:rFonts w:ascii="Arial" w:hAnsi="Arial"/>
                <w:b/>
              </w:rPr>
            </w:pPr>
            <w:r>
              <w:t>6.304</w:t>
            </w:r>
          </w:p>
        </w:tc>
      </w:tr>
      <w:tr>
        <w:trPr>
          <w:gridAfter w:val="1"/>
          <w:wAfter w:w="33" w:type="dxa"/>
          <w:cantSplit/>
        </w:trPr>
        <w:tc>
          <w:tcPr>
            <w:tcW w:w="2173" w:type="dxa"/>
          </w:tcPr>
          <w:p>
            <w:pPr>
              <w:pStyle w:val="yTableNAm"/>
              <w:spacing w:before="100"/>
            </w:pPr>
            <w:r>
              <w:rPr>
                <w:szCs w:val="22"/>
              </w:rPr>
              <w:t>Gnowangerup</w:t>
            </w:r>
          </w:p>
        </w:tc>
        <w:tc>
          <w:tcPr>
            <w:tcW w:w="2173" w:type="dxa"/>
            <w:vAlign w:val="bottom"/>
          </w:tcPr>
          <w:p>
            <w:pPr>
              <w:pStyle w:val="yTableNAm"/>
              <w:spacing w:before="100"/>
              <w:jc w:val="center"/>
              <w:rPr>
                <w:rFonts w:ascii="Arial" w:hAnsi="Arial"/>
                <w:b/>
              </w:rPr>
            </w:pPr>
            <w:r>
              <w:t>9.557</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Greenhead</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7.880</w:t>
            </w:r>
          </w:p>
        </w:tc>
      </w:tr>
      <w:tr>
        <w:trPr>
          <w:gridAfter w:val="1"/>
          <w:wAfter w:w="33" w:type="dxa"/>
          <w:cantSplit/>
        </w:trPr>
        <w:tc>
          <w:tcPr>
            <w:tcW w:w="2173" w:type="dxa"/>
          </w:tcPr>
          <w:p>
            <w:pPr>
              <w:pStyle w:val="yTableNAm"/>
              <w:spacing w:before="100"/>
            </w:pPr>
            <w:r>
              <w:rPr>
                <w:szCs w:val="22"/>
              </w:rPr>
              <w:t>Halls Creek</w:t>
            </w:r>
          </w:p>
        </w:tc>
        <w:tc>
          <w:tcPr>
            <w:tcW w:w="2173" w:type="dxa"/>
            <w:vAlign w:val="bottom"/>
          </w:tcPr>
          <w:p>
            <w:pPr>
              <w:pStyle w:val="yTableNAm"/>
              <w:spacing w:before="100"/>
              <w:jc w:val="center"/>
              <w:rPr>
                <w:rFonts w:ascii="Arial" w:hAnsi="Arial"/>
                <w:b/>
              </w:rPr>
            </w:pPr>
            <w:r>
              <w:t>11.721</w:t>
            </w:r>
          </w:p>
        </w:tc>
        <w:tc>
          <w:tcPr>
            <w:tcW w:w="2174" w:type="dxa"/>
            <w:vAlign w:val="bottom"/>
          </w:tcPr>
          <w:p>
            <w:pPr>
              <w:pStyle w:val="yTableNAm"/>
              <w:spacing w:before="100"/>
              <w:jc w:val="center"/>
              <w:rPr>
                <w:rFonts w:ascii="Arial" w:hAnsi="Arial"/>
                <w:b/>
              </w:rPr>
            </w:pPr>
            <w:r>
              <w:t>9.970</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Harvey</w:t>
                </w:r>
              </w:smartTag>
            </w:smartTag>
          </w:p>
        </w:tc>
        <w:tc>
          <w:tcPr>
            <w:tcW w:w="2173" w:type="dxa"/>
            <w:vAlign w:val="bottom"/>
          </w:tcPr>
          <w:p>
            <w:pPr>
              <w:pStyle w:val="yTableNAm"/>
              <w:spacing w:before="100"/>
              <w:jc w:val="center"/>
              <w:rPr>
                <w:rFonts w:ascii="Arial" w:hAnsi="Arial"/>
                <w:b/>
              </w:rPr>
            </w:pPr>
            <w:r>
              <w:t>7.426</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Hopetoun</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Horrocks</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8.465</w:t>
            </w:r>
          </w:p>
        </w:tc>
      </w:tr>
      <w:tr>
        <w:trPr>
          <w:gridAfter w:val="1"/>
          <w:wAfter w:w="33" w:type="dxa"/>
          <w:cantSplit/>
        </w:trPr>
        <w:tc>
          <w:tcPr>
            <w:tcW w:w="2173" w:type="dxa"/>
          </w:tcPr>
          <w:p>
            <w:pPr>
              <w:pStyle w:val="yTableNAm"/>
              <w:spacing w:before="100"/>
            </w:pPr>
            <w:smartTag w:uri="urn:schemas-microsoft-com:office:smarttags" w:element="PlaceName">
              <w:r>
                <w:rPr>
                  <w:szCs w:val="22"/>
                </w:rPr>
                <w:t>Jurien</w:t>
              </w:r>
            </w:smartTag>
            <w:r>
              <w:rPr>
                <w:szCs w:val="22"/>
              </w:rPr>
              <w:t xml:space="preserve"> Bay</w:t>
            </w:r>
          </w:p>
        </w:tc>
        <w:tc>
          <w:tcPr>
            <w:tcW w:w="2173" w:type="dxa"/>
            <w:vAlign w:val="bottom"/>
          </w:tcPr>
          <w:p>
            <w:pPr>
              <w:pStyle w:val="yTableNAm"/>
              <w:spacing w:before="100"/>
              <w:jc w:val="center"/>
              <w:rPr>
                <w:rFonts w:ascii="Arial" w:hAnsi="Arial"/>
                <w:b/>
              </w:rPr>
            </w:pPr>
            <w:r>
              <w:t>8.440</w:t>
            </w:r>
          </w:p>
        </w:tc>
        <w:tc>
          <w:tcPr>
            <w:tcW w:w="2174" w:type="dxa"/>
            <w:vAlign w:val="bottom"/>
          </w:tcPr>
          <w:p>
            <w:pPr>
              <w:pStyle w:val="yTableNAm"/>
              <w:spacing w:before="100"/>
              <w:jc w:val="center"/>
              <w:rPr>
                <w:rFonts w:ascii="Arial" w:hAnsi="Arial"/>
                <w:b/>
              </w:rPr>
            </w:pPr>
            <w:r>
              <w:t>7.214</w:t>
            </w:r>
          </w:p>
        </w:tc>
      </w:tr>
      <w:tr>
        <w:trPr>
          <w:gridAfter w:val="1"/>
          <w:wAfter w:w="33" w:type="dxa"/>
          <w:cantSplit/>
        </w:trPr>
        <w:tc>
          <w:tcPr>
            <w:tcW w:w="2173" w:type="dxa"/>
          </w:tcPr>
          <w:p>
            <w:pPr>
              <w:pStyle w:val="yTableNAm"/>
              <w:spacing w:before="100"/>
            </w:pPr>
            <w:r>
              <w:rPr>
                <w:szCs w:val="22"/>
              </w:rPr>
              <w:t>Kalbarri</w:t>
            </w:r>
          </w:p>
        </w:tc>
        <w:tc>
          <w:tcPr>
            <w:tcW w:w="2173" w:type="dxa"/>
            <w:vAlign w:val="bottom"/>
          </w:tcPr>
          <w:p>
            <w:pPr>
              <w:pStyle w:val="yTableNAm"/>
              <w:spacing w:before="100"/>
              <w:jc w:val="center"/>
              <w:rPr>
                <w:rFonts w:ascii="Arial" w:hAnsi="Arial"/>
                <w:b/>
              </w:rPr>
            </w:pPr>
            <w:r>
              <w:t>8.765</w:t>
            </w:r>
          </w:p>
        </w:tc>
        <w:tc>
          <w:tcPr>
            <w:tcW w:w="2174" w:type="dxa"/>
            <w:vAlign w:val="bottom"/>
          </w:tcPr>
          <w:p>
            <w:pPr>
              <w:pStyle w:val="yTableNAm"/>
              <w:spacing w:before="100"/>
              <w:jc w:val="center"/>
              <w:rPr>
                <w:rFonts w:ascii="Arial" w:hAnsi="Arial"/>
                <w:b/>
              </w:rPr>
            </w:pPr>
            <w:r>
              <w:t>10.015</w:t>
            </w:r>
          </w:p>
        </w:tc>
      </w:tr>
      <w:tr>
        <w:trPr>
          <w:gridAfter w:val="1"/>
          <w:wAfter w:w="33" w:type="dxa"/>
          <w:cantSplit/>
        </w:trPr>
        <w:tc>
          <w:tcPr>
            <w:tcW w:w="2173" w:type="dxa"/>
          </w:tcPr>
          <w:p>
            <w:pPr>
              <w:pStyle w:val="yTableNAm"/>
              <w:spacing w:before="100"/>
            </w:pPr>
            <w:r>
              <w:rPr>
                <w:szCs w:val="22"/>
              </w:rPr>
              <w:t>Kambalda</w:t>
            </w:r>
          </w:p>
        </w:tc>
        <w:tc>
          <w:tcPr>
            <w:tcW w:w="2173" w:type="dxa"/>
            <w:vAlign w:val="bottom"/>
          </w:tcPr>
          <w:p>
            <w:pPr>
              <w:pStyle w:val="yTableNAm"/>
              <w:spacing w:before="100"/>
              <w:jc w:val="center"/>
              <w:rPr>
                <w:rFonts w:ascii="Arial" w:hAnsi="Arial"/>
                <w:b/>
              </w:rPr>
            </w:pPr>
            <w:r>
              <w:t>6.982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Karratha</w:t>
            </w:r>
          </w:p>
        </w:tc>
        <w:tc>
          <w:tcPr>
            <w:tcW w:w="2173" w:type="dxa"/>
            <w:vAlign w:val="bottom"/>
          </w:tcPr>
          <w:p>
            <w:pPr>
              <w:pStyle w:val="yTableNAm"/>
              <w:spacing w:before="100"/>
              <w:jc w:val="center"/>
              <w:rPr>
                <w:rFonts w:ascii="Arial" w:hAnsi="Arial"/>
                <w:b/>
              </w:rPr>
            </w:pPr>
            <w:r>
              <w:t>0.982</w:t>
            </w:r>
          </w:p>
        </w:tc>
        <w:tc>
          <w:tcPr>
            <w:tcW w:w="2174" w:type="dxa"/>
            <w:vAlign w:val="bottom"/>
          </w:tcPr>
          <w:p>
            <w:pPr>
              <w:pStyle w:val="yTableNAm"/>
              <w:spacing w:before="100"/>
              <w:jc w:val="center"/>
              <w:rPr>
                <w:rFonts w:ascii="Arial" w:hAnsi="Arial"/>
                <w:b/>
              </w:rPr>
            </w:pPr>
            <w:r>
              <w:t>3.405</w:t>
            </w:r>
          </w:p>
        </w:tc>
      </w:tr>
      <w:tr>
        <w:trPr>
          <w:gridAfter w:val="1"/>
          <w:wAfter w:w="33" w:type="dxa"/>
          <w:cantSplit/>
        </w:trPr>
        <w:tc>
          <w:tcPr>
            <w:tcW w:w="2173" w:type="dxa"/>
          </w:tcPr>
          <w:p>
            <w:pPr>
              <w:pStyle w:val="yTableNAm"/>
              <w:spacing w:before="100"/>
            </w:pPr>
            <w:r>
              <w:rPr>
                <w:szCs w:val="22"/>
              </w:rPr>
              <w:t>Katanning</w:t>
            </w:r>
          </w:p>
        </w:tc>
        <w:tc>
          <w:tcPr>
            <w:tcW w:w="2173" w:type="dxa"/>
            <w:vAlign w:val="bottom"/>
          </w:tcPr>
          <w:p>
            <w:pPr>
              <w:pStyle w:val="yTableNAm"/>
              <w:spacing w:before="100"/>
              <w:jc w:val="center"/>
              <w:rPr>
                <w:rFonts w:ascii="Arial" w:hAnsi="Arial"/>
                <w:b/>
              </w:rPr>
            </w:pPr>
            <w:r>
              <w:t>7.052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Kellerberrin</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Kojonup</w:t>
            </w:r>
          </w:p>
        </w:tc>
        <w:tc>
          <w:tcPr>
            <w:tcW w:w="2173" w:type="dxa"/>
            <w:vAlign w:val="bottom"/>
          </w:tcPr>
          <w:p>
            <w:pPr>
              <w:pStyle w:val="yTableNAm"/>
              <w:spacing w:before="100"/>
              <w:jc w:val="center"/>
              <w:rPr>
                <w:rFonts w:ascii="Arial" w:hAnsi="Arial"/>
                <w:b/>
              </w:rPr>
            </w:pPr>
            <w:r>
              <w:t>10.080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Kulin</w:t>
            </w:r>
          </w:p>
        </w:tc>
        <w:tc>
          <w:tcPr>
            <w:tcW w:w="2173" w:type="dxa"/>
            <w:vAlign w:val="bottom"/>
          </w:tcPr>
          <w:p>
            <w:pPr>
              <w:pStyle w:val="yTableNAm"/>
              <w:spacing w:before="100"/>
              <w:jc w:val="center"/>
              <w:rPr>
                <w:rFonts w:ascii="Arial" w:hAnsi="Arial"/>
                <w:b/>
              </w:rPr>
            </w:pPr>
            <w:r>
              <w:t>9.678</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Kununurra</w:t>
            </w:r>
          </w:p>
        </w:tc>
        <w:tc>
          <w:tcPr>
            <w:tcW w:w="2173" w:type="dxa"/>
            <w:vAlign w:val="bottom"/>
          </w:tcPr>
          <w:p>
            <w:pPr>
              <w:pStyle w:val="yTableNAm"/>
              <w:spacing w:before="100"/>
              <w:jc w:val="center"/>
              <w:rPr>
                <w:rFonts w:ascii="Arial" w:hAnsi="Arial"/>
                <w:b/>
              </w:rPr>
            </w:pPr>
            <w:r>
              <w:t>4.382</w:t>
            </w:r>
          </w:p>
        </w:tc>
        <w:tc>
          <w:tcPr>
            <w:tcW w:w="2174" w:type="dxa"/>
            <w:vAlign w:val="bottom"/>
          </w:tcPr>
          <w:p>
            <w:pPr>
              <w:pStyle w:val="yTableNAm"/>
              <w:spacing w:before="100"/>
              <w:jc w:val="center"/>
              <w:rPr>
                <w:rFonts w:ascii="Arial" w:hAnsi="Arial"/>
                <w:b/>
              </w:rPr>
            </w:pPr>
            <w:r>
              <w:t>6.120</w:t>
            </w:r>
          </w:p>
        </w:tc>
      </w:tr>
      <w:tr>
        <w:trPr>
          <w:gridAfter w:val="1"/>
          <w:wAfter w:w="33" w:type="dxa"/>
          <w:cantSplit/>
        </w:trPr>
        <w:tc>
          <w:tcPr>
            <w:tcW w:w="2173" w:type="dxa"/>
          </w:tcPr>
          <w:p>
            <w:pPr>
              <w:pStyle w:val="yTableNAm"/>
              <w:spacing w:before="100"/>
            </w:pPr>
            <w:r>
              <w:rPr>
                <w:szCs w:val="22"/>
              </w:rPr>
              <w:t>Lancelin</w:t>
            </w:r>
          </w:p>
        </w:tc>
        <w:tc>
          <w:tcPr>
            <w:tcW w:w="2173" w:type="dxa"/>
            <w:vAlign w:val="bottom"/>
          </w:tcPr>
          <w:p>
            <w:pPr>
              <w:pStyle w:val="yTableNAm"/>
              <w:spacing w:before="100"/>
              <w:jc w:val="center"/>
              <w:rPr>
                <w:rFonts w:ascii="Arial" w:hAnsi="Arial"/>
                <w:b/>
              </w:rPr>
            </w:pPr>
            <w:r>
              <w:t>7.791</w:t>
            </w:r>
          </w:p>
        </w:tc>
        <w:tc>
          <w:tcPr>
            <w:tcW w:w="2174" w:type="dxa"/>
            <w:vAlign w:val="bottom"/>
          </w:tcPr>
          <w:p>
            <w:pPr>
              <w:pStyle w:val="yTableNAm"/>
              <w:spacing w:before="100"/>
              <w:jc w:val="center"/>
              <w:rPr>
                <w:rFonts w:ascii="Arial" w:hAnsi="Arial"/>
                <w:b/>
              </w:rPr>
            </w:pPr>
            <w:r>
              <w:t>3.179</w:t>
            </w:r>
          </w:p>
        </w:tc>
      </w:tr>
      <w:tr>
        <w:trPr>
          <w:gridAfter w:val="1"/>
          <w:wAfter w:w="33" w:type="dxa"/>
          <w:cantSplit/>
        </w:trPr>
        <w:tc>
          <w:tcPr>
            <w:tcW w:w="2173" w:type="dxa"/>
          </w:tcPr>
          <w:p>
            <w:pPr>
              <w:pStyle w:val="yTableNAm"/>
              <w:spacing w:before="100"/>
            </w:pPr>
            <w:r>
              <w:rPr>
                <w:szCs w:val="22"/>
              </w:rPr>
              <w:t>Laverton</w:t>
            </w:r>
          </w:p>
        </w:tc>
        <w:tc>
          <w:tcPr>
            <w:tcW w:w="2173" w:type="dxa"/>
            <w:vAlign w:val="bottom"/>
          </w:tcPr>
          <w:p>
            <w:pPr>
              <w:pStyle w:val="yTableNAm"/>
              <w:spacing w:before="100"/>
              <w:jc w:val="center"/>
              <w:rPr>
                <w:rFonts w:ascii="Arial" w:hAnsi="Arial"/>
                <w:b/>
              </w:rPr>
            </w:pPr>
            <w:r>
              <w:t>10.136</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Ledge Point</w:t>
            </w:r>
          </w:p>
        </w:tc>
        <w:tc>
          <w:tcPr>
            <w:tcW w:w="2173" w:type="dxa"/>
            <w:vAlign w:val="bottom"/>
          </w:tcPr>
          <w:p>
            <w:pPr>
              <w:pStyle w:val="yTableNAm"/>
              <w:spacing w:before="100"/>
              <w:jc w:val="center"/>
              <w:rPr>
                <w:rFonts w:ascii="Arial" w:hAnsi="Arial"/>
                <w:b/>
              </w:rPr>
            </w:pPr>
            <w:r>
              <w:t>5.841</w:t>
            </w:r>
          </w:p>
        </w:tc>
        <w:tc>
          <w:tcPr>
            <w:tcW w:w="2174" w:type="dxa"/>
            <w:vAlign w:val="bottom"/>
          </w:tcPr>
          <w:p>
            <w:pPr>
              <w:pStyle w:val="yTableNAm"/>
              <w:spacing w:before="100"/>
              <w:jc w:val="center"/>
              <w:rPr>
                <w:rFonts w:ascii="Arial" w:hAnsi="Arial"/>
                <w:b/>
              </w:rPr>
            </w:pPr>
            <w:r>
              <w:t>3.946</w:t>
            </w:r>
          </w:p>
        </w:tc>
      </w:tr>
      <w:tr>
        <w:trPr>
          <w:gridAfter w:val="1"/>
          <w:wAfter w:w="33" w:type="dxa"/>
          <w:cantSplit/>
        </w:trPr>
        <w:tc>
          <w:tcPr>
            <w:tcW w:w="2173" w:type="dxa"/>
          </w:tcPr>
          <w:p>
            <w:pPr>
              <w:pStyle w:val="yTableNAm"/>
              <w:spacing w:before="100"/>
            </w:pPr>
            <w:r>
              <w:rPr>
                <w:szCs w:val="22"/>
              </w:rPr>
              <w:t>Leeman</w:t>
            </w:r>
          </w:p>
        </w:tc>
        <w:tc>
          <w:tcPr>
            <w:tcW w:w="2173" w:type="dxa"/>
            <w:vAlign w:val="bottom"/>
          </w:tcPr>
          <w:p>
            <w:pPr>
              <w:pStyle w:val="yTableNAm"/>
              <w:spacing w:before="100"/>
              <w:jc w:val="center"/>
              <w:rPr>
                <w:rFonts w:ascii="Arial" w:hAnsi="Arial"/>
                <w:b/>
              </w:rPr>
            </w:pPr>
            <w:r>
              <w:t>8.789</w:t>
            </w:r>
          </w:p>
        </w:tc>
        <w:tc>
          <w:tcPr>
            <w:tcW w:w="2174" w:type="dxa"/>
            <w:vAlign w:val="bottom"/>
          </w:tcPr>
          <w:p>
            <w:pPr>
              <w:pStyle w:val="yTableNAm"/>
              <w:spacing w:before="100"/>
              <w:jc w:val="center"/>
              <w:rPr>
                <w:rFonts w:ascii="Arial" w:hAnsi="Arial"/>
                <w:b/>
              </w:rPr>
            </w:pPr>
            <w:r>
              <w:t>7.132</w:t>
            </w:r>
          </w:p>
        </w:tc>
      </w:tr>
      <w:tr>
        <w:trPr>
          <w:gridAfter w:val="1"/>
          <w:wAfter w:w="33" w:type="dxa"/>
          <w:cantSplit/>
        </w:trPr>
        <w:tc>
          <w:tcPr>
            <w:tcW w:w="2173" w:type="dxa"/>
          </w:tcPr>
          <w:p>
            <w:pPr>
              <w:pStyle w:val="yTableNAm"/>
              <w:spacing w:before="100"/>
            </w:pPr>
            <w:r>
              <w:rPr>
                <w:szCs w:val="22"/>
              </w:rPr>
              <w:t>Leonora</w:t>
            </w:r>
          </w:p>
        </w:tc>
        <w:tc>
          <w:tcPr>
            <w:tcW w:w="2173" w:type="dxa"/>
            <w:vAlign w:val="bottom"/>
          </w:tcPr>
          <w:p>
            <w:pPr>
              <w:pStyle w:val="yTableNAm"/>
              <w:spacing w:before="100"/>
              <w:jc w:val="center"/>
              <w:rPr>
                <w:rFonts w:ascii="Arial" w:hAnsi="Arial"/>
                <w:b/>
              </w:rPr>
            </w:pPr>
            <w:r>
              <w:t>9.544</w:t>
            </w:r>
          </w:p>
        </w:tc>
        <w:tc>
          <w:tcPr>
            <w:tcW w:w="2174" w:type="dxa"/>
            <w:vAlign w:val="bottom"/>
          </w:tcPr>
          <w:p>
            <w:pPr>
              <w:pStyle w:val="yTableNAm"/>
              <w:spacing w:before="100"/>
              <w:jc w:val="center"/>
              <w:rPr>
                <w:rFonts w:ascii="Arial" w:hAnsi="Arial"/>
                <w:b/>
              </w:rPr>
            </w:pPr>
            <w:r>
              <w:t>11.948</w:t>
            </w:r>
          </w:p>
        </w:tc>
      </w:tr>
      <w:tr>
        <w:trPr>
          <w:gridAfter w:val="1"/>
          <w:wAfter w:w="33" w:type="dxa"/>
          <w:cantSplit/>
        </w:trPr>
        <w:tc>
          <w:tcPr>
            <w:tcW w:w="2173" w:type="dxa"/>
          </w:tcPr>
          <w:p>
            <w:pPr>
              <w:pStyle w:val="yTableNAm"/>
              <w:spacing w:before="100"/>
            </w:pPr>
            <w:r>
              <w:rPr>
                <w:szCs w:val="22"/>
              </w:rPr>
              <w:t>Mandurah</w:t>
            </w:r>
          </w:p>
        </w:tc>
        <w:tc>
          <w:tcPr>
            <w:tcW w:w="2173" w:type="dxa"/>
            <w:vAlign w:val="bottom"/>
          </w:tcPr>
          <w:p>
            <w:pPr>
              <w:pStyle w:val="yTableNAm"/>
              <w:spacing w:before="100"/>
              <w:jc w:val="center"/>
              <w:rPr>
                <w:rFonts w:ascii="Arial" w:hAnsi="Arial"/>
                <w:b/>
              </w:rPr>
            </w:pPr>
            <w:r>
              <w:t>5.384</w:t>
            </w:r>
          </w:p>
        </w:tc>
        <w:tc>
          <w:tcPr>
            <w:tcW w:w="2174" w:type="dxa"/>
            <w:vAlign w:val="bottom"/>
          </w:tcPr>
          <w:p>
            <w:pPr>
              <w:pStyle w:val="yTableNAm"/>
              <w:spacing w:before="100"/>
              <w:jc w:val="center"/>
              <w:rPr>
                <w:rFonts w:ascii="Arial" w:hAnsi="Arial"/>
                <w:b/>
              </w:rPr>
            </w:pPr>
            <w:r>
              <w:t>6.333</w:t>
            </w:r>
          </w:p>
        </w:tc>
      </w:tr>
      <w:tr>
        <w:trPr>
          <w:gridAfter w:val="1"/>
          <w:wAfter w:w="33" w:type="dxa"/>
          <w:cantSplit/>
        </w:trPr>
        <w:tc>
          <w:tcPr>
            <w:tcW w:w="2173" w:type="dxa"/>
          </w:tcPr>
          <w:p>
            <w:pPr>
              <w:pStyle w:val="yTableNAm"/>
              <w:spacing w:before="100"/>
            </w:pPr>
            <w:r>
              <w:rPr>
                <w:szCs w:val="22"/>
              </w:rPr>
              <w:t>Manjimup</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9.229</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2173" w:type="dxa"/>
            <w:vAlign w:val="bottom"/>
          </w:tcPr>
          <w:p>
            <w:pPr>
              <w:pStyle w:val="yTableNAm"/>
              <w:spacing w:before="100"/>
              <w:jc w:val="center"/>
              <w:rPr>
                <w:rFonts w:ascii="Arial" w:hAnsi="Arial"/>
                <w:b/>
              </w:rPr>
            </w:pPr>
            <w:r>
              <w:t>8.341</w:t>
            </w:r>
          </w:p>
        </w:tc>
        <w:tc>
          <w:tcPr>
            <w:tcW w:w="2174" w:type="dxa"/>
            <w:vAlign w:val="bottom"/>
          </w:tcPr>
          <w:p>
            <w:pPr>
              <w:pStyle w:val="yTableNAm"/>
              <w:spacing w:before="100"/>
              <w:jc w:val="center"/>
              <w:rPr>
                <w:rFonts w:ascii="Arial" w:hAnsi="Arial"/>
                <w:b/>
              </w:rPr>
            </w:pPr>
            <w:r>
              <w:t>7.083</w:t>
            </w:r>
          </w:p>
        </w:tc>
      </w:tr>
      <w:tr>
        <w:trPr>
          <w:gridAfter w:val="1"/>
          <w:wAfter w:w="33" w:type="dxa"/>
          <w:cantSplit/>
        </w:trPr>
        <w:tc>
          <w:tcPr>
            <w:tcW w:w="2173" w:type="dxa"/>
          </w:tcPr>
          <w:p>
            <w:pPr>
              <w:pStyle w:val="yTableNAm"/>
              <w:spacing w:before="100"/>
            </w:pPr>
            <w:r>
              <w:rPr>
                <w:szCs w:val="22"/>
              </w:rPr>
              <w:t>Meckering</w:t>
            </w:r>
          </w:p>
        </w:tc>
        <w:tc>
          <w:tcPr>
            <w:tcW w:w="2173" w:type="dxa"/>
            <w:vAlign w:val="bottom"/>
          </w:tcPr>
          <w:p>
            <w:pPr>
              <w:pStyle w:val="yTableNAm"/>
              <w:spacing w:before="100"/>
              <w:jc w:val="center"/>
              <w:rPr>
                <w:rFonts w:ascii="Arial" w:hAnsi="Arial"/>
                <w:b/>
              </w:rPr>
            </w:pPr>
            <w:r>
              <w:t>10.761</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Merredin</w:t>
            </w:r>
          </w:p>
        </w:tc>
        <w:tc>
          <w:tcPr>
            <w:tcW w:w="2173" w:type="dxa"/>
            <w:vAlign w:val="bottom"/>
          </w:tcPr>
          <w:p>
            <w:pPr>
              <w:pStyle w:val="yTableNAm"/>
              <w:spacing w:before="100"/>
              <w:jc w:val="center"/>
              <w:rPr>
                <w:rFonts w:ascii="Arial" w:hAnsi="Arial"/>
                <w:b/>
              </w:rPr>
            </w:pPr>
            <w:r>
              <w:t>8.455</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2173" w:type="dxa"/>
            <w:vAlign w:val="bottom"/>
          </w:tcPr>
          <w:p>
            <w:pPr>
              <w:pStyle w:val="yTableNAm"/>
              <w:spacing w:before="100"/>
              <w:jc w:val="center"/>
              <w:rPr>
                <w:rFonts w:ascii="Arial" w:hAnsi="Arial"/>
                <w:b/>
              </w:rPr>
            </w:pPr>
            <w:r>
              <w:t>11.900</w:t>
            </w:r>
          </w:p>
        </w:tc>
        <w:tc>
          <w:tcPr>
            <w:tcW w:w="2174" w:type="dxa"/>
            <w:vAlign w:val="bottom"/>
          </w:tcPr>
          <w:p>
            <w:pPr>
              <w:pStyle w:val="yTableNAm"/>
              <w:spacing w:before="100"/>
              <w:jc w:val="center"/>
              <w:rPr>
                <w:rFonts w:ascii="Arial" w:hAnsi="Arial"/>
                <w:b/>
              </w:rPr>
            </w:pPr>
            <w:r>
              <w:t>6.358</w:t>
            </w:r>
          </w:p>
        </w:tc>
      </w:tr>
      <w:tr>
        <w:trPr>
          <w:gridAfter w:val="1"/>
          <w:wAfter w:w="33" w:type="dxa"/>
          <w:cantSplit/>
        </w:trPr>
        <w:tc>
          <w:tcPr>
            <w:tcW w:w="2173" w:type="dxa"/>
          </w:tcPr>
          <w:p>
            <w:pPr>
              <w:pStyle w:val="yTableNAm"/>
              <w:spacing w:before="100"/>
            </w:pPr>
            <w:r>
              <w:rPr>
                <w:szCs w:val="22"/>
              </w:rPr>
              <w:t>Mukinbudin</w:t>
            </w:r>
          </w:p>
        </w:tc>
        <w:tc>
          <w:tcPr>
            <w:tcW w:w="2173" w:type="dxa"/>
            <w:vAlign w:val="bottom"/>
          </w:tcPr>
          <w:p>
            <w:pPr>
              <w:pStyle w:val="yTableNAm"/>
              <w:spacing w:before="100"/>
              <w:jc w:val="center"/>
              <w:rPr>
                <w:rFonts w:ascii="Arial" w:hAnsi="Arial"/>
                <w:b/>
              </w:rPr>
            </w:pPr>
            <w:r>
              <w:t>9.583</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Nannup</w:t>
            </w:r>
          </w:p>
        </w:tc>
        <w:tc>
          <w:tcPr>
            <w:tcW w:w="2173" w:type="dxa"/>
            <w:vAlign w:val="bottom"/>
          </w:tcPr>
          <w:p>
            <w:pPr>
              <w:pStyle w:val="yTableNAm"/>
              <w:spacing w:before="100"/>
              <w:jc w:val="center"/>
              <w:rPr>
                <w:rFonts w:ascii="Arial" w:hAnsi="Arial"/>
                <w:b/>
              </w:rPr>
            </w:pPr>
            <w:r>
              <w:t>10.670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Narembeen</w:t>
            </w:r>
          </w:p>
        </w:tc>
        <w:tc>
          <w:tcPr>
            <w:tcW w:w="2173" w:type="dxa"/>
            <w:vAlign w:val="bottom"/>
          </w:tcPr>
          <w:p>
            <w:pPr>
              <w:pStyle w:val="yTableNAm"/>
              <w:spacing w:before="100"/>
              <w:jc w:val="center"/>
              <w:rPr>
                <w:rFonts w:ascii="Arial" w:hAnsi="Arial"/>
                <w:b/>
              </w:rPr>
            </w:pPr>
            <w:r>
              <w:t>11.857</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Narrogin</w:t>
            </w:r>
          </w:p>
        </w:tc>
        <w:tc>
          <w:tcPr>
            <w:tcW w:w="2173" w:type="dxa"/>
            <w:vAlign w:val="bottom"/>
          </w:tcPr>
          <w:p>
            <w:pPr>
              <w:pStyle w:val="yTableNAm"/>
              <w:spacing w:before="100"/>
              <w:jc w:val="center"/>
              <w:rPr>
                <w:rFonts w:ascii="Arial" w:hAnsi="Arial"/>
                <w:b/>
              </w:rPr>
            </w:pPr>
            <w:r>
              <w:t>5.647</w:t>
            </w:r>
          </w:p>
        </w:tc>
        <w:tc>
          <w:tcPr>
            <w:tcW w:w="2174" w:type="dxa"/>
            <w:vAlign w:val="bottom"/>
          </w:tcPr>
          <w:p>
            <w:pPr>
              <w:pStyle w:val="yTableNAm"/>
              <w:spacing w:before="100"/>
              <w:jc w:val="center"/>
              <w:rPr>
                <w:rFonts w:ascii="Arial" w:hAnsi="Arial"/>
                <w:b/>
              </w:rPr>
            </w:pPr>
            <w:r>
              <w:t>8.844</w:t>
            </w:r>
          </w:p>
        </w:tc>
      </w:tr>
      <w:tr>
        <w:trPr>
          <w:gridAfter w:val="1"/>
          <w:wAfter w:w="33" w:type="dxa"/>
          <w:cantSplit/>
        </w:trPr>
        <w:tc>
          <w:tcPr>
            <w:tcW w:w="2173" w:type="dxa"/>
          </w:tcPr>
          <w:p>
            <w:pPr>
              <w:pStyle w:val="yTableNAm"/>
              <w:spacing w:before="100"/>
            </w:pPr>
            <w:r>
              <w:rPr>
                <w:szCs w:val="22"/>
              </w:rPr>
              <w:t>Newdegate</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Newman</w:t>
            </w:r>
          </w:p>
        </w:tc>
        <w:tc>
          <w:tcPr>
            <w:tcW w:w="2173" w:type="dxa"/>
            <w:vAlign w:val="bottom"/>
          </w:tcPr>
          <w:p>
            <w:pPr>
              <w:pStyle w:val="yTableNAm"/>
              <w:spacing w:before="100"/>
              <w:jc w:val="center"/>
              <w:rPr>
                <w:rFonts w:ascii="Arial" w:hAnsi="Arial"/>
                <w:b/>
              </w:rPr>
            </w:pPr>
            <w:r>
              <w:t>0.883</w:t>
            </w:r>
          </w:p>
        </w:tc>
        <w:tc>
          <w:tcPr>
            <w:tcW w:w="2174" w:type="dxa"/>
            <w:vAlign w:val="bottom"/>
          </w:tcPr>
          <w:p>
            <w:pPr>
              <w:pStyle w:val="yTableNAm"/>
              <w:spacing w:before="100"/>
              <w:jc w:val="center"/>
              <w:rPr>
                <w:rFonts w:ascii="Arial" w:hAnsi="Arial"/>
                <w:b/>
              </w:rPr>
            </w:pPr>
            <w:r>
              <w:t>0.767</w:t>
            </w:r>
          </w:p>
        </w:tc>
      </w:tr>
      <w:tr>
        <w:trPr>
          <w:gridAfter w:val="1"/>
          <w:wAfter w:w="33" w:type="dxa"/>
          <w:cantSplit/>
        </w:trPr>
        <w:tc>
          <w:tcPr>
            <w:tcW w:w="2173" w:type="dxa"/>
          </w:tcPr>
          <w:p>
            <w:pPr>
              <w:pStyle w:val="yTableNAm"/>
              <w:spacing w:before="100"/>
            </w:pPr>
            <w:r>
              <w:rPr>
                <w:szCs w:val="22"/>
              </w:rPr>
              <w:t>Northam</w:t>
            </w:r>
          </w:p>
        </w:tc>
        <w:tc>
          <w:tcPr>
            <w:tcW w:w="2173" w:type="dxa"/>
            <w:vAlign w:val="bottom"/>
          </w:tcPr>
          <w:p>
            <w:pPr>
              <w:pStyle w:val="yTableNAm"/>
              <w:spacing w:before="100"/>
              <w:jc w:val="center"/>
              <w:rPr>
                <w:rFonts w:ascii="Arial" w:hAnsi="Arial"/>
                <w:b/>
              </w:rPr>
            </w:pPr>
            <w:r>
              <w:t>7.961</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Onslow</w:t>
            </w:r>
          </w:p>
        </w:tc>
        <w:tc>
          <w:tcPr>
            <w:tcW w:w="2173" w:type="dxa"/>
            <w:vAlign w:val="bottom"/>
          </w:tcPr>
          <w:p>
            <w:pPr>
              <w:pStyle w:val="yTableNAm"/>
              <w:spacing w:before="100"/>
              <w:jc w:val="center"/>
              <w:rPr>
                <w:rFonts w:ascii="Arial" w:hAnsi="Arial"/>
                <w:b/>
              </w:rPr>
            </w:pPr>
            <w:r>
              <w:t>11.148</w:t>
            </w:r>
          </w:p>
        </w:tc>
        <w:tc>
          <w:tcPr>
            <w:tcW w:w="2174" w:type="dxa"/>
            <w:vAlign w:val="bottom"/>
          </w:tcPr>
          <w:p>
            <w:pPr>
              <w:pStyle w:val="yTableNAm"/>
              <w:spacing w:before="100"/>
              <w:jc w:val="center"/>
              <w:rPr>
                <w:rFonts w:ascii="Arial" w:hAnsi="Arial"/>
                <w:b/>
              </w:rPr>
            </w:pPr>
            <w:r>
              <w:t>2.532</w:t>
            </w:r>
          </w:p>
        </w:tc>
      </w:tr>
      <w:tr>
        <w:trPr>
          <w:gridAfter w:val="1"/>
          <w:wAfter w:w="33" w:type="dxa"/>
          <w:cantSplit/>
        </w:trPr>
        <w:tc>
          <w:tcPr>
            <w:tcW w:w="2173" w:type="dxa"/>
          </w:tcPr>
          <w:p>
            <w:pPr>
              <w:pStyle w:val="yTableNAm"/>
              <w:spacing w:before="100"/>
            </w:pPr>
            <w:r>
              <w:rPr>
                <w:szCs w:val="22"/>
              </w:rPr>
              <w:t>Pemberton</w:t>
            </w:r>
          </w:p>
        </w:tc>
        <w:tc>
          <w:tcPr>
            <w:tcW w:w="2173" w:type="dxa"/>
            <w:vAlign w:val="bottom"/>
          </w:tcPr>
          <w:p>
            <w:pPr>
              <w:pStyle w:val="yTableNAm"/>
              <w:spacing w:before="100"/>
              <w:jc w:val="center"/>
              <w:rPr>
                <w:rFonts w:ascii="Arial" w:hAnsi="Arial"/>
                <w:b/>
              </w:rPr>
            </w:pPr>
            <w:r>
              <w:t>11.645</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Pingelly</w:t>
            </w:r>
          </w:p>
        </w:tc>
        <w:tc>
          <w:tcPr>
            <w:tcW w:w="2173" w:type="dxa"/>
            <w:vAlign w:val="bottom"/>
          </w:tcPr>
          <w:p>
            <w:pPr>
              <w:pStyle w:val="yTableNAm"/>
              <w:spacing w:before="100"/>
              <w:jc w:val="center"/>
              <w:rPr>
                <w:rFonts w:ascii="Arial" w:hAnsi="Arial"/>
                <w:b/>
              </w:rPr>
            </w:pPr>
            <w:r>
              <w:t>9.857</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Pinjarra</w:t>
            </w:r>
          </w:p>
        </w:tc>
        <w:tc>
          <w:tcPr>
            <w:tcW w:w="2173" w:type="dxa"/>
            <w:vAlign w:val="bottom"/>
          </w:tcPr>
          <w:p>
            <w:pPr>
              <w:pStyle w:val="yTableNAm"/>
              <w:spacing w:before="100"/>
              <w:jc w:val="center"/>
              <w:rPr>
                <w:rFonts w:ascii="Arial" w:hAnsi="Arial"/>
                <w:b/>
              </w:rPr>
            </w:pPr>
            <w:r>
              <w:t>6.948</w:t>
            </w:r>
          </w:p>
        </w:tc>
        <w:tc>
          <w:tcPr>
            <w:tcW w:w="2174" w:type="dxa"/>
            <w:vAlign w:val="bottom"/>
          </w:tcPr>
          <w:p>
            <w:pPr>
              <w:pStyle w:val="yTableNAm"/>
              <w:spacing w:before="100"/>
              <w:jc w:val="center"/>
              <w:rPr>
                <w:rFonts w:ascii="Arial" w:hAnsi="Arial"/>
                <w:b/>
              </w:rPr>
            </w:pPr>
            <w:r>
              <w:t>4.064</w:t>
            </w:r>
          </w:p>
        </w:tc>
      </w:tr>
      <w:tr>
        <w:trPr>
          <w:gridAfter w:val="1"/>
          <w:wAfter w:w="33" w:type="dxa"/>
          <w:cantSplit/>
        </w:trPr>
        <w:tc>
          <w:tcPr>
            <w:tcW w:w="2173" w:type="dxa"/>
          </w:tcPr>
          <w:p>
            <w:pPr>
              <w:pStyle w:val="yTableNAm"/>
              <w:spacing w:before="100"/>
            </w:pPr>
            <w:r>
              <w:rPr>
                <w:szCs w:val="22"/>
              </w:rPr>
              <w:t>Port Hedland</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2.356</w:t>
            </w:r>
          </w:p>
        </w:tc>
      </w:tr>
      <w:tr>
        <w:trPr>
          <w:gridAfter w:val="1"/>
          <w:wAfter w:w="33" w:type="dxa"/>
          <w:cantSplit/>
        </w:trPr>
        <w:tc>
          <w:tcPr>
            <w:tcW w:w="2173" w:type="dxa"/>
          </w:tcPr>
          <w:p>
            <w:pPr>
              <w:pStyle w:val="yTableNAm"/>
              <w:spacing w:before="100"/>
            </w:pPr>
            <w:r>
              <w:rPr>
                <w:szCs w:val="22"/>
              </w:rPr>
              <w:t>Quairading</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10.399</w:t>
            </w:r>
          </w:p>
        </w:tc>
      </w:tr>
      <w:tr>
        <w:trPr>
          <w:gridAfter w:val="1"/>
          <w:wAfter w:w="33" w:type="dxa"/>
          <w:cantSplit/>
        </w:trPr>
        <w:tc>
          <w:tcPr>
            <w:tcW w:w="2173" w:type="dxa"/>
          </w:tcPr>
          <w:p>
            <w:pPr>
              <w:pStyle w:val="yTableNAm"/>
              <w:spacing w:before="100"/>
            </w:pPr>
            <w:r>
              <w:rPr>
                <w:szCs w:val="22"/>
              </w:rPr>
              <w:t>Roebourne</w:t>
            </w:r>
          </w:p>
        </w:tc>
        <w:tc>
          <w:tcPr>
            <w:tcW w:w="2173" w:type="dxa"/>
            <w:vAlign w:val="bottom"/>
          </w:tcPr>
          <w:p>
            <w:pPr>
              <w:pStyle w:val="yTableNAm"/>
              <w:spacing w:before="100"/>
              <w:jc w:val="center"/>
              <w:rPr>
                <w:rFonts w:ascii="Arial" w:hAnsi="Arial"/>
                <w:b/>
              </w:rPr>
            </w:pPr>
            <w:r>
              <w:t>7.579</w:t>
            </w:r>
          </w:p>
        </w:tc>
        <w:tc>
          <w:tcPr>
            <w:tcW w:w="2174" w:type="dxa"/>
            <w:vAlign w:val="bottom"/>
          </w:tcPr>
          <w:p>
            <w:pPr>
              <w:pStyle w:val="yTableNAm"/>
              <w:spacing w:before="100"/>
              <w:jc w:val="center"/>
              <w:rPr>
                <w:rFonts w:ascii="Arial" w:hAnsi="Arial"/>
                <w:b/>
              </w:rPr>
            </w:pPr>
            <w:r>
              <w:t>9.148</w:t>
            </w:r>
          </w:p>
        </w:tc>
      </w:tr>
      <w:tr>
        <w:trPr>
          <w:gridAfter w:val="1"/>
          <w:wAfter w:w="33" w:type="dxa"/>
          <w:cantSplit/>
        </w:trPr>
        <w:tc>
          <w:tcPr>
            <w:tcW w:w="2173" w:type="dxa"/>
          </w:tcPr>
          <w:p>
            <w:pPr>
              <w:pStyle w:val="yTableNAm"/>
              <w:spacing w:before="100"/>
            </w:pPr>
            <w:r>
              <w:rPr>
                <w:szCs w:val="22"/>
              </w:rPr>
              <w:t>Seabird</w:t>
            </w:r>
          </w:p>
        </w:tc>
        <w:tc>
          <w:tcPr>
            <w:tcW w:w="2173" w:type="dxa"/>
            <w:vAlign w:val="bottom"/>
          </w:tcPr>
          <w:p>
            <w:pPr>
              <w:pStyle w:val="yTableNAm"/>
              <w:spacing w:before="100"/>
              <w:jc w:val="center"/>
              <w:rPr>
                <w:rFonts w:ascii="Arial" w:hAnsi="Arial"/>
                <w:b/>
              </w:rPr>
            </w:pPr>
            <w:r>
              <w:t>8.914</w:t>
            </w:r>
          </w:p>
        </w:tc>
        <w:tc>
          <w:tcPr>
            <w:tcW w:w="2174" w:type="dxa"/>
            <w:vAlign w:val="bottom"/>
          </w:tcPr>
          <w:p>
            <w:pPr>
              <w:pStyle w:val="yTableNAm"/>
              <w:spacing w:before="100"/>
              <w:jc w:val="center"/>
              <w:rPr>
                <w:rFonts w:ascii="Arial" w:hAnsi="Arial"/>
                <w:b/>
              </w:rPr>
            </w:pPr>
            <w:r>
              <w:t>6.511</w:t>
            </w:r>
          </w:p>
        </w:tc>
      </w:tr>
      <w:tr>
        <w:tblPrEx>
          <w:tblCellMar>
            <w:left w:w="108" w:type="dxa"/>
            <w:right w:w="108" w:type="dxa"/>
          </w:tblCellMar>
        </w:tblPrEx>
        <w:trPr>
          <w:cantSplit/>
        </w:trPr>
        <w:tc>
          <w:tcPr>
            <w:tcW w:w="2173" w:type="dxa"/>
          </w:tcPr>
          <w:p>
            <w:pPr>
              <w:pStyle w:val="yTableNAm"/>
              <w:spacing w:before="100"/>
            </w:pPr>
            <w:r>
              <w:rPr>
                <w:szCs w:val="22"/>
              </w:rPr>
              <w:t>Tambellup</w:t>
            </w:r>
          </w:p>
        </w:tc>
        <w:tc>
          <w:tcPr>
            <w:tcW w:w="2173" w:type="dxa"/>
            <w:vAlign w:val="bottom"/>
          </w:tcPr>
          <w:p>
            <w:pPr>
              <w:pStyle w:val="yTableNAm"/>
              <w:spacing w:before="100"/>
              <w:jc w:val="center"/>
              <w:rPr>
                <w:rFonts w:ascii="Arial" w:hAnsi="Arial"/>
                <w:b/>
              </w:rPr>
            </w:pPr>
            <w:r>
              <w:t>12.000</w:t>
            </w:r>
          </w:p>
        </w:tc>
        <w:tc>
          <w:tcPr>
            <w:tcW w:w="2207" w:type="dxa"/>
            <w:gridSpan w:val="2"/>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Three Springs</w:t>
            </w:r>
          </w:p>
        </w:tc>
        <w:tc>
          <w:tcPr>
            <w:tcW w:w="2173" w:type="dxa"/>
            <w:vAlign w:val="bottom"/>
          </w:tcPr>
          <w:p>
            <w:pPr>
              <w:pStyle w:val="yTableNAm"/>
              <w:spacing w:before="100"/>
              <w:jc w:val="center"/>
              <w:rPr>
                <w:rFonts w:ascii="Arial" w:hAnsi="Arial"/>
                <w:b/>
              </w:rPr>
            </w:pPr>
            <w:r>
              <w:t>8.272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Toodyay</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8.547</w:t>
            </w:r>
          </w:p>
        </w:tc>
      </w:tr>
      <w:tr>
        <w:trPr>
          <w:gridAfter w:val="1"/>
          <w:wAfter w:w="33" w:type="dxa"/>
          <w:cantSplit/>
        </w:trPr>
        <w:tc>
          <w:tcPr>
            <w:tcW w:w="2173" w:type="dxa"/>
          </w:tcPr>
          <w:p>
            <w:pPr>
              <w:pStyle w:val="yTableNAm"/>
              <w:spacing w:before="100"/>
            </w:pPr>
            <w:r>
              <w:rPr>
                <w:szCs w:val="22"/>
              </w:rPr>
              <w:t>Wagin</w:t>
            </w:r>
          </w:p>
        </w:tc>
        <w:tc>
          <w:tcPr>
            <w:tcW w:w="2173" w:type="dxa"/>
            <w:vAlign w:val="bottom"/>
          </w:tcPr>
          <w:p>
            <w:pPr>
              <w:pStyle w:val="yTableNAm"/>
              <w:spacing w:before="100"/>
              <w:jc w:val="center"/>
              <w:rPr>
                <w:rFonts w:ascii="Arial" w:hAnsi="Arial"/>
                <w:b/>
              </w:rPr>
            </w:pPr>
            <w:r>
              <w:t>11.263</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Walpole</w:t>
                </w:r>
              </w:smartTag>
            </w:smartTag>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11.503</w:t>
            </w:r>
          </w:p>
        </w:tc>
      </w:tr>
      <w:tr>
        <w:trPr>
          <w:gridAfter w:val="1"/>
          <w:wAfter w:w="33" w:type="dxa"/>
          <w:cantSplit/>
        </w:trPr>
        <w:tc>
          <w:tcPr>
            <w:tcW w:w="2173" w:type="dxa"/>
          </w:tcPr>
          <w:p>
            <w:pPr>
              <w:pStyle w:val="yTableNAm"/>
              <w:spacing w:before="100"/>
            </w:pPr>
            <w:r>
              <w:rPr>
                <w:szCs w:val="22"/>
              </w:rPr>
              <w:t>Waroona</w:t>
            </w:r>
          </w:p>
        </w:tc>
        <w:tc>
          <w:tcPr>
            <w:tcW w:w="2173" w:type="dxa"/>
            <w:vAlign w:val="bottom"/>
          </w:tcPr>
          <w:p>
            <w:pPr>
              <w:pStyle w:val="yTableNAm"/>
              <w:spacing w:before="100"/>
              <w:jc w:val="center"/>
              <w:rPr>
                <w:rFonts w:ascii="Arial" w:hAnsi="Arial"/>
                <w:b/>
              </w:rPr>
            </w:pPr>
            <w:r>
              <w:t>5.332</w:t>
            </w:r>
          </w:p>
        </w:tc>
        <w:tc>
          <w:tcPr>
            <w:tcW w:w="2174" w:type="dxa"/>
            <w:vAlign w:val="bottom"/>
          </w:tcPr>
          <w:p>
            <w:pPr>
              <w:pStyle w:val="yTableNAm"/>
              <w:spacing w:before="100"/>
              <w:jc w:val="center"/>
              <w:rPr>
                <w:rFonts w:ascii="Arial" w:hAnsi="Arial"/>
                <w:b/>
              </w:rPr>
            </w:pPr>
            <w:r>
              <w:t>7.771</w:t>
            </w:r>
          </w:p>
        </w:tc>
      </w:tr>
      <w:tr>
        <w:trPr>
          <w:gridAfter w:val="1"/>
          <w:wAfter w:w="33" w:type="dxa"/>
          <w:cantSplit/>
        </w:trPr>
        <w:tc>
          <w:tcPr>
            <w:tcW w:w="2173" w:type="dxa"/>
          </w:tcPr>
          <w:p>
            <w:pPr>
              <w:pStyle w:val="yTableNAm"/>
              <w:spacing w:before="100"/>
            </w:pPr>
            <w:r>
              <w:rPr>
                <w:szCs w:val="22"/>
              </w:rPr>
              <w:t>Wickham</w:t>
            </w:r>
          </w:p>
        </w:tc>
        <w:tc>
          <w:tcPr>
            <w:tcW w:w="2173" w:type="dxa"/>
            <w:vAlign w:val="bottom"/>
          </w:tcPr>
          <w:p>
            <w:pPr>
              <w:pStyle w:val="yTableNAm"/>
              <w:spacing w:before="100"/>
              <w:jc w:val="center"/>
              <w:rPr>
                <w:rFonts w:ascii="Arial" w:hAnsi="Arial"/>
                <w:b/>
              </w:rPr>
            </w:pPr>
            <w:r>
              <w:t>5.141</w:t>
            </w:r>
          </w:p>
        </w:tc>
        <w:tc>
          <w:tcPr>
            <w:tcW w:w="2174" w:type="dxa"/>
            <w:vAlign w:val="bottom"/>
          </w:tcPr>
          <w:p>
            <w:pPr>
              <w:pStyle w:val="yTableNAm"/>
              <w:spacing w:before="100"/>
              <w:jc w:val="center"/>
              <w:rPr>
                <w:rFonts w:ascii="Arial" w:hAnsi="Arial"/>
                <w:b/>
              </w:rPr>
            </w:pPr>
            <w:r>
              <w:t>5.772</w:t>
            </w:r>
          </w:p>
        </w:tc>
      </w:tr>
      <w:tr>
        <w:trPr>
          <w:gridAfter w:val="1"/>
          <w:wAfter w:w="33" w:type="dxa"/>
          <w:cantSplit/>
        </w:trPr>
        <w:tc>
          <w:tcPr>
            <w:tcW w:w="2173" w:type="dxa"/>
          </w:tcPr>
          <w:p>
            <w:pPr>
              <w:pStyle w:val="yTableNAm"/>
              <w:spacing w:before="100"/>
            </w:pPr>
            <w:r>
              <w:rPr>
                <w:szCs w:val="22"/>
              </w:rPr>
              <w:t>Williams</w:t>
            </w:r>
          </w:p>
        </w:tc>
        <w:tc>
          <w:tcPr>
            <w:tcW w:w="2173" w:type="dxa"/>
            <w:vAlign w:val="bottom"/>
          </w:tcPr>
          <w:p>
            <w:pPr>
              <w:pStyle w:val="yTableNAm"/>
              <w:spacing w:before="100"/>
              <w:jc w:val="center"/>
              <w:rPr>
                <w:rFonts w:ascii="Arial" w:hAnsi="Arial"/>
                <w:b/>
              </w:rPr>
            </w:pPr>
            <w:r>
              <w:t>7.820</w:t>
            </w:r>
          </w:p>
        </w:tc>
        <w:tc>
          <w:tcPr>
            <w:tcW w:w="2174" w:type="dxa"/>
            <w:vAlign w:val="bottom"/>
          </w:tcPr>
          <w:p>
            <w:pPr>
              <w:pStyle w:val="yTableNAm"/>
              <w:spacing w:before="100"/>
              <w:jc w:val="center"/>
              <w:rPr>
                <w:rFonts w:ascii="Arial" w:hAnsi="Arial"/>
                <w:b/>
              </w:rPr>
            </w:pPr>
            <w:r>
              <w:t>9.324</w:t>
            </w:r>
          </w:p>
        </w:tc>
      </w:tr>
      <w:tr>
        <w:tblPrEx>
          <w:tblCellMar>
            <w:left w:w="108" w:type="dxa"/>
            <w:right w:w="108" w:type="dxa"/>
          </w:tblCellMar>
        </w:tblPrEx>
        <w:trPr>
          <w:cantSplit/>
        </w:trPr>
        <w:tc>
          <w:tcPr>
            <w:tcW w:w="2173" w:type="dxa"/>
          </w:tcPr>
          <w:p>
            <w:pPr>
              <w:pStyle w:val="yTableNAm"/>
              <w:spacing w:before="100"/>
            </w:pPr>
            <w:r>
              <w:rPr>
                <w:szCs w:val="22"/>
              </w:rPr>
              <w:t>Wiluna</w:t>
            </w:r>
          </w:p>
        </w:tc>
        <w:tc>
          <w:tcPr>
            <w:tcW w:w="2173" w:type="dxa"/>
            <w:vAlign w:val="bottom"/>
          </w:tcPr>
          <w:p>
            <w:pPr>
              <w:pStyle w:val="yTableNAm"/>
              <w:spacing w:before="100"/>
              <w:jc w:val="center"/>
              <w:rPr>
                <w:rFonts w:ascii="Arial" w:hAnsi="Arial"/>
                <w:b/>
              </w:rPr>
            </w:pPr>
            <w:r>
              <w:t>12.000</w:t>
            </w:r>
          </w:p>
        </w:tc>
        <w:tc>
          <w:tcPr>
            <w:tcW w:w="2207" w:type="dxa"/>
            <w:gridSpan w:val="2"/>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Wongan Hills</w:t>
            </w:r>
          </w:p>
        </w:tc>
        <w:tc>
          <w:tcPr>
            <w:tcW w:w="2173" w:type="dxa"/>
            <w:vAlign w:val="bottom"/>
          </w:tcPr>
          <w:p>
            <w:pPr>
              <w:pStyle w:val="yTableNAm"/>
              <w:spacing w:before="100"/>
              <w:jc w:val="center"/>
              <w:rPr>
                <w:rFonts w:ascii="Arial" w:hAnsi="Arial"/>
                <w:b/>
              </w:rPr>
            </w:pPr>
            <w:r>
              <w:t>9.805</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Wundowie</w:t>
            </w:r>
          </w:p>
        </w:tc>
        <w:tc>
          <w:tcPr>
            <w:tcW w:w="2173" w:type="dxa"/>
            <w:vAlign w:val="bottom"/>
          </w:tcPr>
          <w:p>
            <w:pPr>
              <w:pStyle w:val="yTableNAm"/>
              <w:spacing w:before="100"/>
              <w:jc w:val="center"/>
              <w:rPr>
                <w:rFonts w:ascii="Arial" w:hAnsi="Arial"/>
                <w:b/>
              </w:rPr>
            </w:pPr>
            <w:r>
              <w:t>8.864</w:t>
            </w:r>
          </w:p>
        </w:tc>
        <w:tc>
          <w:tcPr>
            <w:tcW w:w="2174" w:type="dxa"/>
            <w:vAlign w:val="bottom"/>
          </w:tcPr>
          <w:p>
            <w:pPr>
              <w:pStyle w:val="yTableNAm"/>
              <w:spacing w:before="100"/>
              <w:jc w:val="center"/>
              <w:rPr>
                <w:rFonts w:ascii="Arial" w:hAnsi="Arial"/>
                <w:b/>
              </w:rPr>
            </w:pPr>
            <w:r>
              <w:t>9.280</w:t>
            </w:r>
          </w:p>
        </w:tc>
      </w:tr>
      <w:tr>
        <w:trPr>
          <w:gridAfter w:val="1"/>
          <w:wAfter w:w="33" w:type="dxa"/>
          <w:cantSplit/>
        </w:trPr>
        <w:tc>
          <w:tcPr>
            <w:tcW w:w="2173" w:type="dxa"/>
          </w:tcPr>
          <w:p>
            <w:pPr>
              <w:pStyle w:val="yTableNAm"/>
              <w:spacing w:before="100"/>
            </w:pPr>
            <w:r>
              <w:rPr>
                <w:szCs w:val="22"/>
              </w:rPr>
              <w:t>Wyalkatchem</w:t>
            </w:r>
          </w:p>
        </w:tc>
        <w:tc>
          <w:tcPr>
            <w:tcW w:w="2173" w:type="dxa"/>
            <w:vAlign w:val="bottom"/>
          </w:tcPr>
          <w:p>
            <w:pPr>
              <w:pStyle w:val="yTableNAm"/>
              <w:spacing w:before="100"/>
              <w:jc w:val="center"/>
              <w:rPr>
                <w:rFonts w:ascii="Arial" w:hAnsi="Arial"/>
                <w:b/>
              </w:rPr>
            </w:pPr>
            <w:r>
              <w:t>8.741</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Wyndham</w:t>
            </w:r>
          </w:p>
        </w:tc>
        <w:tc>
          <w:tcPr>
            <w:tcW w:w="2173" w:type="dxa"/>
            <w:vAlign w:val="bottom"/>
          </w:tcPr>
          <w:p>
            <w:pPr>
              <w:pStyle w:val="yTableNAm"/>
              <w:spacing w:before="100"/>
              <w:jc w:val="center"/>
              <w:rPr>
                <w:rFonts w:ascii="Arial" w:hAnsi="Arial"/>
                <w:b/>
              </w:rPr>
            </w:pPr>
            <w:r>
              <w:t>8.952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York</w:t>
                </w:r>
              </w:smartTag>
            </w:smartTag>
          </w:p>
        </w:tc>
        <w:tc>
          <w:tcPr>
            <w:tcW w:w="2173" w:type="dxa"/>
            <w:vAlign w:val="bottom"/>
          </w:tcPr>
          <w:p>
            <w:pPr>
              <w:pStyle w:val="yTableNAm"/>
              <w:spacing w:before="100"/>
              <w:jc w:val="center"/>
              <w:rPr>
                <w:rFonts w:ascii="Arial" w:hAnsi="Arial"/>
                <w:b/>
              </w:rPr>
            </w:pPr>
            <w:r>
              <w:t>9.193</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Borders>
              <w:bottom w:val="single" w:sz="4" w:space="0" w:color="auto"/>
            </w:tcBorders>
          </w:tcPr>
          <w:p>
            <w:pPr>
              <w:pStyle w:val="yTableNAm"/>
              <w:spacing w:before="100"/>
            </w:pPr>
            <w:r>
              <w:rPr>
                <w:szCs w:val="22"/>
              </w:rPr>
              <w:t>Yunderup</w:t>
            </w:r>
          </w:p>
        </w:tc>
        <w:tc>
          <w:tcPr>
            <w:tcW w:w="2173" w:type="dxa"/>
            <w:tcBorders>
              <w:bottom w:val="single" w:sz="4" w:space="0" w:color="auto"/>
            </w:tcBorders>
            <w:vAlign w:val="bottom"/>
          </w:tcPr>
          <w:p>
            <w:pPr>
              <w:pStyle w:val="yTableNAm"/>
              <w:spacing w:before="100"/>
              <w:jc w:val="center"/>
              <w:rPr>
                <w:rFonts w:ascii="Arial" w:hAnsi="Arial"/>
                <w:b/>
              </w:rPr>
            </w:pPr>
            <w:r>
              <w:t>6.486</w:t>
            </w:r>
          </w:p>
        </w:tc>
        <w:tc>
          <w:tcPr>
            <w:tcW w:w="2174" w:type="dxa"/>
            <w:tcBorders>
              <w:bottom w:val="single" w:sz="4" w:space="0" w:color="auto"/>
            </w:tcBorders>
            <w:vAlign w:val="bottom"/>
          </w:tcPr>
          <w:p>
            <w:pPr>
              <w:pStyle w:val="yTableNAm"/>
              <w:spacing w:before="100"/>
              <w:jc w:val="center"/>
              <w:rPr>
                <w:rFonts w:ascii="Arial" w:hAnsi="Arial"/>
                <w:b/>
              </w:rPr>
            </w:pPr>
            <w:r>
              <w:t>5.771</w:t>
            </w:r>
          </w:p>
        </w:tc>
      </w:tr>
    </w:tbl>
    <w:p>
      <w:pPr>
        <w:pStyle w:val="yFootnotesection"/>
      </w:pPr>
      <w:r>
        <w:tab/>
        <w:t>[Division 2 inserted in Gazette 19 Jun 2013 p. 2374-9.]</w:t>
      </w:r>
    </w:p>
    <w:p>
      <w:pPr>
        <w:pStyle w:val="yHeading3"/>
      </w:pPr>
      <w:bookmarkStart w:id="241" w:name="_Toc390772121"/>
      <w:bookmarkStart w:id="242" w:name="_Toc391906988"/>
      <w:bookmarkStart w:id="243" w:name="_Toc426119849"/>
      <w:r>
        <w:rPr>
          <w:rStyle w:val="CharSDivNo"/>
        </w:rPr>
        <w:t>Division 3</w:t>
      </w:r>
      <w:r>
        <w:t> — </w:t>
      </w:r>
      <w:r>
        <w:rPr>
          <w:rStyle w:val="CharSDivText"/>
        </w:rPr>
        <w:t>Variable charges</w:t>
      </w:r>
      <w:bookmarkEnd w:id="241"/>
      <w:bookmarkEnd w:id="242"/>
      <w:bookmarkEnd w:id="243"/>
    </w:p>
    <w:p>
      <w:pPr>
        <w:pStyle w:val="yFootnoteheading"/>
        <w:keepNext/>
        <w:spacing w:after="120"/>
      </w:pPr>
      <w:r>
        <w:tab/>
        <w:t>[Heading inserted in Gazette 19 Jun 2013 p. 2379.]</w:t>
      </w:r>
    </w:p>
    <w:p>
      <w:pPr>
        <w:pStyle w:val="yHeading5"/>
      </w:pPr>
      <w:bookmarkStart w:id="244" w:name="_Toc391906989"/>
      <w:bookmarkStart w:id="245" w:name="_Toc426119850"/>
      <w:r>
        <w:rPr>
          <w:rStyle w:val="CharSClsNo"/>
        </w:rPr>
        <w:t>11</w:t>
      </w:r>
      <w:r>
        <w:t>.</w:t>
      </w:r>
      <w:r>
        <w:tab/>
        <w:t>Trade waste discharged into a sewer of the Corporation under an approval</w:t>
      </w:r>
      <w:bookmarkEnd w:id="244"/>
      <w:bookmarkEnd w:id="245"/>
    </w:p>
    <w:tbl>
      <w:tblPr>
        <w:tblW w:w="0" w:type="auto"/>
        <w:tblInd w:w="-34" w:type="dxa"/>
        <w:tblLook w:val="0000" w:firstRow="0" w:lastRow="0" w:firstColumn="0" w:lastColumn="0" w:noHBand="0" w:noVBand="0"/>
      </w:tblPr>
      <w:tblGrid>
        <w:gridCol w:w="907"/>
        <w:gridCol w:w="4803"/>
        <w:gridCol w:w="1576"/>
      </w:tblGrid>
      <w:tr>
        <w:trPr>
          <w:cantSplit/>
        </w:trPr>
        <w:tc>
          <w:tcPr>
            <w:tcW w:w="907" w:type="dxa"/>
          </w:tcPr>
          <w:p>
            <w:pPr>
              <w:pStyle w:val="zyTableNAm"/>
              <w:rPr>
                <w:szCs w:val="22"/>
              </w:rPr>
            </w:pPr>
          </w:p>
        </w:tc>
        <w:tc>
          <w:tcPr>
            <w:tcW w:w="4803" w:type="dxa"/>
          </w:tcPr>
          <w:p>
            <w:pPr>
              <w:pStyle w:val="yTableNAm"/>
            </w:pPr>
            <w:r>
              <w:t xml:space="preserve">For </w:t>
            </w:r>
            <w:r>
              <w:rPr>
                <w:szCs w:val="22"/>
              </w:rPr>
              <w:t>trade waste discharged into a sewer of the Corporation under an approval of the Corporation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587"/>
              </w:tabs>
              <w:ind w:left="743" w:hanging="743"/>
              <w:rPr>
                <w:rFonts w:ascii="Arial" w:hAnsi="Arial"/>
                <w:b/>
              </w:rPr>
            </w:pPr>
            <w:r>
              <w:rPr>
                <w:szCs w:val="22"/>
              </w:rPr>
              <w:tab/>
              <w:t>(a)</w:t>
            </w:r>
            <w:r>
              <w:rPr>
                <w:szCs w:val="22"/>
              </w:rPr>
              <w:tab/>
              <w:t xml:space="preserve">for volume </w:t>
            </w:r>
            <w:r>
              <w:rPr>
                <w:szCs w:val="22"/>
              </w:rPr>
              <w:tab/>
            </w:r>
          </w:p>
        </w:tc>
        <w:tc>
          <w:tcPr>
            <w:tcW w:w="1576" w:type="dxa"/>
            <w:vAlign w:val="bottom"/>
          </w:tcPr>
          <w:p>
            <w:pPr>
              <w:pStyle w:val="yTableNAm"/>
            </w:pPr>
            <w:r>
              <w:rPr>
                <w:szCs w:val="22"/>
              </w:rPr>
              <w:t>135.0 c/kL</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(b)</w:t>
            </w:r>
            <w:r>
              <w:rPr>
                <w:szCs w:val="22"/>
              </w:rPr>
              <w:tab/>
              <w:t xml:space="preserve">for B.O.D.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5 kg per kL </w:t>
            </w:r>
            <w:r>
              <w:rPr>
                <w:szCs w:val="22"/>
              </w:rPr>
              <w:tab/>
            </w:r>
          </w:p>
        </w:tc>
        <w:tc>
          <w:tcPr>
            <w:tcW w:w="1576" w:type="dxa"/>
            <w:vAlign w:val="bottom"/>
          </w:tcPr>
          <w:p>
            <w:pPr>
              <w:pStyle w:val="yTableNAm"/>
            </w:pPr>
            <w:r>
              <w:rPr>
                <w:szCs w:val="22"/>
              </w:rPr>
              <w:t>114.0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of over 5 kg per kL </w:t>
            </w:r>
            <w:r>
              <w:rPr>
                <w:szCs w:val="22"/>
              </w:rPr>
              <w:tab/>
            </w:r>
          </w:p>
        </w:tc>
        <w:tc>
          <w:tcPr>
            <w:tcW w:w="1576" w:type="dxa"/>
            <w:vAlign w:val="bottom"/>
          </w:tcPr>
          <w:p>
            <w:pPr>
              <w:pStyle w:val="yTableNAm"/>
            </w:pPr>
            <w:r>
              <w:rPr>
                <w:szCs w:val="22"/>
              </w:rPr>
              <w:t>231.0 c/kg</w:t>
            </w:r>
          </w:p>
        </w:tc>
      </w:tr>
      <w:tr>
        <w:trPr>
          <w:cantSplit/>
        </w:trPr>
        <w:tc>
          <w:tcPr>
            <w:tcW w:w="907" w:type="dxa"/>
          </w:tcPr>
          <w:p>
            <w:pPr>
              <w:pStyle w:val="zyTableNAm"/>
              <w:keepNext/>
              <w:rPr>
                <w:szCs w:val="22"/>
              </w:rPr>
            </w:pPr>
          </w:p>
        </w:tc>
        <w:tc>
          <w:tcPr>
            <w:tcW w:w="4803" w:type="dxa"/>
          </w:tcPr>
          <w:p>
            <w:pPr>
              <w:pStyle w:val="yTableNAm"/>
              <w:keepNext/>
              <w:tabs>
                <w:tab w:val="clear" w:pos="567"/>
                <w:tab w:val="left" w:pos="281"/>
                <w:tab w:val="left" w:pos="743"/>
                <w:tab w:val="right" w:leader="dot" w:pos="4003"/>
              </w:tabs>
              <w:ind w:left="743" w:hanging="743"/>
              <w:rPr>
                <w:rFonts w:ascii="Arial" w:hAnsi="Arial"/>
                <w:b/>
              </w:rPr>
            </w:pPr>
            <w:r>
              <w:rPr>
                <w:szCs w:val="22"/>
              </w:rPr>
              <w:tab/>
              <w:t>(c)</w:t>
            </w:r>
            <w:r>
              <w:rPr>
                <w:szCs w:val="22"/>
              </w:rPr>
              <w:tab/>
              <w:t xml:space="preserve">for suspended solids — </w:t>
            </w:r>
          </w:p>
        </w:tc>
        <w:tc>
          <w:tcPr>
            <w:tcW w:w="1576" w:type="dxa"/>
            <w:vAlign w:val="bottom"/>
          </w:tcPr>
          <w:p>
            <w:pPr>
              <w:pStyle w:val="yTableNAm"/>
              <w:keepNext/>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2 kg per kL </w:t>
            </w:r>
            <w:r>
              <w:rPr>
                <w:szCs w:val="22"/>
              </w:rPr>
              <w:tab/>
            </w:r>
          </w:p>
        </w:tc>
        <w:tc>
          <w:tcPr>
            <w:tcW w:w="1576" w:type="dxa"/>
            <w:vAlign w:val="bottom"/>
          </w:tcPr>
          <w:p>
            <w:pPr>
              <w:pStyle w:val="yTableNAm"/>
            </w:pPr>
            <w:r>
              <w:rPr>
                <w:szCs w:val="22"/>
              </w:rPr>
              <w:t>154.0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of over 2 kg per kL </w:t>
            </w:r>
            <w:r>
              <w:rPr>
                <w:szCs w:val="22"/>
              </w:rPr>
              <w:tab/>
            </w:r>
          </w:p>
        </w:tc>
        <w:tc>
          <w:tcPr>
            <w:tcW w:w="1576" w:type="dxa"/>
            <w:vAlign w:val="bottom"/>
          </w:tcPr>
          <w:p>
            <w:pPr>
              <w:pStyle w:val="yTableNAm"/>
            </w:pPr>
            <w:r>
              <w:rPr>
                <w:szCs w:val="22"/>
              </w:rPr>
              <w:t>310.0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(d)</w:t>
            </w:r>
            <w:r>
              <w:rPr>
                <w:szCs w:val="22"/>
              </w:rPr>
              <w:tab/>
              <w:t xml:space="preserve">for chemical oxygen demand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10 kg per kL </w:t>
            </w:r>
            <w:r>
              <w:rPr>
                <w:szCs w:val="22"/>
              </w:rPr>
              <w:tab/>
            </w:r>
          </w:p>
        </w:tc>
        <w:tc>
          <w:tcPr>
            <w:tcW w:w="1576" w:type="dxa"/>
            <w:vAlign w:val="bottom"/>
          </w:tcPr>
          <w:p>
            <w:pPr>
              <w:pStyle w:val="yTableNAm"/>
            </w:pPr>
            <w:r>
              <w:rPr>
                <w:szCs w:val="22"/>
              </w:rPr>
              <w:t>46.0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of over 10 kg per kL </w:t>
            </w:r>
            <w:r>
              <w:rPr>
                <w:szCs w:val="22"/>
              </w:rPr>
              <w:tab/>
            </w:r>
          </w:p>
        </w:tc>
        <w:tc>
          <w:tcPr>
            <w:tcW w:w="1576" w:type="dxa"/>
            <w:vAlign w:val="bottom"/>
          </w:tcPr>
          <w:p>
            <w:pPr>
              <w:pStyle w:val="yTableNAm"/>
            </w:pPr>
            <w:r>
              <w:rPr>
                <w:szCs w:val="22"/>
              </w:rPr>
              <w:t>93.0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(e)</w:t>
            </w:r>
            <w:r>
              <w:rPr>
                <w:szCs w:val="22"/>
              </w:rPr>
              <w:tab/>
              <w:t xml:space="preserve">for oil and grease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0.3 kg per kL </w:t>
            </w:r>
            <w:r>
              <w:rPr>
                <w:szCs w:val="22"/>
              </w:rPr>
              <w:tab/>
            </w:r>
          </w:p>
        </w:tc>
        <w:tc>
          <w:tcPr>
            <w:tcW w:w="1576" w:type="dxa"/>
            <w:vAlign w:val="bottom"/>
          </w:tcPr>
          <w:p>
            <w:pPr>
              <w:pStyle w:val="yTableNAm"/>
            </w:pPr>
            <w:r>
              <w:rPr>
                <w:szCs w:val="22"/>
              </w:rPr>
              <w:t>139.0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0.3 kg per kL but not over 0.6 kg per kL </w:t>
            </w:r>
            <w:r>
              <w:rPr>
                <w:szCs w:val="22"/>
              </w:rPr>
              <w:tab/>
            </w:r>
          </w:p>
        </w:tc>
        <w:tc>
          <w:tcPr>
            <w:tcW w:w="1576" w:type="dxa"/>
            <w:vAlign w:val="bottom"/>
          </w:tcPr>
          <w:p>
            <w:pPr>
              <w:pStyle w:val="yTableNAm"/>
            </w:pPr>
            <w:r>
              <w:rPr>
                <w:szCs w:val="22"/>
              </w:rPr>
              <w:t>275.0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0.6 kg per kL </w:t>
            </w:r>
            <w:r>
              <w:rPr>
                <w:szCs w:val="22"/>
              </w:rPr>
              <w:tab/>
            </w:r>
          </w:p>
        </w:tc>
        <w:tc>
          <w:tcPr>
            <w:tcW w:w="1576" w:type="dxa"/>
            <w:vAlign w:val="bottom"/>
          </w:tcPr>
          <w:p>
            <w:pPr>
              <w:pStyle w:val="yTableNAm"/>
            </w:pPr>
            <w:r>
              <w:rPr>
                <w:szCs w:val="22"/>
              </w:rPr>
              <w:t>551.0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(f)</w:t>
            </w:r>
            <w:r>
              <w:rPr>
                <w:szCs w:val="22"/>
              </w:rPr>
              <w:tab/>
              <w:t xml:space="preserve">for acidity (pH &lt; 6)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0.1 kg per kL </w:t>
            </w:r>
            <w:r>
              <w:rPr>
                <w:szCs w:val="22"/>
              </w:rPr>
              <w:tab/>
            </w:r>
          </w:p>
        </w:tc>
        <w:tc>
          <w:tcPr>
            <w:tcW w:w="1576" w:type="dxa"/>
            <w:vAlign w:val="bottom"/>
          </w:tcPr>
          <w:p>
            <w:pPr>
              <w:pStyle w:val="yTableNAm"/>
            </w:pPr>
            <w:r>
              <w:rPr>
                <w:szCs w:val="22"/>
              </w:rPr>
              <w:t>40.0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0.1 kg per kL but not over 0.3 kg per kL </w:t>
            </w:r>
            <w:r>
              <w:rPr>
                <w:szCs w:val="22"/>
              </w:rPr>
              <w:tab/>
            </w:r>
          </w:p>
        </w:tc>
        <w:tc>
          <w:tcPr>
            <w:tcW w:w="1576" w:type="dxa"/>
            <w:vAlign w:val="bottom"/>
          </w:tcPr>
          <w:p>
            <w:pPr>
              <w:pStyle w:val="yTableNAm"/>
            </w:pPr>
            <w:r>
              <w:rPr>
                <w:szCs w:val="22"/>
              </w:rPr>
              <w:t>81.0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0.3 kg per kL </w:t>
            </w:r>
            <w:r>
              <w:rPr>
                <w:szCs w:val="22"/>
              </w:rPr>
              <w:tab/>
            </w:r>
          </w:p>
        </w:tc>
        <w:tc>
          <w:tcPr>
            <w:tcW w:w="1576" w:type="dxa"/>
            <w:vAlign w:val="bottom"/>
          </w:tcPr>
          <w:p>
            <w:pPr>
              <w:pStyle w:val="yTableNAm"/>
            </w:pPr>
            <w:r>
              <w:rPr>
                <w:szCs w:val="22"/>
              </w:rPr>
              <w:t>160.0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(g)</w:t>
            </w:r>
            <w:r>
              <w:rPr>
                <w:szCs w:val="22"/>
              </w:rPr>
              <w:tab/>
              <w:t xml:space="preserve">for alkalinity (pH &gt; 10)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0.1 kg per kL </w:t>
            </w:r>
            <w:r>
              <w:rPr>
                <w:szCs w:val="22"/>
              </w:rPr>
              <w:tab/>
            </w:r>
          </w:p>
        </w:tc>
        <w:tc>
          <w:tcPr>
            <w:tcW w:w="1576" w:type="dxa"/>
            <w:vAlign w:val="bottom"/>
          </w:tcPr>
          <w:p>
            <w:pPr>
              <w:pStyle w:val="yTableNAm"/>
            </w:pPr>
            <w:r>
              <w:rPr>
                <w:szCs w:val="22"/>
              </w:rPr>
              <w:t>14.0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0.1 kg per kL but not over 0.2 kg per kL </w:t>
            </w:r>
            <w:r>
              <w:rPr>
                <w:szCs w:val="22"/>
              </w:rPr>
              <w:tab/>
            </w:r>
          </w:p>
        </w:tc>
        <w:tc>
          <w:tcPr>
            <w:tcW w:w="1576" w:type="dxa"/>
            <w:vAlign w:val="bottom"/>
          </w:tcPr>
          <w:p>
            <w:pPr>
              <w:pStyle w:val="yTableNAm"/>
            </w:pPr>
            <w:r>
              <w:rPr>
                <w:szCs w:val="22"/>
              </w:rPr>
              <w:t>30.0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0.2 kg per kL </w:t>
            </w:r>
            <w:r>
              <w:rPr>
                <w:szCs w:val="22"/>
              </w:rPr>
              <w:tab/>
            </w:r>
          </w:p>
        </w:tc>
        <w:tc>
          <w:tcPr>
            <w:tcW w:w="1576" w:type="dxa"/>
            <w:vAlign w:val="bottom"/>
          </w:tcPr>
          <w:p>
            <w:pPr>
              <w:pStyle w:val="yTableNAm"/>
            </w:pPr>
            <w:r>
              <w:rPr>
                <w:szCs w:val="22"/>
              </w:rPr>
              <w:t>58.0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587"/>
              </w:tabs>
              <w:ind w:left="743" w:hanging="743"/>
              <w:rPr>
                <w:rFonts w:ascii="Arial" w:hAnsi="Arial"/>
                <w:b/>
              </w:rPr>
            </w:pPr>
            <w:r>
              <w:rPr>
                <w:szCs w:val="22"/>
              </w:rPr>
              <w:tab/>
              <w:t>(h)</w:t>
            </w:r>
            <w:r>
              <w:rPr>
                <w:szCs w:val="22"/>
              </w:rPr>
              <w:tab/>
              <w:t xml:space="preserve">for nitrogen </w:t>
            </w:r>
            <w:r>
              <w:rPr>
                <w:szCs w:val="22"/>
              </w:rPr>
              <w:tab/>
            </w:r>
          </w:p>
        </w:tc>
        <w:tc>
          <w:tcPr>
            <w:tcW w:w="1576" w:type="dxa"/>
            <w:vAlign w:val="bottom"/>
          </w:tcPr>
          <w:p>
            <w:pPr>
              <w:pStyle w:val="yTableNAm"/>
            </w:pPr>
            <w:r>
              <w:rPr>
                <w:szCs w:val="22"/>
              </w:rPr>
              <w:t>124.0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587"/>
              </w:tabs>
              <w:ind w:left="743" w:hanging="743"/>
              <w:rPr>
                <w:rFonts w:ascii="Arial" w:hAnsi="Arial"/>
                <w:b/>
              </w:rPr>
            </w:pPr>
            <w:r>
              <w:rPr>
                <w:szCs w:val="22"/>
              </w:rPr>
              <w:tab/>
              <w:t>(i)</w:t>
            </w:r>
            <w:r>
              <w:rPr>
                <w:szCs w:val="22"/>
              </w:rPr>
              <w:tab/>
              <w:t xml:space="preserve">for phosphorus </w:t>
            </w:r>
            <w:r>
              <w:rPr>
                <w:szCs w:val="22"/>
              </w:rPr>
              <w:tab/>
            </w:r>
          </w:p>
        </w:tc>
        <w:tc>
          <w:tcPr>
            <w:tcW w:w="1576" w:type="dxa"/>
            <w:vAlign w:val="bottom"/>
          </w:tcPr>
          <w:p>
            <w:pPr>
              <w:pStyle w:val="yTableNAm"/>
            </w:pPr>
            <w:r>
              <w:rPr>
                <w:szCs w:val="22"/>
              </w:rPr>
              <w:t>36.0 c/kg</w:t>
            </w:r>
          </w:p>
        </w:tc>
      </w:tr>
      <w:tr>
        <w:trPr>
          <w:cantSplit/>
        </w:trPr>
        <w:tc>
          <w:tcPr>
            <w:tcW w:w="907" w:type="dxa"/>
          </w:tcPr>
          <w:p>
            <w:pPr>
              <w:pStyle w:val="zyTableNAm"/>
              <w:keepNext/>
              <w:rPr>
                <w:szCs w:val="22"/>
              </w:rPr>
            </w:pPr>
          </w:p>
        </w:tc>
        <w:tc>
          <w:tcPr>
            <w:tcW w:w="4803" w:type="dxa"/>
          </w:tcPr>
          <w:p>
            <w:pPr>
              <w:pStyle w:val="yTableNAm"/>
              <w:keepNext/>
              <w:tabs>
                <w:tab w:val="clear" w:pos="567"/>
                <w:tab w:val="left" w:pos="281"/>
                <w:tab w:val="left" w:pos="743"/>
                <w:tab w:val="right" w:leader="dot" w:pos="4003"/>
              </w:tabs>
              <w:ind w:left="743" w:hanging="743"/>
              <w:rPr>
                <w:rFonts w:ascii="Arial" w:hAnsi="Arial"/>
                <w:b/>
              </w:rPr>
            </w:pPr>
            <w:r>
              <w:rPr>
                <w:szCs w:val="22"/>
              </w:rPr>
              <w:tab/>
              <w:t>(j)</w:t>
            </w:r>
            <w:r>
              <w:rPr>
                <w:szCs w:val="22"/>
              </w:rPr>
              <w:tab/>
              <w:t xml:space="preserve">for sulphate — </w:t>
            </w:r>
          </w:p>
        </w:tc>
        <w:tc>
          <w:tcPr>
            <w:tcW w:w="1576" w:type="dxa"/>
            <w:vAlign w:val="bottom"/>
          </w:tcPr>
          <w:p>
            <w:pPr>
              <w:pStyle w:val="yTableNAm"/>
              <w:keepNext/>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0.05 kg per kL </w:t>
            </w:r>
            <w:r>
              <w:rPr>
                <w:szCs w:val="22"/>
              </w:rPr>
              <w:tab/>
            </w:r>
          </w:p>
        </w:tc>
        <w:tc>
          <w:tcPr>
            <w:tcW w:w="1576" w:type="dxa"/>
            <w:vAlign w:val="bottom"/>
          </w:tcPr>
          <w:p>
            <w:pPr>
              <w:pStyle w:val="yTableNAm"/>
            </w:pPr>
            <w:r>
              <w:rPr>
                <w:szCs w:val="22"/>
              </w:rPr>
              <w:t>no charge</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of over 0.05 kg per kL </w:t>
            </w:r>
            <w:r>
              <w:rPr>
                <w:szCs w:val="22"/>
              </w:rPr>
              <w:tab/>
            </w:r>
          </w:p>
        </w:tc>
        <w:tc>
          <w:tcPr>
            <w:tcW w:w="1576" w:type="dxa"/>
            <w:vAlign w:val="bottom"/>
          </w:tcPr>
          <w:p>
            <w:pPr>
              <w:pStyle w:val="yTableNAm"/>
            </w:pPr>
            <w:r>
              <w:rPr>
                <w:szCs w:val="22"/>
              </w:rPr>
              <w:t>65.0 c/kg</w:t>
            </w:r>
          </w:p>
        </w:tc>
      </w:tr>
      <w:tr>
        <w:trPr>
          <w:cantSplit/>
        </w:trPr>
        <w:tc>
          <w:tcPr>
            <w:tcW w:w="907" w:type="dxa"/>
          </w:tcPr>
          <w:p>
            <w:pPr>
              <w:pStyle w:val="zyTableNAm"/>
              <w:keepNext/>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(k)</w:t>
            </w:r>
            <w:r>
              <w:rPr>
                <w:szCs w:val="22"/>
              </w:rPr>
              <w:tab/>
              <w:t xml:space="preserve">for total dissolved salts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1 kg per kL </w:t>
            </w:r>
            <w:r>
              <w:rPr>
                <w:szCs w:val="22"/>
              </w:rPr>
              <w:tab/>
            </w:r>
          </w:p>
        </w:tc>
        <w:tc>
          <w:tcPr>
            <w:tcW w:w="1576" w:type="dxa"/>
            <w:vAlign w:val="bottom"/>
          </w:tcPr>
          <w:p>
            <w:pPr>
              <w:pStyle w:val="yTableNAm"/>
            </w:pPr>
            <w:r>
              <w:rPr>
                <w:szCs w:val="22"/>
              </w:rPr>
              <w:t>no charge</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1 kg per kL but not over 3 kg per kL </w:t>
            </w:r>
            <w:r>
              <w:rPr>
                <w:szCs w:val="22"/>
              </w:rPr>
              <w:tab/>
            </w:r>
          </w:p>
        </w:tc>
        <w:tc>
          <w:tcPr>
            <w:tcW w:w="1576" w:type="dxa"/>
            <w:vAlign w:val="bottom"/>
          </w:tcPr>
          <w:p>
            <w:pPr>
              <w:pStyle w:val="yTableNAm"/>
            </w:pPr>
            <w:r>
              <w:rPr>
                <w:szCs w:val="22"/>
              </w:rPr>
              <w:t>0.1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over 3 kg per kL but not over 6 kg per kL </w:t>
            </w:r>
            <w:r>
              <w:rPr>
                <w:szCs w:val="22"/>
              </w:rPr>
              <w:tab/>
            </w:r>
          </w:p>
        </w:tc>
        <w:tc>
          <w:tcPr>
            <w:tcW w:w="1576" w:type="dxa"/>
            <w:vAlign w:val="bottom"/>
          </w:tcPr>
          <w:p>
            <w:pPr>
              <w:pStyle w:val="yTableNAm"/>
            </w:pPr>
            <w:r>
              <w:rPr>
                <w:szCs w:val="22"/>
              </w:rPr>
              <w:t>3.8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(iv)</w:t>
            </w:r>
            <w:r>
              <w:rPr>
                <w:szCs w:val="22"/>
              </w:rPr>
              <w:tab/>
              <w:t xml:space="preserve">with a concentration of over 6 kg per kL </w:t>
            </w:r>
            <w:r>
              <w:rPr>
                <w:szCs w:val="22"/>
              </w:rPr>
              <w:tab/>
            </w:r>
          </w:p>
        </w:tc>
        <w:tc>
          <w:tcPr>
            <w:tcW w:w="1576" w:type="dxa"/>
            <w:vAlign w:val="bottom"/>
          </w:tcPr>
          <w:p>
            <w:pPr>
              <w:pStyle w:val="yTableNAm"/>
            </w:pPr>
            <w:r>
              <w:rPr>
                <w:szCs w:val="22"/>
              </w:rPr>
              <w:t>13.1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(l)</w:t>
            </w:r>
            <w:r>
              <w:rPr>
                <w:szCs w:val="22"/>
              </w:rPr>
              <w:tab/>
              <w:t xml:space="preserve">for chromium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0.03 kg per day but not over 1 kg per day </w:t>
            </w:r>
            <w:r>
              <w:rPr>
                <w:szCs w:val="22"/>
              </w:rPr>
              <w:tab/>
            </w:r>
          </w:p>
        </w:tc>
        <w:tc>
          <w:tcPr>
            <w:tcW w:w="1576" w:type="dxa"/>
            <w:vAlign w:val="bottom"/>
          </w:tcPr>
          <w:p>
            <w:pPr>
              <w:pStyle w:val="yTableNAm"/>
            </w:pPr>
            <w:r>
              <w:rPr>
                <w:szCs w:val="22"/>
              </w:rPr>
              <w:t>2045.0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1 kg per day </w:t>
            </w:r>
            <w:r>
              <w:rPr>
                <w:szCs w:val="22"/>
              </w:rPr>
              <w:tab/>
            </w:r>
          </w:p>
        </w:tc>
        <w:tc>
          <w:tcPr>
            <w:tcW w:w="1576" w:type="dxa"/>
            <w:vAlign w:val="bottom"/>
          </w:tcPr>
          <w:p>
            <w:pPr>
              <w:pStyle w:val="yTableNAm"/>
            </w:pPr>
            <w:r>
              <w:rPr>
                <w:szCs w:val="22"/>
              </w:rPr>
              <w:t>8190.0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(m)</w:t>
            </w:r>
            <w:r>
              <w:rPr>
                <w:szCs w:val="22"/>
              </w:rPr>
              <w:tab/>
              <w:t xml:space="preserve">for copper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0.03 kg per day but not over 0.12 kg per day </w:t>
            </w:r>
            <w:r>
              <w:rPr>
                <w:szCs w:val="22"/>
              </w:rPr>
              <w:tab/>
            </w:r>
          </w:p>
        </w:tc>
        <w:tc>
          <w:tcPr>
            <w:tcW w:w="1576" w:type="dxa"/>
            <w:vAlign w:val="bottom"/>
          </w:tcPr>
          <w:p>
            <w:pPr>
              <w:pStyle w:val="yTableNAm"/>
            </w:pPr>
            <w:r>
              <w:rPr>
                <w:szCs w:val="22"/>
              </w:rPr>
              <w:t>2045.0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0.12 kg per day </w:t>
            </w:r>
            <w:r>
              <w:rPr>
                <w:szCs w:val="22"/>
              </w:rPr>
              <w:tab/>
            </w:r>
          </w:p>
        </w:tc>
        <w:tc>
          <w:tcPr>
            <w:tcW w:w="1576" w:type="dxa"/>
            <w:vAlign w:val="bottom"/>
          </w:tcPr>
          <w:p>
            <w:pPr>
              <w:pStyle w:val="yTableNAm"/>
            </w:pPr>
            <w:r>
              <w:rPr>
                <w:szCs w:val="22"/>
              </w:rPr>
              <w:t>8190.0 c/kg</w:t>
            </w:r>
          </w:p>
        </w:tc>
      </w:tr>
      <w:tr>
        <w:trPr>
          <w:cantSplit/>
        </w:trPr>
        <w:tc>
          <w:tcPr>
            <w:tcW w:w="907" w:type="dxa"/>
          </w:tcPr>
          <w:p>
            <w:pPr>
              <w:pStyle w:val="zyTableNAm"/>
              <w:keepNext/>
              <w:rPr>
                <w:szCs w:val="22"/>
              </w:rPr>
            </w:pPr>
          </w:p>
        </w:tc>
        <w:tc>
          <w:tcPr>
            <w:tcW w:w="4803" w:type="dxa"/>
          </w:tcPr>
          <w:p>
            <w:pPr>
              <w:pStyle w:val="yTableNAm"/>
              <w:keepNext/>
              <w:tabs>
                <w:tab w:val="clear" w:pos="567"/>
                <w:tab w:val="left" w:pos="281"/>
                <w:tab w:val="left" w:pos="743"/>
                <w:tab w:val="right" w:leader="dot" w:pos="4003"/>
              </w:tabs>
              <w:ind w:left="743" w:hanging="743"/>
              <w:rPr>
                <w:rFonts w:ascii="Arial" w:hAnsi="Arial"/>
                <w:b/>
              </w:rPr>
            </w:pPr>
            <w:r>
              <w:rPr>
                <w:szCs w:val="22"/>
              </w:rPr>
              <w:tab/>
              <w:t>(n)</w:t>
            </w:r>
            <w:r>
              <w:rPr>
                <w:szCs w:val="22"/>
              </w:rPr>
              <w:tab/>
              <w:t xml:space="preserve">for lead — </w:t>
            </w:r>
          </w:p>
        </w:tc>
        <w:tc>
          <w:tcPr>
            <w:tcW w:w="1576" w:type="dxa"/>
            <w:vAlign w:val="bottom"/>
          </w:tcPr>
          <w:p>
            <w:pPr>
              <w:pStyle w:val="yTableNAm"/>
              <w:keepNext/>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0.03 kg per day but not over 0.3 kg per day </w:t>
            </w:r>
            <w:r>
              <w:rPr>
                <w:szCs w:val="22"/>
              </w:rPr>
              <w:tab/>
            </w:r>
          </w:p>
        </w:tc>
        <w:tc>
          <w:tcPr>
            <w:tcW w:w="1576" w:type="dxa"/>
            <w:vAlign w:val="bottom"/>
          </w:tcPr>
          <w:p>
            <w:pPr>
              <w:pStyle w:val="yTableNAm"/>
            </w:pPr>
            <w:r>
              <w:rPr>
                <w:szCs w:val="22"/>
              </w:rPr>
              <w:t>2045.0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0.3 kg per day </w:t>
            </w:r>
            <w:r>
              <w:rPr>
                <w:szCs w:val="22"/>
              </w:rPr>
              <w:tab/>
            </w:r>
          </w:p>
        </w:tc>
        <w:tc>
          <w:tcPr>
            <w:tcW w:w="1576" w:type="dxa"/>
            <w:vAlign w:val="bottom"/>
          </w:tcPr>
          <w:p>
            <w:pPr>
              <w:pStyle w:val="yTableNAm"/>
            </w:pPr>
            <w:r>
              <w:rPr>
                <w:szCs w:val="22"/>
              </w:rPr>
              <w:t>8190.0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(o)</w:t>
            </w:r>
            <w:r>
              <w:rPr>
                <w:szCs w:val="22"/>
              </w:rPr>
              <w:tab/>
              <w:t xml:space="preserve">for nickel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0.006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0.006 kg per day but not over 0.15 kg per day </w:t>
            </w:r>
            <w:r>
              <w:rPr>
                <w:szCs w:val="22"/>
              </w:rPr>
              <w:tab/>
            </w:r>
          </w:p>
        </w:tc>
        <w:tc>
          <w:tcPr>
            <w:tcW w:w="1576" w:type="dxa"/>
            <w:vAlign w:val="bottom"/>
          </w:tcPr>
          <w:p>
            <w:pPr>
              <w:pStyle w:val="yTableNAm"/>
            </w:pPr>
            <w:r>
              <w:rPr>
                <w:szCs w:val="22"/>
              </w:rPr>
              <w:t>2045.0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0.15 kg per day </w:t>
            </w:r>
            <w:r>
              <w:rPr>
                <w:szCs w:val="22"/>
              </w:rPr>
              <w:tab/>
            </w:r>
          </w:p>
        </w:tc>
        <w:tc>
          <w:tcPr>
            <w:tcW w:w="1576" w:type="dxa"/>
            <w:vAlign w:val="bottom"/>
          </w:tcPr>
          <w:p>
            <w:pPr>
              <w:pStyle w:val="yTableNAm"/>
            </w:pPr>
            <w:r>
              <w:rPr>
                <w:szCs w:val="22"/>
              </w:rPr>
              <w:t>8190.0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(p)</w:t>
            </w:r>
            <w:r>
              <w:rPr>
                <w:szCs w:val="22"/>
              </w:rPr>
              <w:tab/>
              <w:t xml:space="preserve">for zinc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0.05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0.05 kg per day but not over 0.5 kg per day </w:t>
            </w:r>
            <w:r>
              <w:rPr>
                <w:szCs w:val="22"/>
              </w:rPr>
              <w:tab/>
            </w:r>
          </w:p>
        </w:tc>
        <w:tc>
          <w:tcPr>
            <w:tcW w:w="1576" w:type="dxa"/>
            <w:vAlign w:val="bottom"/>
          </w:tcPr>
          <w:p>
            <w:pPr>
              <w:pStyle w:val="yTableNAm"/>
            </w:pPr>
            <w:r>
              <w:rPr>
                <w:szCs w:val="22"/>
              </w:rPr>
              <w:t>2045.0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0.5 kg per day </w:t>
            </w:r>
            <w:r>
              <w:rPr>
                <w:szCs w:val="22"/>
              </w:rPr>
              <w:tab/>
            </w:r>
          </w:p>
        </w:tc>
        <w:tc>
          <w:tcPr>
            <w:tcW w:w="1576" w:type="dxa"/>
            <w:vAlign w:val="bottom"/>
          </w:tcPr>
          <w:p>
            <w:pPr>
              <w:pStyle w:val="yTableNAm"/>
            </w:pPr>
            <w:r>
              <w:rPr>
                <w:szCs w:val="22"/>
              </w:rPr>
              <w:t>8190.0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(q)</w:t>
            </w:r>
            <w:r>
              <w:rPr>
                <w:szCs w:val="22"/>
              </w:rPr>
              <w:tab/>
              <w:t xml:space="preserve">for arsenic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0.001 kg per day but not over 0.04 kg per day </w:t>
            </w:r>
            <w:r>
              <w:rPr>
                <w:szCs w:val="22"/>
              </w:rPr>
              <w:tab/>
            </w:r>
          </w:p>
        </w:tc>
        <w:tc>
          <w:tcPr>
            <w:tcW w:w="1576" w:type="dxa"/>
            <w:vAlign w:val="bottom"/>
          </w:tcPr>
          <w:p>
            <w:pPr>
              <w:pStyle w:val="yTableNAm"/>
            </w:pPr>
            <w:r>
              <w:rPr>
                <w:szCs w:val="22"/>
              </w:rPr>
              <w:t>10235.0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0.04 kg per day </w:t>
            </w:r>
            <w:r>
              <w:rPr>
                <w:szCs w:val="22"/>
              </w:rPr>
              <w:tab/>
            </w:r>
          </w:p>
        </w:tc>
        <w:tc>
          <w:tcPr>
            <w:tcW w:w="1576" w:type="dxa"/>
            <w:vAlign w:val="bottom"/>
          </w:tcPr>
          <w:p>
            <w:pPr>
              <w:pStyle w:val="yTableNAm"/>
            </w:pPr>
            <w:r>
              <w:rPr>
                <w:szCs w:val="22"/>
              </w:rPr>
              <w:t>102345.0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(r)</w:t>
            </w:r>
            <w:r>
              <w:rPr>
                <w:szCs w:val="22"/>
              </w:rPr>
              <w:tab/>
              <w:t xml:space="preserve">for cadmium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0.001 kg per day but not over 0.015 kg per day </w:t>
            </w:r>
            <w:r>
              <w:rPr>
                <w:szCs w:val="22"/>
              </w:rPr>
              <w:tab/>
            </w:r>
          </w:p>
        </w:tc>
        <w:tc>
          <w:tcPr>
            <w:tcW w:w="1576" w:type="dxa"/>
            <w:vAlign w:val="bottom"/>
          </w:tcPr>
          <w:p>
            <w:pPr>
              <w:pStyle w:val="yTableNAm"/>
            </w:pPr>
            <w:r>
              <w:rPr>
                <w:szCs w:val="22"/>
              </w:rPr>
              <w:t>10235.0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0.015 kg per day </w:t>
            </w:r>
            <w:r>
              <w:rPr>
                <w:szCs w:val="22"/>
              </w:rPr>
              <w:tab/>
            </w:r>
          </w:p>
        </w:tc>
        <w:tc>
          <w:tcPr>
            <w:tcW w:w="1576" w:type="dxa"/>
            <w:vAlign w:val="bottom"/>
          </w:tcPr>
          <w:p>
            <w:pPr>
              <w:pStyle w:val="yTableNAm"/>
            </w:pPr>
            <w:r>
              <w:rPr>
                <w:szCs w:val="22"/>
              </w:rPr>
              <w:t>102345.0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(s)</w:t>
            </w:r>
            <w:r>
              <w:rPr>
                <w:szCs w:val="22"/>
              </w:rPr>
              <w:tab/>
              <w:t xml:space="preserve">for molybdenum or selenium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0.001 kg per day but not over 0.02 kg per day </w:t>
            </w:r>
            <w:r>
              <w:rPr>
                <w:szCs w:val="22"/>
              </w:rPr>
              <w:tab/>
            </w:r>
          </w:p>
        </w:tc>
        <w:tc>
          <w:tcPr>
            <w:tcW w:w="1576" w:type="dxa"/>
            <w:vAlign w:val="bottom"/>
          </w:tcPr>
          <w:p>
            <w:pPr>
              <w:pStyle w:val="yTableNAm"/>
            </w:pPr>
            <w:r>
              <w:rPr>
                <w:szCs w:val="22"/>
              </w:rPr>
              <w:t>10235.0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0.02 kg per day </w:t>
            </w:r>
            <w:r>
              <w:rPr>
                <w:szCs w:val="22"/>
              </w:rPr>
              <w:tab/>
            </w:r>
          </w:p>
        </w:tc>
        <w:tc>
          <w:tcPr>
            <w:tcW w:w="1576" w:type="dxa"/>
            <w:vAlign w:val="bottom"/>
          </w:tcPr>
          <w:p>
            <w:pPr>
              <w:pStyle w:val="yTableNAm"/>
            </w:pPr>
            <w:r>
              <w:rPr>
                <w:szCs w:val="22"/>
              </w:rPr>
              <w:t>102345.0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(t)</w:t>
            </w:r>
            <w:r>
              <w:rPr>
                <w:szCs w:val="22"/>
              </w:rPr>
              <w:tab/>
              <w:t xml:space="preserve">for silver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0.002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0.002 kg per day but not over 0.01 kg per day </w:t>
            </w:r>
            <w:r>
              <w:rPr>
                <w:szCs w:val="22"/>
              </w:rPr>
              <w:tab/>
            </w:r>
          </w:p>
        </w:tc>
        <w:tc>
          <w:tcPr>
            <w:tcW w:w="1576" w:type="dxa"/>
            <w:vAlign w:val="bottom"/>
          </w:tcPr>
          <w:p>
            <w:pPr>
              <w:pStyle w:val="yTableNAm"/>
            </w:pPr>
            <w:r>
              <w:rPr>
                <w:szCs w:val="22"/>
              </w:rPr>
              <w:t>10235.0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0.01 kg per day </w:t>
            </w:r>
            <w:r>
              <w:rPr>
                <w:szCs w:val="22"/>
              </w:rPr>
              <w:tab/>
            </w:r>
          </w:p>
        </w:tc>
        <w:tc>
          <w:tcPr>
            <w:tcW w:w="1576" w:type="dxa"/>
            <w:vAlign w:val="bottom"/>
          </w:tcPr>
          <w:p>
            <w:pPr>
              <w:pStyle w:val="yTableNAm"/>
            </w:pPr>
            <w:r>
              <w:rPr>
                <w:szCs w:val="22"/>
              </w:rPr>
              <w:t>102345.0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(u)</w:t>
            </w:r>
            <w:r>
              <w:rPr>
                <w:szCs w:val="22"/>
              </w:rPr>
              <w:tab/>
              <w:t xml:space="preserve">for mercury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0.0001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0.0001 kg per day but not over 0.001 kg per day </w:t>
            </w:r>
            <w:r>
              <w:rPr>
                <w:szCs w:val="22"/>
              </w:rPr>
              <w:tab/>
            </w:r>
          </w:p>
        </w:tc>
        <w:tc>
          <w:tcPr>
            <w:tcW w:w="1576" w:type="dxa"/>
            <w:vAlign w:val="bottom"/>
          </w:tcPr>
          <w:p>
            <w:pPr>
              <w:pStyle w:val="yTableNAm"/>
            </w:pPr>
            <w:r>
              <w:rPr>
                <w:szCs w:val="22"/>
              </w:rPr>
              <w:t>102345.0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0.001 kg per day </w:t>
            </w:r>
            <w:r>
              <w:rPr>
                <w:szCs w:val="22"/>
              </w:rPr>
              <w:tab/>
            </w:r>
          </w:p>
        </w:tc>
        <w:tc>
          <w:tcPr>
            <w:tcW w:w="1576" w:type="dxa"/>
            <w:vAlign w:val="bottom"/>
          </w:tcPr>
          <w:p>
            <w:pPr>
              <w:pStyle w:val="yTableNAm"/>
            </w:pPr>
            <w:r>
              <w:rPr>
                <w:szCs w:val="22"/>
              </w:rPr>
              <w:t>767615.0 c/kg</w:t>
            </w:r>
          </w:p>
        </w:tc>
      </w:tr>
    </w:tbl>
    <w:p>
      <w:pPr>
        <w:pStyle w:val="yHeading5"/>
      </w:pPr>
      <w:bookmarkStart w:id="246" w:name="_Toc391906990"/>
      <w:bookmarkStart w:id="247" w:name="_Toc426119851"/>
      <w:r>
        <w:rPr>
          <w:rStyle w:val="CharSClsNo"/>
        </w:rPr>
        <w:t>12</w:t>
      </w:r>
      <w:r>
        <w:t>.</w:t>
      </w:r>
      <w:r>
        <w:tab/>
        <w:t>Effluent discharged from a septic tank effluent pumping system into a sewer of the Corporation</w:t>
      </w:r>
      <w:bookmarkEnd w:id="246"/>
      <w:bookmarkEnd w:id="247"/>
    </w:p>
    <w:tbl>
      <w:tblPr>
        <w:tblW w:w="0" w:type="auto"/>
        <w:tblInd w:w="-34" w:type="dxa"/>
        <w:tblLook w:val="0000" w:firstRow="0" w:lastRow="0" w:firstColumn="0" w:lastColumn="0" w:noHBand="0" w:noVBand="0"/>
      </w:tblPr>
      <w:tblGrid>
        <w:gridCol w:w="907"/>
        <w:gridCol w:w="4803"/>
        <w:gridCol w:w="1576"/>
      </w:tblGrid>
      <w:tr>
        <w:trPr>
          <w:cantSplit/>
        </w:trPr>
        <w:tc>
          <w:tcPr>
            <w:tcW w:w="907" w:type="dxa"/>
          </w:tcPr>
          <w:p>
            <w:pPr>
              <w:pStyle w:val="yTableNAm"/>
              <w:widowControl w:val="0"/>
              <w:rPr>
                <w:szCs w:val="22"/>
              </w:rPr>
            </w:pPr>
          </w:p>
        </w:tc>
        <w:tc>
          <w:tcPr>
            <w:tcW w:w="4803" w:type="dxa"/>
          </w:tcPr>
          <w:p>
            <w:pPr>
              <w:pStyle w:val="yTableNAm"/>
              <w:widowControl w:val="0"/>
              <w:tabs>
                <w:tab w:val="right" w:leader="dot" w:pos="4587"/>
              </w:tabs>
              <w:rPr>
                <w:szCs w:val="22"/>
              </w:rPr>
            </w:pPr>
            <w:r>
              <w:rPr>
                <w:szCs w:val="22"/>
              </w:rPr>
              <w:t xml:space="preserve">For effluent discharged from a septic tank effluent pumping system into a sewer of the Corporation </w:t>
            </w:r>
            <w:r>
              <w:rPr>
                <w:szCs w:val="22"/>
              </w:rPr>
              <w:tab/>
            </w:r>
          </w:p>
        </w:tc>
        <w:tc>
          <w:tcPr>
            <w:tcW w:w="1576" w:type="dxa"/>
            <w:vAlign w:val="bottom"/>
          </w:tcPr>
          <w:p>
            <w:pPr>
              <w:pStyle w:val="yTableNAm"/>
              <w:widowControl w:val="0"/>
              <w:rPr>
                <w:szCs w:val="22"/>
              </w:rPr>
            </w:pPr>
            <w:r>
              <w:rPr>
                <w:szCs w:val="22"/>
              </w:rPr>
              <w:t>155.0 c/kL</w:t>
            </w:r>
          </w:p>
        </w:tc>
      </w:tr>
    </w:tbl>
    <w:p>
      <w:pPr>
        <w:pStyle w:val="yHeading5"/>
      </w:pPr>
      <w:bookmarkStart w:id="248" w:name="_Toc391906991"/>
      <w:bookmarkStart w:id="249" w:name="_Toc426119852"/>
      <w:r>
        <w:rPr>
          <w:rStyle w:val="CharSClsNo"/>
        </w:rPr>
        <w:t>13A</w:t>
      </w:r>
      <w:r>
        <w:t>.</w:t>
      </w:r>
      <w:r>
        <w:tab/>
        <w:t>Trade waste discharged from open area</w:t>
      </w:r>
      <w:bookmarkEnd w:id="248"/>
      <w:bookmarkEnd w:id="249"/>
    </w:p>
    <w:tbl>
      <w:tblPr>
        <w:tblW w:w="0" w:type="auto"/>
        <w:tblInd w:w="-34" w:type="dxa"/>
        <w:tblLook w:val="0000" w:firstRow="0" w:lastRow="0" w:firstColumn="0" w:lastColumn="0" w:noHBand="0" w:noVBand="0"/>
      </w:tblPr>
      <w:tblGrid>
        <w:gridCol w:w="907"/>
        <w:gridCol w:w="4803"/>
        <w:gridCol w:w="1576"/>
      </w:tblGrid>
      <w:tr>
        <w:trPr>
          <w:cantSplit/>
        </w:trPr>
        <w:tc>
          <w:tcPr>
            <w:tcW w:w="907" w:type="dxa"/>
          </w:tcPr>
          <w:p>
            <w:pPr>
              <w:pStyle w:val="zyTableNAm"/>
            </w:pPr>
          </w:p>
        </w:tc>
        <w:tc>
          <w:tcPr>
            <w:tcW w:w="4803" w:type="dxa"/>
          </w:tcPr>
          <w:p>
            <w:pPr>
              <w:pStyle w:val="yTableNAm"/>
              <w:widowControl w:val="0"/>
              <w:tabs>
                <w:tab w:val="right" w:leader="dot" w:pos="4587"/>
              </w:tabs>
              <w:rPr>
                <w:rFonts w:ascii="Arial" w:hAnsi="Arial"/>
                <w:b/>
              </w:rPr>
            </w:pPr>
            <w:r>
              <w:t xml:space="preserve">In respect of the discharge of trade waste from an open area under an approval of the Corporation, for the period for which the approval has effect (which cannot be of less than 12 months), in addition to any other charge applicable to the land under this Schedule, an </w:t>
            </w:r>
            <w:r>
              <w:rPr>
                <w:szCs w:val="22"/>
              </w:rPr>
              <w:t>amount</w:t>
            </w:r>
            <w:r>
              <w:t xml:space="preserve"> per m</w:t>
            </w:r>
            <w:r>
              <w:rPr>
                <w:vertAlign w:val="superscript"/>
              </w:rPr>
              <w:t>2</w:t>
            </w:r>
            <w:r>
              <w:t xml:space="preserve"> of open area </w:t>
            </w:r>
            <w:r>
              <w:tab/>
            </w:r>
          </w:p>
        </w:tc>
        <w:tc>
          <w:tcPr>
            <w:tcW w:w="1576" w:type="dxa"/>
            <w:vAlign w:val="bottom"/>
          </w:tcPr>
          <w:p>
            <w:pPr>
              <w:pStyle w:val="yTableNAm"/>
            </w:pPr>
            <w:r>
              <w:t>$1.45</w:t>
            </w:r>
          </w:p>
        </w:tc>
      </w:tr>
    </w:tbl>
    <w:p>
      <w:pPr>
        <w:pStyle w:val="yFootnotesection"/>
      </w:pPr>
      <w:r>
        <w:tab/>
        <w:t>[Division 3 inserted in Gazette 19 Jun 2013 p. 2379-84; amended in Gazette 14 Nov 2013 p. 5093</w:t>
      </w:r>
      <w:r>
        <w:noBreakHyphen/>
        <w:t>4.]</w:t>
      </w:r>
    </w:p>
    <w:p>
      <w:pPr>
        <w:pStyle w:val="yHeading3"/>
      </w:pPr>
      <w:bookmarkStart w:id="250" w:name="_Toc390772125"/>
      <w:bookmarkStart w:id="251" w:name="_Toc391906992"/>
      <w:bookmarkStart w:id="252" w:name="_Toc426119853"/>
      <w:r>
        <w:rPr>
          <w:rStyle w:val="CharSDivNo"/>
        </w:rPr>
        <w:t>Division 4</w:t>
      </w:r>
      <w:r>
        <w:t> — </w:t>
      </w:r>
      <w:r>
        <w:rPr>
          <w:rStyle w:val="CharSDivText"/>
        </w:rPr>
        <w:t>Metropolitan combined charges</w:t>
      </w:r>
      <w:bookmarkEnd w:id="250"/>
      <w:bookmarkEnd w:id="251"/>
      <w:bookmarkEnd w:id="252"/>
    </w:p>
    <w:p>
      <w:pPr>
        <w:pStyle w:val="yFootnoteheading"/>
        <w:spacing w:after="120"/>
      </w:pPr>
      <w:r>
        <w:tab/>
        <w:t>[Heading inserted in Gazette 19 Jun 2013 p. 2384.]</w:t>
      </w:r>
    </w:p>
    <w:p>
      <w:pPr>
        <w:pStyle w:val="yHeading5"/>
      </w:pPr>
      <w:bookmarkStart w:id="253" w:name="_Toc391906993"/>
      <w:bookmarkStart w:id="254" w:name="_Toc426119854"/>
      <w:r>
        <w:rPr>
          <w:rStyle w:val="CharSClsNo"/>
        </w:rPr>
        <w:t>13</w:t>
      </w:r>
      <w:r>
        <w:t>.</w:t>
      </w:r>
      <w:r>
        <w:tab/>
        <w:t>Metropolitan non</w:t>
      </w:r>
      <w:r>
        <w:noBreakHyphen/>
        <w:t>residential (other than vacant land)</w:t>
      </w:r>
      <w:bookmarkEnd w:id="253"/>
      <w:bookmarkEnd w:id="254"/>
    </w:p>
    <w:p>
      <w:pPr>
        <w:pStyle w:val="ySubsection"/>
      </w:pPr>
      <w:r>
        <w:tab/>
      </w:r>
      <w:r>
        <w:tab/>
        <w:t xml:space="preserve">In respect of </w:t>
      </w:r>
      <w:r>
        <w:rPr>
          <w:snapToGrid w:val="0"/>
        </w:rPr>
        <w:t>land</w:t>
      </w:r>
      <w:r>
        <w:t xml:space="preserve"> in the metropolitan area that is not — </w:t>
      </w:r>
    </w:p>
    <w:p>
      <w:pPr>
        <w:pStyle w:val="yMiscellaneousBody"/>
        <w:tabs>
          <w:tab w:val="left" w:pos="993"/>
          <w:tab w:val="left" w:pos="1560"/>
        </w:tabs>
        <w:spacing w:before="80"/>
        <w:ind w:left="1560" w:hanging="1560"/>
      </w:pPr>
      <w:r>
        <w:tab/>
        <w:t>(a)</w:t>
      </w:r>
      <w:r>
        <w:tab/>
        <w:t>comprised in a residential property; and</w:t>
      </w:r>
    </w:p>
    <w:p>
      <w:pPr>
        <w:pStyle w:val="yMiscellaneousBody"/>
        <w:tabs>
          <w:tab w:val="left" w:pos="993"/>
          <w:tab w:val="left" w:pos="1560"/>
        </w:tabs>
        <w:spacing w:before="80"/>
        <w:ind w:left="1560" w:hanging="1560"/>
      </w:pPr>
      <w:r>
        <w:tab/>
        <w:t>(b)</w:t>
      </w:r>
      <w:r>
        <w:tab/>
        <w:t>referred to in item 1, 3, 4, 5, 14, 15 or 16,</w:t>
      </w:r>
    </w:p>
    <w:p>
      <w:pPr>
        <w:pStyle w:val="ySubsection"/>
        <w:spacing w:before="120"/>
      </w:pPr>
      <w:r>
        <w:tab/>
      </w:r>
      <w:r>
        <w:tab/>
        <w:t xml:space="preserve">the charge is calculated in accordance with the following formula — </w:t>
      </w:r>
    </w:p>
    <w:p>
      <w:pPr>
        <w:pStyle w:val="yMiscellaneousBody"/>
        <w:tabs>
          <w:tab w:val="left" w:pos="1418"/>
        </w:tabs>
        <w:ind w:left="1418" w:hanging="1418"/>
      </w:pPr>
      <w:r>
        <w:tab/>
        <w:t>If (</w:t>
      </w:r>
      <w:r>
        <w:rPr>
          <w:b/>
        </w:rPr>
        <w:t>P</w:t>
      </w:r>
      <w:r>
        <w:t xml:space="preserve"> + </w:t>
      </w:r>
      <w:r>
        <w:rPr>
          <w:b/>
        </w:rPr>
        <w:t>Q</w:t>
      </w:r>
      <w:r>
        <w:t xml:space="preserve">) </w:t>
      </w:r>
      <w:r>
        <w:sym w:font="Symbol" w:char="F0A3"/>
      </w:r>
      <w:r>
        <w:t xml:space="preserve"> </w:t>
      </w:r>
      <w:r>
        <w:rPr>
          <w:b/>
        </w:rPr>
        <w:t>R</w:t>
      </w:r>
      <w:r>
        <w:t xml:space="preserve">, then — </w:t>
      </w:r>
    </w:p>
    <w:p>
      <w:pPr>
        <w:pStyle w:val="yMiscellaneousBody"/>
        <w:tabs>
          <w:tab w:val="left" w:pos="1418"/>
        </w:tabs>
        <w:spacing w:before="120"/>
        <w:ind w:left="1418" w:hanging="1418"/>
      </w:pPr>
      <w:r>
        <w:tab/>
      </w:r>
      <w:r>
        <w:rPr>
          <w:b/>
        </w:rPr>
        <w:t>P</w:t>
      </w:r>
      <w:r>
        <w:t xml:space="preserve"> + </w:t>
      </w:r>
      <w:r>
        <w:rPr>
          <w:b/>
        </w:rPr>
        <w:t>Q</w:t>
      </w:r>
    </w:p>
    <w:p>
      <w:pPr>
        <w:pStyle w:val="yMiscellaneousBody"/>
        <w:tabs>
          <w:tab w:val="left" w:pos="1418"/>
        </w:tabs>
        <w:ind w:left="1418" w:hanging="1418"/>
      </w:pPr>
      <w:r>
        <w:tab/>
        <w:t xml:space="preserve">or if — </w:t>
      </w:r>
    </w:p>
    <w:p>
      <w:pPr>
        <w:pStyle w:val="yMiscellaneousBody"/>
        <w:tabs>
          <w:tab w:val="left" w:pos="1985"/>
        </w:tabs>
        <w:spacing w:before="120"/>
        <w:ind w:left="1985" w:hanging="1985"/>
      </w:pPr>
      <w:r>
        <w:tab/>
        <w:t>(</w:t>
      </w:r>
      <w:r>
        <w:rPr>
          <w:b/>
        </w:rPr>
        <w:t>P</w:t>
      </w:r>
      <w:r>
        <w:t xml:space="preserve"> + </w:t>
      </w:r>
      <w:r>
        <w:rPr>
          <w:b/>
        </w:rPr>
        <w:t>Q</w:t>
      </w:r>
      <w:r>
        <w:t xml:space="preserve">) &gt; </w:t>
      </w:r>
      <w:r>
        <w:rPr>
          <w:b/>
        </w:rPr>
        <w:t>R</w:t>
      </w:r>
      <w:r>
        <w:t>; and</w:t>
      </w:r>
    </w:p>
    <w:p>
      <w:pPr>
        <w:pStyle w:val="yMiscellaneousBody"/>
        <w:tabs>
          <w:tab w:val="left" w:pos="1985"/>
        </w:tabs>
        <w:spacing w:before="120"/>
        <w:ind w:left="1985" w:hanging="1985"/>
      </w:pPr>
      <w:r>
        <w:tab/>
      </w:r>
      <w:r>
        <w:rPr>
          <w:b/>
        </w:rPr>
        <w:t>N</w:t>
      </w:r>
      <w:r>
        <w:t xml:space="preserve"> </w:t>
      </w:r>
      <w:r>
        <w:sym w:font="Symbol" w:char="F0A3"/>
      </w:r>
      <w:r>
        <w:t xml:space="preserve"> </w:t>
      </w:r>
      <w:r>
        <w:rPr>
          <w:b/>
        </w:rPr>
        <w:t>W</w:t>
      </w:r>
      <w:r>
        <w:t>,</w:t>
      </w:r>
    </w:p>
    <w:p>
      <w:pPr>
        <w:pStyle w:val="yMiscellaneousBody"/>
        <w:tabs>
          <w:tab w:val="left" w:pos="1418"/>
        </w:tabs>
        <w:ind w:left="1418" w:hanging="1418"/>
      </w:pPr>
      <w:r>
        <w:tab/>
        <w:t xml:space="preserve">then — </w:t>
      </w:r>
    </w:p>
    <w:p>
      <w:pPr>
        <w:pStyle w:val="yMiscellaneousBody"/>
        <w:tabs>
          <w:tab w:val="left" w:pos="1985"/>
        </w:tabs>
        <w:spacing w:before="120"/>
        <w:ind w:left="1985" w:hanging="1985"/>
        <w:rPr>
          <w:b/>
        </w:rPr>
      </w:pPr>
      <w:r>
        <w:tab/>
      </w:r>
      <w:r>
        <w:rPr>
          <w:b/>
        </w:rPr>
        <w:t>R</w:t>
      </w:r>
    </w:p>
    <w:p>
      <w:pPr>
        <w:pStyle w:val="yMiscellaneousBody"/>
        <w:tabs>
          <w:tab w:val="left" w:pos="1418"/>
        </w:tabs>
        <w:ind w:left="1418" w:hanging="1418"/>
      </w:pPr>
      <w:r>
        <w:tab/>
        <w:t xml:space="preserve">or if — </w:t>
      </w:r>
    </w:p>
    <w:p>
      <w:pPr>
        <w:pStyle w:val="yMiscellaneousBody"/>
        <w:tabs>
          <w:tab w:val="left" w:pos="1985"/>
        </w:tabs>
        <w:spacing w:before="120"/>
        <w:ind w:left="1985" w:hanging="1985"/>
      </w:pPr>
      <w:r>
        <w:tab/>
        <w:t>(</w:t>
      </w:r>
      <w:r>
        <w:rPr>
          <w:b/>
        </w:rPr>
        <w:t>P</w:t>
      </w:r>
      <w:r>
        <w:t xml:space="preserve"> + </w:t>
      </w:r>
      <w:r>
        <w:rPr>
          <w:b/>
        </w:rPr>
        <w:t>Q</w:t>
      </w:r>
      <w:r>
        <w:t xml:space="preserve">) &gt; </w:t>
      </w:r>
      <w:r>
        <w:rPr>
          <w:b/>
        </w:rPr>
        <w:t>R</w:t>
      </w:r>
      <w:r>
        <w:t>; and</w:t>
      </w:r>
    </w:p>
    <w:p>
      <w:pPr>
        <w:pStyle w:val="yMiscellaneousBody"/>
        <w:tabs>
          <w:tab w:val="left" w:pos="1985"/>
        </w:tabs>
        <w:spacing w:before="120"/>
        <w:ind w:left="1985" w:hanging="1985"/>
      </w:pPr>
      <w:r>
        <w:tab/>
      </w:r>
      <w:r>
        <w:rPr>
          <w:b/>
        </w:rPr>
        <w:t>N</w:t>
      </w:r>
      <w:r>
        <w:t xml:space="preserve"> &gt; </w:t>
      </w:r>
      <w:r>
        <w:rPr>
          <w:b/>
        </w:rPr>
        <w:t>W</w:t>
      </w:r>
      <w:r>
        <w:t>,</w:t>
      </w:r>
    </w:p>
    <w:p>
      <w:pPr>
        <w:pStyle w:val="yMiscellaneousBody"/>
        <w:keepNext/>
        <w:tabs>
          <w:tab w:val="left" w:pos="1418"/>
        </w:tabs>
        <w:ind w:left="1418" w:hanging="1418"/>
      </w:pPr>
      <w:r>
        <w:tab/>
        <w:t xml:space="preserve">then — </w:t>
      </w:r>
    </w:p>
    <w:p>
      <w:pPr>
        <w:pStyle w:val="yMiscellaneousBody"/>
        <w:tabs>
          <w:tab w:val="left" w:pos="1985"/>
        </w:tabs>
        <w:spacing w:before="120"/>
        <w:ind w:left="1985" w:hanging="1985"/>
      </w:pP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MiscellaneousBody"/>
        <w:tabs>
          <w:tab w:val="left" w:pos="1418"/>
        </w:tabs>
        <w:ind w:left="1418" w:hanging="1418"/>
      </w:pPr>
      <w:r>
        <w:tab/>
        <w:t xml:space="preserve">where — </w:t>
      </w:r>
    </w:p>
    <w:p>
      <w:pPr>
        <w:pStyle w:val="yMiscellaneousBody"/>
        <w:tabs>
          <w:tab w:val="left" w:pos="1701"/>
          <w:tab w:val="left" w:pos="2268"/>
        </w:tabs>
        <w:ind w:left="2268" w:hanging="2268"/>
      </w:pPr>
      <w:r>
        <w:tab/>
      </w:r>
      <w:r>
        <w:rPr>
          <w:b/>
        </w:rPr>
        <w:t>P</w:t>
      </w:r>
      <w:r>
        <w:t xml:space="preserve"> =</w:t>
      </w:r>
      <w:r>
        <w:tab/>
        <w:t>the annual charge calculated in accordance with the formula in item 18;</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19;</w:t>
      </w:r>
    </w:p>
    <w:p>
      <w:pPr>
        <w:pStyle w:val="yMiscellaneousBody"/>
        <w:tabs>
          <w:tab w:val="left" w:pos="1701"/>
          <w:tab w:val="left" w:pos="2268"/>
        </w:tabs>
        <w:ind w:left="2268" w:hanging="2268"/>
      </w:pPr>
      <w:r>
        <w:tab/>
      </w:r>
      <w:r>
        <w:rPr>
          <w:b/>
        </w:rPr>
        <w:t>R</w:t>
      </w:r>
      <w:r>
        <w:t xml:space="preserve"> =</w:t>
      </w:r>
      <w:r>
        <w:tab/>
        <w:t>the charge calculated in accordance with the following formula — </w:t>
      </w:r>
    </w:p>
    <w:p>
      <w:pPr>
        <w:pStyle w:val="yMiscellaneousBody"/>
        <w:tabs>
          <w:tab w:val="left" w:pos="2268"/>
        </w:tabs>
      </w:pPr>
      <w:r>
        <w:tab/>
      </w:r>
      <w:r>
        <w:rPr>
          <w:b/>
        </w:rPr>
        <w:t>A</w:t>
      </w:r>
      <w:r>
        <w:t xml:space="preserve"> </w:t>
      </w:r>
      <w:r>
        <w:sym w:font="Symbol" w:char="F0B4"/>
      </w:r>
      <w:r>
        <w:t xml:space="preserve"> </w:t>
      </w:r>
      <w:r>
        <w:rPr>
          <w:b/>
        </w:rPr>
        <w:t>S</w:t>
      </w:r>
    </w:p>
    <w:p>
      <w:pPr>
        <w:pStyle w:val="yMiscellaneousBody"/>
        <w:tabs>
          <w:tab w:val="left" w:pos="2268"/>
        </w:tabs>
      </w:pPr>
      <w:r>
        <w:tab/>
        <w:t xml:space="preserve">where — </w:t>
      </w:r>
    </w:p>
    <w:p>
      <w:pPr>
        <w:pStyle w:val="yMiscellaneousBody"/>
        <w:tabs>
          <w:tab w:val="left" w:pos="2552"/>
          <w:tab w:val="left" w:pos="3119"/>
        </w:tabs>
      </w:pPr>
      <w:r>
        <w:tab/>
      </w:r>
      <w:r>
        <w:rPr>
          <w:b/>
        </w:rPr>
        <w:t>A</w:t>
      </w:r>
      <w:r>
        <w:t xml:space="preserve"> =</w:t>
      </w:r>
      <w:r>
        <w:tab/>
        <w:t>the charge payable in the 2012/2013 year;</w:t>
      </w:r>
    </w:p>
    <w:p>
      <w:pPr>
        <w:pStyle w:val="yMiscellaneousBody"/>
        <w:tabs>
          <w:tab w:val="left" w:pos="2552"/>
          <w:tab w:val="left" w:pos="3119"/>
        </w:tabs>
      </w:pPr>
      <w:r>
        <w:tab/>
      </w:r>
      <w:r>
        <w:rPr>
          <w:b/>
        </w:rPr>
        <w:t>S</w:t>
      </w:r>
      <w:r>
        <w:t xml:space="preserve"> =</w:t>
      </w:r>
      <w:r>
        <w:tab/>
        <w:t>1.120;</w:t>
      </w:r>
    </w:p>
    <w:p>
      <w:pPr>
        <w:pStyle w:val="yMiscellaneousBody"/>
        <w:tabs>
          <w:tab w:val="left" w:pos="2552"/>
          <w:tab w:val="left" w:pos="3119"/>
        </w:tabs>
        <w:ind w:left="3119" w:hanging="3119"/>
      </w:pPr>
      <w:r>
        <w:tab/>
      </w:r>
      <w:r>
        <w:rPr>
          <w:b/>
        </w:rPr>
        <w:t>N</w:t>
      </w:r>
      <w:r>
        <w:t xml:space="preserve"> =</w:t>
      </w:r>
      <w:r>
        <w:tab/>
        <w:t>the discharge volume for the 2013/2014 year;</w:t>
      </w:r>
    </w:p>
    <w:p>
      <w:pPr>
        <w:pStyle w:val="yMiscellaneousBody"/>
        <w:tabs>
          <w:tab w:val="left" w:pos="2552"/>
          <w:tab w:val="left" w:pos="3119"/>
        </w:tabs>
        <w:ind w:left="3119" w:hanging="3119"/>
      </w:pPr>
      <w:r>
        <w:tab/>
      </w:r>
      <w:r>
        <w:rPr>
          <w:b/>
        </w:rPr>
        <w:t>W</w:t>
      </w:r>
      <w:r>
        <w:t xml:space="preserve"> =</w:t>
      </w:r>
      <w:r>
        <w:tab/>
        <w:t>the discharge volume for the 2012/2013 year;</w:t>
      </w:r>
    </w:p>
    <w:p>
      <w:pPr>
        <w:pStyle w:val="yMiscellaneousBody"/>
        <w:tabs>
          <w:tab w:val="left" w:pos="2552"/>
          <w:tab w:val="left" w:pos="3119"/>
        </w:tabs>
        <w:ind w:left="3119" w:hanging="3119"/>
      </w:pPr>
      <w:r>
        <w:tab/>
      </w:r>
      <w:r>
        <w:rPr>
          <w:b/>
        </w:rPr>
        <w:t>I</w:t>
      </w:r>
      <w:r>
        <w:t xml:space="preserve"> =</w:t>
      </w:r>
      <w:r>
        <w:tab/>
        <w:t>2.8376.</w:t>
      </w:r>
    </w:p>
    <w:p>
      <w:pPr>
        <w:pStyle w:val="yHeading5"/>
      </w:pPr>
      <w:bookmarkStart w:id="255" w:name="_Toc391906994"/>
      <w:bookmarkStart w:id="256" w:name="_Toc426119855"/>
      <w:r>
        <w:rPr>
          <w:rStyle w:val="CharSClsNo"/>
        </w:rPr>
        <w:t>14</w:t>
      </w:r>
      <w:r>
        <w:t>.</w:t>
      </w:r>
      <w:r>
        <w:tab/>
        <w:t>Metropolitan Government trading organisation and non</w:t>
      </w:r>
      <w:r>
        <w:noBreakHyphen/>
        <w:t>commercial Government property</w:t>
      </w:r>
      <w:bookmarkEnd w:id="255"/>
      <w:bookmarkEnd w:id="256"/>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MiscellaneousBody"/>
        <w:tabs>
          <w:tab w:val="left" w:pos="879"/>
        </w:tabs>
      </w:pPr>
      <w:r>
        <w:tab/>
      </w:r>
      <w:r>
        <w:rPr>
          <w:b/>
        </w:rPr>
        <w:t>Y</w:t>
      </w:r>
      <w:r>
        <w:t xml:space="preserve"> + </w:t>
      </w:r>
      <w:r>
        <w:rPr>
          <w:b/>
        </w:rPr>
        <w:t>Q</w:t>
      </w:r>
    </w:p>
    <w:p>
      <w:pPr>
        <w:pStyle w:val="yMiscellaneousBody"/>
        <w:ind w:left="879" w:hanging="879"/>
      </w:pPr>
      <w:r>
        <w:tab/>
        <w:t xml:space="preserve">where — </w:t>
      </w:r>
    </w:p>
    <w:p>
      <w:pPr>
        <w:pStyle w:val="yMiscellaneousBody"/>
        <w:tabs>
          <w:tab w:val="left" w:pos="1134"/>
          <w:tab w:val="left" w:pos="1701"/>
        </w:tabs>
        <w:ind w:left="1701" w:hanging="1701"/>
      </w:pPr>
      <w:r>
        <w:tab/>
      </w:r>
      <w:r>
        <w:rPr>
          <w:b/>
        </w:rPr>
        <w:t>Y</w:t>
      </w:r>
      <w:r>
        <w:t xml:space="preserve"> =</w:t>
      </w:r>
      <w:r>
        <w:tab/>
        <w:t>the charge payable for the relevant number of major fixtures in the 2013/2014 year as set out in the Table to item 18;</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Heading5"/>
      </w:pPr>
      <w:bookmarkStart w:id="257" w:name="_Toc391906995"/>
      <w:bookmarkStart w:id="258" w:name="_Toc426119856"/>
      <w:r>
        <w:rPr>
          <w:rStyle w:val="CharSClsNo"/>
        </w:rPr>
        <w:t>15</w:t>
      </w:r>
      <w:r>
        <w:t>.</w:t>
      </w:r>
      <w:r>
        <w:tab/>
        <w:t>Metropolitan non strata</w:t>
      </w:r>
      <w:r>
        <w:noBreakHyphen/>
        <w:t>titled caravan park with long</w:t>
      </w:r>
      <w:r>
        <w:noBreakHyphen/>
        <w:t>term residential caravan bays</w:t>
      </w:r>
      <w:bookmarkEnd w:id="257"/>
      <w:bookmarkEnd w:id="258"/>
    </w:p>
    <w:p>
      <w:pPr>
        <w:pStyle w:val="ySubsection"/>
      </w:pPr>
      <w:r>
        <w:tab/>
      </w:r>
      <w:r>
        <w:tab/>
        <w:t xml:space="preserve">In respect of a caravan park in the metropolitan area — </w:t>
      </w:r>
    </w:p>
    <w:p>
      <w:pPr>
        <w:pStyle w:val="yMiscellaneousBody"/>
        <w:tabs>
          <w:tab w:val="left" w:pos="993"/>
          <w:tab w:val="left" w:pos="1560"/>
        </w:tabs>
        <w:ind w:left="1560" w:hanging="1560"/>
      </w:pPr>
      <w:r>
        <w:tab/>
        <w:t>(a)</w:t>
      </w:r>
      <w:r>
        <w:tab/>
        <w:t>not consisting of strata</w:t>
      </w:r>
      <w:r>
        <w:noBreakHyphen/>
        <w:t>titled caravan bays referred to in item 3; and</w:t>
      </w:r>
    </w:p>
    <w:p>
      <w:pPr>
        <w:pStyle w:val="yMiscellaneousBody"/>
        <w:tabs>
          <w:tab w:val="left" w:pos="993"/>
          <w:tab w:val="left" w:pos="1560"/>
        </w:tabs>
        <w:ind w:left="1560" w:hanging="1560"/>
      </w:pPr>
      <w:r>
        <w:tab/>
        <w:t>(b)</w:t>
      </w:r>
      <w:r>
        <w:tab/>
        <w:t>having long</w:t>
      </w:r>
      <w:r>
        <w:noBreakHyphen/>
        <w:t xml:space="preserve">term residential caravan bays, the charge payable in accordance with the following formula — </w:t>
      </w:r>
    </w:p>
    <w:p>
      <w:pPr>
        <w:pStyle w:val="yMiscellaneousBody"/>
        <w:tabs>
          <w:tab w:val="left" w:pos="1701"/>
        </w:tabs>
      </w:pPr>
      <w:r>
        <w:tab/>
      </w:r>
      <w:r>
        <w:rPr>
          <w:b/>
        </w:rPr>
        <w:t>AA</w:t>
      </w:r>
      <w:r>
        <w:t xml:space="preserve"> + </w:t>
      </w:r>
      <w:r>
        <w:rPr>
          <w:b/>
        </w:rPr>
        <w:t>AB</w:t>
      </w:r>
    </w:p>
    <w:p>
      <w:pPr>
        <w:pStyle w:val="yMiscellaneousBody"/>
        <w:tabs>
          <w:tab w:val="left" w:pos="993"/>
          <w:tab w:val="left" w:pos="1560"/>
        </w:tabs>
        <w:ind w:left="1560" w:hanging="1560"/>
      </w:pPr>
      <w:r>
        <w:tab/>
      </w:r>
      <w:r>
        <w:tab/>
        <w:t xml:space="preserve">where — </w:t>
      </w:r>
    </w:p>
    <w:p>
      <w:pPr>
        <w:pStyle w:val="yMiscellaneousBody"/>
        <w:tabs>
          <w:tab w:val="left" w:pos="1701"/>
          <w:tab w:val="left" w:pos="2268"/>
        </w:tabs>
        <w:ind w:left="2268" w:hanging="2268"/>
      </w:pPr>
      <w:r>
        <w:tab/>
      </w:r>
      <w:r>
        <w:rPr>
          <w:b/>
        </w:rPr>
        <w:t>AA</w:t>
      </w:r>
      <w:r>
        <w:t xml:space="preserve"> =</w:t>
      </w:r>
      <w:r>
        <w:tab/>
        <w:t>a charge of $254.93 for each long</w:t>
      </w:r>
      <w:r>
        <w:noBreakHyphen/>
        <w:t>term residential caravan bay;</w:t>
      </w:r>
    </w:p>
    <w:p>
      <w:pPr>
        <w:pStyle w:val="yMiscellaneousBody"/>
        <w:tabs>
          <w:tab w:val="left" w:pos="1701"/>
          <w:tab w:val="left" w:pos="2268"/>
        </w:tabs>
        <w:ind w:left="2268" w:hanging="2268"/>
      </w:pPr>
      <w:r>
        <w:tab/>
      </w:r>
      <w:r>
        <w:rPr>
          <w:b/>
        </w:rPr>
        <w:t>AB</w:t>
      </w:r>
      <w:r>
        <w:t xml:space="preserve"> =</w:t>
      </w:r>
      <w:r>
        <w:tab/>
        <w:t>the charge for any part of the caravan park not comprised in long</w:t>
      </w:r>
      <w:r>
        <w:noBreakHyphen/>
        <w:t xml:space="preserve">term residential caravan bays, calculated in accordance with the following formula — </w:t>
      </w:r>
    </w:p>
    <w:p>
      <w:pPr>
        <w:pStyle w:val="yMiscellaneousBody"/>
        <w:tabs>
          <w:tab w:val="left" w:pos="2268"/>
        </w:tabs>
      </w:pPr>
      <w:r>
        <w:tab/>
        <w:t>If (</w:t>
      </w:r>
      <w:r>
        <w:rPr>
          <w:b/>
        </w:rPr>
        <w:t>Y</w:t>
      </w:r>
      <w:r>
        <w:t xml:space="preserve"> + </w:t>
      </w:r>
      <w:r>
        <w:rPr>
          <w:b/>
        </w:rPr>
        <w:t>Q</w:t>
      </w:r>
      <w:r>
        <w:t xml:space="preserve">) </w:t>
      </w:r>
      <w:r>
        <w:sym w:font="Symbol" w:char="F0A3"/>
      </w:r>
      <w:r>
        <w:t xml:space="preserve"> </w:t>
      </w:r>
      <w:r>
        <w:rPr>
          <w:b/>
        </w:rPr>
        <w:t>R</w:t>
      </w:r>
      <w:r>
        <w:t xml:space="preserve">, then — </w:t>
      </w:r>
    </w:p>
    <w:p>
      <w:pPr>
        <w:pStyle w:val="yMiscellaneousBody"/>
        <w:tabs>
          <w:tab w:val="left" w:pos="2268"/>
        </w:tabs>
      </w:pPr>
      <w:r>
        <w:tab/>
      </w:r>
      <w:r>
        <w:rPr>
          <w:b/>
        </w:rPr>
        <w:t>Y</w:t>
      </w:r>
      <w:r>
        <w:t xml:space="preserve"> + </w:t>
      </w:r>
      <w:r>
        <w:rPr>
          <w:b/>
        </w:rPr>
        <w:t>Q</w:t>
      </w:r>
    </w:p>
    <w:p>
      <w:pPr>
        <w:pStyle w:val="yMiscellaneousBody"/>
        <w:tabs>
          <w:tab w:val="left" w:pos="2268"/>
        </w:tabs>
      </w:pPr>
      <w:r>
        <w:tab/>
        <w:t xml:space="preserve">or if — </w:t>
      </w:r>
    </w:p>
    <w:p>
      <w:pPr>
        <w:pStyle w:val="yMiscellaneousBody"/>
        <w:tabs>
          <w:tab w:val="left" w:pos="2268"/>
        </w:tabs>
      </w:pPr>
      <w:r>
        <w:tab/>
        <w:t>(</w:t>
      </w:r>
      <w:r>
        <w:rPr>
          <w:b/>
        </w:rPr>
        <w:t>Y</w:t>
      </w:r>
      <w:r>
        <w:t xml:space="preserve"> + </w:t>
      </w:r>
      <w:r>
        <w:rPr>
          <w:b/>
        </w:rPr>
        <w:t>Q</w:t>
      </w:r>
      <w:r>
        <w:t xml:space="preserve">) &gt; </w:t>
      </w:r>
      <w:r>
        <w:rPr>
          <w:b/>
        </w:rPr>
        <w:t>R</w:t>
      </w:r>
      <w:r>
        <w:t>; and</w:t>
      </w:r>
    </w:p>
    <w:p>
      <w:pPr>
        <w:pStyle w:val="yMiscellaneousBody"/>
        <w:tabs>
          <w:tab w:val="left" w:pos="2268"/>
        </w:tabs>
      </w:pPr>
      <w:r>
        <w:tab/>
      </w:r>
      <w:r>
        <w:rPr>
          <w:b/>
        </w:rPr>
        <w:t>N</w:t>
      </w:r>
      <w:r>
        <w:t xml:space="preserve"> </w:t>
      </w:r>
      <w:r>
        <w:sym w:font="Symbol" w:char="F0A3"/>
      </w:r>
      <w:r>
        <w:t xml:space="preserve"> </w:t>
      </w:r>
      <w:r>
        <w:rPr>
          <w:b/>
        </w:rPr>
        <w:t>W</w:t>
      </w:r>
      <w:r>
        <w:t>,</w:t>
      </w:r>
    </w:p>
    <w:p>
      <w:pPr>
        <w:pStyle w:val="yMiscellaneousBody"/>
        <w:tabs>
          <w:tab w:val="left" w:pos="2268"/>
        </w:tabs>
      </w:pPr>
      <w:r>
        <w:tab/>
        <w:t xml:space="preserve">then — </w:t>
      </w:r>
    </w:p>
    <w:p>
      <w:pPr>
        <w:pStyle w:val="yMiscellaneousBody"/>
        <w:tabs>
          <w:tab w:val="left" w:pos="2268"/>
        </w:tabs>
        <w:rPr>
          <w:b/>
        </w:rPr>
      </w:pPr>
      <w:r>
        <w:tab/>
      </w:r>
      <w:r>
        <w:rPr>
          <w:b/>
        </w:rPr>
        <w:t>R</w:t>
      </w:r>
    </w:p>
    <w:p>
      <w:pPr>
        <w:pStyle w:val="yMiscellaneousBody"/>
        <w:tabs>
          <w:tab w:val="left" w:pos="2268"/>
        </w:tabs>
      </w:pPr>
      <w:r>
        <w:tab/>
        <w:t xml:space="preserve">or if — </w:t>
      </w:r>
    </w:p>
    <w:p>
      <w:pPr>
        <w:pStyle w:val="yMiscellaneousBody"/>
        <w:tabs>
          <w:tab w:val="left" w:pos="2268"/>
        </w:tabs>
      </w:pPr>
      <w:r>
        <w:tab/>
        <w:t>(</w:t>
      </w:r>
      <w:r>
        <w:rPr>
          <w:b/>
        </w:rPr>
        <w:t>Y</w:t>
      </w:r>
      <w:r>
        <w:t xml:space="preserve"> + </w:t>
      </w:r>
      <w:r>
        <w:rPr>
          <w:b/>
        </w:rPr>
        <w:t>Q</w:t>
      </w:r>
      <w:r>
        <w:t xml:space="preserve">) &gt; </w:t>
      </w:r>
      <w:r>
        <w:rPr>
          <w:b/>
        </w:rPr>
        <w:t>R</w:t>
      </w:r>
      <w:r>
        <w:t>; and</w:t>
      </w:r>
    </w:p>
    <w:p>
      <w:pPr>
        <w:pStyle w:val="yMiscellaneousBody"/>
        <w:tabs>
          <w:tab w:val="left" w:pos="2268"/>
        </w:tabs>
      </w:pPr>
      <w:r>
        <w:tab/>
      </w:r>
      <w:r>
        <w:rPr>
          <w:b/>
        </w:rPr>
        <w:t>N</w:t>
      </w:r>
      <w:r>
        <w:t xml:space="preserve"> &gt; </w:t>
      </w:r>
      <w:r>
        <w:rPr>
          <w:b/>
        </w:rPr>
        <w:t>W</w:t>
      </w:r>
      <w:r>
        <w:t>,</w:t>
      </w:r>
    </w:p>
    <w:p>
      <w:pPr>
        <w:pStyle w:val="yMiscellaneousBody"/>
        <w:tabs>
          <w:tab w:val="left" w:pos="2268"/>
        </w:tabs>
      </w:pPr>
      <w:r>
        <w:tab/>
        <w:t xml:space="preserve">then — </w:t>
      </w:r>
    </w:p>
    <w:p>
      <w:pPr>
        <w:pStyle w:val="yMiscellaneousBody"/>
        <w:tabs>
          <w:tab w:val="left" w:pos="2268"/>
        </w:tabs>
      </w:pP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MiscellaneousBody"/>
        <w:keepNext/>
        <w:tabs>
          <w:tab w:val="left" w:pos="2268"/>
        </w:tabs>
      </w:pPr>
      <w:r>
        <w:tab/>
        <w:t xml:space="preserve">where — </w:t>
      </w:r>
    </w:p>
    <w:p>
      <w:pPr>
        <w:pStyle w:val="yMiscellaneousBody"/>
        <w:tabs>
          <w:tab w:val="left" w:pos="2410"/>
          <w:tab w:val="left" w:pos="2977"/>
        </w:tabs>
        <w:ind w:left="2977" w:hanging="2977"/>
      </w:pPr>
      <w:r>
        <w:tab/>
      </w:r>
      <w:r>
        <w:rPr>
          <w:b/>
        </w:rPr>
        <w:t>Y</w:t>
      </w:r>
      <w:r>
        <w:t xml:space="preserve"> =</w:t>
      </w:r>
      <w:r>
        <w:tab/>
        <w:t>the charge payable for the number of major fixtures in the relevant part of the caravan park in the 2013/2014 year as set out in the Table to item 18;</w:t>
      </w:r>
    </w:p>
    <w:p>
      <w:pPr>
        <w:pStyle w:val="yMiscellaneousBody"/>
        <w:tabs>
          <w:tab w:val="left" w:pos="2410"/>
          <w:tab w:val="left" w:pos="2977"/>
        </w:tabs>
        <w:ind w:left="2977" w:hanging="2977"/>
      </w:pPr>
      <w:r>
        <w:tab/>
      </w:r>
      <w:r>
        <w:rPr>
          <w:b/>
        </w:rPr>
        <w:t>Q</w:t>
      </w:r>
      <w:r>
        <w:t xml:space="preserve"> =</w:t>
      </w:r>
      <w:r>
        <w:tab/>
        <w:t>the quantity charge calculated in accordance with the formula in item 19;</w:t>
      </w:r>
    </w:p>
    <w:p>
      <w:pPr>
        <w:pStyle w:val="yMiscellaneousBody"/>
        <w:tabs>
          <w:tab w:val="left" w:pos="2410"/>
          <w:tab w:val="left" w:pos="2977"/>
        </w:tabs>
        <w:ind w:left="2977" w:hanging="2977"/>
      </w:pPr>
      <w:r>
        <w:tab/>
      </w:r>
      <w:r>
        <w:rPr>
          <w:b/>
        </w:rPr>
        <w:t>R</w:t>
      </w:r>
      <w:r>
        <w:t xml:space="preserve"> =</w:t>
      </w:r>
      <w:r>
        <w:tab/>
        <w:t>the charge calculated in accordance with the following formula — </w:t>
      </w:r>
    </w:p>
    <w:p>
      <w:pPr>
        <w:pStyle w:val="yMiscellaneousBody"/>
        <w:tabs>
          <w:tab w:val="left" w:pos="2977"/>
        </w:tabs>
      </w:pPr>
      <w:r>
        <w:tab/>
      </w:r>
      <w:r>
        <w:rPr>
          <w:b/>
        </w:rPr>
        <w:t>A</w:t>
      </w:r>
      <w:r>
        <w:t xml:space="preserve"> x </w:t>
      </w:r>
      <w:r>
        <w:rPr>
          <w:b/>
        </w:rPr>
        <w:t>S</w:t>
      </w:r>
    </w:p>
    <w:p>
      <w:pPr>
        <w:pStyle w:val="yMiscellaneousBody"/>
        <w:tabs>
          <w:tab w:val="left" w:pos="2977"/>
        </w:tabs>
      </w:pPr>
      <w:r>
        <w:tab/>
        <w:t xml:space="preserve">where — </w:t>
      </w:r>
    </w:p>
    <w:p>
      <w:pPr>
        <w:pStyle w:val="yMiscellaneousBody"/>
        <w:tabs>
          <w:tab w:val="left" w:pos="3119"/>
          <w:tab w:val="left" w:pos="3686"/>
        </w:tabs>
        <w:ind w:left="3686" w:hanging="3686"/>
      </w:pPr>
      <w:r>
        <w:tab/>
      </w:r>
      <w:r>
        <w:rPr>
          <w:b/>
        </w:rPr>
        <w:t>A</w:t>
      </w:r>
      <w:r>
        <w:t xml:space="preserve"> =</w:t>
      </w:r>
      <w:r>
        <w:tab/>
        <w:t>the amount payable in the 2012/2013 year;</w:t>
      </w:r>
    </w:p>
    <w:p>
      <w:pPr>
        <w:pStyle w:val="yMiscellaneousBody"/>
        <w:tabs>
          <w:tab w:val="left" w:pos="3119"/>
          <w:tab w:val="left" w:pos="3686"/>
        </w:tabs>
        <w:ind w:left="3686" w:hanging="3686"/>
      </w:pPr>
      <w:r>
        <w:tab/>
      </w:r>
      <w:r>
        <w:rPr>
          <w:b/>
        </w:rPr>
        <w:t>S</w:t>
      </w:r>
      <w:r>
        <w:t xml:space="preserve"> =</w:t>
      </w:r>
      <w:r>
        <w:tab/>
        <w:t>1.120;</w:t>
      </w:r>
    </w:p>
    <w:p>
      <w:pPr>
        <w:pStyle w:val="yMiscellaneousBody"/>
        <w:tabs>
          <w:tab w:val="left" w:pos="3119"/>
          <w:tab w:val="left" w:pos="3686"/>
        </w:tabs>
        <w:ind w:left="3686" w:hanging="3686"/>
      </w:pPr>
      <w:r>
        <w:tab/>
      </w:r>
      <w:r>
        <w:rPr>
          <w:b/>
        </w:rPr>
        <w:t>N</w:t>
      </w:r>
      <w:r>
        <w:t xml:space="preserve"> =</w:t>
      </w:r>
      <w:r>
        <w:tab/>
        <w:t>the discharge volume for the 2013/2014 year;</w:t>
      </w:r>
    </w:p>
    <w:p>
      <w:pPr>
        <w:pStyle w:val="yMiscellaneousBody"/>
        <w:tabs>
          <w:tab w:val="left" w:pos="3119"/>
          <w:tab w:val="left" w:pos="3686"/>
        </w:tabs>
        <w:ind w:left="3686" w:hanging="3686"/>
      </w:pPr>
      <w:r>
        <w:tab/>
      </w:r>
      <w:r>
        <w:rPr>
          <w:b/>
        </w:rPr>
        <w:t>W</w:t>
      </w:r>
      <w:r>
        <w:t xml:space="preserve"> =</w:t>
      </w:r>
      <w:r>
        <w:tab/>
        <w:t>the discharge volume for the 2012/2013 year;</w:t>
      </w:r>
    </w:p>
    <w:p>
      <w:pPr>
        <w:pStyle w:val="yMiscellaneousBody"/>
        <w:tabs>
          <w:tab w:val="left" w:pos="3119"/>
          <w:tab w:val="left" w:pos="3686"/>
        </w:tabs>
        <w:ind w:left="3686" w:hanging="3686"/>
      </w:pPr>
      <w:r>
        <w:tab/>
      </w:r>
      <w:r>
        <w:rPr>
          <w:b/>
        </w:rPr>
        <w:t>I</w:t>
      </w:r>
      <w:r>
        <w:t xml:space="preserve"> =</w:t>
      </w:r>
      <w:r>
        <w:tab/>
        <w:t>2.8376.</w:t>
      </w:r>
    </w:p>
    <w:p>
      <w:pPr>
        <w:pStyle w:val="yHeading5"/>
      </w:pPr>
      <w:bookmarkStart w:id="259" w:name="_Toc391906996"/>
      <w:bookmarkStart w:id="260" w:name="_Toc426119857"/>
      <w:r>
        <w:rPr>
          <w:rStyle w:val="CharSClsNo"/>
        </w:rPr>
        <w:t>16</w:t>
      </w:r>
      <w:r>
        <w:t>.</w:t>
      </w:r>
      <w:r>
        <w:tab/>
        <w:t>Metropolitan nursing home</w:t>
      </w:r>
      <w:bookmarkEnd w:id="259"/>
      <w:bookmarkEnd w:id="260"/>
    </w:p>
    <w:p>
      <w:pPr>
        <w:pStyle w:val="yMiscellaneousBody"/>
        <w:ind w:left="879" w:hanging="879"/>
      </w:pPr>
      <w:r>
        <w:tab/>
        <w:t>In respect of a nursing home in the metropolitan area, not being a nursing home which is, or is part of, an aged home the charge is calculated in accordance with the following formula —</w:t>
      </w:r>
    </w:p>
    <w:p>
      <w:pPr>
        <w:pStyle w:val="yMiscellaneousBody"/>
        <w:tabs>
          <w:tab w:val="left" w:pos="851"/>
        </w:tabs>
        <w:ind w:left="879" w:hanging="879"/>
      </w:pPr>
      <w:r>
        <w:tab/>
        <w:t>If (</w:t>
      </w:r>
      <w:r>
        <w:rPr>
          <w:b/>
        </w:rPr>
        <w:t>T</w:t>
      </w:r>
      <w:r>
        <w:t xml:space="preserve"> + </w:t>
      </w:r>
      <w:r>
        <w:rPr>
          <w:b/>
        </w:rPr>
        <w:t>Q</w:t>
      </w:r>
      <w:r>
        <w:t xml:space="preserve">) </w:t>
      </w:r>
      <w:r>
        <w:sym w:font="Symbol" w:char="F0A3"/>
      </w:r>
      <w:r>
        <w:t xml:space="preserve"> </w:t>
      </w:r>
      <w:r>
        <w:rPr>
          <w:b/>
        </w:rPr>
        <w:t>R</w:t>
      </w:r>
      <w:r>
        <w:t xml:space="preserve">, then — </w:t>
      </w:r>
    </w:p>
    <w:p>
      <w:pPr>
        <w:pStyle w:val="yMiscellaneousBody"/>
        <w:tabs>
          <w:tab w:val="left" w:pos="851"/>
        </w:tabs>
        <w:ind w:left="879" w:hanging="879"/>
      </w:pPr>
      <w:r>
        <w:tab/>
      </w:r>
      <w:r>
        <w:rPr>
          <w:b/>
        </w:rPr>
        <w:t>T</w:t>
      </w:r>
      <w:r>
        <w:t xml:space="preserve"> + </w:t>
      </w:r>
      <w:r>
        <w:rPr>
          <w:b/>
        </w:rPr>
        <w:t>Q</w:t>
      </w:r>
    </w:p>
    <w:p>
      <w:pPr>
        <w:pStyle w:val="yMiscellaneousBody"/>
        <w:tabs>
          <w:tab w:val="left" w:pos="851"/>
        </w:tabs>
        <w:ind w:left="879" w:hanging="879"/>
      </w:pPr>
      <w:r>
        <w:tab/>
        <w:t>or if (</w:t>
      </w:r>
      <w:r>
        <w:rPr>
          <w:b/>
        </w:rPr>
        <w:t>T</w:t>
      </w:r>
      <w:r>
        <w:t xml:space="preserve"> + </w:t>
      </w:r>
      <w:r>
        <w:rPr>
          <w:b/>
        </w:rPr>
        <w:t>Q</w:t>
      </w:r>
      <w:r>
        <w:t xml:space="preserve">) &gt; </w:t>
      </w:r>
      <w:r>
        <w:rPr>
          <w:b/>
        </w:rPr>
        <w:t>R</w:t>
      </w:r>
      <w:r>
        <w:t xml:space="preserve">, then — </w:t>
      </w:r>
    </w:p>
    <w:p>
      <w:pPr>
        <w:pStyle w:val="yMiscellaneousBody"/>
        <w:tabs>
          <w:tab w:val="left" w:pos="851"/>
        </w:tabs>
        <w:ind w:left="879" w:hanging="879"/>
        <w:rPr>
          <w:b/>
        </w:rPr>
      </w:pPr>
      <w:r>
        <w:tab/>
      </w:r>
      <w:r>
        <w:rPr>
          <w:b/>
        </w:rPr>
        <w:t>R</w:t>
      </w:r>
    </w:p>
    <w:p>
      <w:pPr>
        <w:pStyle w:val="yMiscellaneousBody"/>
        <w:keepNext/>
        <w:tabs>
          <w:tab w:val="left" w:pos="851"/>
        </w:tabs>
        <w:ind w:left="879" w:hanging="879"/>
      </w:pPr>
      <w:r>
        <w:tab/>
        <w:t xml:space="preserve">where — </w:t>
      </w:r>
    </w:p>
    <w:p>
      <w:pPr>
        <w:pStyle w:val="yMiscellaneousBody"/>
        <w:tabs>
          <w:tab w:val="left" w:pos="1134"/>
          <w:tab w:val="left" w:pos="1701"/>
        </w:tabs>
        <w:ind w:left="1701" w:hanging="1701"/>
      </w:pPr>
      <w:r>
        <w:tab/>
      </w:r>
      <w:r>
        <w:rPr>
          <w:b/>
        </w:rPr>
        <w:t>T</w:t>
      </w:r>
      <w:r>
        <w:t xml:space="preserve"> =</w:t>
      </w:r>
      <w:r>
        <w:tab/>
        <w:t>the charge calculated in accordance with the following formula — </w:t>
      </w:r>
    </w:p>
    <w:p>
      <w:pPr>
        <w:pStyle w:val="yMiscellaneousBody"/>
        <w:tabs>
          <w:tab w:val="left" w:pos="1985"/>
        </w:tabs>
      </w:pPr>
      <w:r>
        <w:tab/>
      </w:r>
      <w:r>
        <w:rPr>
          <w:b/>
        </w:rPr>
        <w:t>U</w:t>
      </w:r>
      <w:r>
        <w:t xml:space="preserve"> </w:t>
      </w:r>
      <w:r>
        <w:sym w:font="Symbol" w:char="F0B4"/>
      </w:r>
      <w:r>
        <w:t xml:space="preserve"> </w:t>
      </w:r>
      <w:r>
        <w:rPr>
          <w:b/>
        </w:rPr>
        <w:t>V</w:t>
      </w:r>
    </w:p>
    <w:p>
      <w:pPr>
        <w:pStyle w:val="yMiscellaneousBody"/>
        <w:tabs>
          <w:tab w:val="left" w:pos="1985"/>
        </w:tabs>
      </w:pPr>
      <w:r>
        <w:tab/>
        <w:t xml:space="preserve">where — </w:t>
      </w:r>
    </w:p>
    <w:p>
      <w:pPr>
        <w:pStyle w:val="yMiscellaneousBody"/>
        <w:tabs>
          <w:tab w:val="left" w:pos="1985"/>
          <w:tab w:val="left" w:pos="2552"/>
        </w:tabs>
        <w:ind w:left="2552" w:hanging="2552"/>
      </w:pPr>
      <w:r>
        <w:tab/>
      </w:r>
      <w:r>
        <w:rPr>
          <w:b/>
        </w:rPr>
        <w:t>U</w:t>
      </w:r>
      <w:r>
        <w:t xml:space="preserve"> =</w:t>
      </w:r>
      <w:r>
        <w:tab/>
        <w:t>the number of beds in the nursing home;</w:t>
      </w:r>
    </w:p>
    <w:p>
      <w:pPr>
        <w:pStyle w:val="yMiscellaneousBody"/>
        <w:tabs>
          <w:tab w:val="left" w:pos="1985"/>
          <w:tab w:val="left" w:pos="2552"/>
        </w:tabs>
        <w:ind w:left="2552" w:hanging="2552"/>
      </w:pPr>
      <w:r>
        <w:tab/>
      </w:r>
      <w:r>
        <w:rPr>
          <w:b/>
        </w:rPr>
        <w:t>V</w:t>
      </w:r>
      <w:r>
        <w:t xml:space="preserve"> =</w:t>
      </w:r>
      <w:r>
        <w:tab/>
        <w:t>$139.71;</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MiscellaneousBody"/>
        <w:tabs>
          <w:tab w:val="left" w:pos="1134"/>
          <w:tab w:val="left" w:pos="1701"/>
        </w:tabs>
        <w:ind w:left="1701" w:hanging="1701"/>
      </w:pPr>
      <w:r>
        <w:tab/>
      </w:r>
      <w:r>
        <w:rPr>
          <w:b/>
        </w:rPr>
        <w:t>R</w:t>
      </w:r>
      <w:r>
        <w:t xml:space="preserve"> =</w:t>
      </w:r>
      <w:r>
        <w:tab/>
        <w:t xml:space="preserve">the charge calculated in accordance with the following formula — </w:t>
      </w:r>
    </w:p>
    <w:p>
      <w:pPr>
        <w:pStyle w:val="yMiscellaneousBody"/>
        <w:tabs>
          <w:tab w:val="left" w:pos="1701"/>
        </w:tabs>
      </w:pPr>
      <w:r>
        <w:tab/>
      </w:r>
      <w:r>
        <w:rPr>
          <w:b/>
        </w:rPr>
        <w:t>A</w:t>
      </w:r>
      <w:r>
        <w:t xml:space="preserve"> x </w:t>
      </w:r>
      <w:r>
        <w:rPr>
          <w:b/>
        </w:rPr>
        <w:t>S</w:t>
      </w:r>
    </w:p>
    <w:p>
      <w:pPr>
        <w:pStyle w:val="yMiscellaneousBody"/>
        <w:tabs>
          <w:tab w:val="left" w:pos="1134"/>
          <w:tab w:val="left" w:pos="1701"/>
        </w:tabs>
        <w:ind w:left="1701" w:hanging="1701"/>
      </w:pPr>
      <w:r>
        <w:tab/>
      </w:r>
      <w:r>
        <w:tab/>
        <w:t xml:space="preserve">where — </w:t>
      </w:r>
    </w:p>
    <w:p>
      <w:pPr>
        <w:pStyle w:val="yMiscellaneousBody"/>
        <w:tabs>
          <w:tab w:val="left" w:pos="1985"/>
          <w:tab w:val="left" w:pos="2552"/>
        </w:tabs>
        <w:ind w:left="2552" w:hanging="2552"/>
      </w:pPr>
      <w:r>
        <w:tab/>
      </w:r>
      <w:r>
        <w:rPr>
          <w:b/>
        </w:rPr>
        <w:t>A</w:t>
      </w:r>
      <w:r>
        <w:t xml:space="preserve"> =</w:t>
      </w:r>
      <w:r>
        <w:tab/>
        <w:t xml:space="preserve">the amount payable in the 2012/2013 year; </w:t>
      </w:r>
    </w:p>
    <w:p>
      <w:pPr>
        <w:pStyle w:val="yMiscellaneousBody"/>
        <w:tabs>
          <w:tab w:val="left" w:pos="1985"/>
          <w:tab w:val="left" w:pos="2552"/>
        </w:tabs>
        <w:ind w:left="2552" w:hanging="2552"/>
      </w:pPr>
      <w:r>
        <w:tab/>
      </w:r>
      <w:r>
        <w:rPr>
          <w:b/>
        </w:rPr>
        <w:t>S</w:t>
      </w:r>
      <w:r>
        <w:t xml:space="preserve"> =</w:t>
      </w:r>
      <w:r>
        <w:tab/>
        <w:t>1.120.</w:t>
      </w:r>
    </w:p>
    <w:p>
      <w:pPr>
        <w:pStyle w:val="yHeading5"/>
      </w:pPr>
      <w:bookmarkStart w:id="261" w:name="_Toc391906997"/>
      <w:bookmarkStart w:id="262" w:name="_Toc426119858"/>
      <w:r>
        <w:rPr>
          <w:rStyle w:val="CharSClsNo"/>
        </w:rPr>
        <w:t>17</w:t>
      </w:r>
      <w:r>
        <w:t>.</w:t>
      </w:r>
      <w:r>
        <w:tab/>
        <w:t>Certain metropolitan strata</w:t>
      </w:r>
      <w:r>
        <w:noBreakHyphen/>
        <w:t>titled units</w:t>
      </w:r>
      <w:bookmarkEnd w:id="261"/>
      <w:bookmarkEnd w:id="262"/>
    </w:p>
    <w:p>
      <w:pPr>
        <w:pStyle w:val="yMiscellaneousBody"/>
        <w:ind w:left="879" w:hanging="879"/>
      </w:pPr>
      <w:r>
        <w:tab/>
        <w:t>In respect of land in the metropolitan area that —</w:t>
      </w:r>
    </w:p>
    <w:p>
      <w:pPr>
        <w:pStyle w:val="yMiscellaneousBody"/>
        <w:tabs>
          <w:tab w:val="left" w:pos="993"/>
          <w:tab w:val="left" w:pos="1560"/>
        </w:tabs>
        <w:ind w:left="1560" w:hanging="1560"/>
      </w:pPr>
      <w:r>
        <w:tab/>
        <w:t>(a)</w:t>
      </w:r>
      <w:r>
        <w:tab/>
        <w:t>is not classified residential or vacant land; and</w:t>
      </w:r>
    </w:p>
    <w:p>
      <w:pPr>
        <w:pStyle w:val="yMiscellaneousBody"/>
        <w:tabs>
          <w:tab w:val="left" w:pos="993"/>
          <w:tab w:val="left" w:pos="1560"/>
        </w:tabs>
        <w:ind w:left="1560" w:hanging="1560"/>
      </w:pPr>
      <w:r>
        <w:tab/>
        <w:t>(b)</w:t>
      </w:r>
      <w:r>
        <w:tab/>
        <w:t xml:space="preserve">comprises a unit that is a lot within the meaning of the </w:t>
      </w:r>
      <w:r>
        <w:rPr>
          <w:i/>
        </w:rPr>
        <w:t>Strata Titles Act 1985</w:t>
      </w:r>
      <w:r>
        <w:t>; and</w:t>
      </w:r>
    </w:p>
    <w:p>
      <w:pPr>
        <w:pStyle w:val="yMiscellaneousBody"/>
        <w:tabs>
          <w:tab w:val="left" w:pos="993"/>
          <w:tab w:val="left" w:pos="1560"/>
        </w:tabs>
        <w:ind w:left="1560" w:hanging="1560"/>
      </w:pPr>
      <w:r>
        <w:tab/>
        <w:t>(c)</w:t>
      </w:r>
      <w:r>
        <w:tab/>
        <w:t>shares a major fixture with another unit described in paragraph (b) and has no other major fixtures that discharge into the sewer,</w:t>
      </w:r>
    </w:p>
    <w:p>
      <w:pPr>
        <w:pStyle w:val="yMiscellaneousBody"/>
        <w:ind w:left="879" w:hanging="879"/>
      </w:pPr>
      <w:r>
        <w:tab/>
        <w:t xml:space="preserve">and where the total number of major fixtures shared by all the units on the relevant strata plan is less than the number of those units, an amount calculated in accordance with the following formula — </w:t>
      </w:r>
    </w:p>
    <w:p>
      <w:pPr>
        <w:pStyle w:val="yMiscellaneousBody"/>
        <w:tabs>
          <w:tab w:val="left" w:pos="851"/>
        </w:tabs>
        <w:ind w:left="879" w:hanging="879"/>
      </w:pPr>
      <w:r>
        <w:tab/>
      </w:r>
      <w:r>
        <w:rPr>
          <w:b/>
        </w:rPr>
        <w:t>T</w:t>
      </w:r>
      <w:r>
        <w:t xml:space="preserve"> + </w:t>
      </w:r>
      <w:r>
        <w:rPr>
          <w:b/>
        </w:rPr>
        <w:t>Q</w:t>
      </w:r>
    </w:p>
    <w:p>
      <w:pPr>
        <w:pStyle w:val="yMiscellaneousBody"/>
        <w:keepNext/>
        <w:tabs>
          <w:tab w:val="left" w:pos="851"/>
        </w:tabs>
        <w:ind w:left="879" w:hanging="879"/>
      </w:pPr>
      <w:r>
        <w:tab/>
        <w:t xml:space="preserve">where — </w:t>
      </w:r>
    </w:p>
    <w:p>
      <w:pPr>
        <w:pStyle w:val="yMiscellaneousBody"/>
        <w:tabs>
          <w:tab w:val="left" w:pos="1134"/>
          <w:tab w:val="left" w:pos="1701"/>
        </w:tabs>
        <w:ind w:left="1701" w:hanging="1701"/>
      </w:pPr>
      <w:r>
        <w:tab/>
      </w:r>
      <w:r>
        <w:rPr>
          <w:b/>
        </w:rPr>
        <w:t>T</w:t>
      </w:r>
      <w:r>
        <w:t xml:space="preserve"> =</w:t>
      </w:r>
      <w:r>
        <w:tab/>
        <w:t>$479.97;</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Footnotesection"/>
      </w:pPr>
      <w:r>
        <w:tab/>
        <w:t>[Division 4 inserted in Gazette 19 Jun 2013 p. 2384-8.]</w:t>
      </w:r>
    </w:p>
    <w:p>
      <w:pPr>
        <w:pStyle w:val="yHeading3"/>
      </w:pPr>
      <w:bookmarkStart w:id="263" w:name="_Toc390772131"/>
      <w:bookmarkStart w:id="264" w:name="_Toc391906998"/>
      <w:bookmarkStart w:id="265" w:name="_Toc426119859"/>
      <w:r>
        <w:rPr>
          <w:rStyle w:val="CharSDivNo"/>
        </w:rPr>
        <w:t>Division 5</w:t>
      </w:r>
      <w:r>
        <w:rPr>
          <w:b w:val="0"/>
        </w:rPr>
        <w:t> — </w:t>
      </w:r>
      <w:r>
        <w:rPr>
          <w:rStyle w:val="CharSDivText"/>
        </w:rPr>
        <w:t>Computation of combined metropolitan charges</w:t>
      </w:r>
      <w:bookmarkEnd w:id="263"/>
      <w:bookmarkEnd w:id="264"/>
      <w:bookmarkEnd w:id="265"/>
    </w:p>
    <w:p>
      <w:pPr>
        <w:pStyle w:val="yFootnoteheading"/>
        <w:spacing w:after="120"/>
      </w:pPr>
      <w:r>
        <w:tab/>
        <w:t>[Heading inserted in Gazette 19 Jun 2013 p. 2389.]</w:t>
      </w:r>
    </w:p>
    <w:p>
      <w:pPr>
        <w:pStyle w:val="yHeading5"/>
      </w:pPr>
      <w:bookmarkStart w:id="266" w:name="_Toc391906999"/>
      <w:bookmarkStart w:id="267" w:name="_Toc426119860"/>
      <w:r>
        <w:rPr>
          <w:rStyle w:val="CharSClsNo"/>
        </w:rPr>
        <w:t>18</w:t>
      </w:r>
      <w:r>
        <w:t>.</w:t>
      </w:r>
      <w:r>
        <w:tab/>
        <w:t>Formula for annual charge</w:t>
      </w:r>
      <w:bookmarkEnd w:id="266"/>
      <w:bookmarkEnd w:id="267"/>
    </w:p>
    <w:p>
      <w:pPr>
        <w:pStyle w:val="yMiscellaneousBody"/>
        <w:ind w:left="879" w:hanging="879"/>
      </w:pPr>
      <w:r>
        <w:tab/>
        <w:t xml:space="preserve">For the purposes of Division 4, the annual charge (P) is calculated according to the following formula — </w:t>
      </w:r>
    </w:p>
    <w:p>
      <w:pPr>
        <w:pStyle w:val="yMiscellaneousBody"/>
        <w:tabs>
          <w:tab w:val="left" w:pos="851"/>
        </w:tabs>
        <w:ind w:left="879" w:hanging="879"/>
      </w:pP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MiscellaneousBody"/>
        <w:tabs>
          <w:tab w:val="left" w:pos="851"/>
        </w:tabs>
        <w:ind w:left="879" w:hanging="879"/>
        <w:rPr>
          <w:b/>
        </w:rPr>
      </w:pPr>
      <w:r>
        <w:tab/>
      </w:r>
      <w:r>
        <w:rPr>
          <w:b/>
        </w:rPr>
        <w:t>X</w:t>
      </w:r>
    </w:p>
    <w:p>
      <w:pPr>
        <w:pStyle w:val="yMiscellaneousBody"/>
        <w:tabs>
          <w:tab w:val="left" w:pos="851"/>
        </w:tabs>
        <w:ind w:left="879" w:hanging="879"/>
      </w:pP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MiscellaneousBody"/>
        <w:tabs>
          <w:tab w:val="left" w:pos="851"/>
        </w:tabs>
        <w:ind w:left="879" w:hanging="879"/>
      </w:pP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MiscellaneousBody"/>
        <w:tabs>
          <w:tab w:val="left" w:pos="851"/>
        </w:tabs>
        <w:ind w:left="879" w:hanging="879"/>
      </w:pPr>
      <w:r>
        <w:tab/>
        <w:t xml:space="preserve">where — </w:t>
      </w:r>
    </w:p>
    <w:p>
      <w:pPr>
        <w:pStyle w:val="yMiscellaneousBody"/>
        <w:tabs>
          <w:tab w:val="left" w:pos="1134"/>
          <w:tab w:val="left" w:pos="1701"/>
        </w:tabs>
        <w:ind w:left="1701" w:hanging="1701"/>
      </w:pPr>
      <w:r>
        <w:tab/>
      </w:r>
      <w:r>
        <w:rPr>
          <w:b/>
        </w:rPr>
        <w:t>A</w:t>
      </w:r>
      <w:r>
        <w:t xml:space="preserve"> =</w:t>
      </w:r>
      <w:r>
        <w:tab/>
        <w:t>the amount payable in the 2012/2013 year;</w:t>
      </w:r>
    </w:p>
    <w:p>
      <w:pPr>
        <w:pStyle w:val="yMiscellaneousBody"/>
        <w:tabs>
          <w:tab w:val="left" w:pos="1134"/>
          <w:tab w:val="left" w:pos="1701"/>
        </w:tabs>
        <w:ind w:left="1701" w:hanging="1701"/>
      </w:pPr>
      <w:r>
        <w:tab/>
      </w:r>
      <w:r>
        <w:rPr>
          <w:b/>
        </w:rPr>
        <w:t>B</w:t>
      </w:r>
      <w:r>
        <w:t xml:space="preserve"> =</w:t>
      </w:r>
      <w:r>
        <w:tab/>
        <w:t>1.120;</w:t>
      </w:r>
    </w:p>
    <w:p>
      <w:pPr>
        <w:pStyle w:val="yMiscellaneousBody"/>
        <w:tabs>
          <w:tab w:val="left" w:pos="1134"/>
          <w:tab w:val="left" w:pos="1701"/>
        </w:tabs>
        <w:ind w:left="1701" w:hanging="1701"/>
      </w:pPr>
      <w:r>
        <w:tab/>
      </w:r>
      <w:r>
        <w:rPr>
          <w:b/>
        </w:rPr>
        <w:t>C</w:t>
      </w:r>
      <w:r>
        <w:t xml:space="preserve"> =</w:t>
      </w:r>
      <w:r>
        <w:tab/>
        <w:t>the charge payable for the relevant number of major fixtures for the 2013/2014 year as set out in the Table;</w:t>
      </w:r>
    </w:p>
    <w:p>
      <w:pPr>
        <w:pStyle w:val="yMiscellaneousBody"/>
        <w:tabs>
          <w:tab w:val="left" w:pos="1134"/>
          <w:tab w:val="left" w:pos="1701"/>
        </w:tabs>
        <w:ind w:left="1701" w:hanging="1701"/>
      </w:pPr>
      <w:r>
        <w:tab/>
      </w:r>
      <w:r>
        <w:rPr>
          <w:b/>
        </w:rPr>
        <w:t>D</w:t>
      </w:r>
      <w:r>
        <w:t xml:space="preserve"> =</w:t>
      </w:r>
      <w:r>
        <w:tab/>
        <w:t>discharge charge;</w:t>
      </w:r>
    </w:p>
    <w:p>
      <w:pPr>
        <w:pStyle w:val="yMiscellaneousBody"/>
        <w:tabs>
          <w:tab w:val="left" w:pos="1134"/>
          <w:tab w:val="left" w:pos="1701"/>
        </w:tabs>
        <w:ind w:left="1701" w:hanging="1701"/>
      </w:pPr>
      <w:r>
        <w:tab/>
      </w:r>
      <w:r>
        <w:rPr>
          <w:b/>
        </w:rPr>
        <w:t>E</w:t>
      </w:r>
      <w:r>
        <w:t xml:space="preserve"> =</w:t>
      </w:r>
      <w:r>
        <w:tab/>
        <w:t>1.000;</w:t>
      </w:r>
    </w:p>
    <w:p>
      <w:pPr>
        <w:pStyle w:val="yMiscellaneousBody"/>
        <w:tabs>
          <w:tab w:val="left" w:pos="1134"/>
          <w:tab w:val="left" w:pos="1701"/>
        </w:tabs>
        <w:ind w:left="1701" w:hanging="1701"/>
      </w:pPr>
      <w:r>
        <w:tab/>
      </w:r>
      <w:r>
        <w:rPr>
          <w:b/>
        </w:rPr>
        <w:t>X</w:t>
      </w:r>
      <w:r>
        <w:t xml:space="preserve"> =</w:t>
      </w:r>
      <w:r>
        <w:tab/>
        <w:t>the amount specified in relation to the 2013/2014 year for the relevant number of major fixtures as set out in the Table.</w:t>
      </w:r>
    </w:p>
    <w:p>
      <w:pPr>
        <w:pStyle w:val="yTHeadingNAm"/>
      </w:pPr>
      <w:r>
        <w:t>Table of major fixture</w:t>
      </w:r>
      <w:r>
        <w:noBreakHyphen/>
        <w:t>based minimum charges</w:t>
      </w:r>
      <w: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keepNext/>
              <w:jc w:val="center"/>
            </w:pPr>
            <w:r>
              <w:rPr>
                <w:b/>
              </w:rPr>
              <w:t>No. of fixtures</w:t>
            </w:r>
          </w:p>
        </w:tc>
        <w:tc>
          <w:tcPr>
            <w:tcW w:w="2268" w:type="dxa"/>
            <w:tcBorders>
              <w:top w:val="single" w:sz="4" w:space="0" w:color="auto"/>
              <w:bottom w:val="single" w:sz="4" w:space="0" w:color="auto"/>
            </w:tcBorders>
          </w:tcPr>
          <w:p>
            <w:pPr>
              <w:pStyle w:val="yTableNAm"/>
              <w:keepNext/>
              <w:jc w:val="center"/>
            </w:pPr>
            <w:r>
              <w:rPr>
                <w:b/>
              </w:rPr>
              <w:t>Charge</w:t>
            </w:r>
            <w:r>
              <w:rPr>
                <w:b/>
              </w:rPr>
              <w:br/>
              <w:t>$</w:t>
            </w:r>
          </w:p>
        </w:tc>
      </w:tr>
      <w:tr>
        <w:tc>
          <w:tcPr>
            <w:tcW w:w="2268" w:type="dxa"/>
          </w:tcPr>
          <w:p>
            <w:pPr>
              <w:pStyle w:val="yTableNAm"/>
              <w:jc w:val="center"/>
            </w:pPr>
            <w:r>
              <w:t>1</w:t>
            </w:r>
          </w:p>
        </w:tc>
        <w:tc>
          <w:tcPr>
            <w:tcW w:w="2268" w:type="dxa"/>
          </w:tcPr>
          <w:p>
            <w:pPr>
              <w:pStyle w:val="yTableNAm"/>
              <w:jc w:val="center"/>
              <w:rPr>
                <w:rFonts w:ascii="Arial" w:hAnsi="Arial"/>
                <w:b/>
              </w:rPr>
            </w:pPr>
            <w:r>
              <w:t>772.10</w:t>
            </w:r>
          </w:p>
        </w:tc>
      </w:tr>
      <w:tr>
        <w:tc>
          <w:tcPr>
            <w:tcW w:w="2268" w:type="dxa"/>
          </w:tcPr>
          <w:p>
            <w:pPr>
              <w:pStyle w:val="yTableNAm"/>
              <w:jc w:val="center"/>
              <w:rPr>
                <w:rFonts w:ascii="Arial" w:hAnsi="Arial"/>
                <w:b/>
              </w:rPr>
            </w:pPr>
            <w:r>
              <w:t>2</w:t>
            </w:r>
          </w:p>
        </w:tc>
        <w:tc>
          <w:tcPr>
            <w:tcW w:w="2268" w:type="dxa"/>
          </w:tcPr>
          <w:p>
            <w:pPr>
              <w:pStyle w:val="yTableNAm"/>
              <w:jc w:val="center"/>
              <w:rPr>
                <w:rFonts w:ascii="Arial" w:hAnsi="Arial"/>
                <w:b/>
              </w:rPr>
            </w:pPr>
            <w:r>
              <w:t>330.51</w:t>
            </w:r>
          </w:p>
        </w:tc>
      </w:tr>
      <w:tr>
        <w:tc>
          <w:tcPr>
            <w:tcW w:w="2268" w:type="dxa"/>
          </w:tcPr>
          <w:p>
            <w:pPr>
              <w:pStyle w:val="yTableNAm"/>
              <w:jc w:val="center"/>
              <w:rPr>
                <w:rFonts w:ascii="Arial" w:hAnsi="Arial"/>
                <w:b/>
              </w:rPr>
            </w:pPr>
            <w:r>
              <w:t>3</w:t>
            </w:r>
          </w:p>
        </w:tc>
        <w:tc>
          <w:tcPr>
            <w:tcW w:w="2268" w:type="dxa"/>
          </w:tcPr>
          <w:p>
            <w:pPr>
              <w:pStyle w:val="yTableNAm"/>
              <w:jc w:val="center"/>
              <w:rPr>
                <w:rFonts w:ascii="Arial" w:hAnsi="Arial"/>
                <w:b/>
              </w:rPr>
            </w:pPr>
            <w:r>
              <w:t>441.38</w:t>
            </w:r>
          </w:p>
        </w:tc>
      </w:tr>
      <w:tr>
        <w:tc>
          <w:tcPr>
            <w:tcW w:w="2268" w:type="dxa"/>
            <w:tcBorders>
              <w:bottom w:val="single" w:sz="4" w:space="0" w:color="auto"/>
            </w:tcBorders>
          </w:tcPr>
          <w:p>
            <w:pPr>
              <w:pStyle w:val="yTableNAm"/>
              <w:jc w:val="center"/>
              <w:rPr>
                <w:rFonts w:ascii="Arial" w:hAnsi="Arial"/>
                <w:b/>
              </w:rPr>
            </w:pPr>
            <w:r>
              <w:t>4+</w:t>
            </w:r>
          </w:p>
        </w:tc>
        <w:tc>
          <w:tcPr>
            <w:tcW w:w="2268" w:type="dxa"/>
            <w:tcBorders>
              <w:bottom w:val="single" w:sz="4" w:space="0" w:color="auto"/>
            </w:tcBorders>
          </w:tcPr>
          <w:p>
            <w:pPr>
              <w:pStyle w:val="yTableNAm"/>
              <w:jc w:val="center"/>
              <w:rPr>
                <w:rFonts w:ascii="Arial" w:hAnsi="Arial"/>
                <w:b/>
              </w:rPr>
            </w:pPr>
            <w:r>
              <w:t>479.97</w:t>
            </w:r>
          </w:p>
        </w:tc>
      </w:tr>
    </w:tbl>
    <w:p>
      <w:pPr>
        <w:pStyle w:val="yHeading5"/>
      </w:pPr>
      <w:bookmarkStart w:id="268" w:name="_Toc391907000"/>
      <w:bookmarkStart w:id="269" w:name="_Toc426119861"/>
      <w:r>
        <w:rPr>
          <w:rStyle w:val="CharSClsNo"/>
        </w:rPr>
        <w:t>19</w:t>
      </w:r>
      <w:r>
        <w:t>.</w:t>
      </w:r>
      <w:r>
        <w:tab/>
        <w:t>Formula for quantity charge</w:t>
      </w:r>
      <w:bookmarkEnd w:id="268"/>
      <w:bookmarkEnd w:id="269"/>
    </w:p>
    <w:p>
      <w:pPr>
        <w:pStyle w:val="yMiscellaneousBody"/>
        <w:ind w:left="879" w:hanging="879"/>
      </w:pPr>
      <w:r>
        <w:tab/>
        <w:t xml:space="preserve">For the purposes of Division 4, the quantity charge (Q) is calculated in accordance with the following formula — </w:t>
      </w:r>
    </w:p>
    <w:p>
      <w:pPr>
        <w:pStyle w:val="yMiscellaneousBody"/>
        <w:tabs>
          <w:tab w:val="left" w:pos="851"/>
        </w:tabs>
        <w:ind w:left="879" w:hanging="879"/>
      </w:pP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MiscellaneousBody"/>
        <w:tabs>
          <w:tab w:val="left" w:pos="851"/>
        </w:tabs>
        <w:ind w:left="879" w:hanging="879"/>
      </w:pPr>
      <w:r>
        <w:tab/>
        <w:t>nil</w:t>
      </w:r>
    </w:p>
    <w:p>
      <w:pPr>
        <w:pStyle w:val="yMiscellaneousBody"/>
        <w:tabs>
          <w:tab w:val="left" w:pos="851"/>
        </w:tabs>
        <w:ind w:left="879" w:hanging="879"/>
      </w:pPr>
      <w:r>
        <w:tab/>
        <w:t>or if (</w:t>
      </w:r>
      <w:r>
        <w:rPr>
          <w:b/>
        </w:rPr>
        <w:t>F</w:t>
      </w:r>
      <w:r>
        <w:t xml:space="preserve"> </w:t>
      </w:r>
      <w:r>
        <w:sym w:font="Symbol" w:char="F0B4"/>
      </w:r>
      <w:r>
        <w:t xml:space="preserve"> </w:t>
      </w:r>
      <w:r>
        <w:rPr>
          <w:b/>
        </w:rPr>
        <w:t>G</w:t>
      </w:r>
      <w:r>
        <w:t xml:space="preserve">) &gt; </w:t>
      </w:r>
      <w:r>
        <w:rPr>
          <w:b/>
        </w:rPr>
        <w:t>H</w:t>
      </w:r>
      <w:r>
        <w:t xml:space="preserve">, then — </w:t>
      </w:r>
    </w:p>
    <w:p>
      <w:pPr>
        <w:pStyle w:val="yMiscellaneousBody"/>
        <w:tabs>
          <w:tab w:val="left" w:pos="851"/>
        </w:tabs>
        <w:ind w:left="879" w:hanging="879"/>
      </w:pPr>
      <w:r>
        <w:tab/>
        <w:t>{(</w:t>
      </w:r>
      <w:r>
        <w:rPr>
          <w:b/>
        </w:rPr>
        <w:t>F</w:t>
      </w:r>
      <w:r>
        <w:t xml:space="preserve"> (</w:t>
      </w:r>
      <w:r>
        <w:rPr>
          <w:b/>
        </w:rPr>
        <w:t>G</w:t>
      </w:r>
      <w:r>
        <w:t xml:space="preserve">) – </w:t>
      </w:r>
      <w:r>
        <w:rPr>
          <w:b/>
        </w:rPr>
        <w:t>H</w:t>
      </w:r>
      <w:r>
        <w:t xml:space="preserve">} </w:t>
      </w:r>
      <w:r>
        <w:sym w:font="Symbol" w:char="F0B4"/>
      </w:r>
      <w:r>
        <w:t xml:space="preserve"> </w:t>
      </w:r>
      <w:r>
        <w:rPr>
          <w:b/>
        </w:rPr>
        <w:t>I</w:t>
      </w:r>
    </w:p>
    <w:p>
      <w:pPr>
        <w:pStyle w:val="yMiscellaneousBody"/>
        <w:tabs>
          <w:tab w:val="left" w:pos="851"/>
        </w:tabs>
        <w:ind w:left="879" w:hanging="879"/>
      </w:pPr>
      <w:r>
        <w:tab/>
        <w:t xml:space="preserve">where — </w:t>
      </w:r>
    </w:p>
    <w:p>
      <w:pPr>
        <w:pStyle w:val="yMiscellaneousBody"/>
        <w:tabs>
          <w:tab w:val="left" w:pos="1134"/>
          <w:tab w:val="left" w:pos="1701"/>
        </w:tabs>
        <w:ind w:left="1701" w:hanging="1701"/>
      </w:pPr>
      <w:r>
        <w:tab/>
      </w:r>
      <w:r>
        <w:rPr>
          <w:b/>
        </w:rPr>
        <w:t>F</w:t>
      </w:r>
      <w:r>
        <w:t xml:space="preserve"> =</w:t>
      </w:r>
      <w:r>
        <w:tab/>
        <w:t>the volume of water delivered to the property in the 2013/2014 year;</w:t>
      </w:r>
    </w:p>
    <w:p>
      <w:pPr>
        <w:pStyle w:val="yMiscellaneousBody"/>
        <w:tabs>
          <w:tab w:val="left" w:pos="1134"/>
          <w:tab w:val="left" w:pos="1701"/>
        </w:tabs>
        <w:ind w:left="1701" w:hanging="1701"/>
      </w:pPr>
      <w:r>
        <w:tab/>
      </w:r>
      <w:r>
        <w:rPr>
          <w:b/>
        </w:rPr>
        <w:t>G</w:t>
      </w:r>
      <w:r>
        <w:t xml:space="preserve"> =</w:t>
      </w:r>
      <w:r>
        <w:tab/>
        <w:t>the discharge factor set for the property for the 2013/2014 year;</w:t>
      </w:r>
    </w:p>
    <w:p>
      <w:pPr>
        <w:pStyle w:val="yMiscellaneousBody"/>
        <w:tabs>
          <w:tab w:val="left" w:pos="1134"/>
          <w:tab w:val="left" w:pos="1701"/>
        </w:tabs>
        <w:ind w:left="1701" w:hanging="1701"/>
      </w:pPr>
      <w:r>
        <w:tab/>
      </w:r>
      <w:r>
        <w:rPr>
          <w:b/>
        </w:rPr>
        <w:t>H</w:t>
      </w:r>
      <w:r>
        <w:t xml:space="preserve"> =</w:t>
      </w:r>
      <w:r>
        <w:tab/>
        <w:t>the discharge allowance for the 2013/2014 year calculated in accordance with item 20;</w:t>
      </w:r>
    </w:p>
    <w:p>
      <w:pPr>
        <w:pStyle w:val="yMiscellaneousBody"/>
        <w:tabs>
          <w:tab w:val="left" w:pos="1134"/>
          <w:tab w:val="left" w:pos="1701"/>
        </w:tabs>
        <w:ind w:left="1701" w:hanging="1701"/>
      </w:pPr>
      <w:r>
        <w:tab/>
      </w:r>
      <w:r>
        <w:rPr>
          <w:b/>
        </w:rPr>
        <w:t>I</w:t>
      </w:r>
      <w:r>
        <w:t xml:space="preserve"> =</w:t>
      </w:r>
      <w:r>
        <w:tab/>
        <w:t>2.8376.</w:t>
      </w:r>
    </w:p>
    <w:p>
      <w:pPr>
        <w:pStyle w:val="yHeading5"/>
      </w:pPr>
      <w:bookmarkStart w:id="270" w:name="_Toc391907001"/>
      <w:bookmarkStart w:id="271" w:name="_Toc426119862"/>
      <w:r>
        <w:rPr>
          <w:rStyle w:val="CharSClsNo"/>
        </w:rPr>
        <w:t>20</w:t>
      </w:r>
      <w:r>
        <w:t>.</w:t>
      </w:r>
      <w:r>
        <w:tab/>
        <w:t>Discharge allowance</w:t>
      </w:r>
      <w:bookmarkEnd w:id="270"/>
      <w:bookmarkEnd w:id="271"/>
    </w:p>
    <w:p>
      <w:pPr>
        <w:pStyle w:val="yMiscellaneousBody"/>
        <w:ind w:left="879" w:hanging="879"/>
      </w:pPr>
      <w:r>
        <w:tab/>
        <w:t xml:space="preserve">For the purposes of item 19, the discharge allowance is — </w:t>
      </w:r>
    </w:p>
    <w:p>
      <w:pPr>
        <w:pStyle w:val="yMiscellaneousBody"/>
        <w:tabs>
          <w:tab w:val="left" w:pos="993"/>
          <w:tab w:val="left" w:pos="1560"/>
        </w:tabs>
        <w:ind w:left="1560" w:hanging="1560"/>
      </w:pPr>
      <w:r>
        <w:tab/>
        <w:t>(a)</w:t>
      </w:r>
      <w:r>
        <w:tab/>
        <w:t>for land to which item 13 applies that is not mentioned in paragraph (e), 200 kL of water; and</w:t>
      </w:r>
    </w:p>
    <w:p>
      <w:pPr>
        <w:pStyle w:val="yMiscellaneousBody"/>
        <w:tabs>
          <w:tab w:val="left" w:pos="993"/>
          <w:tab w:val="left" w:pos="1560"/>
        </w:tabs>
        <w:ind w:left="1560" w:hanging="1560"/>
      </w:pPr>
      <w:r>
        <w:tab/>
        <w:t>(b)</w:t>
      </w:r>
      <w:r>
        <w:tab/>
        <w:t>for a non</w:t>
      </w:r>
      <w:r>
        <w:noBreakHyphen/>
        <w:t>commercial Government property, or a property held by a Government trading organisation, 200 kL of water; and</w:t>
      </w:r>
    </w:p>
    <w:p>
      <w:pPr>
        <w:pStyle w:val="yMiscellaneousBody"/>
        <w:tabs>
          <w:tab w:val="left" w:pos="993"/>
          <w:tab w:val="left" w:pos="1560"/>
        </w:tabs>
        <w:ind w:left="1560" w:hanging="1560"/>
      </w:pPr>
      <w:r>
        <w:tab/>
        <w:t>(c)</w:t>
      </w:r>
      <w:r>
        <w:tab/>
        <w:t>for a caravan park referred to in item 15, an amount of water in kilolitres calculated in accordance with the following formula — </w:t>
      </w:r>
    </w:p>
    <w:p>
      <w:pPr>
        <w:pStyle w:val="yMiscellaneousBody"/>
        <w:tabs>
          <w:tab w:val="left" w:pos="1701"/>
        </w:tabs>
        <w:ind w:left="1701" w:hanging="1701"/>
      </w:pPr>
      <w:r>
        <w:tab/>
      </w:r>
      <w:r>
        <w:rPr>
          <w:b/>
        </w:rPr>
        <w:t>L</w:t>
      </w:r>
      <w:r>
        <w:t xml:space="preserve"> + </w:t>
      </w:r>
      <w:r>
        <w:rPr>
          <w:b/>
        </w:rPr>
        <w:t>M</w:t>
      </w:r>
    </w:p>
    <w:p>
      <w:pPr>
        <w:pStyle w:val="yMiscellaneousBody"/>
        <w:tabs>
          <w:tab w:val="left" w:pos="1560"/>
        </w:tabs>
        <w:ind w:left="1701" w:hanging="1701"/>
      </w:pPr>
      <w:r>
        <w:tab/>
        <w:t xml:space="preserve">where — </w:t>
      </w:r>
    </w:p>
    <w:p>
      <w:pPr>
        <w:pStyle w:val="yMiscellaneousBody"/>
        <w:tabs>
          <w:tab w:val="left" w:pos="1985"/>
          <w:tab w:val="left" w:pos="2552"/>
        </w:tabs>
      </w:pPr>
      <w:r>
        <w:tab/>
      </w:r>
      <w:r>
        <w:rPr>
          <w:b/>
        </w:rPr>
        <w:t>L</w:t>
      </w:r>
      <w:r>
        <w:t xml:space="preserve"> =</w:t>
      </w:r>
      <w:r>
        <w:tab/>
        <w:t>200;</w:t>
      </w:r>
    </w:p>
    <w:p>
      <w:pPr>
        <w:pStyle w:val="yMiscellaneousBody"/>
        <w:tabs>
          <w:tab w:val="left" w:pos="1985"/>
          <w:tab w:val="left" w:pos="2552"/>
        </w:tabs>
        <w:ind w:left="2552" w:hanging="2552"/>
      </w:pPr>
      <w:r>
        <w:tab/>
      </w:r>
      <w:r>
        <w:rPr>
          <w:b/>
        </w:rPr>
        <w:t>M</w:t>
      </w:r>
      <w:r>
        <w:t xml:space="preserve"> =</w:t>
      </w:r>
      <w:r>
        <w:tab/>
        <w:t>75 kL of water for each long</w:t>
      </w:r>
      <w:r>
        <w:noBreakHyphen/>
        <w:t>term residential caravan bay;</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(d)</w:t>
      </w:r>
      <w:r>
        <w:tab/>
        <w:t>for a nursing home referred to in item 16, 75 kL of water per bed; and</w:t>
      </w:r>
    </w:p>
    <w:p>
      <w:pPr>
        <w:pStyle w:val="yMiscellaneousBody"/>
        <w:tabs>
          <w:tab w:val="left" w:pos="993"/>
          <w:tab w:val="left" w:pos="1560"/>
        </w:tabs>
        <w:ind w:left="1560" w:hanging="1560"/>
      </w:pPr>
      <w:r>
        <w:tab/>
        <w:t>(e)</w:t>
      </w:r>
      <w:r>
        <w:tab/>
        <w:t>for properties served through a common metered service, 200 kL of water for each property.</w:t>
      </w:r>
    </w:p>
    <w:p>
      <w:pPr>
        <w:pStyle w:val="yFootnotesection"/>
      </w:pPr>
      <w:r>
        <w:tab/>
        <w:t>[Division 5 inserted in Gazette 19 Jun 2013 p. 2389-91.]</w:t>
      </w:r>
    </w:p>
    <w:p>
      <w:pPr>
        <w:pStyle w:val="yHeading3"/>
      </w:pPr>
      <w:bookmarkStart w:id="272" w:name="_Toc390772135"/>
      <w:bookmarkStart w:id="273" w:name="_Toc391907002"/>
      <w:bookmarkStart w:id="274" w:name="_Toc426119863"/>
      <w:r>
        <w:rPr>
          <w:rStyle w:val="CharSDivNo"/>
        </w:rPr>
        <w:t>Division 6</w:t>
      </w:r>
      <w:r>
        <w:t> — </w:t>
      </w:r>
      <w:r>
        <w:rPr>
          <w:rStyle w:val="CharSDivText"/>
        </w:rPr>
        <w:t>Service charges for trade waste</w:t>
      </w:r>
      <w:bookmarkEnd w:id="272"/>
      <w:bookmarkEnd w:id="273"/>
      <w:bookmarkEnd w:id="274"/>
    </w:p>
    <w:p>
      <w:pPr>
        <w:pStyle w:val="yFootnoteheading"/>
        <w:spacing w:after="120"/>
      </w:pPr>
      <w:r>
        <w:tab/>
        <w:t>[Heading inserted in Gazette 19 Jun 2013 p. 2391; amended in Gazette 14 Nov 2013 p. 5094.]</w:t>
      </w:r>
    </w:p>
    <w:p>
      <w:pPr>
        <w:pStyle w:val="yHeading5"/>
      </w:pPr>
      <w:bookmarkStart w:id="275" w:name="_Toc391907003"/>
      <w:bookmarkStart w:id="276" w:name="_Toc426119864"/>
      <w:r>
        <w:rPr>
          <w:rStyle w:val="CharSClsNo"/>
        </w:rPr>
        <w:t>21</w:t>
      </w:r>
      <w:r>
        <w:t>.</w:t>
      </w:r>
      <w:r>
        <w:tab/>
        <w:t>Inspection — routine programme</w:t>
      </w:r>
      <w:bookmarkEnd w:id="275"/>
      <w:bookmarkEnd w:id="276"/>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For an inspection for a routine programme </w:t>
            </w:r>
            <w:r>
              <w:rPr>
                <w:spacing w:val="-1"/>
                <w:szCs w:val="22"/>
              </w:rPr>
              <w:tab/>
            </w:r>
          </w:p>
        </w:tc>
        <w:tc>
          <w:tcPr>
            <w:tcW w:w="1418" w:type="dxa"/>
            <w:vAlign w:val="bottom"/>
          </w:tcPr>
          <w:p>
            <w:pPr>
              <w:pStyle w:val="yTableNAm"/>
            </w:pPr>
            <w:r>
              <w:rPr>
                <w:spacing w:val="-1"/>
                <w:szCs w:val="22"/>
              </w:rPr>
              <w:t>$134.75/hour</w:t>
            </w:r>
          </w:p>
        </w:tc>
      </w:tr>
    </w:tbl>
    <w:p>
      <w:pPr>
        <w:pStyle w:val="yHeading5"/>
      </w:pPr>
      <w:bookmarkStart w:id="277" w:name="_Toc391907004"/>
      <w:bookmarkStart w:id="278" w:name="_Toc426119865"/>
      <w:r>
        <w:rPr>
          <w:rStyle w:val="CharSClsNo"/>
        </w:rPr>
        <w:t>22</w:t>
      </w:r>
      <w:r>
        <w:t>.</w:t>
      </w:r>
      <w:r>
        <w:tab/>
        <w:t>Meter reading — routine programme</w:t>
      </w:r>
      <w:bookmarkEnd w:id="277"/>
      <w:bookmarkEnd w:id="278"/>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For each meter reading for a routine programme </w:t>
            </w:r>
            <w:r>
              <w:rPr>
                <w:spacing w:val="-1"/>
                <w:szCs w:val="22"/>
              </w:rPr>
              <w:tab/>
            </w:r>
          </w:p>
        </w:tc>
        <w:tc>
          <w:tcPr>
            <w:tcW w:w="1418" w:type="dxa"/>
            <w:vAlign w:val="bottom"/>
          </w:tcPr>
          <w:p>
            <w:pPr>
              <w:pStyle w:val="yTableNAm"/>
            </w:pPr>
            <w:r>
              <w:rPr>
                <w:spacing w:val="-1"/>
                <w:szCs w:val="22"/>
              </w:rPr>
              <w:t>$24.60</w:t>
            </w:r>
          </w:p>
        </w:tc>
      </w:tr>
    </w:tbl>
    <w:p>
      <w:pPr>
        <w:pStyle w:val="yHeading5"/>
      </w:pPr>
      <w:bookmarkStart w:id="279" w:name="_Toc391907005"/>
      <w:bookmarkStart w:id="280" w:name="_Toc426119866"/>
      <w:r>
        <w:rPr>
          <w:rStyle w:val="CharSClsNo"/>
        </w:rPr>
        <w:t>23</w:t>
      </w:r>
      <w:r>
        <w:t>.</w:t>
      </w:r>
      <w:r>
        <w:tab/>
        <w:t>Grab samples — routine programme</w:t>
      </w:r>
      <w:bookmarkEnd w:id="279"/>
      <w:bookmarkEnd w:id="280"/>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For each grab sample for a routine programme</w:t>
            </w:r>
            <w:r>
              <w:rPr>
                <w:szCs w:val="22"/>
              </w:rPr>
              <w:t xml:space="preserve"> </w:t>
            </w:r>
            <w:r>
              <w:rPr>
                <w:szCs w:val="22"/>
              </w:rPr>
              <w:tab/>
            </w:r>
          </w:p>
        </w:tc>
        <w:tc>
          <w:tcPr>
            <w:tcW w:w="1418" w:type="dxa"/>
            <w:vAlign w:val="bottom"/>
          </w:tcPr>
          <w:p>
            <w:pPr>
              <w:pStyle w:val="yTableNAm"/>
            </w:pPr>
            <w:r>
              <w:rPr>
                <w:spacing w:val="-1"/>
                <w:szCs w:val="22"/>
              </w:rPr>
              <w:t>$286.00</w:t>
            </w:r>
          </w:p>
        </w:tc>
      </w:tr>
    </w:tbl>
    <w:p>
      <w:pPr>
        <w:pStyle w:val="yHeading5"/>
      </w:pPr>
      <w:bookmarkStart w:id="281" w:name="_Toc391907006"/>
      <w:bookmarkStart w:id="282" w:name="_Toc426119867"/>
      <w:r>
        <w:rPr>
          <w:rStyle w:val="CharSClsNo"/>
        </w:rPr>
        <w:t>24</w:t>
      </w:r>
      <w:r>
        <w:t>.</w:t>
      </w:r>
      <w:r>
        <w:tab/>
        <w:t>Composite samples — routine programme</w:t>
      </w:r>
      <w:bookmarkEnd w:id="281"/>
      <w:bookmarkEnd w:id="282"/>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For each composite sample for a routine programme </w:t>
            </w:r>
            <w:r>
              <w:rPr>
                <w:spacing w:val="-1"/>
                <w:szCs w:val="22"/>
              </w:rPr>
              <w:tab/>
            </w:r>
          </w:p>
        </w:tc>
        <w:tc>
          <w:tcPr>
            <w:tcW w:w="1418" w:type="dxa"/>
            <w:vAlign w:val="bottom"/>
          </w:tcPr>
          <w:p>
            <w:pPr>
              <w:pStyle w:val="yTableNAm"/>
            </w:pPr>
            <w:r>
              <w:rPr>
                <w:spacing w:val="-1"/>
                <w:szCs w:val="22"/>
              </w:rPr>
              <w:t>$672.10</w:t>
            </w:r>
          </w:p>
        </w:tc>
      </w:tr>
    </w:tbl>
    <w:p>
      <w:pPr>
        <w:pStyle w:val="yHeading5"/>
      </w:pPr>
      <w:bookmarkStart w:id="283" w:name="_Toc391907007"/>
      <w:bookmarkStart w:id="284" w:name="_Toc426119868"/>
      <w:r>
        <w:rPr>
          <w:rStyle w:val="CharSClsNo"/>
        </w:rPr>
        <w:t>25</w:t>
      </w:r>
      <w:r>
        <w:t>.</w:t>
      </w:r>
      <w:r>
        <w:tab/>
        <w:t>Establishment charge — unscheduled visit</w:t>
      </w:r>
      <w:bookmarkEnd w:id="283"/>
      <w:bookmarkEnd w:id="284"/>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97"/>
              </w:tabs>
              <w:rPr>
                <w:rFonts w:ascii="Arial" w:hAnsi="Arial"/>
                <w:b/>
              </w:rPr>
            </w:pPr>
            <w:r>
              <w:rPr>
                <w:spacing w:val="-1"/>
                <w:szCs w:val="22"/>
              </w:rPr>
              <w:t xml:space="preserve">Establishment charge </w:t>
            </w:r>
            <w:r>
              <w:rPr>
                <w:spacing w:val="-12"/>
                <w:szCs w:val="22"/>
              </w:rPr>
              <w:t>for</w:t>
            </w:r>
            <w:r>
              <w:rPr>
                <w:spacing w:val="-1"/>
                <w:szCs w:val="22"/>
              </w:rPr>
              <w:t xml:space="preserve"> an </w:t>
            </w:r>
            <w:r>
              <w:rPr>
                <w:szCs w:val="22"/>
              </w:rPr>
              <w:t>unscheduled</w:t>
            </w:r>
            <w:r>
              <w:rPr>
                <w:spacing w:val="-1"/>
                <w:szCs w:val="22"/>
              </w:rPr>
              <w:t xml:space="preserve"> visit </w:t>
            </w:r>
            <w:r>
              <w:rPr>
                <w:spacing w:val="-1"/>
                <w:szCs w:val="22"/>
              </w:rPr>
              <w:tab/>
            </w:r>
          </w:p>
        </w:tc>
        <w:tc>
          <w:tcPr>
            <w:tcW w:w="1418" w:type="dxa"/>
            <w:vAlign w:val="bottom"/>
          </w:tcPr>
          <w:p>
            <w:pPr>
              <w:pStyle w:val="yTableNAm"/>
            </w:pPr>
            <w:r>
              <w:rPr>
                <w:spacing w:val="-1"/>
                <w:szCs w:val="22"/>
              </w:rPr>
              <w:t>$122.50/hour</w:t>
            </w:r>
          </w:p>
        </w:tc>
      </w:tr>
    </w:tbl>
    <w:p>
      <w:pPr>
        <w:pStyle w:val="yHeading5"/>
      </w:pPr>
      <w:bookmarkStart w:id="285" w:name="_Toc391907008"/>
      <w:bookmarkStart w:id="286" w:name="_Toc426119869"/>
      <w:r>
        <w:rPr>
          <w:rStyle w:val="CharSClsNo"/>
        </w:rPr>
        <w:t>26</w:t>
      </w:r>
      <w:r>
        <w:t>.</w:t>
      </w:r>
      <w:r>
        <w:tab/>
        <w:t>Product evaluation — unscheduled visit</w:t>
      </w:r>
      <w:bookmarkEnd w:id="285"/>
      <w:bookmarkEnd w:id="286"/>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Product evaluation for an unscheduled visit </w:t>
            </w:r>
            <w:r>
              <w:rPr>
                <w:spacing w:val="-1"/>
                <w:szCs w:val="22"/>
              </w:rPr>
              <w:tab/>
            </w:r>
          </w:p>
        </w:tc>
        <w:tc>
          <w:tcPr>
            <w:tcW w:w="1418" w:type="dxa"/>
            <w:vAlign w:val="bottom"/>
          </w:tcPr>
          <w:p>
            <w:pPr>
              <w:pStyle w:val="yTableNAm"/>
            </w:pPr>
            <w:r>
              <w:rPr>
                <w:spacing w:val="-1"/>
                <w:szCs w:val="22"/>
              </w:rPr>
              <w:t>$153.30/hour</w:t>
            </w:r>
          </w:p>
        </w:tc>
      </w:tr>
    </w:tbl>
    <w:p>
      <w:pPr>
        <w:pStyle w:val="yHeading5"/>
      </w:pPr>
      <w:bookmarkStart w:id="287" w:name="_Toc391907009"/>
      <w:bookmarkStart w:id="288" w:name="_Toc426119870"/>
      <w:r>
        <w:rPr>
          <w:rStyle w:val="CharSClsNo"/>
        </w:rPr>
        <w:t>27</w:t>
      </w:r>
      <w:r>
        <w:t>.</w:t>
      </w:r>
      <w:r>
        <w:tab/>
        <w:t>Grab samples — unscheduled visit</w:t>
      </w:r>
      <w:bookmarkEnd w:id="287"/>
      <w:bookmarkEnd w:id="288"/>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For each grab sample for an unscheduled visit </w:t>
            </w:r>
            <w:r>
              <w:rPr>
                <w:spacing w:val="-1"/>
                <w:szCs w:val="22"/>
              </w:rPr>
              <w:tab/>
            </w:r>
          </w:p>
        </w:tc>
        <w:tc>
          <w:tcPr>
            <w:tcW w:w="1418" w:type="dxa"/>
            <w:vAlign w:val="bottom"/>
          </w:tcPr>
          <w:p>
            <w:pPr>
              <w:pStyle w:val="yTableNAm"/>
            </w:pPr>
            <w:r>
              <w:rPr>
                <w:spacing w:val="-1"/>
                <w:szCs w:val="22"/>
              </w:rPr>
              <w:t>At cost</w:t>
            </w:r>
          </w:p>
        </w:tc>
      </w:tr>
    </w:tbl>
    <w:p>
      <w:pPr>
        <w:pStyle w:val="yHeading5"/>
      </w:pPr>
      <w:bookmarkStart w:id="289" w:name="_Toc391907010"/>
      <w:bookmarkStart w:id="290" w:name="_Toc426119871"/>
      <w:r>
        <w:rPr>
          <w:rStyle w:val="CharSClsNo"/>
        </w:rPr>
        <w:t>28</w:t>
      </w:r>
      <w:r>
        <w:t>.</w:t>
      </w:r>
      <w:r>
        <w:tab/>
        <w:t>Composite samples — unscheduled visit</w:t>
      </w:r>
      <w:bookmarkEnd w:id="289"/>
      <w:bookmarkEnd w:id="290"/>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For each composite sample for an unscheduled visit </w:t>
            </w:r>
            <w:r>
              <w:rPr>
                <w:spacing w:val="-1"/>
                <w:szCs w:val="22"/>
              </w:rPr>
              <w:tab/>
            </w:r>
          </w:p>
        </w:tc>
        <w:tc>
          <w:tcPr>
            <w:tcW w:w="1418" w:type="dxa"/>
            <w:vAlign w:val="bottom"/>
          </w:tcPr>
          <w:p>
            <w:pPr>
              <w:pStyle w:val="yTableNAm"/>
            </w:pPr>
            <w:r>
              <w:rPr>
                <w:spacing w:val="-1"/>
                <w:szCs w:val="22"/>
              </w:rPr>
              <w:t>At cost</w:t>
            </w:r>
          </w:p>
        </w:tc>
      </w:tr>
    </w:tbl>
    <w:p>
      <w:pPr>
        <w:pStyle w:val="yHeading5"/>
      </w:pPr>
      <w:bookmarkStart w:id="291" w:name="_Toc391907011"/>
      <w:bookmarkStart w:id="292" w:name="_Toc426119872"/>
      <w:r>
        <w:rPr>
          <w:rStyle w:val="CharSClsNo"/>
        </w:rPr>
        <w:t>29</w:t>
      </w:r>
      <w:r>
        <w:t>.</w:t>
      </w:r>
      <w:r>
        <w:tab/>
        <w:t>One off discharge of trade waste</w:t>
      </w:r>
      <w:bookmarkEnd w:id="291"/>
      <w:bookmarkEnd w:id="292"/>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For a one</w:t>
            </w:r>
            <w:r>
              <w:rPr>
                <w:spacing w:val="-1"/>
                <w:szCs w:val="22"/>
              </w:rPr>
              <w:noBreakHyphen/>
              <w:t xml:space="preserve">off discharge of </w:t>
            </w:r>
            <w:r>
              <w:rPr>
                <w:szCs w:val="22"/>
              </w:rPr>
              <w:t>trade waste</w:t>
            </w:r>
            <w:r>
              <w:rPr>
                <w:spacing w:val="-1"/>
                <w:szCs w:val="22"/>
              </w:rPr>
              <w:t xml:space="preserve"> </w:t>
            </w:r>
            <w:r>
              <w:rPr>
                <w:spacing w:val="-1"/>
                <w:szCs w:val="22"/>
              </w:rPr>
              <w:tab/>
            </w:r>
          </w:p>
        </w:tc>
        <w:tc>
          <w:tcPr>
            <w:tcW w:w="1418" w:type="dxa"/>
            <w:vAlign w:val="bottom"/>
          </w:tcPr>
          <w:p>
            <w:pPr>
              <w:pStyle w:val="yTableNAm"/>
            </w:pPr>
            <w:r>
              <w:rPr>
                <w:spacing w:val="-1"/>
                <w:szCs w:val="22"/>
              </w:rPr>
              <w:t>$122.50/hour</w:t>
            </w:r>
          </w:p>
        </w:tc>
      </w:tr>
    </w:tbl>
    <w:p>
      <w:pPr>
        <w:pStyle w:val="yHeading5"/>
      </w:pPr>
      <w:bookmarkStart w:id="293" w:name="_Toc391907012"/>
      <w:bookmarkStart w:id="294" w:name="_Toc426119873"/>
      <w:r>
        <w:rPr>
          <w:rStyle w:val="CharSClsNo"/>
        </w:rPr>
        <w:t>30</w:t>
      </w:r>
      <w:r>
        <w:t>.</w:t>
      </w:r>
      <w:r>
        <w:tab/>
        <w:t>(Not used)</w:t>
      </w:r>
      <w:bookmarkEnd w:id="293"/>
      <w:bookmarkEnd w:id="294"/>
    </w:p>
    <w:p>
      <w:pPr>
        <w:pStyle w:val="yFootnotesection"/>
      </w:pPr>
      <w:r>
        <w:tab/>
        <w:t>[Division 6 inserted in Gazette 19 Jun 2013 p. 2391-2; amended in Gazette 14 Nov 2013 p. 5094.]</w:t>
      </w:r>
    </w:p>
    <w:p>
      <w:pPr>
        <w:pStyle w:val="yHeading3"/>
      </w:pPr>
      <w:bookmarkStart w:id="295" w:name="_Toc390772146"/>
      <w:bookmarkStart w:id="296" w:name="_Toc391907013"/>
      <w:bookmarkStart w:id="297" w:name="_Toc426119874"/>
      <w:r>
        <w:rPr>
          <w:rStyle w:val="CharSDivNo"/>
        </w:rPr>
        <w:t>Division 7</w:t>
      </w:r>
      <w:r>
        <w:t> — </w:t>
      </w:r>
      <w:r>
        <w:rPr>
          <w:rStyle w:val="CharSDivText"/>
        </w:rPr>
        <w:t>Combined charges for country</w:t>
      </w:r>
      <w:bookmarkEnd w:id="295"/>
      <w:bookmarkEnd w:id="296"/>
      <w:bookmarkEnd w:id="297"/>
    </w:p>
    <w:p>
      <w:pPr>
        <w:pStyle w:val="yFootnoteheading"/>
        <w:spacing w:after="120"/>
      </w:pPr>
      <w:r>
        <w:tab/>
        <w:t>[Heading inserted in Gazette 19 Jun 2013 p. 2392.]</w:t>
      </w:r>
    </w:p>
    <w:p>
      <w:pPr>
        <w:pStyle w:val="yHeading5"/>
      </w:pPr>
      <w:bookmarkStart w:id="298" w:name="_Toc391907014"/>
      <w:bookmarkStart w:id="299" w:name="_Toc426119875"/>
      <w:r>
        <w:rPr>
          <w:rStyle w:val="CharSClsNo"/>
        </w:rPr>
        <w:t>31</w:t>
      </w:r>
      <w:r>
        <w:t>.</w:t>
      </w:r>
      <w:r>
        <w:tab/>
        <w:t>Country non</w:t>
      </w:r>
      <w:r>
        <w:noBreakHyphen/>
        <w:t>residential or commercial residential property, Government trading organisations and non</w:t>
      </w:r>
      <w:r>
        <w:noBreakHyphen/>
        <w:t>commercial Government property</w:t>
      </w:r>
      <w:bookmarkEnd w:id="298"/>
      <w:bookmarkEnd w:id="299"/>
    </w:p>
    <w:p>
      <w:pPr>
        <w:pStyle w:val="ySubsection"/>
      </w:pPr>
      <w:r>
        <w:tab/>
      </w:r>
      <w:r>
        <w:tab/>
        <w:t xml:space="preserve">In respect of land in a </w:t>
      </w:r>
      <w:r>
        <w:rPr>
          <w:szCs w:val="22"/>
        </w:rPr>
        <w:t>non</w:t>
      </w:r>
      <w:r>
        <w:rPr>
          <w:szCs w:val="22"/>
        </w:rPr>
        <w:noBreakHyphen/>
        <w:t>metropolitan area</w:t>
      </w:r>
      <w:r>
        <w:t xml:space="preserve"> that is classified as country non</w:t>
      </w:r>
      <w:r>
        <w:noBreakHyphen/>
        <w:t>residential or commercial residential property, Government trading organisation or non</w:t>
      </w:r>
      <w:r>
        <w:noBreakHyphen/>
        <w:t>commercial Government property and is not referred to in item 2, 4, 5, 32, 33 or 34, the charge is calculated in accordance with the following formula —</w:t>
      </w:r>
    </w:p>
    <w:p>
      <w:pPr>
        <w:pStyle w:val="yMiscellaneousBody"/>
        <w:ind w:left="879" w:hanging="879"/>
      </w:pPr>
      <w:r>
        <w:tab/>
        <w:t>If (</w:t>
      </w:r>
      <w:r>
        <w:rPr>
          <w:b/>
        </w:rPr>
        <w:t>P</w:t>
      </w:r>
      <w:r>
        <w:t xml:space="preserve"> + </w:t>
      </w:r>
      <w:r>
        <w:rPr>
          <w:b/>
        </w:rPr>
        <w:t>Q</w:t>
      </w:r>
      <w:r>
        <w:t xml:space="preserve">) </w:t>
      </w:r>
      <w:r>
        <w:sym w:font="Symbol" w:char="F0A3"/>
      </w:r>
      <w:r>
        <w:t xml:space="preserve"> </w:t>
      </w:r>
      <w:r>
        <w:rPr>
          <w:b/>
        </w:rPr>
        <w:t>R</w:t>
      </w:r>
      <w:r>
        <w:t xml:space="preserve">, then — </w:t>
      </w:r>
    </w:p>
    <w:p>
      <w:pPr>
        <w:pStyle w:val="yMiscellaneousBody"/>
        <w:ind w:left="879" w:hanging="879"/>
      </w:pPr>
      <w:r>
        <w:tab/>
      </w:r>
      <w:r>
        <w:rPr>
          <w:b/>
        </w:rPr>
        <w:t>P</w:t>
      </w:r>
      <w:r>
        <w:t xml:space="preserve"> + </w:t>
      </w:r>
      <w:r>
        <w:rPr>
          <w:b/>
        </w:rPr>
        <w:t>Q</w:t>
      </w:r>
    </w:p>
    <w:p>
      <w:pPr>
        <w:pStyle w:val="yMiscellaneousBody"/>
        <w:keepNext/>
        <w:ind w:left="879" w:hanging="879"/>
      </w:pPr>
      <w:r>
        <w:tab/>
        <w:t xml:space="preserve">or if — </w:t>
      </w:r>
    </w:p>
    <w:p>
      <w:pPr>
        <w:pStyle w:val="yMiscellaneousBody"/>
        <w:keepNext/>
        <w:ind w:left="879" w:hanging="879"/>
      </w:pPr>
      <w:r>
        <w:tab/>
        <w:t>(</w:t>
      </w:r>
      <w:r>
        <w:rPr>
          <w:b/>
        </w:rPr>
        <w:t>P</w:t>
      </w:r>
      <w:r>
        <w:t xml:space="preserve"> + </w:t>
      </w:r>
      <w:r>
        <w:rPr>
          <w:b/>
        </w:rPr>
        <w:t>Q</w:t>
      </w:r>
      <w:r>
        <w:t xml:space="preserve">) &gt; </w:t>
      </w:r>
      <w:r>
        <w:rPr>
          <w:b/>
        </w:rPr>
        <w:t>R</w:t>
      </w:r>
      <w:r>
        <w:t>; and</w:t>
      </w:r>
    </w:p>
    <w:p>
      <w:pPr>
        <w:pStyle w:val="yMiscellaneousBody"/>
        <w:ind w:left="879" w:hanging="879"/>
      </w:pPr>
      <w:r>
        <w:tab/>
      </w:r>
      <w:r>
        <w:rPr>
          <w:b/>
        </w:rPr>
        <w:t>N</w:t>
      </w:r>
      <w:r>
        <w:t xml:space="preserve"> </w:t>
      </w:r>
      <w:r>
        <w:sym w:font="Symbol" w:char="F0A3"/>
      </w:r>
      <w:r>
        <w:t xml:space="preserve"> </w:t>
      </w:r>
      <w:r>
        <w:rPr>
          <w:b/>
        </w:rPr>
        <w:t>W</w:t>
      </w:r>
      <w:r>
        <w:t>,</w:t>
      </w:r>
    </w:p>
    <w:p>
      <w:pPr>
        <w:pStyle w:val="yMiscellaneousBody"/>
        <w:ind w:left="879" w:hanging="879"/>
      </w:pPr>
      <w:r>
        <w:tab/>
        <w:t xml:space="preserve">then — </w:t>
      </w:r>
    </w:p>
    <w:p>
      <w:pPr>
        <w:pStyle w:val="yMiscellaneousBody"/>
        <w:ind w:left="879" w:hanging="879"/>
      </w:pPr>
      <w:r>
        <w:tab/>
      </w:r>
      <w:r>
        <w:rPr>
          <w:b/>
        </w:rPr>
        <w:t>R</w:t>
      </w:r>
      <w:r>
        <w:t xml:space="preserve"> + {(</w:t>
      </w:r>
      <w:r>
        <w:rPr>
          <w:b/>
        </w:rPr>
        <w:t>N</w:t>
      </w:r>
      <w:r>
        <w:t xml:space="preserve"> (</w:t>
      </w:r>
      <w:r>
        <w:rPr>
          <w:b/>
        </w:rPr>
        <w:t>W</w:t>
      </w:r>
      <w:r>
        <w:t xml:space="preserve">) </w:t>
      </w:r>
      <w:r>
        <w:sym w:font="Symbol" w:char="F0B4"/>
      </w:r>
      <w:r>
        <w:t xml:space="preserve"> </w:t>
      </w:r>
      <w:r>
        <w:rPr>
          <w:b/>
        </w:rPr>
        <w:t>I</w:t>
      </w:r>
      <w:r>
        <w:t>}</w:t>
      </w:r>
    </w:p>
    <w:p>
      <w:pPr>
        <w:pStyle w:val="yMiscellaneousBody"/>
        <w:ind w:left="879" w:hanging="879"/>
      </w:pPr>
      <w:r>
        <w:tab/>
        <w:t xml:space="preserve">where — </w:t>
      </w:r>
    </w:p>
    <w:p>
      <w:pPr>
        <w:pStyle w:val="yMiscellaneousBody"/>
        <w:tabs>
          <w:tab w:val="left" w:pos="1134"/>
          <w:tab w:val="left" w:pos="1701"/>
        </w:tabs>
        <w:ind w:left="1701" w:hanging="1701"/>
      </w:pPr>
      <w:r>
        <w:tab/>
      </w:r>
      <w:r>
        <w:rPr>
          <w:b/>
        </w:rPr>
        <w:t>P</w:t>
      </w:r>
      <w:r>
        <w:t xml:space="preserve"> =</w:t>
      </w:r>
      <w:r>
        <w:tab/>
        <w:t>the annual charge calculated in accordance with the formula in item 36;</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37;</w:t>
      </w:r>
    </w:p>
    <w:p>
      <w:pPr>
        <w:pStyle w:val="yMiscellaneousBody"/>
        <w:tabs>
          <w:tab w:val="left" w:pos="1134"/>
          <w:tab w:val="left" w:pos="1701"/>
        </w:tabs>
        <w:ind w:left="1701" w:hanging="1701"/>
      </w:pPr>
      <w:r>
        <w:tab/>
      </w:r>
      <w:r>
        <w:rPr>
          <w:b/>
        </w:rPr>
        <w:t>R</w:t>
      </w:r>
      <w:r>
        <w:t xml:space="preserve"> =</w:t>
      </w:r>
      <w:r>
        <w:tab/>
        <w:t>the maximum charge calculated in accordance with the formula in item 35;</w:t>
      </w:r>
    </w:p>
    <w:p>
      <w:pPr>
        <w:pStyle w:val="yMiscellaneousBody"/>
        <w:tabs>
          <w:tab w:val="left" w:pos="1134"/>
          <w:tab w:val="left" w:pos="1701"/>
        </w:tabs>
        <w:ind w:left="1701" w:hanging="1701"/>
      </w:pPr>
      <w:r>
        <w:tab/>
      </w:r>
      <w:r>
        <w:rPr>
          <w:b/>
        </w:rPr>
        <w:t>N</w:t>
      </w:r>
      <w:r>
        <w:t xml:space="preserve"> =</w:t>
      </w:r>
      <w:r>
        <w:tab/>
        <w:t>the discharge volume for the 2013/2014 year;</w:t>
      </w:r>
    </w:p>
    <w:p>
      <w:pPr>
        <w:pStyle w:val="yMiscellaneousBody"/>
        <w:tabs>
          <w:tab w:val="left" w:pos="1134"/>
          <w:tab w:val="left" w:pos="1701"/>
        </w:tabs>
        <w:ind w:left="1701" w:hanging="1701"/>
      </w:pPr>
      <w:r>
        <w:tab/>
      </w:r>
      <w:r>
        <w:rPr>
          <w:b/>
        </w:rPr>
        <w:t>W</w:t>
      </w:r>
      <w:r>
        <w:t xml:space="preserve"> =</w:t>
      </w:r>
      <w:r>
        <w:tab/>
        <w:t>the discharge volume for the last available consumption year;</w:t>
      </w:r>
    </w:p>
    <w:p>
      <w:pPr>
        <w:pStyle w:val="yMiscellaneousBody"/>
        <w:tabs>
          <w:tab w:val="left" w:pos="1134"/>
          <w:tab w:val="left" w:pos="1701"/>
        </w:tabs>
        <w:ind w:left="1701" w:hanging="1701"/>
      </w:pPr>
      <w:r>
        <w:tab/>
      </w:r>
      <w:r>
        <w:rPr>
          <w:b/>
        </w:rPr>
        <w:t>I</w:t>
      </w:r>
      <w:r>
        <w:t xml:space="preserve"> =</w:t>
      </w:r>
      <w:r>
        <w:tab/>
        <w:t>2.8376.</w:t>
      </w:r>
    </w:p>
    <w:p>
      <w:pPr>
        <w:pStyle w:val="yHeading5"/>
      </w:pPr>
      <w:bookmarkStart w:id="300" w:name="_Toc391907015"/>
      <w:bookmarkStart w:id="301" w:name="_Toc426119876"/>
      <w:r>
        <w:rPr>
          <w:rStyle w:val="CharSClsNo"/>
        </w:rPr>
        <w:t>32</w:t>
      </w:r>
      <w:r>
        <w:t>.</w:t>
      </w:r>
      <w:r>
        <w:tab/>
        <w:t>Country non strata</w:t>
      </w:r>
      <w:r>
        <w:noBreakHyphen/>
        <w:t>titled caravan park with long</w:t>
      </w:r>
      <w:r>
        <w:noBreakHyphen/>
        <w:t>term residential caravan bays</w:t>
      </w:r>
      <w:bookmarkEnd w:id="300"/>
      <w:bookmarkEnd w:id="301"/>
    </w:p>
    <w:p>
      <w:pPr>
        <w:pStyle w:val="yMiscellaneousBody"/>
        <w:ind w:left="879" w:hanging="879"/>
      </w:pPr>
      <w:r>
        <w:tab/>
        <w:t xml:space="preserve">In respect of a caravan park in a </w:t>
      </w:r>
      <w:r>
        <w:rPr>
          <w:szCs w:val="22"/>
        </w:rPr>
        <w:t>non</w:t>
      </w:r>
      <w:r>
        <w:rPr>
          <w:szCs w:val="22"/>
        </w:rPr>
        <w:noBreakHyphen/>
        <w:t>metropolitan area</w:t>
      </w:r>
      <w:r>
        <w:t> —</w:t>
      </w:r>
    </w:p>
    <w:p>
      <w:pPr>
        <w:pStyle w:val="yMiscellaneousBody"/>
        <w:tabs>
          <w:tab w:val="left" w:pos="993"/>
          <w:tab w:val="left" w:pos="1560"/>
        </w:tabs>
        <w:ind w:left="1560" w:hanging="1560"/>
      </w:pPr>
      <w:r>
        <w:tab/>
        <w:t>(a)</w:t>
      </w:r>
      <w:r>
        <w:tab/>
        <w:t>not consisting of strata</w:t>
      </w:r>
      <w:r>
        <w:noBreakHyphen/>
        <w:t>titled caravan bays referred to in item 3 of this Schedule; and</w:t>
      </w:r>
    </w:p>
    <w:p>
      <w:pPr>
        <w:pStyle w:val="yMiscellaneousBody"/>
        <w:tabs>
          <w:tab w:val="left" w:pos="993"/>
          <w:tab w:val="left" w:pos="1560"/>
        </w:tabs>
        <w:ind w:left="1560" w:hanging="1560"/>
      </w:pPr>
      <w:r>
        <w:tab/>
        <w:t>(b)</w:t>
      </w:r>
      <w:r>
        <w:tab/>
        <w:t>having long</w:t>
      </w:r>
      <w:r>
        <w:noBreakHyphen/>
        <w:t>term residential caravan bays,</w:t>
      </w:r>
    </w:p>
    <w:p>
      <w:pPr>
        <w:pStyle w:val="yMiscellaneousBody"/>
        <w:ind w:left="879" w:hanging="879"/>
      </w:pPr>
      <w:r>
        <w:tab/>
        <w:t xml:space="preserve">the charge payable in accordance with the following formula — </w:t>
      </w:r>
    </w:p>
    <w:p>
      <w:pPr>
        <w:pStyle w:val="yMiscellaneousBody"/>
        <w:ind w:left="879" w:hanging="879"/>
      </w:pPr>
      <w:r>
        <w:tab/>
      </w:r>
      <w:r>
        <w:rPr>
          <w:b/>
        </w:rPr>
        <w:t>AA</w:t>
      </w:r>
      <w:r>
        <w:t xml:space="preserve"> + </w:t>
      </w:r>
      <w:r>
        <w:rPr>
          <w:b/>
        </w:rPr>
        <w:t>AB</w:t>
      </w:r>
    </w:p>
    <w:p>
      <w:pPr>
        <w:pStyle w:val="yMiscellaneousBody"/>
        <w:ind w:left="879" w:hanging="879"/>
      </w:pPr>
      <w:r>
        <w:tab/>
        <w:t xml:space="preserve">where — </w:t>
      </w:r>
    </w:p>
    <w:p>
      <w:pPr>
        <w:pStyle w:val="yMiscellaneousBody"/>
        <w:tabs>
          <w:tab w:val="left" w:pos="851"/>
          <w:tab w:val="left" w:pos="1418"/>
        </w:tabs>
        <w:ind w:left="1418" w:hanging="1418"/>
      </w:pPr>
      <w:r>
        <w:tab/>
      </w:r>
      <w:r>
        <w:rPr>
          <w:b/>
        </w:rPr>
        <w:t>AA</w:t>
      </w:r>
      <w:r>
        <w:t xml:space="preserve"> =</w:t>
      </w:r>
      <w:r>
        <w:tab/>
        <w:t>a charge of $254.93 for each long</w:t>
      </w:r>
      <w:r>
        <w:noBreakHyphen/>
        <w:t xml:space="preserve">term residential caravan bay; </w:t>
      </w:r>
    </w:p>
    <w:p>
      <w:pPr>
        <w:pStyle w:val="yMiscellaneousBody"/>
        <w:tabs>
          <w:tab w:val="left" w:pos="851"/>
          <w:tab w:val="left" w:pos="1418"/>
        </w:tabs>
        <w:ind w:left="1418" w:hanging="1418"/>
      </w:pPr>
      <w:r>
        <w:tab/>
      </w:r>
      <w:r>
        <w:rPr>
          <w:b/>
        </w:rPr>
        <w:t>AB</w:t>
      </w:r>
      <w:r>
        <w:t xml:space="preserve"> =</w:t>
      </w:r>
      <w:r>
        <w:tab/>
        <w:t>the charge for any part of the caravan park not comprised in long</w:t>
      </w:r>
      <w:r>
        <w:noBreakHyphen/>
        <w:t xml:space="preserve">term residential caravan bays, calculated in accordance with the following formula — </w:t>
      </w:r>
    </w:p>
    <w:p>
      <w:pPr>
        <w:pStyle w:val="yMiscellaneousBody"/>
        <w:tabs>
          <w:tab w:val="left" w:pos="1418"/>
        </w:tabs>
      </w:pPr>
      <w:r>
        <w:tab/>
        <w:t>If (</w:t>
      </w:r>
      <w:r>
        <w:rPr>
          <w:b/>
        </w:rPr>
        <w:t>Y</w:t>
      </w:r>
      <w:r>
        <w:t xml:space="preserve"> + </w:t>
      </w:r>
      <w:r>
        <w:rPr>
          <w:b/>
        </w:rPr>
        <w:t>Q</w:t>
      </w:r>
      <w:r>
        <w:t xml:space="preserve">) </w:t>
      </w:r>
      <w:r>
        <w:sym w:font="Symbol" w:char="F0A3"/>
      </w:r>
      <w:r>
        <w:t xml:space="preserve"> </w:t>
      </w:r>
      <w:r>
        <w:rPr>
          <w:b/>
        </w:rPr>
        <w:t>R</w:t>
      </w:r>
      <w:r>
        <w:t xml:space="preserve">, then — </w:t>
      </w:r>
    </w:p>
    <w:p>
      <w:pPr>
        <w:pStyle w:val="yMiscellaneousBody"/>
        <w:tabs>
          <w:tab w:val="left" w:pos="1418"/>
        </w:tabs>
      </w:pPr>
      <w:r>
        <w:tab/>
      </w:r>
      <w:r>
        <w:rPr>
          <w:b/>
        </w:rPr>
        <w:t>Y</w:t>
      </w:r>
      <w:r>
        <w:t xml:space="preserve"> + </w:t>
      </w:r>
      <w:r>
        <w:rPr>
          <w:b/>
        </w:rPr>
        <w:t>Q</w:t>
      </w:r>
    </w:p>
    <w:p>
      <w:pPr>
        <w:pStyle w:val="yMiscellaneousBody"/>
        <w:tabs>
          <w:tab w:val="left" w:pos="1418"/>
        </w:tabs>
      </w:pPr>
      <w:r>
        <w:tab/>
        <w:t xml:space="preserve">or if — </w:t>
      </w:r>
    </w:p>
    <w:p>
      <w:pPr>
        <w:pStyle w:val="yMiscellaneousBody"/>
        <w:tabs>
          <w:tab w:val="left" w:pos="1418"/>
        </w:tabs>
      </w:pPr>
      <w:r>
        <w:tab/>
        <w:t>(</w:t>
      </w:r>
      <w:r>
        <w:rPr>
          <w:b/>
        </w:rPr>
        <w:t>Y</w:t>
      </w:r>
      <w:r>
        <w:t xml:space="preserve"> + </w:t>
      </w:r>
      <w:r>
        <w:rPr>
          <w:b/>
        </w:rPr>
        <w:t>Q</w:t>
      </w:r>
      <w:r>
        <w:t xml:space="preserve">) &gt; </w:t>
      </w:r>
      <w:r>
        <w:rPr>
          <w:b/>
        </w:rPr>
        <w:t>R</w:t>
      </w:r>
      <w:r>
        <w:t>; and</w:t>
      </w:r>
    </w:p>
    <w:p>
      <w:pPr>
        <w:pStyle w:val="yMiscellaneousBody"/>
        <w:tabs>
          <w:tab w:val="left" w:pos="1418"/>
        </w:tabs>
      </w:pPr>
      <w:r>
        <w:tab/>
      </w:r>
      <w:r>
        <w:rPr>
          <w:b/>
        </w:rPr>
        <w:t>N</w:t>
      </w:r>
      <w:r>
        <w:t xml:space="preserve"> </w:t>
      </w:r>
      <w:r>
        <w:sym w:font="Symbol" w:char="F0A3"/>
      </w:r>
      <w:r>
        <w:t xml:space="preserve"> </w:t>
      </w:r>
      <w:r>
        <w:rPr>
          <w:b/>
        </w:rPr>
        <w:t>W</w:t>
      </w:r>
      <w:r>
        <w:t>,</w:t>
      </w:r>
    </w:p>
    <w:p>
      <w:pPr>
        <w:pStyle w:val="yMiscellaneousBody"/>
        <w:tabs>
          <w:tab w:val="left" w:pos="1418"/>
        </w:tabs>
      </w:pPr>
      <w:r>
        <w:tab/>
        <w:t xml:space="preserve">then — </w:t>
      </w:r>
    </w:p>
    <w:p>
      <w:pPr>
        <w:pStyle w:val="yMiscellaneousBody"/>
        <w:tabs>
          <w:tab w:val="left" w:pos="1418"/>
        </w:tabs>
        <w:rPr>
          <w:b/>
        </w:rPr>
      </w:pPr>
      <w:r>
        <w:tab/>
      </w:r>
      <w:r>
        <w:rPr>
          <w:b/>
        </w:rPr>
        <w:t>R</w:t>
      </w:r>
    </w:p>
    <w:p>
      <w:pPr>
        <w:pStyle w:val="yMiscellaneousBody"/>
        <w:tabs>
          <w:tab w:val="left" w:pos="1418"/>
        </w:tabs>
      </w:pPr>
      <w:r>
        <w:tab/>
        <w:t xml:space="preserve">or if — </w:t>
      </w:r>
    </w:p>
    <w:p>
      <w:pPr>
        <w:pStyle w:val="yMiscellaneousBody"/>
        <w:tabs>
          <w:tab w:val="left" w:pos="1418"/>
        </w:tabs>
      </w:pPr>
      <w:r>
        <w:tab/>
        <w:t>(</w:t>
      </w:r>
      <w:r>
        <w:rPr>
          <w:b/>
        </w:rPr>
        <w:t>Y</w:t>
      </w:r>
      <w:r>
        <w:t xml:space="preserve"> + </w:t>
      </w:r>
      <w:r>
        <w:rPr>
          <w:b/>
        </w:rPr>
        <w:t>Q</w:t>
      </w:r>
      <w:r>
        <w:t xml:space="preserve">) &gt; </w:t>
      </w:r>
      <w:r>
        <w:rPr>
          <w:b/>
        </w:rPr>
        <w:t>R</w:t>
      </w:r>
      <w:r>
        <w:t>; and</w:t>
      </w:r>
    </w:p>
    <w:p>
      <w:pPr>
        <w:pStyle w:val="yMiscellaneousBody"/>
        <w:tabs>
          <w:tab w:val="left" w:pos="1418"/>
        </w:tabs>
      </w:pPr>
      <w:r>
        <w:tab/>
      </w:r>
      <w:r>
        <w:rPr>
          <w:b/>
        </w:rPr>
        <w:t>N</w:t>
      </w:r>
      <w:r>
        <w:t xml:space="preserve"> &gt; </w:t>
      </w:r>
      <w:r>
        <w:rPr>
          <w:b/>
        </w:rPr>
        <w:t>W</w:t>
      </w:r>
      <w:r>
        <w:t>,</w:t>
      </w:r>
    </w:p>
    <w:p>
      <w:pPr>
        <w:pStyle w:val="yMiscellaneousBody"/>
        <w:tabs>
          <w:tab w:val="left" w:pos="1418"/>
        </w:tabs>
      </w:pPr>
      <w:r>
        <w:tab/>
        <w:t xml:space="preserve">then — </w:t>
      </w:r>
    </w:p>
    <w:p>
      <w:pPr>
        <w:pStyle w:val="yMiscellaneousBody"/>
        <w:tabs>
          <w:tab w:val="left" w:pos="1418"/>
        </w:tabs>
      </w:pP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MiscellaneousBody"/>
        <w:tabs>
          <w:tab w:val="left" w:pos="1418"/>
        </w:tabs>
      </w:pPr>
      <w:r>
        <w:tab/>
        <w:t xml:space="preserve">where — </w:t>
      </w:r>
    </w:p>
    <w:p>
      <w:pPr>
        <w:pStyle w:val="yMiscellaneousBody"/>
        <w:tabs>
          <w:tab w:val="left" w:pos="1701"/>
          <w:tab w:val="left" w:pos="2268"/>
        </w:tabs>
        <w:ind w:left="2268" w:hanging="2268"/>
      </w:pPr>
      <w:r>
        <w:tab/>
      </w:r>
      <w:r>
        <w:rPr>
          <w:b/>
        </w:rPr>
        <w:t>Y</w:t>
      </w:r>
      <w:r>
        <w:t xml:space="preserve"> =</w:t>
      </w:r>
      <w:r>
        <w:tab/>
        <w:t>the charge payable for the number of major fixtures in the relevant part of the caravan park in the 2013/2014 year as set out in the Table to item 36;</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37;</w:t>
      </w:r>
    </w:p>
    <w:p>
      <w:pPr>
        <w:pStyle w:val="yMiscellaneousBody"/>
        <w:tabs>
          <w:tab w:val="left" w:pos="1701"/>
          <w:tab w:val="left" w:pos="2268"/>
        </w:tabs>
        <w:ind w:left="2268" w:hanging="2268"/>
      </w:pPr>
      <w:r>
        <w:tab/>
      </w:r>
      <w:r>
        <w:rPr>
          <w:b/>
        </w:rPr>
        <w:t>R</w:t>
      </w:r>
      <w:r>
        <w:t xml:space="preserve"> =</w:t>
      </w:r>
      <w:r>
        <w:tab/>
        <w:t>the charge calculated in accordance with the formula in item 35;</w:t>
      </w:r>
    </w:p>
    <w:p>
      <w:pPr>
        <w:pStyle w:val="yMiscellaneousBody"/>
        <w:tabs>
          <w:tab w:val="left" w:pos="1701"/>
          <w:tab w:val="left" w:pos="2268"/>
        </w:tabs>
        <w:ind w:left="2268" w:hanging="2268"/>
      </w:pPr>
      <w:r>
        <w:tab/>
      </w:r>
      <w:r>
        <w:rPr>
          <w:b/>
        </w:rPr>
        <w:t>N</w:t>
      </w:r>
      <w:r>
        <w:t xml:space="preserve"> =</w:t>
      </w:r>
      <w:r>
        <w:tab/>
        <w:t>the discharge volume for the 2013/2014 year;</w:t>
      </w:r>
    </w:p>
    <w:p>
      <w:pPr>
        <w:pStyle w:val="yMiscellaneousBody"/>
        <w:tabs>
          <w:tab w:val="left" w:pos="1701"/>
          <w:tab w:val="left" w:pos="2268"/>
        </w:tabs>
        <w:ind w:left="2268" w:hanging="2268"/>
      </w:pPr>
      <w:r>
        <w:tab/>
      </w:r>
      <w:r>
        <w:rPr>
          <w:b/>
        </w:rPr>
        <w:t>W</w:t>
      </w:r>
      <w:r>
        <w:t xml:space="preserve"> =</w:t>
      </w:r>
      <w:r>
        <w:tab/>
        <w:t>the discharge volume for the last available consumption year;</w:t>
      </w:r>
    </w:p>
    <w:p>
      <w:pPr>
        <w:pStyle w:val="yMiscellaneousBody"/>
        <w:tabs>
          <w:tab w:val="left" w:pos="1701"/>
          <w:tab w:val="left" w:pos="2268"/>
        </w:tabs>
        <w:ind w:left="2268" w:hanging="2268"/>
      </w:pPr>
      <w:r>
        <w:tab/>
      </w:r>
      <w:r>
        <w:rPr>
          <w:b/>
        </w:rPr>
        <w:t>I</w:t>
      </w:r>
      <w:r>
        <w:t xml:space="preserve"> =</w:t>
      </w:r>
      <w:r>
        <w:tab/>
        <w:t>2.8376.</w:t>
      </w:r>
    </w:p>
    <w:p>
      <w:pPr>
        <w:pStyle w:val="yHeading5"/>
      </w:pPr>
      <w:bookmarkStart w:id="302" w:name="_Toc391907016"/>
      <w:bookmarkStart w:id="303" w:name="_Toc426119877"/>
      <w:r>
        <w:rPr>
          <w:rStyle w:val="CharSClsNo"/>
        </w:rPr>
        <w:t>33</w:t>
      </w:r>
      <w:r>
        <w:t>.</w:t>
      </w:r>
      <w:r>
        <w:tab/>
        <w:t>Country nursing home</w:t>
      </w:r>
      <w:bookmarkEnd w:id="302"/>
      <w:bookmarkEnd w:id="303"/>
    </w:p>
    <w:p>
      <w:pPr>
        <w:pStyle w:val="yMiscellaneousBody"/>
        <w:ind w:left="879" w:hanging="879"/>
      </w:pPr>
      <w:r>
        <w:tab/>
        <w:t xml:space="preserve">In respect of a nursing home in a </w:t>
      </w:r>
      <w:r>
        <w:rPr>
          <w:szCs w:val="22"/>
        </w:rPr>
        <w:t>non</w:t>
      </w:r>
      <w:r>
        <w:rPr>
          <w:szCs w:val="22"/>
        </w:rPr>
        <w:noBreakHyphen/>
        <w:t>metropolitan area</w:t>
      </w:r>
      <w:r>
        <w:t>, not being a nursing home which is, or is part of, an aged home, the charge is calculated in accordance with the following formula —</w:t>
      </w:r>
    </w:p>
    <w:p>
      <w:pPr>
        <w:pStyle w:val="yMiscellaneousBody"/>
        <w:ind w:left="879" w:hanging="879"/>
      </w:pPr>
      <w:r>
        <w:tab/>
        <w:t>If (</w:t>
      </w:r>
      <w:r>
        <w:rPr>
          <w:b/>
        </w:rPr>
        <w:t>T</w:t>
      </w:r>
      <w:r>
        <w:t xml:space="preserve"> + </w:t>
      </w:r>
      <w:r>
        <w:rPr>
          <w:b/>
        </w:rPr>
        <w:t>Q</w:t>
      </w:r>
      <w:r>
        <w:t xml:space="preserve">) </w:t>
      </w:r>
      <w:r>
        <w:sym w:font="Symbol" w:char="F0A3"/>
      </w:r>
      <w:r>
        <w:t xml:space="preserve"> </w:t>
      </w:r>
      <w:r>
        <w:rPr>
          <w:b/>
        </w:rPr>
        <w:t>R</w:t>
      </w:r>
      <w:r>
        <w:t xml:space="preserve">, then — </w:t>
      </w:r>
    </w:p>
    <w:p>
      <w:pPr>
        <w:pStyle w:val="yMiscellaneousBody"/>
        <w:ind w:left="879" w:hanging="879"/>
      </w:pPr>
      <w:r>
        <w:tab/>
      </w:r>
      <w:r>
        <w:rPr>
          <w:b/>
        </w:rPr>
        <w:t>T</w:t>
      </w:r>
      <w:r>
        <w:t xml:space="preserve"> + </w:t>
      </w:r>
      <w:r>
        <w:rPr>
          <w:b/>
        </w:rPr>
        <w:t>Q</w:t>
      </w:r>
    </w:p>
    <w:p>
      <w:pPr>
        <w:pStyle w:val="yMiscellaneousBody"/>
        <w:ind w:left="879" w:hanging="879"/>
      </w:pPr>
      <w:r>
        <w:tab/>
        <w:t>or if (</w:t>
      </w:r>
      <w:r>
        <w:rPr>
          <w:b/>
        </w:rPr>
        <w:t>T</w:t>
      </w:r>
      <w:r>
        <w:t xml:space="preserve"> + </w:t>
      </w:r>
      <w:r>
        <w:rPr>
          <w:b/>
        </w:rPr>
        <w:t>Q</w:t>
      </w:r>
      <w:r>
        <w:t xml:space="preserve">) &gt; </w:t>
      </w:r>
      <w:r>
        <w:rPr>
          <w:b/>
        </w:rPr>
        <w:t>R</w:t>
      </w:r>
      <w:r>
        <w:t xml:space="preserve">, then — </w:t>
      </w:r>
    </w:p>
    <w:p>
      <w:pPr>
        <w:pStyle w:val="yMiscellaneousBody"/>
        <w:ind w:left="879" w:hanging="879"/>
        <w:rPr>
          <w:b/>
        </w:rPr>
      </w:pPr>
      <w:r>
        <w:tab/>
      </w:r>
      <w:r>
        <w:rPr>
          <w:b/>
        </w:rPr>
        <w:t>R</w:t>
      </w:r>
    </w:p>
    <w:p>
      <w:pPr>
        <w:pStyle w:val="yMiscellaneousBody"/>
        <w:ind w:left="879" w:hanging="879"/>
      </w:pPr>
      <w:r>
        <w:tab/>
        <w:t xml:space="preserve">where — </w:t>
      </w:r>
    </w:p>
    <w:p>
      <w:pPr>
        <w:pStyle w:val="yMiscellaneousBody"/>
        <w:tabs>
          <w:tab w:val="left" w:pos="993"/>
          <w:tab w:val="left" w:pos="1560"/>
        </w:tabs>
        <w:ind w:left="1560" w:hanging="1560"/>
      </w:pPr>
      <w:r>
        <w:tab/>
      </w:r>
      <w:r>
        <w:rPr>
          <w:b/>
        </w:rPr>
        <w:t>T</w:t>
      </w:r>
      <w:r>
        <w:t xml:space="preserve"> =</w:t>
      </w:r>
      <w:r>
        <w:tab/>
        <w:t>the charge calculated in accordance with the following formula — </w:t>
      </w:r>
    </w:p>
    <w:p>
      <w:pPr>
        <w:pStyle w:val="yMiscellaneousBody"/>
        <w:tabs>
          <w:tab w:val="left" w:pos="1560"/>
        </w:tabs>
      </w:pPr>
      <w:r>
        <w:tab/>
      </w:r>
      <w:r>
        <w:rPr>
          <w:b/>
        </w:rPr>
        <w:t>U</w:t>
      </w:r>
      <w:r>
        <w:t xml:space="preserve"> </w:t>
      </w:r>
      <w:r>
        <w:sym w:font="Symbol" w:char="F0B4"/>
      </w:r>
      <w:r>
        <w:t xml:space="preserve"> </w:t>
      </w:r>
      <w:r>
        <w:rPr>
          <w:b/>
        </w:rPr>
        <w:t>V</w:t>
      </w:r>
    </w:p>
    <w:p>
      <w:pPr>
        <w:pStyle w:val="yMiscellaneousBody"/>
        <w:tabs>
          <w:tab w:val="left" w:pos="1560"/>
        </w:tabs>
      </w:pPr>
      <w:r>
        <w:tab/>
        <w:t xml:space="preserve">where — </w:t>
      </w:r>
    </w:p>
    <w:p>
      <w:pPr>
        <w:pStyle w:val="yMiscellaneousBody"/>
        <w:tabs>
          <w:tab w:val="left" w:pos="1701"/>
          <w:tab w:val="left" w:pos="2268"/>
        </w:tabs>
        <w:ind w:left="2268" w:hanging="2268"/>
      </w:pPr>
      <w:r>
        <w:tab/>
      </w:r>
      <w:r>
        <w:rPr>
          <w:b/>
        </w:rPr>
        <w:t>U</w:t>
      </w:r>
      <w:r>
        <w:t xml:space="preserve"> =</w:t>
      </w:r>
      <w:r>
        <w:tab/>
        <w:t xml:space="preserve">the number of beds in the nursing home; </w:t>
      </w:r>
    </w:p>
    <w:p>
      <w:pPr>
        <w:pStyle w:val="yMiscellaneousBody"/>
        <w:tabs>
          <w:tab w:val="left" w:pos="1701"/>
          <w:tab w:val="left" w:pos="2268"/>
        </w:tabs>
        <w:ind w:left="2268" w:hanging="2268"/>
      </w:pPr>
      <w:r>
        <w:tab/>
      </w:r>
      <w:r>
        <w:rPr>
          <w:b/>
        </w:rPr>
        <w:t>V</w:t>
      </w:r>
      <w:r>
        <w:t xml:space="preserve"> =</w:t>
      </w:r>
      <w:r>
        <w:tab/>
        <w:t>$139.71;</w:t>
      </w:r>
    </w:p>
    <w:p>
      <w:pPr>
        <w:pStyle w:val="yMiscellaneousBody"/>
        <w:tabs>
          <w:tab w:val="left" w:pos="993"/>
          <w:tab w:val="left" w:pos="1560"/>
        </w:tabs>
        <w:ind w:left="1560" w:hanging="1560"/>
      </w:pPr>
      <w:r>
        <w:tab/>
      </w:r>
      <w:r>
        <w:rPr>
          <w:b/>
        </w:rPr>
        <w:t>Q</w:t>
      </w:r>
      <w:r>
        <w:t xml:space="preserve"> =</w:t>
      </w:r>
      <w:r>
        <w:tab/>
        <w:t>the quantity charge calculated in accordance with the formula in item 37;</w:t>
      </w:r>
    </w:p>
    <w:p>
      <w:pPr>
        <w:pStyle w:val="yMiscellaneousBody"/>
        <w:tabs>
          <w:tab w:val="left" w:pos="993"/>
          <w:tab w:val="left" w:pos="1560"/>
        </w:tabs>
        <w:ind w:left="1560" w:hanging="1560"/>
      </w:pPr>
      <w:r>
        <w:tab/>
      </w:r>
      <w:r>
        <w:rPr>
          <w:b/>
        </w:rPr>
        <w:t>R</w:t>
      </w:r>
      <w:r>
        <w:t xml:space="preserve"> =</w:t>
      </w:r>
      <w:r>
        <w:tab/>
        <w:t>the charge calculated in accordance with the formula in item 35.</w:t>
      </w:r>
    </w:p>
    <w:p>
      <w:pPr>
        <w:pStyle w:val="yHeading5"/>
      </w:pPr>
      <w:bookmarkStart w:id="304" w:name="_Toc391907017"/>
      <w:bookmarkStart w:id="305" w:name="_Toc426119878"/>
      <w:r>
        <w:rPr>
          <w:rStyle w:val="CharSClsNo"/>
        </w:rPr>
        <w:t>34</w:t>
      </w:r>
      <w:r>
        <w:t>.</w:t>
      </w:r>
      <w:r>
        <w:tab/>
        <w:t>Certain country strata</w:t>
      </w:r>
      <w:r>
        <w:noBreakHyphen/>
        <w:t>titled units</w:t>
      </w:r>
      <w:bookmarkEnd w:id="304"/>
      <w:bookmarkEnd w:id="305"/>
    </w:p>
    <w:p>
      <w:pPr>
        <w:pStyle w:val="yMiscellaneousBody"/>
        <w:ind w:left="879" w:hanging="879"/>
      </w:pPr>
      <w:r>
        <w:tab/>
        <w:t>In respect of country non</w:t>
      </w:r>
      <w:r>
        <w:noBreakHyphen/>
        <w:t xml:space="preserve">residential or commercial residential property that is in a </w:t>
      </w:r>
      <w:r>
        <w:rPr>
          <w:szCs w:val="22"/>
        </w:rPr>
        <w:t>non</w:t>
      </w:r>
      <w:r>
        <w:rPr>
          <w:szCs w:val="22"/>
        </w:rPr>
        <w:noBreakHyphen/>
        <w:t>metropolitan area</w:t>
      </w:r>
      <w:r>
        <w:t xml:space="preserve"> that — </w:t>
      </w:r>
    </w:p>
    <w:p>
      <w:pPr>
        <w:pStyle w:val="yMiscellaneousBody"/>
        <w:tabs>
          <w:tab w:val="left" w:pos="993"/>
          <w:tab w:val="left" w:pos="1560"/>
        </w:tabs>
        <w:ind w:left="1560" w:hanging="1560"/>
      </w:pPr>
      <w:r>
        <w:tab/>
        <w:t>(a)</w:t>
      </w:r>
      <w:r>
        <w:tab/>
        <w:t xml:space="preserve">comprises a unit that is a lot within the meaning of the </w:t>
      </w:r>
      <w:r>
        <w:rPr>
          <w:i/>
        </w:rPr>
        <w:t>Strata Titles Act 1985</w:t>
      </w:r>
      <w:r>
        <w:t>; and</w:t>
      </w:r>
    </w:p>
    <w:p>
      <w:pPr>
        <w:pStyle w:val="yMiscellaneousBody"/>
        <w:tabs>
          <w:tab w:val="left" w:pos="993"/>
          <w:tab w:val="left" w:pos="1560"/>
        </w:tabs>
        <w:ind w:left="1560" w:hanging="1560"/>
      </w:pPr>
      <w:r>
        <w:tab/>
        <w:t>(b)</w:t>
      </w:r>
      <w:r>
        <w:tab/>
        <w:t>shares a major fixture with another unit described in paragraph (a) and has no other major fixtures that discharge into the sewer,</w:t>
      </w:r>
    </w:p>
    <w:p>
      <w:pPr>
        <w:pStyle w:val="yMiscellaneousBody"/>
        <w:ind w:left="879" w:hanging="879"/>
      </w:pPr>
      <w:r>
        <w:tab/>
        <w:t xml:space="preserve">and where the total number of major fixtures shared by all the units on the relevant strata plan is less than the number of those units, an amount is calculated in accordance with the following formula — </w:t>
      </w:r>
    </w:p>
    <w:p>
      <w:pPr>
        <w:pStyle w:val="yMiscellaneousBody"/>
        <w:ind w:left="879" w:hanging="879"/>
      </w:pPr>
      <w:r>
        <w:tab/>
      </w:r>
      <w:r>
        <w:rPr>
          <w:b/>
        </w:rPr>
        <w:t>T</w:t>
      </w:r>
      <w:r>
        <w:t xml:space="preserve"> + </w:t>
      </w:r>
      <w:r>
        <w:rPr>
          <w:b/>
        </w:rPr>
        <w:t>Q</w:t>
      </w:r>
    </w:p>
    <w:p>
      <w:pPr>
        <w:pStyle w:val="yMiscellaneousBody"/>
        <w:ind w:left="879" w:hanging="879"/>
      </w:pPr>
      <w:r>
        <w:tab/>
        <w:t xml:space="preserve">where — </w:t>
      </w:r>
    </w:p>
    <w:p>
      <w:pPr>
        <w:pStyle w:val="yMiscellaneousBody"/>
        <w:tabs>
          <w:tab w:val="left" w:pos="993"/>
          <w:tab w:val="left" w:pos="1560"/>
        </w:tabs>
        <w:ind w:left="1560" w:hanging="1560"/>
      </w:pPr>
      <w:r>
        <w:tab/>
      </w:r>
      <w:r>
        <w:rPr>
          <w:b/>
        </w:rPr>
        <w:t>T</w:t>
      </w:r>
      <w:r>
        <w:t xml:space="preserve"> =</w:t>
      </w:r>
      <w:r>
        <w:tab/>
        <w:t>$479.97;</w:t>
      </w:r>
    </w:p>
    <w:p>
      <w:pPr>
        <w:pStyle w:val="yMiscellaneousBody"/>
        <w:tabs>
          <w:tab w:val="left" w:pos="993"/>
          <w:tab w:val="left" w:pos="1560"/>
        </w:tabs>
        <w:ind w:left="1560" w:hanging="1560"/>
      </w:pPr>
      <w:r>
        <w:tab/>
      </w:r>
      <w:r>
        <w:rPr>
          <w:b/>
        </w:rPr>
        <w:t>Q</w:t>
      </w:r>
      <w:r>
        <w:t xml:space="preserve"> =</w:t>
      </w:r>
      <w:r>
        <w:tab/>
        <w:t>the quantity charge calculated in accordance with the formula in item 37.</w:t>
      </w:r>
    </w:p>
    <w:p>
      <w:pPr>
        <w:pStyle w:val="yHeading5"/>
      </w:pPr>
      <w:bookmarkStart w:id="306" w:name="_Toc391907018"/>
      <w:bookmarkStart w:id="307" w:name="_Toc426119879"/>
      <w:r>
        <w:rPr>
          <w:rStyle w:val="CharSClsNo"/>
        </w:rPr>
        <w:t>35</w:t>
      </w:r>
      <w:r>
        <w:t>.</w:t>
      </w:r>
      <w:r>
        <w:tab/>
        <w:t>Limit on increase</w:t>
      </w:r>
      <w:bookmarkEnd w:id="306"/>
      <w:bookmarkEnd w:id="307"/>
    </w:p>
    <w:p>
      <w:pPr>
        <w:pStyle w:val="yMiscellaneousBody"/>
        <w:ind w:left="879" w:hanging="879"/>
      </w:pPr>
      <w:r>
        <w:tab/>
        <w:t>For the purposes of this Division, the maximum charge (</w:t>
      </w:r>
      <w:r>
        <w:rPr>
          <w:b/>
          <w:i/>
        </w:rPr>
        <w:t>R</w:t>
      </w:r>
      <w:r>
        <w:t xml:space="preserve">) is calculated in accordance with the following formula — </w:t>
      </w:r>
    </w:p>
    <w:p>
      <w:pPr>
        <w:pStyle w:val="yMiscellaneousBody"/>
        <w:ind w:left="879" w:hanging="879"/>
      </w:pP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MiscellaneousBody"/>
        <w:ind w:left="879" w:hanging="879"/>
      </w:pPr>
      <w:r>
        <w:tab/>
        <w:t>if (</w:t>
      </w:r>
      <w:r>
        <w:rPr>
          <w:b/>
        </w:rPr>
        <w:t>A</w:t>
      </w:r>
      <w:r>
        <w:t xml:space="preserve"> (</w:t>
      </w:r>
      <w:r>
        <w:rPr>
          <w:b/>
        </w:rPr>
        <w:t>S</w:t>
      </w:r>
      <w:r>
        <w:t>) &gt; (</w:t>
      </w:r>
      <w:r>
        <w:rPr>
          <w:b/>
        </w:rPr>
        <w:t>A</w:t>
      </w:r>
      <w:r>
        <w:t xml:space="preserve"> + </w:t>
      </w:r>
      <w:r>
        <w:rPr>
          <w:b/>
        </w:rPr>
        <w:t>J</w:t>
      </w:r>
      <w:r>
        <w:t>), then</w:t>
      </w:r>
    </w:p>
    <w:p>
      <w:pPr>
        <w:pStyle w:val="yMiscellaneousBody"/>
        <w:ind w:left="879" w:hanging="879"/>
      </w:pPr>
      <w:r>
        <w:tab/>
        <w:t>(</w:t>
      </w:r>
      <w:r>
        <w:rPr>
          <w:b/>
        </w:rPr>
        <w:t>A</w:t>
      </w:r>
      <w:r>
        <w:t xml:space="preserve"> </w:t>
      </w:r>
      <w:r>
        <w:sym w:font="Symbol" w:char="F0B4"/>
      </w:r>
      <w:r>
        <w:t xml:space="preserve"> </w:t>
      </w:r>
      <w:r>
        <w:rPr>
          <w:b/>
        </w:rPr>
        <w:t>S</w:t>
      </w:r>
      <w:r>
        <w:t>)</w:t>
      </w:r>
    </w:p>
    <w:p>
      <w:pPr>
        <w:pStyle w:val="yMiscellaneousBody"/>
        <w:ind w:left="879" w:hanging="879"/>
      </w:pP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MiscellaneousBody"/>
        <w:ind w:left="879" w:hanging="879"/>
      </w:pPr>
      <w:r>
        <w:tab/>
        <w:t>(</w:t>
      </w:r>
      <w:r>
        <w:rPr>
          <w:b/>
        </w:rPr>
        <w:t>A</w:t>
      </w:r>
      <w:r>
        <w:t xml:space="preserve"> + </w:t>
      </w:r>
      <w:r>
        <w:rPr>
          <w:b/>
        </w:rPr>
        <w:t>J</w:t>
      </w:r>
      <w:r>
        <w:t>)</w:t>
      </w:r>
    </w:p>
    <w:p>
      <w:pPr>
        <w:pStyle w:val="yMiscellaneousBody"/>
        <w:ind w:left="879" w:hanging="879"/>
      </w:pP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MiscellaneousBody"/>
        <w:ind w:left="879" w:hanging="879"/>
      </w:pP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MiscellaneousBody"/>
        <w:ind w:left="879" w:hanging="879"/>
      </w:pPr>
      <w:r>
        <w:tab/>
        <w:t>(</w:t>
      </w:r>
      <w:r>
        <w:rPr>
          <w:b/>
        </w:rPr>
        <w:t>A</w:t>
      </w:r>
      <w:r>
        <w:t xml:space="preserve"> </w:t>
      </w:r>
      <w:r>
        <w:sym w:font="Symbol" w:char="F0B4"/>
      </w:r>
      <w:r>
        <w:t xml:space="preserve"> </w:t>
      </w:r>
      <w:r>
        <w:rPr>
          <w:b/>
        </w:rPr>
        <w:t>S</w:t>
      </w:r>
      <w:r>
        <w:t>)</w:t>
      </w:r>
    </w:p>
    <w:p>
      <w:pPr>
        <w:pStyle w:val="yMiscellaneousBody"/>
        <w:ind w:left="879" w:hanging="879"/>
      </w:pP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MiscellaneousBody"/>
        <w:ind w:left="879" w:hanging="879"/>
      </w:pPr>
      <w:r>
        <w:tab/>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MiscellaneousBody"/>
        <w:ind w:left="879" w:hanging="879"/>
      </w:pPr>
      <w:r>
        <w:tab/>
        <w:t xml:space="preserve">where — </w:t>
      </w:r>
    </w:p>
    <w:p>
      <w:pPr>
        <w:pStyle w:val="yMiscellaneousBody"/>
        <w:tabs>
          <w:tab w:val="left" w:pos="993"/>
          <w:tab w:val="left" w:pos="1560"/>
        </w:tabs>
        <w:ind w:left="1560" w:hanging="1560"/>
      </w:pPr>
      <w:r>
        <w:tab/>
      </w:r>
      <w:r>
        <w:rPr>
          <w:b/>
        </w:rPr>
        <w:t>P</w:t>
      </w:r>
      <w:r>
        <w:t xml:space="preserve"> =</w:t>
      </w:r>
      <w:r>
        <w:tab/>
        <w:t>the target annual charge, based on the number of major fixtures calculated using the Table in item 36;</w:t>
      </w:r>
    </w:p>
    <w:p>
      <w:pPr>
        <w:pStyle w:val="yMiscellaneousBody"/>
        <w:tabs>
          <w:tab w:val="left" w:pos="993"/>
          <w:tab w:val="left" w:pos="1560"/>
        </w:tabs>
        <w:ind w:left="1560" w:hanging="1560"/>
      </w:pPr>
      <w:r>
        <w:tab/>
      </w:r>
      <w:r>
        <w:rPr>
          <w:b/>
        </w:rPr>
        <w:t>Q</w:t>
      </w:r>
      <w:r>
        <w:t xml:space="preserve"> =</w:t>
      </w:r>
      <w:r>
        <w:tab/>
        <w:t>the ultimate discharge charge calculated using the formula in item 37, except that the discharge allowance calculated in accordance with item 38(a) is 200 kL;</w:t>
      </w:r>
    </w:p>
    <w:p>
      <w:pPr>
        <w:pStyle w:val="yMiscellaneousBody"/>
        <w:tabs>
          <w:tab w:val="left" w:pos="993"/>
          <w:tab w:val="left" w:pos="1560"/>
        </w:tabs>
        <w:ind w:left="1560" w:hanging="1560"/>
      </w:pPr>
      <w:r>
        <w:tab/>
      </w:r>
      <w:r>
        <w:rPr>
          <w:b/>
        </w:rPr>
        <w:t>A</w:t>
      </w:r>
      <w:r>
        <w:t xml:space="preserve"> =</w:t>
      </w:r>
      <w:r>
        <w:tab/>
        <w:t>the equivalent full year charge payable in the 2012/2013 year;</w:t>
      </w:r>
    </w:p>
    <w:p>
      <w:pPr>
        <w:pStyle w:val="yMiscellaneousBody"/>
        <w:tabs>
          <w:tab w:val="left" w:pos="993"/>
          <w:tab w:val="left" w:pos="1560"/>
        </w:tabs>
        <w:ind w:left="1560" w:hanging="1560"/>
      </w:pPr>
      <w:r>
        <w:tab/>
      </w:r>
      <w:r>
        <w:rPr>
          <w:b/>
        </w:rPr>
        <w:t>S</w:t>
      </w:r>
      <w:r>
        <w:t xml:space="preserve"> =</w:t>
      </w:r>
      <w:r>
        <w:tab/>
        <w:t>1.120;</w:t>
      </w:r>
    </w:p>
    <w:p>
      <w:pPr>
        <w:pStyle w:val="yMiscellaneousBody"/>
        <w:tabs>
          <w:tab w:val="left" w:pos="993"/>
          <w:tab w:val="left" w:pos="1560"/>
        </w:tabs>
        <w:ind w:left="1560" w:hanging="1560"/>
      </w:pPr>
      <w:r>
        <w:tab/>
      </w:r>
      <w:r>
        <w:rPr>
          <w:b/>
        </w:rPr>
        <w:t>B</w:t>
      </w:r>
      <w:r>
        <w:t xml:space="preserve"> =</w:t>
      </w:r>
      <w:r>
        <w:tab/>
        <w:t>$166.67;</w:t>
      </w:r>
    </w:p>
    <w:p>
      <w:pPr>
        <w:pStyle w:val="yMiscellaneousBody"/>
        <w:tabs>
          <w:tab w:val="left" w:pos="993"/>
          <w:tab w:val="left" w:pos="1560"/>
        </w:tabs>
        <w:ind w:left="1560" w:hanging="1560"/>
      </w:pPr>
      <w:r>
        <w:tab/>
      </w:r>
      <w:r>
        <w:rPr>
          <w:b/>
        </w:rPr>
        <w:t>J</w:t>
      </w:r>
      <w:r>
        <w:t xml:space="preserve"> =</w:t>
      </w:r>
      <w:r>
        <w:tab/>
        <w:t>$166.67;</w:t>
      </w:r>
    </w:p>
    <w:p>
      <w:pPr>
        <w:pStyle w:val="yMiscellaneousBody"/>
        <w:tabs>
          <w:tab w:val="left" w:pos="993"/>
          <w:tab w:val="left" w:pos="1560"/>
        </w:tabs>
        <w:ind w:left="1560" w:hanging="1560"/>
      </w:pPr>
      <w:r>
        <w:tab/>
      </w:r>
      <w:r>
        <w:rPr>
          <w:b/>
        </w:rPr>
        <w:t>O</w:t>
      </w:r>
      <w:r>
        <w:t xml:space="preserve"> =</w:t>
      </w:r>
      <w:r>
        <w:tab/>
        <w:t>1.</w:t>
      </w:r>
    </w:p>
    <w:p>
      <w:pPr>
        <w:pStyle w:val="yFootnotesection"/>
      </w:pPr>
      <w:r>
        <w:tab/>
        <w:t>[Division 7 inserted in Gazette 19 Jun 2013 p. 2392-6; amended in Gazette 14 Nov 2013 p. 5095.]</w:t>
      </w:r>
    </w:p>
    <w:p>
      <w:pPr>
        <w:pStyle w:val="yHeading3"/>
      </w:pPr>
      <w:bookmarkStart w:id="308" w:name="_Toc390772152"/>
      <w:bookmarkStart w:id="309" w:name="_Toc391907019"/>
      <w:bookmarkStart w:id="310" w:name="_Toc426119880"/>
      <w:r>
        <w:rPr>
          <w:rStyle w:val="CharSDivNo"/>
        </w:rPr>
        <w:t>Division 8</w:t>
      </w:r>
      <w:r>
        <w:t> — </w:t>
      </w:r>
      <w:r>
        <w:rPr>
          <w:rStyle w:val="CharSDivText"/>
        </w:rPr>
        <w:t>Computation of combined charges for country</w:t>
      </w:r>
      <w:bookmarkEnd w:id="308"/>
      <w:bookmarkEnd w:id="309"/>
      <w:bookmarkEnd w:id="310"/>
    </w:p>
    <w:p>
      <w:pPr>
        <w:pStyle w:val="yFootnoteheading"/>
        <w:spacing w:after="120"/>
      </w:pPr>
      <w:r>
        <w:tab/>
        <w:t>[Heading inserted in Gazette 19 Jun 2013 p. 2396.]</w:t>
      </w:r>
    </w:p>
    <w:p>
      <w:pPr>
        <w:pStyle w:val="yHeading5"/>
      </w:pPr>
      <w:bookmarkStart w:id="311" w:name="_Toc391907020"/>
      <w:bookmarkStart w:id="312" w:name="_Toc426119881"/>
      <w:r>
        <w:rPr>
          <w:rStyle w:val="CharSClsNo"/>
        </w:rPr>
        <w:t>36</w:t>
      </w:r>
      <w:r>
        <w:t>.</w:t>
      </w:r>
      <w:r>
        <w:tab/>
        <w:t>Formula for annual charge</w:t>
      </w:r>
      <w:bookmarkEnd w:id="311"/>
      <w:bookmarkEnd w:id="312"/>
    </w:p>
    <w:p>
      <w:pPr>
        <w:pStyle w:val="yMiscellaneousBody"/>
        <w:tabs>
          <w:tab w:val="left" w:pos="879"/>
        </w:tabs>
        <w:ind w:left="879" w:hanging="879"/>
      </w:pPr>
      <w:r>
        <w:tab/>
        <w:t>For the purposes of Division 7, the annual charge (</w:t>
      </w:r>
      <w:r>
        <w:rPr>
          <w:b/>
          <w:i/>
        </w:rPr>
        <w:t>P</w:t>
      </w:r>
      <w:r>
        <w:t xml:space="preserve">) is calculated according to the following formula — </w:t>
      </w:r>
    </w:p>
    <w:p>
      <w:pPr>
        <w:pStyle w:val="yMiscellaneousBody"/>
        <w:tabs>
          <w:tab w:val="left" w:pos="879"/>
        </w:tabs>
        <w:ind w:left="879" w:hanging="879"/>
      </w:pP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MiscellaneousBody"/>
        <w:tabs>
          <w:tab w:val="left" w:pos="879"/>
        </w:tabs>
        <w:ind w:left="879" w:hanging="879"/>
        <w:rPr>
          <w:b/>
        </w:rPr>
      </w:pPr>
      <w:r>
        <w:tab/>
      </w:r>
      <w:r>
        <w:rPr>
          <w:b/>
        </w:rPr>
        <w:t>X</w:t>
      </w:r>
    </w:p>
    <w:p>
      <w:pPr>
        <w:pStyle w:val="yMiscellaneousBody"/>
        <w:tabs>
          <w:tab w:val="left" w:pos="879"/>
        </w:tabs>
        <w:ind w:left="879" w:hanging="879"/>
      </w:pPr>
      <w:r>
        <w:tab/>
        <w:t xml:space="preserve">or if </w:t>
      </w:r>
      <w:r>
        <w:rPr>
          <w:b/>
        </w:rPr>
        <w:t>A</w:t>
      </w:r>
      <w:r>
        <w:t xml:space="preserve"> &gt; (</w:t>
      </w:r>
      <w:r>
        <w:rPr>
          <w:b/>
        </w:rPr>
        <w:t>C</w:t>
      </w:r>
      <w:r>
        <w:t xml:space="preserve"> + </w:t>
      </w:r>
      <w:r>
        <w:rPr>
          <w:b/>
        </w:rPr>
        <w:t>D</w:t>
      </w:r>
      <w:r>
        <w:t xml:space="preserve">), then — </w:t>
      </w:r>
    </w:p>
    <w:p>
      <w:pPr>
        <w:pStyle w:val="yMiscellaneousBody"/>
        <w:tabs>
          <w:tab w:val="left" w:pos="879"/>
        </w:tabs>
        <w:ind w:left="879" w:hanging="879"/>
      </w:pPr>
      <w:r>
        <w:tab/>
      </w:r>
      <w:r>
        <w:rPr>
          <w:b/>
        </w:rPr>
        <w:t>A</w:t>
      </w:r>
      <w:r>
        <w:t xml:space="preserve"> – [{</w:t>
      </w:r>
      <w:r>
        <w:rPr>
          <w:b/>
        </w:rPr>
        <w:t>A</w:t>
      </w:r>
      <w:r>
        <w:t xml:space="preserve"> – (</w:t>
      </w:r>
      <w:r>
        <w:rPr>
          <w:b/>
        </w:rPr>
        <w:t>C</w:t>
      </w:r>
      <w:r>
        <w:t xml:space="preserve"> + </w:t>
      </w:r>
      <w:r>
        <w:rPr>
          <w:b/>
        </w:rPr>
        <w:t>D</w:t>
      </w:r>
      <w:r>
        <w:t xml:space="preserve">)} / </w:t>
      </w:r>
      <w:r>
        <w:rPr>
          <w:b/>
        </w:rPr>
        <w:t>E</w:t>
      </w:r>
      <w:r>
        <w:t>]</w:t>
      </w:r>
    </w:p>
    <w:p>
      <w:pPr>
        <w:pStyle w:val="yMiscellaneousBody"/>
        <w:tabs>
          <w:tab w:val="left" w:pos="879"/>
        </w:tabs>
        <w:ind w:left="879" w:hanging="879"/>
      </w:pPr>
      <w:r>
        <w:tab/>
        <w:t xml:space="preserve">where — </w:t>
      </w:r>
    </w:p>
    <w:p>
      <w:pPr>
        <w:pStyle w:val="yMiscellaneousBody"/>
        <w:tabs>
          <w:tab w:val="left" w:pos="993"/>
          <w:tab w:val="left" w:pos="1560"/>
        </w:tabs>
        <w:ind w:left="1560" w:hanging="1560"/>
      </w:pPr>
      <w:r>
        <w:tab/>
      </w:r>
      <w:r>
        <w:rPr>
          <w:b/>
        </w:rPr>
        <w:t>A</w:t>
      </w:r>
      <w:r>
        <w:t xml:space="preserve"> =</w:t>
      </w:r>
      <w:r>
        <w:tab/>
        <w:t>the equivalent amount payable in the 2012/2013 year;</w:t>
      </w:r>
    </w:p>
    <w:p>
      <w:pPr>
        <w:pStyle w:val="yMiscellaneousBody"/>
        <w:tabs>
          <w:tab w:val="left" w:pos="993"/>
          <w:tab w:val="left" w:pos="1560"/>
        </w:tabs>
        <w:ind w:left="1560" w:hanging="1560"/>
      </w:pPr>
      <w:r>
        <w:tab/>
      </w:r>
      <w:r>
        <w:rPr>
          <w:b/>
        </w:rPr>
        <w:t>C</w:t>
      </w:r>
      <w:r>
        <w:t xml:space="preserve"> =</w:t>
      </w:r>
      <w:r>
        <w:tab/>
        <w:t>the charge payable for the relevant number of major fixtures for the 2013/2014 year as set out in the Table;</w:t>
      </w:r>
    </w:p>
    <w:p>
      <w:pPr>
        <w:pStyle w:val="yMiscellaneousBody"/>
        <w:tabs>
          <w:tab w:val="left" w:pos="993"/>
          <w:tab w:val="left" w:pos="1560"/>
        </w:tabs>
        <w:ind w:left="1560" w:hanging="1560"/>
      </w:pPr>
      <w:r>
        <w:tab/>
      </w:r>
      <w:r>
        <w:rPr>
          <w:b/>
        </w:rPr>
        <w:t>D</w:t>
      </w:r>
      <w:r>
        <w:t xml:space="preserve"> =</w:t>
      </w:r>
      <w:r>
        <w:tab/>
        <w:t>the ultimate discharge charge;</w:t>
      </w:r>
    </w:p>
    <w:p>
      <w:pPr>
        <w:pStyle w:val="yMiscellaneousBody"/>
        <w:tabs>
          <w:tab w:val="left" w:pos="993"/>
          <w:tab w:val="left" w:pos="1560"/>
        </w:tabs>
        <w:ind w:left="1560" w:hanging="1560"/>
      </w:pPr>
      <w:r>
        <w:tab/>
      </w:r>
      <w:r>
        <w:rPr>
          <w:b/>
        </w:rPr>
        <w:t>E</w:t>
      </w:r>
      <w:r>
        <w:t xml:space="preserve"> =</w:t>
      </w:r>
      <w:r>
        <w:tab/>
        <w:t>1;</w:t>
      </w:r>
    </w:p>
    <w:p>
      <w:pPr>
        <w:pStyle w:val="yMiscellaneousBody"/>
        <w:tabs>
          <w:tab w:val="left" w:pos="993"/>
          <w:tab w:val="left" w:pos="1560"/>
        </w:tabs>
        <w:ind w:left="1560" w:hanging="1560"/>
      </w:pPr>
      <w:r>
        <w:tab/>
      </w:r>
      <w:r>
        <w:rPr>
          <w:b/>
        </w:rPr>
        <w:t>X</w:t>
      </w:r>
      <w:r>
        <w:t xml:space="preserve"> =</w:t>
      </w:r>
      <w:r>
        <w:tab/>
        <w:t>the amount specified in relation to the 2013/2014 year for the relevant number of major fixtures as set out in the Table.</w:t>
      </w:r>
    </w:p>
    <w:p>
      <w:pPr>
        <w:pStyle w:val="yTHeadingNAm"/>
      </w:pPr>
      <w:r>
        <w:t>Table of major fixture</w:t>
      </w:r>
      <w:r>
        <w:noBreakHyphen/>
        <w:t>based minimum charges</w:t>
      </w:r>
      <w:r>
        <w:br/>
        <w:t>(</w:t>
      </w:r>
      <w:r>
        <w:rPr>
          <w:iCs/>
        </w:rPr>
        <w:t>per fixture</w:t>
      </w:r>
      <w:r>
        <w:t>)</w:t>
      </w:r>
    </w:p>
    <w:tbl>
      <w:tblPr>
        <w:tblW w:w="0" w:type="auto"/>
        <w:tblInd w:w="910" w:type="dxa"/>
        <w:tblLayout w:type="fixed"/>
        <w:tblCellMar>
          <w:left w:w="28" w:type="dxa"/>
          <w:right w:w="28" w:type="dxa"/>
        </w:tblCellMar>
        <w:tblLook w:val="0000" w:firstRow="0" w:lastRow="0" w:firstColumn="0" w:lastColumn="0" w:noHBand="0" w:noVBand="0"/>
      </w:tblPr>
      <w:tblGrid>
        <w:gridCol w:w="2961"/>
        <w:gridCol w:w="2961"/>
      </w:tblGrid>
      <w:tr>
        <w:trPr>
          <w:cantSplit/>
          <w:tblHeader/>
        </w:trPr>
        <w:tc>
          <w:tcPr>
            <w:tcW w:w="2961" w:type="dxa"/>
            <w:tcBorders>
              <w:top w:val="single" w:sz="4" w:space="0" w:color="auto"/>
              <w:bottom w:val="single" w:sz="4" w:space="0" w:color="auto"/>
            </w:tcBorders>
          </w:tcPr>
          <w:p>
            <w:pPr>
              <w:pStyle w:val="yTableNAm"/>
              <w:jc w:val="center"/>
            </w:pPr>
            <w:r>
              <w:rPr>
                <w:b/>
              </w:rPr>
              <w:t>No. of fixtures</w:t>
            </w:r>
          </w:p>
        </w:tc>
        <w:tc>
          <w:tcPr>
            <w:tcW w:w="2961" w:type="dxa"/>
            <w:tcBorders>
              <w:top w:val="single" w:sz="4" w:space="0" w:color="auto"/>
              <w:bottom w:val="single" w:sz="4" w:space="0" w:color="auto"/>
            </w:tcBorders>
          </w:tcPr>
          <w:p>
            <w:pPr>
              <w:pStyle w:val="yTableNAm"/>
              <w:jc w:val="center"/>
            </w:pPr>
            <w:r>
              <w:rPr>
                <w:b/>
              </w:rPr>
              <w:t>Charges</w:t>
            </w:r>
            <w:r>
              <w:rPr>
                <w:b/>
              </w:rPr>
              <w:br/>
              <w:t>$</w:t>
            </w:r>
          </w:p>
        </w:tc>
      </w:tr>
      <w:tr>
        <w:trPr>
          <w:cantSplit/>
        </w:trPr>
        <w:tc>
          <w:tcPr>
            <w:tcW w:w="2961" w:type="dxa"/>
          </w:tcPr>
          <w:p>
            <w:pPr>
              <w:pStyle w:val="yTableNAm"/>
              <w:jc w:val="center"/>
            </w:pPr>
            <w:r>
              <w:t>1</w:t>
            </w:r>
          </w:p>
        </w:tc>
        <w:tc>
          <w:tcPr>
            <w:tcW w:w="2961" w:type="dxa"/>
            <w:vAlign w:val="bottom"/>
          </w:tcPr>
          <w:p>
            <w:pPr>
              <w:pStyle w:val="yTableNAm"/>
              <w:jc w:val="center"/>
              <w:rPr>
                <w:rFonts w:ascii="Arial" w:hAnsi="Arial"/>
                <w:b/>
              </w:rPr>
            </w:pPr>
            <w:r>
              <w:t>772.10</w:t>
            </w:r>
          </w:p>
        </w:tc>
      </w:tr>
      <w:tr>
        <w:trPr>
          <w:cantSplit/>
        </w:trPr>
        <w:tc>
          <w:tcPr>
            <w:tcW w:w="2961" w:type="dxa"/>
          </w:tcPr>
          <w:p>
            <w:pPr>
              <w:pStyle w:val="yTableNAm"/>
              <w:jc w:val="center"/>
              <w:rPr>
                <w:rFonts w:ascii="Arial" w:hAnsi="Arial"/>
                <w:b/>
              </w:rPr>
            </w:pPr>
            <w:r>
              <w:t>2</w:t>
            </w:r>
          </w:p>
        </w:tc>
        <w:tc>
          <w:tcPr>
            <w:tcW w:w="2961" w:type="dxa"/>
            <w:vAlign w:val="bottom"/>
          </w:tcPr>
          <w:p>
            <w:pPr>
              <w:pStyle w:val="yTableNAm"/>
              <w:jc w:val="center"/>
              <w:rPr>
                <w:rFonts w:ascii="Arial" w:hAnsi="Arial"/>
                <w:b/>
              </w:rPr>
            </w:pPr>
            <w:r>
              <w:t>350.51</w:t>
            </w:r>
          </w:p>
        </w:tc>
      </w:tr>
      <w:tr>
        <w:trPr>
          <w:cantSplit/>
        </w:trPr>
        <w:tc>
          <w:tcPr>
            <w:tcW w:w="2961" w:type="dxa"/>
          </w:tcPr>
          <w:p>
            <w:pPr>
              <w:pStyle w:val="yTableNAm"/>
              <w:jc w:val="center"/>
              <w:rPr>
                <w:rFonts w:ascii="Arial" w:hAnsi="Arial"/>
                <w:b/>
              </w:rPr>
            </w:pPr>
            <w:r>
              <w:t>3</w:t>
            </w:r>
          </w:p>
        </w:tc>
        <w:tc>
          <w:tcPr>
            <w:tcW w:w="2961" w:type="dxa"/>
            <w:vAlign w:val="bottom"/>
          </w:tcPr>
          <w:p>
            <w:pPr>
              <w:pStyle w:val="yTableNAm"/>
              <w:jc w:val="center"/>
              <w:rPr>
                <w:rFonts w:ascii="Arial" w:hAnsi="Arial"/>
                <w:b/>
              </w:rPr>
            </w:pPr>
            <w:r>
              <w:t>441.38</w:t>
            </w:r>
          </w:p>
        </w:tc>
      </w:tr>
      <w:tr>
        <w:trPr>
          <w:cantSplit/>
        </w:trPr>
        <w:tc>
          <w:tcPr>
            <w:tcW w:w="2961" w:type="dxa"/>
            <w:tcBorders>
              <w:bottom w:val="single" w:sz="4" w:space="0" w:color="auto"/>
            </w:tcBorders>
          </w:tcPr>
          <w:p>
            <w:pPr>
              <w:pStyle w:val="yTableNAm"/>
              <w:jc w:val="center"/>
              <w:rPr>
                <w:rFonts w:ascii="Arial" w:hAnsi="Arial"/>
                <w:b/>
              </w:rPr>
            </w:pPr>
            <w:r>
              <w:t>4+</w:t>
            </w:r>
          </w:p>
        </w:tc>
        <w:tc>
          <w:tcPr>
            <w:tcW w:w="2961" w:type="dxa"/>
            <w:tcBorders>
              <w:bottom w:val="single" w:sz="4" w:space="0" w:color="auto"/>
            </w:tcBorders>
            <w:vAlign w:val="bottom"/>
          </w:tcPr>
          <w:p>
            <w:pPr>
              <w:pStyle w:val="yTableNAm"/>
              <w:jc w:val="center"/>
              <w:rPr>
                <w:rFonts w:ascii="Arial" w:hAnsi="Arial"/>
                <w:b/>
              </w:rPr>
            </w:pPr>
            <w:r>
              <w:t>479.97</w:t>
            </w:r>
          </w:p>
        </w:tc>
      </w:tr>
    </w:tbl>
    <w:p>
      <w:pPr>
        <w:pStyle w:val="yHeading5"/>
      </w:pPr>
      <w:bookmarkStart w:id="313" w:name="_Toc391907021"/>
      <w:bookmarkStart w:id="314" w:name="_Toc426119882"/>
      <w:r>
        <w:rPr>
          <w:rStyle w:val="CharSClsNo"/>
        </w:rPr>
        <w:t>37</w:t>
      </w:r>
      <w:r>
        <w:t>.</w:t>
      </w:r>
      <w:r>
        <w:tab/>
        <w:t>Formula for quantity charge</w:t>
      </w:r>
      <w:bookmarkEnd w:id="313"/>
      <w:bookmarkEnd w:id="314"/>
    </w:p>
    <w:p>
      <w:pPr>
        <w:pStyle w:val="yMiscellaneousBody"/>
        <w:tabs>
          <w:tab w:val="left" w:pos="879"/>
        </w:tabs>
        <w:ind w:left="879" w:hanging="879"/>
      </w:pPr>
      <w:r>
        <w:tab/>
        <w:t>For the purposes of Division 7, the quantity charge (</w:t>
      </w:r>
      <w:r>
        <w:rPr>
          <w:b/>
          <w:i/>
        </w:rPr>
        <w:t>Q</w:t>
      </w:r>
      <w:r>
        <w:t xml:space="preserve">) is calculated in accordance with the following formula — </w:t>
      </w:r>
    </w:p>
    <w:p>
      <w:pPr>
        <w:pStyle w:val="yMiscellaneousBody"/>
        <w:tabs>
          <w:tab w:val="left" w:pos="879"/>
        </w:tabs>
        <w:ind w:left="879" w:hanging="879"/>
      </w:pP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MiscellaneousBody"/>
        <w:tabs>
          <w:tab w:val="left" w:pos="879"/>
        </w:tabs>
        <w:ind w:left="879" w:hanging="879"/>
      </w:pPr>
      <w:r>
        <w:tab/>
        <w:t>nil</w:t>
      </w:r>
    </w:p>
    <w:p>
      <w:pPr>
        <w:pStyle w:val="yMiscellaneousBody"/>
        <w:tabs>
          <w:tab w:val="left" w:pos="879"/>
        </w:tabs>
        <w:ind w:left="879" w:hanging="879"/>
      </w:pPr>
      <w:r>
        <w:tab/>
        <w:t>or if (</w:t>
      </w:r>
      <w:r>
        <w:rPr>
          <w:b/>
        </w:rPr>
        <w:t>F</w:t>
      </w:r>
      <w:r>
        <w:t xml:space="preserve"> </w:t>
      </w:r>
      <w:r>
        <w:sym w:font="Symbol" w:char="F0B4"/>
      </w:r>
      <w:r>
        <w:t xml:space="preserve"> </w:t>
      </w:r>
      <w:r>
        <w:rPr>
          <w:b/>
        </w:rPr>
        <w:t>G</w:t>
      </w:r>
      <w:r>
        <w:t xml:space="preserve">) &gt; </w:t>
      </w:r>
      <w:r>
        <w:rPr>
          <w:b/>
        </w:rPr>
        <w:t>H</w:t>
      </w:r>
      <w:r>
        <w:t xml:space="preserve">, then — </w:t>
      </w:r>
    </w:p>
    <w:p>
      <w:pPr>
        <w:pStyle w:val="yMiscellaneousBody"/>
        <w:tabs>
          <w:tab w:val="left" w:pos="879"/>
        </w:tabs>
        <w:ind w:left="879" w:hanging="879"/>
      </w:pP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MiscellaneousBody"/>
        <w:tabs>
          <w:tab w:val="left" w:pos="879"/>
        </w:tabs>
        <w:ind w:left="879" w:hanging="879"/>
      </w:pPr>
      <w:r>
        <w:tab/>
        <w:t xml:space="preserve">where — </w:t>
      </w:r>
    </w:p>
    <w:p>
      <w:pPr>
        <w:pStyle w:val="yMiscellaneousBody"/>
        <w:tabs>
          <w:tab w:val="left" w:pos="993"/>
          <w:tab w:val="left" w:pos="1560"/>
        </w:tabs>
        <w:ind w:left="1560" w:hanging="1560"/>
      </w:pPr>
      <w:r>
        <w:tab/>
      </w:r>
      <w:r>
        <w:rPr>
          <w:b/>
        </w:rPr>
        <w:t>F</w:t>
      </w:r>
      <w:r>
        <w:t xml:space="preserve"> =</w:t>
      </w:r>
      <w:r>
        <w:tab/>
        <w:t>the volume of water delivered to the property in the 2013/2014 year;</w:t>
      </w:r>
    </w:p>
    <w:p>
      <w:pPr>
        <w:pStyle w:val="yMiscellaneousBody"/>
        <w:tabs>
          <w:tab w:val="left" w:pos="993"/>
          <w:tab w:val="left" w:pos="1560"/>
        </w:tabs>
        <w:ind w:left="1560" w:hanging="1560"/>
      </w:pPr>
      <w:r>
        <w:tab/>
      </w:r>
      <w:r>
        <w:rPr>
          <w:b/>
        </w:rPr>
        <w:t>G</w:t>
      </w:r>
      <w:r>
        <w:t xml:space="preserve"> =</w:t>
      </w:r>
      <w:r>
        <w:tab/>
        <w:t>the discharge factor set for the property for the 2013/2014 year;</w:t>
      </w:r>
    </w:p>
    <w:p>
      <w:pPr>
        <w:pStyle w:val="yMiscellaneousBody"/>
        <w:tabs>
          <w:tab w:val="left" w:pos="993"/>
          <w:tab w:val="left" w:pos="1560"/>
        </w:tabs>
        <w:ind w:left="1560" w:hanging="1560"/>
      </w:pPr>
      <w:r>
        <w:tab/>
      </w:r>
      <w:r>
        <w:rPr>
          <w:b/>
        </w:rPr>
        <w:t>H</w:t>
      </w:r>
      <w:r>
        <w:t xml:space="preserve"> =</w:t>
      </w:r>
      <w:r>
        <w:tab/>
        <w:t>the discharge allowance for the 2013/2014 year calculated in accordance with item 38;</w:t>
      </w:r>
    </w:p>
    <w:p>
      <w:pPr>
        <w:pStyle w:val="yMiscellaneousBody"/>
        <w:tabs>
          <w:tab w:val="left" w:pos="993"/>
          <w:tab w:val="left" w:pos="1560"/>
        </w:tabs>
        <w:ind w:left="1560" w:hanging="1560"/>
      </w:pPr>
      <w:r>
        <w:tab/>
      </w:r>
      <w:r>
        <w:rPr>
          <w:b/>
        </w:rPr>
        <w:t>I</w:t>
      </w:r>
      <w:r>
        <w:t xml:space="preserve"> =</w:t>
      </w:r>
      <w:r>
        <w:tab/>
        <w:t>2.8376,</w:t>
      </w:r>
    </w:p>
    <w:p>
      <w:pPr>
        <w:pStyle w:val="ySubsection"/>
      </w:pPr>
      <w:r>
        <w:tab/>
      </w:r>
      <w:r>
        <w:tab/>
        <w:t>and where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pPr>
      <w:bookmarkStart w:id="315" w:name="_Toc391907022"/>
      <w:bookmarkStart w:id="316" w:name="_Toc426119883"/>
      <w:r>
        <w:rPr>
          <w:rStyle w:val="CharSClsNo"/>
        </w:rPr>
        <w:t>38</w:t>
      </w:r>
      <w:r>
        <w:t>.</w:t>
      </w:r>
      <w:r>
        <w:tab/>
        <w:t>Discharge allowance</w:t>
      </w:r>
      <w:bookmarkEnd w:id="315"/>
      <w:bookmarkEnd w:id="316"/>
    </w:p>
    <w:p>
      <w:pPr>
        <w:pStyle w:val="ySubsection"/>
        <w:keepNext/>
      </w:pPr>
      <w:r>
        <w:tab/>
      </w:r>
      <w:r>
        <w:tab/>
        <w:t xml:space="preserve">For the purposes of item 37, the discharge allowance is — </w:t>
      </w:r>
    </w:p>
    <w:p>
      <w:pPr>
        <w:pStyle w:val="yMiscellaneousBody"/>
        <w:tabs>
          <w:tab w:val="left" w:pos="993"/>
          <w:tab w:val="left" w:pos="1560"/>
        </w:tabs>
        <w:ind w:left="1560" w:hanging="1560"/>
      </w:pPr>
      <w:r>
        <w:tab/>
        <w:t>(a)</w:t>
      </w:r>
      <w:r>
        <w:tab/>
        <w:t xml:space="preserve">for land to which item 35 applies that is not mentioned in paragraph (d), an amount of water in kilolitres calculated in accordance with the following formula — </w:t>
      </w:r>
    </w:p>
    <w:p>
      <w:pPr>
        <w:pStyle w:val="yMiscellaneousBody"/>
        <w:tabs>
          <w:tab w:val="left" w:pos="1560"/>
        </w:tabs>
        <w:ind w:left="1560" w:hanging="1560"/>
      </w:pPr>
      <w:r>
        <w:tab/>
        <w:t xml:space="preserve">If </w:t>
      </w:r>
      <w:r>
        <w:rPr>
          <w:b/>
        </w:rPr>
        <w:t>X</w:t>
      </w:r>
      <w:r>
        <w:t xml:space="preserve"> </w:t>
      </w:r>
      <w:r>
        <w:sym w:font="Symbol" w:char="F0A3"/>
      </w:r>
      <w:r>
        <w:t xml:space="preserve"> </w:t>
      </w:r>
      <w:r>
        <w:rPr>
          <w:b/>
        </w:rPr>
        <w:t>C</w:t>
      </w:r>
      <w:r>
        <w:t xml:space="preserve">, then — </w:t>
      </w:r>
    </w:p>
    <w:p>
      <w:pPr>
        <w:pStyle w:val="yMiscellaneousBody"/>
        <w:tabs>
          <w:tab w:val="left" w:pos="1560"/>
        </w:tabs>
        <w:ind w:left="1560" w:hanging="1560"/>
        <w:rPr>
          <w:b/>
        </w:rPr>
      </w:pPr>
      <w:r>
        <w:tab/>
      </w:r>
      <w:r>
        <w:rPr>
          <w:b/>
        </w:rPr>
        <w:t>L</w:t>
      </w:r>
    </w:p>
    <w:p>
      <w:pPr>
        <w:pStyle w:val="yMiscellaneousBody"/>
        <w:tabs>
          <w:tab w:val="left" w:pos="1560"/>
        </w:tabs>
        <w:ind w:left="1560" w:hanging="1560"/>
      </w:pPr>
      <w:r>
        <w:tab/>
        <w:t xml:space="preserve">or if </w:t>
      </w:r>
      <w:r>
        <w:rPr>
          <w:b/>
        </w:rPr>
        <w:t>X</w:t>
      </w:r>
      <w:r>
        <w:t xml:space="preserve"> &gt; </w:t>
      </w:r>
      <w:r>
        <w:rPr>
          <w:b/>
        </w:rPr>
        <w:t>C</w:t>
      </w:r>
      <w:r>
        <w:t xml:space="preserve">, then — </w:t>
      </w:r>
    </w:p>
    <w:p>
      <w:pPr>
        <w:pStyle w:val="yMiscellaneousBody"/>
        <w:tabs>
          <w:tab w:val="left" w:pos="1560"/>
        </w:tabs>
        <w:ind w:left="1560" w:hanging="1560"/>
      </w:pPr>
      <w:r>
        <w:tab/>
      </w:r>
      <w:r>
        <w:rPr>
          <w:b/>
        </w:rPr>
        <w:t>L</w:t>
      </w:r>
      <w:r>
        <w:t xml:space="preserve"> + [(</w:t>
      </w:r>
      <w:r>
        <w:rPr>
          <w:b/>
        </w:rPr>
        <w:t>X</w:t>
      </w:r>
      <w:r>
        <w:t xml:space="preserve"> – </w:t>
      </w:r>
      <w:r>
        <w:rPr>
          <w:b/>
        </w:rPr>
        <w:t>C</w:t>
      </w:r>
      <w:r>
        <w:t xml:space="preserve">) / </w:t>
      </w:r>
      <w:r>
        <w:rPr>
          <w:b/>
        </w:rPr>
        <w:t>K</w:t>
      </w:r>
      <w:r>
        <w:t>]</w:t>
      </w:r>
    </w:p>
    <w:p>
      <w:pPr>
        <w:pStyle w:val="yMiscellaneousBody"/>
        <w:tabs>
          <w:tab w:val="left" w:pos="1560"/>
        </w:tabs>
        <w:ind w:left="1560" w:hanging="1560"/>
      </w:pPr>
      <w:r>
        <w:tab/>
        <w:t xml:space="preserve">where — </w:t>
      </w:r>
    </w:p>
    <w:p>
      <w:pPr>
        <w:pStyle w:val="yMiscellaneousBody"/>
        <w:tabs>
          <w:tab w:val="left" w:pos="1701"/>
          <w:tab w:val="left" w:pos="2268"/>
        </w:tabs>
        <w:ind w:left="2268" w:hanging="2268"/>
      </w:pPr>
      <w:r>
        <w:tab/>
      </w:r>
      <w:r>
        <w:rPr>
          <w:b/>
        </w:rPr>
        <w:t>X</w:t>
      </w:r>
      <w:r>
        <w:t xml:space="preserve"> =</w:t>
      </w:r>
      <w:r>
        <w:tab/>
        <w:t>the annual charge for the 2013/2014 year calculated in accordance with the formula in item 36;</w:t>
      </w:r>
    </w:p>
    <w:p>
      <w:pPr>
        <w:pStyle w:val="yMiscellaneousBody"/>
        <w:tabs>
          <w:tab w:val="left" w:pos="1701"/>
          <w:tab w:val="left" w:pos="2268"/>
        </w:tabs>
        <w:ind w:left="2268" w:hanging="2268"/>
      </w:pPr>
      <w:r>
        <w:tab/>
      </w:r>
      <w:r>
        <w:rPr>
          <w:b/>
        </w:rPr>
        <w:t>L</w:t>
      </w:r>
      <w:r>
        <w:t xml:space="preserve"> =</w:t>
      </w:r>
      <w:r>
        <w:tab/>
        <w:t>200;</w:t>
      </w:r>
    </w:p>
    <w:p>
      <w:pPr>
        <w:pStyle w:val="yMiscellaneousBody"/>
        <w:tabs>
          <w:tab w:val="left" w:pos="1701"/>
          <w:tab w:val="left" w:pos="2268"/>
        </w:tabs>
        <w:ind w:left="2268" w:hanging="2268"/>
      </w:pPr>
      <w:r>
        <w:tab/>
      </w:r>
      <w:r>
        <w:rPr>
          <w:b/>
        </w:rPr>
        <w:t>C</w:t>
      </w:r>
      <w:r>
        <w:t xml:space="preserve"> =</w:t>
      </w:r>
      <w:r>
        <w:tab/>
        <w:t xml:space="preserve">the charge payable for the relevant number of major fixtures for the 2013/2014 year as set out in the Table to item 36; </w:t>
      </w:r>
    </w:p>
    <w:p>
      <w:pPr>
        <w:pStyle w:val="yMiscellaneousBody"/>
        <w:tabs>
          <w:tab w:val="left" w:pos="1701"/>
          <w:tab w:val="left" w:pos="2268"/>
        </w:tabs>
        <w:ind w:left="2268" w:hanging="2268"/>
      </w:pPr>
      <w:r>
        <w:tab/>
      </w:r>
      <w:r>
        <w:rPr>
          <w:b/>
        </w:rPr>
        <w:t>K</w:t>
      </w:r>
      <w:r>
        <w:t xml:space="preserve"> =</w:t>
      </w:r>
      <w:r>
        <w:tab/>
        <w:t>2.8376;</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(b)</w:t>
      </w:r>
      <w:r>
        <w:tab/>
        <w:t>for a caravan park referred to in item 32, an amount of water in kilolitres calculated in accordance with the following formula — </w:t>
      </w:r>
    </w:p>
    <w:p>
      <w:pPr>
        <w:pStyle w:val="yMiscellaneousBody"/>
        <w:tabs>
          <w:tab w:val="left" w:pos="1560"/>
        </w:tabs>
        <w:ind w:left="1560" w:hanging="1560"/>
      </w:pPr>
      <w:r>
        <w:tab/>
      </w:r>
      <w:r>
        <w:rPr>
          <w:b/>
        </w:rPr>
        <w:t>L</w:t>
      </w:r>
      <w:r>
        <w:t xml:space="preserve"> + </w:t>
      </w:r>
      <w:r>
        <w:rPr>
          <w:b/>
        </w:rPr>
        <w:t>M</w:t>
      </w:r>
    </w:p>
    <w:p>
      <w:pPr>
        <w:pStyle w:val="yMiscellaneousBody"/>
        <w:tabs>
          <w:tab w:val="left" w:pos="1560"/>
        </w:tabs>
        <w:ind w:left="1560" w:hanging="1560"/>
      </w:pPr>
      <w:r>
        <w:tab/>
        <w:t xml:space="preserve">where — </w:t>
      </w:r>
    </w:p>
    <w:p>
      <w:pPr>
        <w:pStyle w:val="yMiscellaneousBody"/>
        <w:tabs>
          <w:tab w:val="left" w:pos="1701"/>
          <w:tab w:val="left" w:pos="2268"/>
        </w:tabs>
        <w:ind w:left="2268" w:hanging="2268"/>
      </w:pPr>
      <w:r>
        <w:tab/>
      </w:r>
      <w:r>
        <w:rPr>
          <w:b/>
        </w:rPr>
        <w:t>L</w:t>
      </w:r>
      <w:r>
        <w:t xml:space="preserve"> =</w:t>
      </w:r>
      <w:r>
        <w:tab/>
        <w:t>200;</w:t>
      </w:r>
    </w:p>
    <w:p>
      <w:pPr>
        <w:pStyle w:val="yMiscellaneousBody"/>
        <w:tabs>
          <w:tab w:val="left" w:pos="1701"/>
          <w:tab w:val="left" w:pos="2268"/>
        </w:tabs>
        <w:ind w:left="2268" w:hanging="2268"/>
      </w:pPr>
      <w:r>
        <w:tab/>
      </w:r>
      <w:r>
        <w:rPr>
          <w:b/>
        </w:rPr>
        <w:t>M</w:t>
      </w:r>
      <w:r>
        <w:t xml:space="preserve"> =</w:t>
      </w:r>
      <w:r>
        <w:tab/>
        <w:t>75 kL of water for each long</w:t>
      </w:r>
      <w:r>
        <w:noBreakHyphen/>
        <w:t>term residential caravan bay;</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(c)</w:t>
      </w:r>
      <w:r>
        <w:tab/>
        <w:t>for a nursing home referred to in item 33, 75 kL of water per bed; and</w:t>
      </w:r>
    </w:p>
    <w:p>
      <w:pPr>
        <w:pStyle w:val="yMiscellaneousBody"/>
        <w:tabs>
          <w:tab w:val="left" w:pos="993"/>
          <w:tab w:val="left" w:pos="1560"/>
        </w:tabs>
        <w:ind w:left="1560" w:hanging="1560"/>
      </w:pPr>
      <w:r>
        <w:tab/>
        <w:t>(d)</w:t>
      </w:r>
      <w:r>
        <w:tab/>
        <w:t>for properties served through a common metered service, 200 kL of water for each property; and</w:t>
      </w:r>
    </w:p>
    <w:p>
      <w:pPr>
        <w:pStyle w:val="yMiscellaneousBody"/>
        <w:tabs>
          <w:tab w:val="left" w:pos="993"/>
          <w:tab w:val="left" w:pos="1560"/>
        </w:tabs>
        <w:ind w:left="1560" w:hanging="1560"/>
      </w:pPr>
      <w:r>
        <w:tab/>
        <w:t>(e)</w:t>
      </w:r>
      <w:r>
        <w:tab/>
        <w:t>for a non</w:t>
      </w:r>
      <w:r>
        <w:noBreakHyphen/>
        <w:t>commercial Government property, or a property held by a Government trading organisation, 200 kL of water.</w:t>
      </w:r>
    </w:p>
    <w:p>
      <w:pPr>
        <w:pStyle w:val="yFootnotesection"/>
      </w:pPr>
      <w:r>
        <w:tab/>
        <w:t>[Division 8 inserted in Gazette 19 Jun 2013 p. 2396-8.]</w:t>
      </w:r>
    </w:p>
    <w:p>
      <w:pPr>
        <w:pStyle w:val="yScheduleHeading"/>
        <w:rPr>
          <w:sz w:val="26"/>
        </w:rPr>
      </w:pPr>
      <w:bookmarkStart w:id="317" w:name="_Toc390772156"/>
      <w:bookmarkStart w:id="318" w:name="_Toc391907023"/>
      <w:bookmarkStart w:id="319" w:name="_Toc426119884"/>
      <w:r>
        <w:rPr>
          <w:rStyle w:val="CharSchNo"/>
        </w:rPr>
        <w:t>Schedule 4</w:t>
      </w:r>
      <w:r>
        <w:rPr>
          <w:sz w:val="26"/>
        </w:rPr>
        <w:t> — </w:t>
      </w:r>
      <w:r>
        <w:rPr>
          <w:rStyle w:val="CharSchText"/>
        </w:rPr>
        <w:t>Charges for drainage for 2013/2014</w:t>
      </w:r>
      <w:bookmarkEnd w:id="317"/>
      <w:bookmarkEnd w:id="318"/>
      <w:bookmarkEnd w:id="319"/>
    </w:p>
    <w:p>
      <w:pPr>
        <w:pStyle w:val="yShoulderClause"/>
      </w:pPr>
      <w:r>
        <w:t>[bl. 27]</w:t>
      </w:r>
    </w:p>
    <w:p>
      <w:pPr>
        <w:pStyle w:val="yFootnoteheading"/>
        <w:spacing w:after="120"/>
      </w:pPr>
      <w:r>
        <w:tab/>
        <w:t>[Heading inserted in Gazette 19 Jun 2013 p. 2399.]</w:t>
      </w:r>
    </w:p>
    <w:p>
      <w:pPr>
        <w:pStyle w:val="yHeading3"/>
      </w:pPr>
      <w:bookmarkStart w:id="320" w:name="_Toc390772157"/>
      <w:bookmarkStart w:id="321" w:name="_Toc391907024"/>
      <w:bookmarkStart w:id="322" w:name="_Toc426119885"/>
      <w:r>
        <w:rPr>
          <w:rStyle w:val="CharSDivNo"/>
        </w:rPr>
        <w:t>Division 1</w:t>
      </w:r>
      <w:r>
        <w:t> — </w:t>
      </w:r>
      <w:r>
        <w:rPr>
          <w:rStyle w:val="CharSDivText"/>
        </w:rPr>
        <w:t>Fixed charges</w:t>
      </w:r>
      <w:bookmarkEnd w:id="320"/>
      <w:bookmarkEnd w:id="321"/>
      <w:bookmarkEnd w:id="322"/>
    </w:p>
    <w:p>
      <w:pPr>
        <w:pStyle w:val="yFootnoteheading"/>
        <w:spacing w:after="120"/>
      </w:pPr>
      <w:r>
        <w:tab/>
        <w:t>[Heading inserted in Gazette 19 Jun 2013 p. 2399.]</w:t>
      </w:r>
    </w:p>
    <w:p>
      <w:pPr>
        <w:pStyle w:val="yHeading5"/>
      </w:pPr>
      <w:bookmarkStart w:id="323" w:name="_Toc391907025"/>
      <w:bookmarkStart w:id="324" w:name="_Toc426119886"/>
      <w:r>
        <w:rPr>
          <w:rStyle w:val="CharSClsNo"/>
        </w:rPr>
        <w:t>1</w:t>
      </w:r>
      <w:r>
        <w:t>.</w:t>
      </w:r>
      <w:r>
        <w:tab/>
        <w:t>Strata</w:t>
      </w:r>
      <w:r>
        <w:noBreakHyphen/>
        <w:t>titled caravan bay</w:t>
      </w:r>
      <w:bookmarkEnd w:id="323"/>
      <w:bookmarkEnd w:id="324"/>
    </w:p>
    <w:tbl>
      <w:tblPr>
        <w:tblW w:w="0" w:type="auto"/>
        <w:tblInd w:w="-34" w:type="dxa"/>
        <w:tblLook w:val="0000" w:firstRow="0" w:lastRow="0" w:firstColumn="0" w:lastColumn="0" w:noHBand="0" w:noVBand="0"/>
      </w:tblPr>
      <w:tblGrid>
        <w:gridCol w:w="907"/>
        <w:gridCol w:w="4961"/>
        <w:gridCol w:w="1418"/>
      </w:tblGrid>
      <w:tr>
        <w:trPr>
          <w:cantSplit/>
        </w:trPr>
        <w:tc>
          <w:tcPr>
            <w:tcW w:w="907" w:type="dxa"/>
          </w:tcPr>
          <w:p>
            <w:pPr>
              <w:pStyle w:val="zyTableNAm"/>
              <w:keepNext/>
              <w:keepLines/>
            </w:pPr>
          </w:p>
        </w:tc>
        <w:tc>
          <w:tcPr>
            <w:tcW w:w="4961" w:type="dxa"/>
          </w:tcPr>
          <w:p>
            <w:pPr>
              <w:pStyle w:val="yTableNAm"/>
              <w:tabs>
                <w:tab w:val="right" w:leader="dot" w:pos="4745"/>
              </w:tabs>
              <w:rPr>
                <w:rFonts w:ascii="Arial" w:hAnsi="Arial"/>
                <w:b/>
              </w:rPr>
            </w:pPr>
            <w:r>
              <w:t xml:space="preserve">In respect of each residential property being a single caravan bay that is a lot within the meaning of the </w:t>
            </w:r>
            <w:r>
              <w:rPr>
                <w:i/>
              </w:rPr>
              <w:t>Strata Titles Act 1985</w:t>
            </w:r>
            <w:r>
              <w:t xml:space="preserve"> </w:t>
            </w:r>
            <w:r>
              <w:tab/>
            </w:r>
          </w:p>
        </w:tc>
        <w:tc>
          <w:tcPr>
            <w:tcW w:w="1418" w:type="dxa"/>
          </w:tcPr>
          <w:p>
            <w:pPr>
              <w:pStyle w:val="yTableNAm"/>
            </w:pPr>
            <w:r>
              <w:br/>
            </w:r>
            <w:r>
              <w:br/>
              <w:t>$28.30</w:t>
            </w:r>
          </w:p>
        </w:tc>
      </w:tr>
    </w:tbl>
    <w:p>
      <w:pPr>
        <w:pStyle w:val="yHeading5"/>
      </w:pPr>
      <w:bookmarkStart w:id="325" w:name="_Toc391907026"/>
      <w:bookmarkStart w:id="326" w:name="_Toc426119887"/>
      <w:r>
        <w:rPr>
          <w:rStyle w:val="CharSClsNo"/>
        </w:rPr>
        <w:t>2</w:t>
      </w:r>
      <w:r>
        <w:t>.</w:t>
      </w:r>
      <w:r>
        <w:tab/>
        <w:t>Strata</w:t>
      </w:r>
      <w:r>
        <w:noBreakHyphen/>
        <w:t>titled storage unit and strata</w:t>
      </w:r>
      <w:r>
        <w:noBreakHyphen/>
        <w:t>titled parking bay</w:t>
      </w:r>
      <w:bookmarkEnd w:id="325"/>
      <w:bookmarkEnd w:id="326"/>
    </w:p>
    <w:tbl>
      <w:tblPr>
        <w:tblW w:w="0" w:type="auto"/>
        <w:tblInd w:w="-34" w:type="dxa"/>
        <w:tblLook w:val="0000" w:firstRow="0" w:lastRow="0" w:firstColumn="0" w:lastColumn="0" w:noHBand="0" w:noVBand="0"/>
      </w:tblPr>
      <w:tblGrid>
        <w:gridCol w:w="907"/>
        <w:gridCol w:w="4961"/>
        <w:gridCol w:w="1418"/>
      </w:tblGrid>
      <w:tr>
        <w:trPr>
          <w:cantSplit/>
        </w:trPr>
        <w:tc>
          <w:tcPr>
            <w:tcW w:w="907" w:type="dxa"/>
          </w:tcPr>
          <w:p>
            <w:pPr>
              <w:pStyle w:val="zyTableNAm"/>
            </w:pPr>
          </w:p>
        </w:tc>
        <w:tc>
          <w:tcPr>
            <w:tcW w:w="4961" w:type="dxa"/>
          </w:tcPr>
          <w:p>
            <w:pPr>
              <w:pStyle w:val="yTableNAm"/>
              <w:tabs>
                <w:tab w:val="right" w:leader="dot" w:pos="4745"/>
              </w:tabs>
              <w:rPr>
                <w:rFonts w:ascii="Arial" w:hAnsi="Arial"/>
                <w:b/>
              </w:rPr>
            </w:pPr>
            <w:r>
              <w:t xml:space="preserve">In respect of land comprised in a unit used for storage purposes or as a parking bay that is a lot within the meaning of the </w:t>
            </w:r>
            <w:r>
              <w:rPr>
                <w:i/>
                <w:iCs/>
              </w:rPr>
              <w:t>Strata Titles Act 1985</w:t>
            </w:r>
            <w:r>
              <w:t xml:space="preserve"> </w:t>
            </w:r>
            <w:r>
              <w:tab/>
            </w:r>
          </w:p>
        </w:tc>
        <w:tc>
          <w:tcPr>
            <w:tcW w:w="1418" w:type="dxa"/>
          </w:tcPr>
          <w:p>
            <w:pPr>
              <w:pStyle w:val="yTableNAm"/>
            </w:pPr>
            <w:r>
              <w:br/>
            </w:r>
            <w:r>
              <w:br/>
              <w:t>$10.55</w:t>
            </w:r>
          </w:p>
        </w:tc>
      </w:tr>
    </w:tbl>
    <w:p>
      <w:pPr>
        <w:pStyle w:val="yFootnotesection"/>
      </w:pPr>
      <w:r>
        <w:tab/>
        <w:t>[Division 1 inserted in Gazette 19 Jun 2013 p. 2399.]</w:t>
      </w:r>
    </w:p>
    <w:p>
      <w:pPr>
        <w:pStyle w:val="yHeading3"/>
      </w:pPr>
      <w:bookmarkStart w:id="327" w:name="_Toc390772160"/>
      <w:bookmarkStart w:id="328" w:name="_Toc391907027"/>
      <w:bookmarkStart w:id="329" w:name="_Toc426119888"/>
      <w:r>
        <w:rPr>
          <w:rStyle w:val="CharSDivNo"/>
        </w:rPr>
        <w:t>Division 2</w:t>
      </w:r>
      <w:r>
        <w:t> — </w:t>
      </w:r>
      <w:r>
        <w:rPr>
          <w:rStyle w:val="CharSDivText"/>
        </w:rPr>
        <w:t>Charges by way of rate</w:t>
      </w:r>
      <w:bookmarkEnd w:id="327"/>
      <w:bookmarkEnd w:id="328"/>
      <w:bookmarkEnd w:id="329"/>
    </w:p>
    <w:p>
      <w:pPr>
        <w:pStyle w:val="yFootnoteheading"/>
        <w:spacing w:after="120"/>
      </w:pPr>
      <w:r>
        <w:tab/>
        <w:t>[Heading inserted in Gazette 19 Jun 2013 p. 2399.]</w:t>
      </w:r>
    </w:p>
    <w:p>
      <w:pPr>
        <w:pStyle w:val="yHeading5"/>
      </w:pPr>
      <w:bookmarkStart w:id="330" w:name="_Toc391907028"/>
      <w:bookmarkStart w:id="331" w:name="_Toc426119889"/>
      <w:r>
        <w:rPr>
          <w:rStyle w:val="CharSClsNo"/>
        </w:rPr>
        <w:t>3</w:t>
      </w:r>
      <w:r>
        <w:t>.</w:t>
      </w:r>
      <w:r>
        <w:tab/>
        <w:t>Land in a drainage area as referred to in by</w:t>
      </w:r>
      <w:r>
        <w:noBreakHyphen/>
        <w:t>law 27 classified as residential or semi</w:t>
      </w:r>
      <w:r>
        <w:noBreakHyphen/>
        <w:t>rural residential</w:t>
      </w:r>
      <w:bookmarkEnd w:id="330"/>
      <w:bookmarkEnd w:id="331"/>
    </w:p>
    <w:tbl>
      <w:tblPr>
        <w:tblW w:w="0" w:type="auto"/>
        <w:tblInd w:w="-34" w:type="dxa"/>
        <w:tblLook w:val="0000" w:firstRow="0" w:lastRow="0" w:firstColumn="0" w:lastColumn="0" w:noHBand="0" w:noVBand="0"/>
      </w:tblPr>
      <w:tblGrid>
        <w:gridCol w:w="907"/>
        <w:gridCol w:w="4961"/>
        <w:gridCol w:w="1418"/>
      </w:tblGrid>
      <w:tr>
        <w:trPr>
          <w:cantSplit/>
        </w:trPr>
        <w:tc>
          <w:tcPr>
            <w:tcW w:w="907" w:type="dxa"/>
          </w:tcPr>
          <w:p>
            <w:pPr>
              <w:pStyle w:val="zyTableNAm"/>
            </w:pPr>
          </w:p>
        </w:tc>
        <w:tc>
          <w:tcPr>
            <w:tcW w:w="4961" w:type="dxa"/>
          </w:tcPr>
          <w:p>
            <w:pPr>
              <w:pStyle w:val="yTableNAm"/>
              <w:tabs>
                <w:tab w:val="right" w:leader="dot" w:pos="4745"/>
              </w:tabs>
              <w:rPr>
                <w:rFonts w:ascii="Arial" w:hAnsi="Arial"/>
                <w:b/>
              </w:rPr>
            </w:pPr>
            <w:r>
              <w:t>In respect of all land in a drainage area as referred to in by</w:t>
            </w:r>
            <w:r>
              <w:noBreakHyphen/>
              <w:t>law 27 that is classified as residential or semi</w:t>
            </w:r>
            <w:r>
              <w:noBreakHyphen/>
              <w:t xml:space="preserve">rural residential land </w:t>
            </w:r>
            <w:r>
              <w:tab/>
            </w:r>
          </w:p>
        </w:tc>
        <w:tc>
          <w:tcPr>
            <w:tcW w:w="1418" w:type="dxa"/>
            <w:vAlign w:val="bottom"/>
          </w:tcPr>
          <w:p>
            <w:pPr>
              <w:pStyle w:val="yTableNAm"/>
            </w:pPr>
            <w:r>
              <w:br/>
            </w:r>
            <w:r>
              <w:br/>
              <w:t>0.545 cents/</w:t>
            </w:r>
            <w:r>
              <w:br/>
              <w:t>$ of GRV</w:t>
            </w:r>
          </w:p>
        </w:tc>
      </w:tr>
      <w:tr>
        <w:trPr>
          <w:cantSplit/>
        </w:trPr>
        <w:tc>
          <w:tcPr>
            <w:tcW w:w="907" w:type="dxa"/>
          </w:tcPr>
          <w:p>
            <w:pPr>
              <w:pStyle w:val="zyTableNAm"/>
            </w:pPr>
          </w:p>
        </w:tc>
        <w:tc>
          <w:tcPr>
            <w:tcW w:w="4961" w:type="dxa"/>
          </w:tcPr>
          <w:p>
            <w:pPr>
              <w:pStyle w:val="yTableNAm"/>
              <w:tabs>
                <w:tab w:val="right" w:leader="dot" w:pos="4745"/>
              </w:tabs>
              <w:rPr>
                <w:rFonts w:ascii="Arial" w:hAnsi="Arial"/>
                <w:b/>
              </w:rPr>
            </w:pPr>
            <w:r>
              <w:t xml:space="preserve">subject to a minimum in respect of any land the subject of a separate assessment of </w:t>
            </w:r>
            <w:r>
              <w:tab/>
            </w:r>
          </w:p>
        </w:tc>
        <w:tc>
          <w:tcPr>
            <w:tcW w:w="1418" w:type="dxa"/>
            <w:vAlign w:val="bottom"/>
          </w:tcPr>
          <w:p>
            <w:pPr>
              <w:pStyle w:val="yTableNAm"/>
            </w:pPr>
            <w:r>
              <w:t>$93.60</w:t>
            </w:r>
          </w:p>
        </w:tc>
      </w:tr>
    </w:tbl>
    <w:p>
      <w:pPr>
        <w:pStyle w:val="yHeading5"/>
      </w:pPr>
      <w:bookmarkStart w:id="332" w:name="_Toc391907029"/>
      <w:bookmarkStart w:id="333" w:name="_Toc426119890"/>
      <w:r>
        <w:rPr>
          <w:rStyle w:val="CharSClsNo"/>
        </w:rPr>
        <w:t>4</w:t>
      </w:r>
      <w:r>
        <w:t>.</w:t>
      </w:r>
      <w:r>
        <w:tab/>
        <w:t>Land in a drainage area classified as vacant land</w:t>
      </w:r>
      <w:bookmarkEnd w:id="332"/>
      <w:bookmarkEnd w:id="333"/>
    </w:p>
    <w:tbl>
      <w:tblPr>
        <w:tblW w:w="0" w:type="auto"/>
        <w:tblInd w:w="-34" w:type="dxa"/>
        <w:tblLook w:val="0000" w:firstRow="0" w:lastRow="0" w:firstColumn="0" w:lastColumn="0" w:noHBand="0" w:noVBand="0"/>
      </w:tblPr>
      <w:tblGrid>
        <w:gridCol w:w="907"/>
        <w:gridCol w:w="4961"/>
        <w:gridCol w:w="1418"/>
      </w:tblGrid>
      <w:tr>
        <w:trPr>
          <w:cantSplit/>
        </w:trPr>
        <w:tc>
          <w:tcPr>
            <w:tcW w:w="907" w:type="dxa"/>
          </w:tcPr>
          <w:p>
            <w:pPr>
              <w:pStyle w:val="zyTableNAm"/>
              <w:keepNext/>
              <w:tabs>
                <w:tab w:val="right" w:leader="dot" w:pos="4253"/>
              </w:tabs>
            </w:pPr>
          </w:p>
        </w:tc>
        <w:tc>
          <w:tcPr>
            <w:tcW w:w="4961" w:type="dxa"/>
          </w:tcPr>
          <w:p>
            <w:pPr>
              <w:pStyle w:val="yTableNAm"/>
              <w:keepNext/>
              <w:tabs>
                <w:tab w:val="right" w:leader="dot" w:pos="4745"/>
              </w:tabs>
              <w:rPr>
                <w:rFonts w:ascii="Arial" w:hAnsi="Arial"/>
                <w:b/>
              </w:rPr>
            </w:pPr>
            <w:r>
              <w:t xml:space="preserve">In respect of all land in a drainage area classified as vacant land </w:t>
            </w:r>
            <w:r>
              <w:tab/>
            </w:r>
          </w:p>
        </w:tc>
        <w:tc>
          <w:tcPr>
            <w:tcW w:w="1418" w:type="dxa"/>
            <w:vAlign w:val="bottom"/>
          </w:tcPr>
          <w:p>
            <w:pPr>
              <w:pStyle w:val="yTableNAm"/>
              <w:keepNext/>
            </w:pPr>
            <w:r>
              <w:br/>
              <w:t>0.694 cents/</w:t>
            </w:r>
            <w:r>
              <w:br/>
              <w:t>$ of GRV</w:t>
            </w:r>
          </w:p>
        </w:tc>
      </w:tr>
      <w:tr>
        <w:trPr>
          <w:cantSplit/>
        </w:trPr>
        <w:tc>
          <w:tcPr>
            <w:tcW w:w="907" w:type="dxa"/>
          </w:tcPr>
          <w:p>
            <w:pPr>
              <w:pStyle w:val="zyTableNAm"/>
              <w:tabs>
                <w:tab w:val="right" w:leader="dot" w:pos="4253"/>
              </w:tabs>
            </w:pPr>
          </w:p>
        </w:tc>
        <w:tc>
          <w:tcPr>
            <w:tcW w:w="4961" w:type="dxa"/>
          </w:tcPr>
          <w:p>
            <w:pPr>
              <w:pStyle w:val="yTableNAm"/>
              <w:tabs>
                <w:tab w:val="right" w:leader="dot" w:pos="4745"/>
              </w:tabs>
              <w:rPr>
                <w:rFonts w:ascii="Arial" w:hAnsi="Arial"/>
                <w:b/>
              </w:rPr>
            </w:pPr>
            <w:r>
              <w:t xml:space="preserve">subject to a minimum in respect of any land the subject of a separate assessment of </w:t>
            </w:r>
            <w:r>
              <w:tab/>
            </w:r>
          </w:p>
        </w:tc>
        <w:tc>
          <w:tcPr>
            <w:tcW w:w="1418" w:type="dxa"/>
            <w:vAlign w:val="bottom"/>
          </w:tcPr>
          <w:p>
            <w:pPr>
              <w:pStyle w:val="yTableNAm"/>
            </w:pPr>
            <w:r>
              <w:t>$93.60</w:t>
            </w:r>
          </w:p>
        </w:tc>
      </w:tr>
    </w:tbl>
    <w:p>
      <w:pPr>
        <w:pStyle w:val="yHeading5"/>
      </w:pPr>
      <w:bookmarkStart w:id="334" w:name="_Toc391907030"/>
      <w:bookmarkStart w:id="335" w:name="_Toc426119891"/>
      <w:r>
        <w:rPr>
          <w:rStyle w:val="CharSClsNo"/>
        </w:rPr>
        <w:t>5</w:t>
      </w:r>
      <w:r>
        <w:t>.</w:t>
      </w:r>
      <w:r>
        <w:tab/>
        <w:t>Land in a drainage area as referred to in by</w:t>
      </w:r>
      <w:r>
        <w:noBreakHyphen/>
        <w:t>law 27 other than land to which item 1, 2, 3 or 4 applies</w:t>
      </w:r>
      <w:bookmarkEnd w:id="334"/>
      <w:bookmarkEnd w:id="335"/>
    </w:p>
    <w:tbl>
      <w:tblPr>
        <w:tblW w:w="0" w:type="auto"/>
        <w:tblInd w:w="-34" w:type="dxa"/>
        <w:tblLook w:val="0000" w:firstRow="0" w:lastRow="0" w:firstColumn="0" w:lastColumn="0" w:noHBand="0" w:noVBand="0"/>
      </w:tblPr>
      <w:tblGrid>
        <w:gridCol w:w="907"/>
        <w:gridCol w:w="4905"/>
        <w:gridCol w:w="1474"/>
      </w:tblGrid>
      <w:tr>
        <w:trPr>
          <w:cantSplit/>
        </w:trPr>
        <w:tc>
          <w:tcPr>
            <w:tcW w:w="907" w:type="dxa"/>
          </w:tcPr>
          <w:p>
            <w:pPr>
              <w:pStyle w:val="zyTableNAm"/>
              <w:tabs>
                <w:tab w:val="right" w:leader="dot" w:pos="4253"/>
              </w:tabs>
            </w:pPr>
          </w:p>
        </w:tc>
        <w:tc>
          <w:tcPr>
            <w:tcW w:w="4905" w:type="dxa"/>
          </w:tcPr>
          <w:p>
            <w:pPr>
              <w:pStyle w:val="yTableNAm"/>
              <w:tabs>
                <w:tab w:val="right" w:leader="dot" w:pos="4689"/>
              </w:tabs>
              <w:rPr>
                <w:rFonts w:ascii="Arial" w:hAnsi="Arial"/>
                <w:b/>
              </w:rPr>
            </w:pPr>
            <w:r>
              <w:t>In respect of all land in a drainage area as referred to in by</w:t>
            </w:r>
            <w:r>
              <w:noBreakHyphen/>
              <w:t xml:space="preserve">law 27 other than land to which item 1, 2, 3 or 4 applies </w:t>
            </w:r>
            <w:r>
              <w:tab/>
            </w:r>
          </w:p>
        </w:tc>
        <w:tc>
          <w:tcPr>
            <w:tcW w:w="1474" w:type="dxa"/>
            <w:vAlign w:val="bottom"/>
          </w:tcPr>
          <w:p>
            <w:pPr>
              <w:pStyle w:val="yTableNAm"/>
            </w:pPr>
            <w:r>
              <w:br/>
            </w:r>
            <w:r>
              <w:br/>
              <w:t>0.279 cents/</w:t>
            </w:r>
            <w:r>
              <w:br/>
              <w:t>$ of GRV</w:t>
            </w:r>
          </w:p>
        </w:tc>
      </w:tr>
      <w:tr>
        <w:trPr>
          <w:cantSplit/>
        </w:trPr>
        <w:tc>
          <w:tcPr>
            <w:tcW w:w="907" w:type="dxa"/>
          </w:tcPr>
          <w:p>
            <w:pPr>
              <w:pStyle w:val="zyTableNAm"/>
              <w:tabs>
                <w:tab w:val="right" w:leader="dot" w:pos="4253"/>
              </w:tabs>
            </w:pPr>
          </w:p>
        </w:tc>
        <w:tc>
          <w:tcPr>
            <w:tcW w:w="4905" w:type="dxa"/>
          </w:tcPr>
          <w:p>
            <w:pPr>
              <w:pStyle w:val="yTableNAm"/>
              <w:tabs>
                <w:tab w:val="right" w:leader="dot" w:pos="4689"/>
              </w:tabs>
              <w:rPr>
                <w:rFonts w:ascii="Arial" w:hAnsi="Arial"/>
                <w:b/>
              </w:rPr>
            </w:pPr>
            <w:r>
              <w:t xml:space="preserve">subject to a minimum in respect of any land the subject of a separate assessment of </w:t>
            </w:r>
            <w:r>
              <w:tab/>
            </w:r>
          </w:p>
        </w:tc>
        <w:tc>
          <w:tcPr>
            <w:tcW w:w="1474" w:type="dxa"/>
            <w:vAlign w:val="bottom"/>
          </w:tcPr>
          <w:p>
            <w:pPr>
              <w:pStyle w:val="yTableNAm"/>
            </w:pPr>
            <w:r>
              <w:t>$93.60</w:t>
            </w:r>
          </w:p>
        </w:tc>
      </w:tr>
    </w:tbl>
    <w:p>
      <w:pPr>
        <w:pStyle w:val="yFootnotesection"/>
      </w:pPr>
      <w:r>
        <w:tab/>
        <w:t>[Division 2 inserted in Gazette 19 Jun 2013 p. 2399-400.]</w:t>
      </w:r>
    </w:p>
    <w:p>
      <w:pPr>
        <w:pStyle w:val="yScheduleHeading"/>
      </w:pPr>
      <w:bookmarkStart w:id="336" w:name="_Toc390772164"/>
      <w:bookmarkStart w:id="337" w:name="_Toc391907031"/>
      <w:bookmarkStart w:id="338" w:name="_Toc426119892"/>
      <w:r>
        <w:rPr>
          <w:rStyle w:val="CharSchNo"/>
        </w:rPr>
        <w:t>Schedule 5</w:t>
      </w:r>
      <w:r>
        <w:rPr>
          <w:rStyle w:val="CharSDivNo"/>
        </w:rPr>
        <w:t> </w:t>
      </w:r>
      <w:r>
        <w:t>—</w:t>
      </w:r>
      <w:r>
        <w:rPr>
          <w:rStyle w:val="CharSDivText"/>
        </w:rPr>
        <w:t> </w:t>
      </w:r>
      <w:r>
        <w:rPr>
          <w:rStyle w:val="CharSchText"/>
        </w:rPr>
        <w:t>Charges for irrigation for 2013/2014</w:t>
      </w:r>
      <w:bookmarkEnd w:id="336"/>
      <w:bookmarkEnd w:id="337"/>
      <w:bookmarkEnd w:id="338"/>
    </w:p>
    <w:p>
      <w:pPr>
        <w:pStyle w:val="yShoulderClause"/>
      </w:pPr>
      <w:r>
        <w:t>[bl. 31]</w:t>
      </w:r>
    </w:p>
    <w:p>
      <w:pPr>
        <w:pStyle w:val="yFootnoteheading"/>
        <w:spacing w:after="120"/>
      </w:pPr>
      <w:r>
        <w:tab/>
        <w:t>[Heading inserted in Gazette 19 Jun 2013 p. 2400.]</w:t>
      </w:r>
    </w:p>
    <w:p>
      <w:pPr>
        <w:pStyle w:val="yHeading5"/>
      </w:pPr>
      <w:bookmarkStart w:id="339" w:name="_Toc391907032"/>
      <w:bookmarkStart w:id="340" w:name="_Toc426119893"/>
      <w:r>
        <w:rPr>
          <w:rStyle w:val="CharSClsNo"/>
        </w:rPr>
        <w:t>1</w:t>
      </w:r>
      <w:r>
        <w:t>.</w:t>
      </w:r>
      <w:r>
        <w:tab/>
        <w:t>Ord Irrigation District</w:t>
      </w:r>
      <w:bookmarkEnd w:id="339"/>
      <w:bookmarkEnd w:id="340"/>
    </w:p>
    <w:tbl>
      <w:tblPr>
        <w:tblW w:w="0" w:type="auto"/>
        <w:tblInd w:w="-34" w:type="dxa"/>
        <w:tblLook w:val="0000" w:firstRow="0" w:lastRow="0" w:firstColumn="0" w:lastColumn="0" w:noHBand="0" w:noVBand="0"/>
      </w:tblPr>
      <w:tblGrid>
        <w:gridCol w:w="907"/>
        <w:gridCol w:w="4905"/>
        <w:gridCol w:w="1418"/>
      </w:tblGrid>
      <w:tr>
        <w:trPr>
          <w:cantSplit/>
        </w:trPr>
        <w:tc>
          <w:tcPr>
            <w:tcW w:w="907" w:type="dxa"/>
          </w:tcPr>
          <w:p>
            <w:pPr>
              <w:pStyle w:val="zyTableNAm"/>
              <w:tabs>
                <w:tab w:val="right" w:leader="dot" w:pos="4253"/>
              </w:tabs>
            </w:pPr>
          </w:p>
        </w:tc>
        <w:tc>
          <w:tcPr>
            <w:tcW w:w="4905" w:type="dxa"/>
          </w:tcPr>
          <w:p>
            <w:pPr>
              <w:pStyle w:val="zyTableNAm"/>
              <w:tabs>
                <w:tab w:val="right" w:leader="dot" w:pos="4253"/>
              </w:tabs>
            </w:pPr>
            <w:r>
              <w:t>In respect of land to which water is supplied in the circumstances described in by</w:t>
            </w:r>
            <w:r>
              <w:noBreakHyphen/>
              <w:t>law 31, an amount per hectare of land irrigated of —</w:t>
            </w:r>
          </w:p>
        </w:tc>
        <w:tc>
          <w:tcPr>
            <w:tcW w:w="1418" w:type="dxa"/>
          </w:tcPr>
          <w:p>
            <w:pPr>
              <w:pStyle w:val="zyTableNAm"/>
              <w:tabs>
                <w:tab w:val="right" w:leader="dot" w:pos="4253"/>
              </w:tabs>
              <w:rPr>
                <w:sz w:val="20"/>
              </w:rPr>
            </w:pPr>
          </w:p>
        </w:tc>
      </w:tr>
      <w:tr>
        <w:trPr>
          <w:cantSplit/>
        </w:trPr>
        <w:tc>
          <w:tcPr>
            <w:tcW w:w="907" w:type="dxa"/>
          </w:tcPr>
          <w:p>
            <w:pPr>
              <w:pStyle w:val="zyTableNAm"/>
              <w:tabs>
                <w:tab w:val="right" w:leader="dot" w:pos="4253"/>
              </w:tabs>
            </w:pPr>
          </w:p>
        </w:tc>
        <w:tc>
          <w:tcPr>
            <w:tcW w:w="4905" w:type="dxa"/>
          </w:tcPr>
          <w:p>
            <w:pPr>
              <w:pStyle w:val="zyTableNAm"/>
              <w:tabs>
                <w:tab w:val="clear" w:pos="567"/>
                <w:tab w:val="left" w:pos="317"/>
                <w:tab w:val="left" w:pos="743"/>
                <w:tab w:val="right" w:leader="dot" w:pos="4656"/>
              </w:tabs>
              <w:ind w:left="743" w:hanging="743"/>
            </w:pPr>
            <w:r>
              <w:tab/>
              <w:t>(a)</w:t>
            </w:r>
            <w:r>
              <w:tab/>
              <w:t xml:space="preserve">where the supply is assured </w:t>
            </w:r>
            <w:r>
              <w:tab/>
            </w:r>
          </w:p>
        </w:tc>
        <w:tc>
          <w:tcPr>
            <w:tcW w:w="1418" w:type="dxa"/>
          </w:tcPr>
          <w:p>
            <w:pPr>
              <w:pStyle w:val="zyTableNAm"/>
              <w:tabs>
                <w:tab w:val="right" w:leader="dot" w:pos="4253"/>
              </w:tabs>
            </w:pPr>
            <w:r>
              <w:t>$142.00</w:t>
            </w:r>
          </w:p>
        </w:tc>
      </w:tr>
      <w:tr>
        <w:trPr>
          <w:cantSplit/>
        </w:trPr>
        <w:tc>
          <w:tcPr>
            <w:tcW w:w="907" w:type="dxa"/>
          </w:tcPr>
          <w:p>
            <w:pPr>
              <w:pStyle w:val="zyTableNAm"/>
              <w:tabs>
                <w:tab w:val="right" w:leader="dot" w:pos="4253"/>
              </w:tabs>
            </w:pPr>
          </w:p>
        </w:tc>
        <w:tc>
          <w:tcPr>
            <w:tcW w:w="4905" w:type="dxa"/>
          </w:tcPr>
          <w:p>
            <w:pPr>
              <w:pStyle w:val="zyTableNAm"/>
              <w:tabs>
                <w:tab w:val="clear" w:pos="567"/>
                <w:tab w:val="left" w:pos="317"/>
                <w:tab w:val="left" w:pos="743"/>
                <w:tab w:val="right" w:leader="dot" w:pos="4656"/>
              </w:tabs>
              <w:ind w:left="743" w:hanging="743"/>
            </w:pPr>
            <w:r>
              <w:tab/>
              <w:t>(b)</w:t>
            </w:r>
            <w:r>
              <w:tab/>
              <w:t xml:space="preserve">where the supply is not assured </w:t>
            </w:r>
            <w:r>
              <w:tab/>
            </w:r>
          </w:p>
        </w:tc>
        <w:tc>
          <w:tcPr>
            <w:tcW w:w="1418" w:type="dxa"/>
          </w:tcPr>
          <w:p>
            <w:pPr>
              <w:pStyle w:val="zyTableNAm"/>
              <w:tabs>
                <w:tab w:val="right" w:leader="dot" w:pos="4253"/>
              </w:tabs>
            </w:pPr>
            <w:r>
              <w:t>$107.00</w:t>
            </w:r>
          </w:p>
        </w:tc>
      </w:tr>
    </w:tbl>
    <w:p>
      <w:pPr>
        <w:pStyle w:val="yFootnotesection"/>
      </w:pPr>
      <w:r>
        <w:tab/>
        <w:t>[Schedule 5 inserted in Gazette 19 Jun 2013 p. 2400; amended in Gazette 14 Nov 2013 p. 5094.]</w:t>
      </w:r>
    </w:p>
    <w:p>
      <w:pPr>
        <w:pStyle w:val="yEdnoteschedule"/>
      </w:pPr>
      <w:r>
        <w:t>[Schedule 6 deleted in Gazette 19 Jun 2013 p. 2400.]</w:t>
      </w:r>
    </w:p>
    <w:p>
      <w:pPr>
        <w:pStyle w:val="yScheduleHeading"/>
      </w:pPr>
      <w:bookmarkStart w:id="341" w:name="_Toc390772166"/>
      <w:bookmarkStart w:id="342" w:name="_Toc391907033"/>
      <w:bookmarkStart w:id="343" w:name="_Toc426119894"/>
      <w:r>
        <w:rPr>
          <w:rStyle w:val="CharSchNo"/>
        </w:rPr>
        <w:t>Schedule 7</w:t>
      </w:r>
      <w:r>
        <w:rPr>
          <w:rStyle w:val="CharSDivNo"/>
        </w:rPr>
        <w:t> </w:t>
      </w:r>
      <w:r>
        <w:t>—</w:t>
      </w:r>
      <w:r>
        <w:rPr>
          <w:rStyle w:val="CharSDivText"/>
        </w:rPr>
        <w:t> </w:t>
      </w:r>
      <w:r>
        <w:rPr>
          <w:rStyle w:val="CharSchText"/>
        </w:rPr>
        <w:t>Concessional charges and interest rates</w:t>
      </w:r>
      <w:bookmarkEnd w:id="341"/>
      <w:bookmarkEnd w:id="342"/>
      <w:bookmarkEnd w:id="343"/>
    </w:p>
    <w:p>
      <w:pPr>
        <w:pStyle w:val="yShoulderClause"/>
      </w:pPr>
      <w:r>
        <w:t>[bl. 8, 8A and 9]</w:t>
      </w:r>
    </w:p>
    <w:p>
      <w:pPr>
        <w:pStyle w:val="yFootnoteheading"/>
        <w:spacing w:after="120"/>
      </w:pPr>
      <w:r>
        <w:tab/>
        <w:t>[Heading inserted in Gazette 19 Jun 2013 p. 2400.]</w:t>
      </w:r>
    </w:p>
    <w:p>
      <w:pPr>
        <w:pStyle w:val="yHeading5"/>
      </w:pPr>
      <w:bookmarkStart w:id="344" w:name="_Toc391907034"/>
      <w:bookmarkStart w:id="345" w:name="_Toc426119895"/>
      <w:r>
        <w:rPr>
          <w:rStyle w:val="CharSClsNo"/>
        </w:rPr>
        <w:t>1</w:t>
      </w:r>
      <w:r>
        <w:t>.</w:t>
      </w:r>
      <w:r>
        <w:tab/>
        <w:t>Concession (by</w:t>
      </w:r>
      <w:r>
        <w:noBreakHyphen/>
        <w:t>law 8A(2))</w:t>
      </w:r>
      <w:bookmarkEnd w:id="344"/>
      <w:bookmarkEnd w:id="345"/>
    </w:p>
    <w:tbl>
      <w:tblPr>
        <w:tblW w:w="0" w:type="auto"/>
        <w:tblLook w:val="0000" w:firstRow="0" w:lastRow="0" w:firstColumn="0" w:lastColumn="0" w:noHBand="0" w:noVBand="0"/>
      </w:tblPr>
      <w:tblGrid>
        <w:gridCol w:w="851"/>
        <w:gridCol w:w="4961"/>
        <w:gridCol w:w="1418"/>
      </w:tblGrid>
      <w:tr>
        <w:trPr>
          <w:cantSplit/>
        </w:trPr>
        <w:tc>
          <w:tcPr>
            <w:tcW w:w="851" w:type="dxa"/>
          </w:tcPr>
          <w:p>
            <w:pPr>
              <w:pStyle w:val="zyTableNAm"/>
              <w:tabs>
                <w:tab w:val="right" w:leader="dot" w:pos="4253"/>
              </w:tabs>
            </w:pPr>
          </w:p>
        </w:tc>
        <w:tc>
          <w:tcPr>
            <w:tcW w:w="4961" w:type="dxa"/>
          </w:tcPr>
          <w:p>
            <w:pPr>
              <w:pStyle w:val="yTableNAm"/>
              <w:tabs>
                <w:tab w:val="clear" w:pos="567"/>
                <w:tab w:val="right" w:leader="dot" w:pos="4712"/>
              </w:tabs>
              <w:rPr>
                <w:rFonts w:ascii="Arial" w:hAnsi="Arial"/>
                <w:b/>
              </w:rPr>
            </w:pPr>
            <w:r>
              <w:t xml:space="preserve">Charge for water supply </w:t>
            </w:r>
            <w:r>
              <w:tab/>
            </w:r>
          </w:p>
        </w:tc>
        <w:tc>
          <w:tcPr>
            <w:tcW w:w="1418" w:type="dxa"/>
          </w:tcPr>
          <w:p>
            <w:pPr>
              <w:pStyle w:val="yTableNAm"/>
            </w:pPr>
            <w:r>
              <w:t>$98.19</w:t>
            </w:r>
          </w:p>
        </w:tc>
      </w:tr>
      <w:tr>
        <w:trPr>
          <w:cantSplit/>
        </w:trPr>
        <w:tc>
          <w:tcPr>
            <w:tcW w:w="851" w:type="dxa"/>
          </w:tcPr>
          <w:p>
            <w:pPr>
              <w:pStyle w:val="zyTableNAm"/>
              <w:tabs>
                <w:tab w:val="right" w:leader="dot" w:pos="4253"/>
              </w:tabs>
            </w:pPr>
          </w:p>
        </w:tc>
        <w:tc>
          <w:tcPr>
            <w:tcW w:w="4961" w:type="dxa"/>
          </w:tcPr>
          <w:p>
            <w:pPr>
              <w:pStyle w:val="yTableNAm"/>
              <w:tabs>
                <w:tab w:val="clear" w:pos="567"/>
                <w:tab w:val="right" w:leader="dot" w:pos="4712"/>
              </w:tabs>
              <w:rPr>
                <w:rFonts w:ascii="Arial" w:hAnsi="Arial"/>
                <w:b/>
              </w:rPr>
            </w:pPr>
            <w:r>
              <w:t xml:space="preserve">Charge for sewerage </w:t>
            </w:r>
            <w:r>
              <w:tab/>
            </w:r>
          </w:p>
        </w:tc>
        <w:tc>
          <w:tcPr>
            <w:tcW w:w="1418" w:type="dxa"/>
          </w:tcPr>
          <w:p>
            <w:pPr>
              <w:pStyle w:val="yTableNAm"/>
            </w:pPr>
            <w:r>
              <w:t>$195.13</w:t>
            </w:r>
          </w:p>
        </w:tc>
      </w:tr>
      <w:tr>
        <w:trPr>
          <w:cantSplit/>
        </w:trPr>
        <w:tc>
          <w:tcPr>
            <w:tcW w:w="851" w:type="dxa"/>
          </w:tcPr>
          <w:p>
            <w:pPr>
              <w:pStyle w:val="zyTableNAm"/>
              <w:tabs>
                <w:tab w:val="right" w:leader="dot" w:pos="4253"/>
              </w:tabs>
            </w:pPr>
          </w:p>
        </w:tc>
        <w:tc>
          <w:tcPr>
            <w:tcW w:w="4961" w:type="dxa"/>
          </w:tcPr>
          <w:p>
            <w:pPr>
              <w:pStyle w:val="yTableNAm"/>
              <w:tabs>
                <w:tab w:val="clear" w:pos="567"/>
                <w:tab w:val="right" w:leader="dot" w:pos="4712"/>
              </w:tabs>
              <w:rPr>
                <w:rFonts w:ascii="Arial" w:hAnsi="Arial"/>
                <w:b/>
              </w:rPr>
            </w:pPr>
            <w:r>
              <w:t xml:space="preserve">Charge for drainage </w:t>
            </w:r>
            <w:r>
              <w:tab/>
            </w:r>
          </w:p>
        </w:tc>
        <w:tc>
          <w:tcPr>
            <w:tcW w:w="1418" w:type="dxa"/>
          </w:tcPr>
          <w:p>
            <w:pPr>
              <w:pStyle w:val="yTableNAm"/>
            </w:pPr>
            <w:r>
              <w:t>$25.51</w:t>
            </w:r>
          </w:p>
        </w:tc>
      </w:tr>
    </w:tbl>
    <w:p>
      <w:pPr>
        <w:pStyle w:val="yHeading5"/>
      </w:pPr>
      <w:bookmarkStart w:id="346" w:name="_Toc391907035"/>
      <w:bookmarkStart w:id="347" w:name="_Toc426119896"/>
      <w:r>
        <w:rPr>
          <w:rStyle w:val="CharSClsNo"/>
        </w:rPr>
        <w:t>2</w:t>
      </w:r>
      <w:r>
        <w:t>.</w:t>
      </w:r>
      <w:r>
        <w:tab/>
        <w:t>Interest on overdue amounts (by</w:t>
      </w:r>
      <w:r>
        <w:noBreakHyphen/>
        <w:t>laws 8 and 9)</w:t>
      </w:r>
      <w:bookmarkEnd w:id="346"/>
      <w:bookmarkEnd w:id="347"/>
    </w:p>
    <w:tbl>
      <w:tblPr>
        <w:tblW w:w="0" w:type="auto"/>
        <w:tblLook w:val="0000" w:firstRow="0" w:lastRow="0" w:firstColumn="0" w:lastColumn="0" w:noHBand="0" w:noVBand="0"/>
      </w:tblPr>
      <w:tblGrid>
        <w:gridCol w:w="851"/>
        <w:gridCol w:w="4961"/>
        <w:gridCol w:w="1418"/>
      </w:tblGrid>
      <w:tr>
        <w:trPr>
          <w:cantSplit/>
        </w:trPr>
        <w:tc>
          <w:tcPr>
            <w:tcW w:w="851" w:type="dxa"/>
          </w:tcPr>
          <w:p>
            <w:pPr>
              <w:pStyle w:val="zyTableNAm"/>
              <w:tabs>
                <w:tab w:val="right" w:leader="dot" w:pos="4253"/>
              </w:tabs>
            </w:pPr>
          </w:p>
        </w:tc>
        <w:tc>
          <w:tcPr>
            <w:tcW w:w="4961" w:type="dxa"/>
          </w:tcPr>
          <w:p>
            <w:pPr>
              <w:pStyle w:val="yTableNAm"/>
              <w:tabs>
                <w:tab w:val="clear" w:pos="567"/>
                <w:tab w:val="right" w:leader="dot" w:pos="4712"/>
              </w:tabs>
              <w:rPr>
                <w:rFonts w:ascii="Arial" w:hAnsi="Arial"/>
                <w:b/>
              </w:rPr>
            </w:pPr>
            <w:r>
              <w:t>Interest on overdue amounts (by</w:t>
            </w:r>
            <w:r>
              <w:noBreakHyphen/>
              <w:t xml:space="preserve">laws 8 </w:t>
            </w:r>
            <w:r>
              <w:br/>
              <w:t xml:space="preserve">and 9) </w:t>
            </w:r>
            <w:r>
              <w:tab/>
            </w:r>
          </w:p>
        </w:tc>
        <w:tc>
          <w:tcPr>
            <w:tcW w:w="1418" w:type="dxa"/>
          </w:tcPr>
          <w:p>
            <w:pPr>
              <w:pStyle w:val="yTableNAm"/>
            </w:pPr>
            <w:r>
              <w:br/>
              <w:t xml:space="preserve">12.83% </w:t>
            </w:r>
            <w:r>
              <w:br/>
              <w:t>per annum</w:t>
            </w:r>
          </w:p>
        </w:tc>
      </w:tr>
    </w:tbl>
    <w:p>
      <w:pPr>
        <w:pStyle w:val="yFootnotesection"/>
      </w:pPr>
      <w:r>
        <w:tab/>
        <w:t>[Schedule 7 inserted in Gazette 19 Jun 2013 p. 2400-1.]</w:t>
      </w:r>
    </w:p>
    <w:p>
      <w:pPr>
        <w:pStyle w:val="yScheduleHeading"/>
      </w:pPr>
      <w:bookmarkStart w:id="348" w:name="_Toc390772169"/>
      <w:bookmarkStart w:id="349" w:name="_Toc391907036"/>
      <w:bookmarkStart w:id="350" w:name="_Toc426119897"/>
      <w:r>
        <w:rPr>
          <w:rStyle w:val="CharSchNo"/>
        </w:rPr>
        <w:t>Schedule 8</w:t>
      </w:r>
      <w:r>
        <w:rPr>
          <w:rStyle w:val="CharSDivNo"/>
        </w:rPr>
        <w:t> </w:t>
      </w:r>
      <w:r>
        <w:t>—</w:t>
      </w:r>
      <w:r>
        <w:rPr>
          <w:rStyle w:val="CharSDivText"/>
        </w:rPr>
        <w:t> </w:t>
      </w:r>
      <w:r>
        <w:rPr>
          <w:rStyle w:val="CharSchText"/>
        </w:rPr>
        <w:t>Water supply charges for Government trading organisations and non</w:t>
      </w:r>
      <w:r>
        <w:rPr>
          <w:rStyle w:val="CharSchText"/>
        </w:rPr>
        <w:noBreakHyphen/>
        <w:t>commercial Government property</w:t>
      </w:r>
      <w:bookmarkEnd w:id="348"/>
      <w:bookmarkEnd w:id="349"/>
      <w:bookmarkEnd w:id="350"/>
    </w:p>
    <w:p>
      <w:pPr>
        <w:pStyle w:val="yShoulderClause"/>
      </w:pPr>
      <w:r>
        <w:t>[bl. 8B]</w:t>
      </w:r>
    </w:p>
    <w:p>
      <w:pPr>
        <w:pStyle w:val="yFootnoteheading"/>
        <w:spacing w:after="120"/>
      </w:pPr>
      <w:r>
        <w:tab/>
        <w:t>[Heading inserted in Gazette 19 Jun 2013 p. 2401.]</w:t>
      </w:r>
    </w:p>
    <w:p>
      <w:pPr>
        <w:pStyle w:val="yHeading5"/>
        <w:spacing w:after="160"/>
      </w:pPr>
      <w:bookmarkStart w:id="351" w:name="_Toc391907037"/>
      <w:bookmarkStart w:id="352" w:name="_Toc426119898"/>
      <w:r>
        <w:rPr>
          <w:rStyle w:val="CharSClsNo"/>
        </w:rPr>
        <w:t>1</w:t>
      </w:r>
      <w:r>
        <w:t>.</w:t>
      </w:r>
      <w:r>
        <w:tab/>
        <w:t>Annual charge (based on meter size)</w:t>
      </w:r>
      <w:bookmarkEnd w:id="351"/>
      <w:bookmarkEnd w:id="352"/>
    </w:p>
    <w:tbl>
      <w:tblPr>
        <w:tblW w:w="0" w:type="auto"/>
        <w:tblInd w:w="1134" w:type="dxa"/>
        <w:tblLayout w:type="fixed"/>
        <w:tblCellMar>
          <w:left w:w="284" w:type="dxa"/>
          <w:right w:w="284" w:type="dxa"/>
        </w:tblCellMar>
        <w:tblLook w:val="0000" w:firstRow="0" w:lastRow="0" w:firstColumn="0" w:lastColumn="0" w:noHBand="0" w:noVBand="0"/>
      </w:tblPr>
      <w:tblGrid>
        <w:gridCol w:w="3969"/>
        <w:gridCol w:w="2272"/>
        <w:gridCol w:w="142"/>
      </w:tblGrid>
      <w:tr>
        <w:trPr>
          <w:gridAfter w:val="1"/>
          <w:wAfter w:w="142" w:type="dxa"/>
          <w:cantSplit/>
          <w:tblHeader/>
        </w:trPr>
        <w:tc>
          <w:tcPr>
            <w:tcW w:w="3969" w:type="dxa"/>
            <w:tcBorders>
              <w:top w:val="single" w:sz="4" w:space="0" w:color="auto"/>
              <w:bottom w:val="single" w:sz="4" w:space="0" w:color="auto"/>
            </w:tcBorders>
          </w:tcPr>
          <w:p>
            <w:pPr>
              <w:pStyle w:val="yTableNAm"/>
              <w:jc w:val="center"/>
            </w:pPr>
            <w:r>
              <w:rPr>
                <w:b/>
                <w:bCs/>
              </w:rPr>
              <w:t>Meter size</w:t>
            </w:r>
            <w:r>
              <w:rPr>
                <w:b/>
                <w:bCs/>
              </w:rPr>
              <w:br/>
              <w:t>mm</w:t>
            </w:r>
          </w:p>
        </w:tc>
        <w:tc>
          <w:tcPr>
            <w:tcW w:w="2272" w:type="dxa"/>
            <w:tcBorders>
              <w:top w:val="single" w:sz="4" w:space="0" w:color="auto"/>
              <w:bottom w:val="single" w:sz="4" w:space="0" w:color="auto"/>
            </w:tcBorders>
          </w:tcPr>
          <w:p>
            <w:pPr>
              <w:pStyle w:val="yTableNAm"/>
              <w:jc w:val="center"/>
            </w:pPr>
            <w:r>
              <w:rPr>
                <w:b/>
                <w:bCs/>
              </w:rPr>
              <w:t>Charge</w:t>
            </w:r>
            <w:r>
              <w:rPr>
                <w:b/>
                <w:bCs/>
              </w:rPr>
              <w:br/>
              <w:t>$</w:t>
            </w:r>
          </w:p>
        </w:tc>
      </w:tr>
      <w:tr>
        <w:trPr>
          <w:gridAfter w:val="1"/>
          <w:wAfter w:w="142" w:type="dxa"/>
          <w:cantSplit/>
        </w:trPr>
        <w:tc>
          <w:tcPr>
            <w:tcW w:w="3969" w:type="dxa"/>
          </w:tcPr>
          <w:p>
            <w:pPr>
              <w:pStyle w:val="yTableNAm"/>
              <w:jc w:val="center"/>
            </w:pPr>
            <w:r>
              <w:rPr>
                <w:spacing w:val="-2"/>
              </w:rPr>
              <w:t>20 or less</w:t>
            </w:r>
          </w:p>
        </w:tc>
        <w:tc>
          <w:tcPr>
            <w:tcW w:w="2272" w:type="dxa"/>
            <w:vAlign w:val="bottom"/>
          </w:tcPr>
          <w:p>
            <w:pPr>
              <w:pStyle w:val="yTableNAm"/>
              <w:jc w:val="center"/>
              <w:rPr>
                <w:rFonts w:ascii="Arial" w:hAnsi="Arial"/>
                <w:b/>
              </w:rPr>
            </w:pPr>
            <w:r>
              <w:rPr>
                <w:spacing w:val="-2"/>
              </w:rPr>
              <w:t>205.71</w:t>
            </w:r>
          </w:p>
        </w:tc>
      </w:tr>
      <w:tr>
        <w:trPr>
          <w:gridAfter w:val="1"/>
          <w:wAfter w:w="142" w:type="dxa"/>
          <w:cantSplit/>
        </w:trPr>
        <w:tc>
          <w:tcPr>
            <w:tcW w:w="3969" w:type="dxa"/>
          </w:tcPr>
          <w:p>
            <w:pPr>
              <w:pStyle w:val="yTableNAm"/>
              <w:jc w:val="center"/>
              <w:rPr>
                <w:rFonts w:ascii="Arial" w:hAnsi="Arial"/>
                <w:b/>
              </w:rPr>
            </w:pPr>
            <w:r>
              <w:rPr>
                <w:spacing w:val="-2"/>
              </w:rPr>
              <w:t>25</w:t>
            </w:r>
          </w:p>
        </w:tc>
        <w:tc>
          <w:tcPr>
            <w:tcW w:w="2272" w:type="dxa"/>
            <w:vAlign w:val="bottom"/>
          </w:tcPr>
          <w:p>
            <w:pPr>
              <w:pStyle w:val="yTableNAm"/>
              <w:jc w:val="center"/>
              <w:rPr>
                <w:rFonts w:ascii="Arial" w:hAnsi="Arial"/>
                <w:b/>
              </w:rPr>
            </w:pPr>
            <w:r>
              <w:rPr>
                <w:spacing w:val="-2"/>
              </w:rPr>
              <w:t>321.42</w:t>
            </w:r>
          </w:p>
        </w:tc>
      </w:tr>
      <w:tr>
        <w:trPr>
          <w:gridAfter w:val="1"/>
          <w:wAfter w:w="142" w:type="dxa"/>
          <w:cantSplit/>
        </w:trPr>
        <w:tc>
          <w:tcPr>
            <w:tcW w:w="3969" w:type="dxa"/>
          </w:tcPr>
          <w:p>
            <w:pPr>
              <w:pStyle w:val="yTableNAm"/>
              <w:jc w:val="center"/>
              <w:rPr>
                <w:rFonts w:ascii="Arial" w:hAnsi="Arial"/>
                <w:b/>
              </w:rPr>
            </w:pPr>
            <w:r>
              <w:rPr>
                <w:spacing w:val="-2"/>
              </w:rPr>
              <w:t>30</w:t>
            </w:r>
          </w:p>
        </w:tc>
        <w:tc>
          <w:tcPr>
            <w:tcW w:w="2272" w:type="dxa"/>
            <w:vAlign w:val="bottom"/>
          </w:tcPr>
          <w:p>
            <w:pPr>
              <w:pStyle w:val="yTableNAm"/>
              <w:jc w:val="center"/>
              <w:rPr>
                <w:rFonts w:ascii="Arial" w:hAnsi="Arial"/>
                <w:b/>
              </w:rPr>
            </w:pPr>
            <w:r>
              <w:rPr>
                <w:spacing w:val="-2"/>
              </w:rPr>
              <w:t>462.82</w:t>
            </w:r>
          </w:p>
        </w:tc>
      </w:tr>
      <w:tr>
        <w:trPr>
          <w:gridAfter w:val="1"/>
          <w:wAfter w:w="142" w:type="dxa"/>
          <w:cantSplit/>
        </w:trPr>
        <w:tc>
          <w:tcPr>
            <w:tcW w:w="3969" w:type="dxa"/>
          </w:tcPr>
          <w:p>
            <w:pPr>
              <w:pStyle w:val="yTableNAm"/>
              <w:jc w:val="center"/>
              <w:rPr>
                <w:rFonts w:ascii="Arial" w:hAnsi="Arial"/>
                <w:b/>
              </w:rPr>
            </w:pPr>
            <w:r>
              <w:rPr>
                <w:spacing w:val="-2"/>
              </w:rPr>
              <w:t>40</w:t>
            </w:r>
          </w:p>
        </w:tc>
        <w:tc>
          <w:tcPr>
            <w:tcW w:w="2272" w:type="dxa"/>
            <w:vAlign w:val="bottom"/>
          </w:tcPr>
          <w:p>
            <w:pPr>
              <w:pStyle w:val="yTableNAm"/>
              <w:jc w:val="center"/>
              <w:rPr>
                <w:rFonts w:ascii="Arial" w:hAnsi="Arial"/>
                <w:b/>
              </w:rPr>
            </w:pPr>
            <w:r>
              <w:rPr>
                <w:spacing w:val="-2"/>
              </w:rPr>
              <w:t>822.83</w:t>
            </w:r>
          </w:p>
        </w:tc>
      </w:tr>
      <w:tr>
        <w:trPr>
          <w:gridAfter w:val="1"/>
          <w:wAfter w:w="142" w:type="dxa"/>
          <w:cantSplit/>
        </w:trPr>
        <w:tc>
          <w:tcPr>
            <w:tcW w:w="3969" w:type="dxa"/>
          </w:tcPr>
          <w:p>
            <w:pPr>
              <w:pStyle w:val="yTableNAm"/>
              <w:jc w:val="center"/>
              <w:rPr>
                <w:rFonts w:ascii="Arial" w:hAnsi="Arial"/>
                <w:b/>
              </w:rPr>
            </w:pPr>
            <w:r>
              <w:rPr>
                <w:spacing w:val="-2"/>
              </w:rPr>
              <w:t>50</w:t>
            </w:r>
          </w:p>
        </w:tc>
        <w:tc>
          <w:tcPr>
            <w:tcW w:w="2272" w:type="dxa"/>
            <w:vAlign w:val="bottom"/>
          </w:tcPr>
          <w:p>
            <w:pPr>
              <w:pStyle w:val="yTableNAm"/>
              <w:jc w:val="center"/>
              <w:rPr>
                <w:rFonts w:ascii="Arial" w:hAnsi="Arial"/>
                <w:b/>
              </w:rPr>
            </w:pPr>
            <w:r>
              <w:rPr>
                <w:spacing w:val="-2"/>
              </w:rPr>
              <w:t>1 285.67</w:t>
            </w:r>
          </w:p>
        </w:tc>
      </w:tr>
      <w:tr>
        <w:trPr>
          <w:gridAfter w:val="1"/>
          <w:wAfter w:w="142" w:type="dxa"/>
          <w:cantSplit/>
        </w:trPr>
        <w:tc>
          <w:tcPr>
            <w:tcW w:w="3969" w:type="dxa"/>
          </w:tcPr>
          <w:p>
            <w:pPr>
              <w:pStyle w:val="yTableNAm"/>
              <w:jc w:val="center"/>
              <w:rPr>
                <w:rFonts w:ascii="Arial" w:hAnsi="Arial"/>
                <w:b/>
              </w:rPr>
            </w:pPr>
            <w:r>
              <w:rPr>
                <w:spacing w:val="-2"/>
              </w:rPr>
              <w:t>70, 75, 80</w:t>
            </w:r>
          </w:p>
        </w:tc>
        <w:tc>
          <w:tcPr>
            <w:tcW w:w="2272" w:type="dxa"/>
            <w:vAlign w:val="bottom"/>
          </w:tcPr>
          <w:p>
            <w:pPr>
              <w:pStyle w:val="yTableNAm"/>
              <w:jc w:val="center"/>
              <w:rPr>
                <w:rFonts w:ascii="Arial" w:hAnsi="Arial"/>
                <w:b/>
              </w:rPr>
            </w:pPr>
            <w:r>
              <w:rPr>
                <w:spacing w:val="-2"/>
              </w:rPr>
              <w:t>3 291.31</w:t>
            </w:r>
          </w:p>
        </w:tc>
      </w:tr>
      <w:tr>
        <w:trPr>
          <w:gridAfter w:val="1"/>
          <w:wAfter w:w="142" w:type="dxa"/>
          <w:cantSplit/>
        </w:trPr>
        <w:tc>
          <w:tcPr>
            <w:tcW w:w="3969" w:type="dxa"/>
          </w:tcPr>
          <w:p>
            <w:pPr>
              <w:pStyle w:val="yTableNAm"/>
              <w:jc w:val="center"/>
              <w:rPr>
                <w:rFonts w:ascii="Arial" w:hAnsi="Arial"/>
                <w:b/>
              </w:rPr>
            </w:pPr>
            <w:r>
              <w:rPr>
                <w:spacing w:val="-2"/>
              </w:rPr>
              <w:t>100</w:t>
            </w:r>
          </w:p>
        </w:tc>
        <w:tc>
          <w:tcPr>
            <w:tcW w:w="2272" w:type="dxa"/>
            <w:vAlign w:val="bottom"/>
          </w:tcPr>
          <w:p>
            <w:pPr>
              <w:pStyle w:val="yTableNAm"/>
              <w:jc w:val="center"/>
              <w:rPr>
                <w:rFonts w:ascii="Arial" w:hAnsi="Arial"/>
                <w:b/>
              </w:rPr>
            </w:pPr>
            <w:r>
              <w:rPr>
                <w:spacing w:val="-2"/>
              </w:rPr>
              <w:t>5 142.67</w:t>
            </w:r>
          </w:p>
        </w:tc>
      </w:tr>
      <w:tr>
        <w:trPr>
          <w:gridAfter w:val="1"/>
          <w:wAfter w:w="142" w:type="dxa"/>
          <w:cantSplit/>
        </w:trPr>
        <w:tc>
          <w:tcPr>
            <w:tcW w:w="3969" w:type="dxa"/>
          </w:tcPr>
          <w:p>
            <w:pPr>
              <w:pStyle w:val="yTableNAm"/>
              <w:jc w:val="center"/>
              <w:rPr>
                <w:rFonts w:ascii="Arial" w:hAnsi="Arial"/>
                <w:b/>
              </w:rPr>
            </w:pPr>
            <w:r>
              <w:rPr>
                <w:spacing w:val="-2"/>
              </w:rPr>
              <w:t>140, 150</w:t>
            </w:r>
          </w:p>
        </w:tc>
        <w:tc>
          <w:tcPr>
            <w:tcW w:w="2272" w:type="dxa"/>
            <w:vAlign w:val="bottom"/>
          </w:tcPr>
          <w:p>
            <w:pPr>
              <w:pStyle w:val="yTableNAm"/>
              <w:jc w:val="center"/>
              <w:rPr>
                <w:rFonts w:ascii="Arial" w:hAnsi="Arial"/>
                <w:b/>
              </w:rPr>
            </w:pPr>
            <w:r>
              <w:rPr>
                <w:spacing w:val="-2"/>
              </w:rPr>
              <w:t>11 571.02</w:t>
            </w:r>
          </w:p>
        </w:tc>
      </w:tr>
      <w:tr>
        <w:trPr>
          <w:gridAfter w:val="1"/>
          <w:wAfter w:w="142" w:type="dxa"/>
          <w:cantSplit/>
        </w:trPr>
        <w:tc>
          <w:tcPr>
            <w:tcW w:w="3969" w:type="dxa"/>
          </w:tcPr>
          <w:p>
            <w:pPr>
              <w:pStyle w:val="yTableNAm"/>
              <w:jc w:val="center"/>
              <w:rPr>
                <w:rFonts w:ascii="Arial" w:hAnsi="Arial"/>
                <w:b/>
              </w:rPr>
            </w:pPr>
            <w:r>
              <w:rPr>
                <w:spacing w:val="-2"/>
              </w:rPr>
              <w:t>200</w:t>
            </w:r>
          </w:p>
        </w:tc>
        <w:tc>
          <w:tcPr>
            <w:tcW w:w="2272" w:type="dxa"/>
            <w:vAlign w:val="bottom"/>
          </w:tcPr>
          <w:p>
            <w:pPr>
              <w:pStyle w:val="yTableNAm"/>
              <w:jc w:val="center"/>
              <w:rPr>
                <w:rFonts w:ascii="Arial" w:hAnsi="Arial"/>
                <w:b/>
              </w:rPr>
            </w:pPr>
            <w:r>
              <w:rPr>
                <w:spacing w:val="-2"/>
              </w:rPr>
              <w:t>20 570.70</w:t>
            </w:r>
          </w:p>
        </w:tc>
      </w:tr>
      <w:tr>
        <w:trPr>
          <w:gridAfter w:val="1"/>
          <w:wAfter w:w="142" w:type="dxa"/>
          <w:cantSplit/>
        </w:trPr>
        <w:tc>
          <w:tcPr>
            <w:tcW w:w="3969" w:type="dxa"/>
          </w:tcPr>
          <w:p>
            <w:pPr>
              <w:pStyle w:val="yTableNAm"/>
              <w:jc w:val="center"/>
              <w:rPr>
                <w:rFonts w:ascii="Arial" w:hAnsi="Arial"/>
                <w:b/>
              </w:rPr>
            </w:pPr>
            <w:r>
              <w:rPr>
                <w:spacing w:val="-2"/>
              </w:rPr>
              <w:t>250</w:t>
            </w:r>
          </w:p>
        </w:tc>
        <w:tc>
          <w:tcPr>
            <w:tcW w:w="2272" w:type="dxa"/>
            <w:vAlign w:val="bottom"/>
          </w:tcPr>
          <w:p>
            <w:pPr>
              <w:pStyle w:val="yTableNAm"/>
              <w:jc w:val="center"/>
              <w:rPr>
                <w:rFonts w:ascii="Arial" w:hAnsi="Arial"/>
                <w:b/>
              </w:rPr>
            </w:pPr>
            <w:r>
              <w:rPr>
                <w:spacing w:val="-2"/>
              </w:rPr>
              <w:t>32 141.69</w:t>
            </w:r>
          </w:p>
        </w:tc>
      </w:tr>
      <w:tr>
        <w:trPr>
          <w:gridAfter w:val="1"/>
          <w:wAfter w:w="142" w:type="dxa"/>
          <w:cantSplit/>
        </w:trPr>
        <w:tc>
          <w:tcPr>
            <w:tcW w:w="3969" w:type="dxa"/>
          </w:tcPr>
          <w:p>
            <w:pPr>
              <w:pStyle w:val="yTableNAm"/>
              <w:jc w:val="center"/>
              <w:rPr>
                <w:rFonts w:ascii="Arial" w:hAnsi="Arial"/>
                <w:b/>
              </w:rPr>
            </w:pPr>
            <w:r>
              <w:rPr>
                <w:spacing w:val="-2"/>
              </w:rPr>
              <w:t>300</w:t>
            </w:r>
          </w:p>
        </w:tc>
        <w:tc>
          <w:tcPr>
            <w:tcW w:w="2272" w:type="dxa"/>
            <w:vAlign w:val="bottom"/>
          </w:tcPr>
          <w:p>
            <w:pPr>
              <w:pStyle w:val="yTableNAm"/>
              <w:jc w:val="center"/>
              <w:rPr>
                <w:rFonts w:ascii="Arial" w:hAnsi="Arial"/>
                <w:b/>
              </w:rPr>
            </w:pPr>
            <w:r>
              <w:rPr>
                <w:spacing w:val="-2"/>
              </w:rPr>
              <w:t>46 284.07</w:t>
            </w:r>
          </w:p>
        </w:tc>
      </w:tr>
      <w:tr>
        <w:trPr>
          <w:gridAfter w:val="1"/>
          <w:wAfter w:w="142" w:type="dxa"/>
          <w:cantSplit/>
        </w:trPr>
        <w:tc>
          <w:tcPr>
            <w:tcW w:w="3969" w:type="dxa"/>
          </w:tcPr>
          <w:p>
            <w:pPr>
              <w:pStyle w:val="yTableNAm"/>
              <w:jc w:val="center"/>
              <w:rPr>
                <w:rFonts w:ascii="Arial" w:hAnsi="Arial"/>
                <w:b/>
              </w:rPr>
            </w:pPr>
            <w:r>
              <w:rPr>
                <w:spacing w:val="-2"/>
              </w:rPr>
              <w:t>350</w:t>
            </w:r>
          </w:p>
        </w:tc>
        <w:tc>
          <w:tcPr>
            <w:tcW w:w="2272" w:type="dxa"/>
            <w:vAlign w:val="bottom"/>
          </w:tcPr>
          <w:p>
            <w:pPr>
              <w:pStyle w:val="yTableNAm"/>
              <w:jc w:val="center"/>
              <w:rPr>
                <w:rFonts w:ascii="Arial" w:hAnsi="Arial"/>
                <w:b/>
              </w:rPr>
            </w:pPr>
            <w:r>
              <w:rPr>
                <w:spacing w:val="-2"/>
              </w:rPr>
              <w:t>62 997.77</w:t>
            </w:r>
          </w:p>
        </w:tc>
      </w:tr>
      <w:tr>
        <w:tblPrEx>
          <w:tblCellMar>
            <w:left w:w="142" w:type="dxa"/>
            <w:right w:w="142" w:type="dxa"/>
          </w:tblCellMar>
        </w:tblPrEx>
        <w:trPr>
          <w:cantSplit/>
        </w:trPr>
        <w:tc>
          <w:tcPr>
            <w:tcW w:w="3969" w:type="dxa"/>
            <w:tcBorders>
              <w:bottom w:val="single" w:sz="4" w:space="0" w:color="auto"/>
            </w:tcBorders>
          </w:tcPr>
          <w:p>
            <w:pPr>
              <w:pStyle w:val="yTableNAm"/>
              <w:rPr>
                <w:rFonts w:ascii="Arial" w:hAnsi="Arial"/>
                <w:b/>
              </w:rPr>
            </w:pPr>
            <w:r>
              <w:t>subject to a minimum charge, where property is served but not metered by the Corporation, of</w:t>
            </w:r>
          </w:p>
        </w:tc>
        <w:tc>
          <w:tcPr>
            <w:tcW w:w="2272" w:type="dxa"/>
            <w:gridSpan w:val="2"/>
            <w:tcBorders>
              <w:bottom w:val="single" w:sz="4" w:space="0" w:color="auto"/>
            </w:tcBorders>
            <w:vAlign w:val="bottom"/>
          </w:tcPr>
          <w:p>
            <w:pPr>
              <w:pStyle w:val="yTableNAm"/>
              <w:jc w:val="center"/>
              <w:rPr>
                <w:rFonts w:ascii="Arial" w:hAnsi="Arial"/>
                <w:b/>
              </w:rPr>
            </w:pPr>
            <w:r>
              <w:rPr>
                <w:spacing w:val="-2"/>
              </w:rPr>
              <w:t>205.71</w:t>
            </w:r>
          </w:p>
        </w:tc>
      </w:tr>
    </w:tbl>
    <w:p>
      <w:pPr>
        <w:pStyle w:val="yHeading5"/>
      </w:pPr>
      <w:bookmarkStart w:id="353" w:name="_Toc391907038"/>
      <w:bookmarkStart w:id="354" w:name="_Toc426119899"/>
      <w:r>
        <w:rPr>
          <w:rStyle w:val="CharSClsNo"/>
        </w:rPr>
        <w:t>2</w:t>
      </w:r>
      <w:r>
        <w:t>.</w:t>
      </w:r>
      <w:r>
        <w:tab/>
        <w:t>Volume charge (c/kL)</w:t>
      </w:r>
      <w:bookmarkEnd w:id="353"/>
      <w:bookmarkEnd w:id="354"/>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zyTableNAm"/>
              <w:tabs>
                <w:tab w:val="clear" w:pos="567"/>
                <w:tab w:val="left" w:pos="601"/>
                <w:tab w:val="right" w:leader="dot" w:pos="4253"/>
              </w:tabs>
              <w:ind w:left="601" w:hanging="601"/>
              <w:rPr>
                <w:szCs w:val="22"/>
              </w:rPr>
            </w:pPr>
          </w:p>
        </w:tc>
        <w:tc>
          <w:tcPr>
            <w:tcW w:w="4961" w:type="dxa"/>
          </w:tcPr>
          <w:p>
            <w:pPr>
              <w:pStyle w:val="yTableNAm"/>
              <w:tabs>
                <w:tab w:val="right" w:leader="dot" w:pos="4745"/>
              </w:tabs>
              <w:ind w:left="601" w:hanging="601"/>
              <w:rPr>
                <w:rFonts w:ascii="Arial" w:hAnsi="Arial"/>
                <w:b/>
              </w:rPr>
            </w:pPr>
            <w:r>
              <w:rPr>
                <w:szCs w:val="22"/>
              </w:rPr>
              <w:t>(1)</w:t>
            </w:r>
            <w:r>
              <w:rPr>
                <w:szCs w:val="22"/>
              </w:rPr>
              <w:tab/>
              <w:t xml:space="preserve">Metropolitan </w:t>
            </w:r>
            <w:r>
              <w:rPr>
                <w:szCs w:val="22"/>
              </w:rPr>
              <w:tab/>
            </w:r>
          </w:p>
        </w:tc>
        <w:tc>
          <w:tcPr>
            <w:tcW w:w="1418" w:type="dxa"/>
          </w:tcPr>
          <w:p>
            <w:pPr>
              <w:pStyle w:val="yTableNAm"/>
            </w:pPr>
            <w:r>
              <w:rPr>
                <w:szCs w:val="22"/>
              </w:rPr>
              <w:t>204.3 cents</w:t>
            </w:r>
          </w:p>
        </w:tc>
      </w:tr>
      <w:tr>
        <w:tc>
          <w:tcPr>
            <w:tcW w:w="907" w:type="dxa"/>
          </w:tcPr>
          <w:p>
            <w:pPr>
              <w:pStyle w:val="zyTableNAm"/>
              <w:keepNext/>
              <w:tabs>
                <w:tab w:val="clear" w:pos="567"/>
                <w:tab w:val="left" w:pos="601"/>
                <w:tab w:val="right" w:leader="dot" w:pos="4253"/>
              </w:tabs>
              <w:ind w:left="601" w:hanging="601"/>
              <w:rPr>
                <w:szCs w:val="22"/>
              </w:rPr>
            </w:pPr>
          </w:p>
        </w:tc>
        <w:tc>
          <w:tcPr>
            <w:tcW w:w="4961" w:type="dxa"/>
          </w:tcPr>
          <w:p>
            <w:pPr>
              <w:pStyle w:val="yTableNAm"/>
              <w:tabs>
                <w:tab w:val="right" w:leader="dot" w:pos="4428"/>
              </w:tabs>
              <w:ind w:left="601" w:hanging="601"/>
              <w:rPr>
                <w:rFonts w:ascii="Arial" w:hAnsi="Arial"/>
                <w:b/>
              </w:rPr>
            </w:pPr>
            <w:r>
              <w:rPr>
                <w:szCs w:val="22"/>
              </w:rPr>
              <w:t>(2)</w:t>
            </w:r>
            <w:r>
              <w:rPr>
                <w:szCs w:val="22"/>
              </w:rPr>
              <w:tab/>
              <w:t>Country (according to the non</w:t>
            </w:r>
            <w:r>
              <w:rPr>
                <w:szCs w:val="22"/>
              </w:rPr>
              <w:noBreakHyphen/>
              <w:t>residential classification of the town/area in which that property is situated, as set out in Schedule 10) —</w:t>
            </w:r>
          </w:p>
        </w:tc>
        <w:tc>
          <w:tcPr>
            <w:tcW w:w="1418" w:type="dxa"/>
          </w:tcPr>
          <w:p>
            <w:pPr>
              <w:pStyle w:val="yTableNAm"/>
            </w:pPr>
          </w:p>
        </w:tc>
      </w:tr>
    </w:tbl>
    <w:p>
      <w:pPr>
        <w:rPr>
          <w:sz w:val="16"/>
          <w:szCs w:val="16"/>
        </w:rPr>
      </w:pPr>
    </w:p>
    <w:tbl>
      <w:tblPr>
        <w:tblW w:w="0" w:type="auto"/>
        <w:tblInd w:w="1588" w:type="dxa"/>
        <w:tblLayout w:type="fixed"/>
        <w:tblCellMar>
          <w:left w:w="28" w:type="dxa"/>
          <w:right w:w="28" w:type="dxa"/>
        </w:tblCellMar>
        <w:tblLook w:val="0000" w:firstRow="0" w:lastRow="0" w:firstColumn="0" w:lastColumn="0" w:noHBand="0" w:noVBand="0"/>
      </w:tblPr>
      <w:tblGrid>
        <w:gridCol w:w="1842"/>
        <w:gridCol w:w="3687"/>
      </w:tblGrid>
      <w:tr>
        <w:trPr>
          <w:cantSplit/>
          <w:trHeight w:val="217"/>
          <w:tblHeader/>
        </w:trPr>
        <w:tc>
          <w:tcPr>
            <w:tcW w:w="1842" w:type="dxa"/>
            <w:tcBorders>
              <w:top w:val="single" w:sz="4" w:space="0" w:color="auto"/>
              <w:bottom w:val="single" w:sz="4" w:space="0" w:color="auto"/>
            </w:tcBorders>
          </w:tcPr>
          <w:p>
            <w:pPr>
              <w:pStyle w:val="yTableNAm"/>
            </w:pPr>
            <w:r>
              <w:rPr>
                <w:b/>
                <w:bCs/>
              </w:rPr>
              <w:t>Class</w:t>
            </w:r>
          </w:p>
        </w:tc>
        <w:tc>
          <w:tcPr>
            <w:tcW w:w="3687" w:type="dxa"/>
            <w:tcBorders>
              <w:top w:val="single" w:sz="4" w:space="0" w:color="auto"/>
              <w:bottom w:val="single" w:sz="4" w:space="0" w:color="auto"/>
            </w:tcBorders>
          </w:tcPr>
          <w:p>
            <w:pPr>
              <w:pStyle w:val="yTableNAm"/>
              <w:jc w:val="center"/>
            </w:pPr>
            <w:r>
              <w:rPr>
                <w:b/>
                <w:bCs/>
              </w:rPr>
              <w:t>Charge (c/kL)</w:t>
            </w:r>
          </w:p>
        </w:tc>
      </w:tr>
      <w:tr>
        <w:tc>
          <w:tcPr>
            <w:tcW w:w="1842" w:type="dxa"/>
            <w:tcBorders>
              <w:top w:val="single" w:sz="4" w:space="0" w:color="auto"/>
            </w:tcBorders>
          </w:tcPr>
          <w:p>
            <w:pPr>
              <w:pStyle w:val="yTableNAm"/>
            </w:pPr>
            <w:r>
              <w:rPr>
                <w:bCs/>
              </w:rPr>
              <w:t xml:space="preserve">Class 1 </w:t>
            </w:r>
          </w:p>
        </w:tc>
        <w:tc>
          <w:tcPr>
            <w:tcW w:w="3687" w:type="dxa"/>
            <w:tcBorders>
              <w:top w:val="single" w:sz="4" w:space="0" w:color="auto"/>
            </w:tcBorders>
            <w:vAlign w:val="bottom"/>
          </w:tcPr>
          <w:p>
            <w:pPr>
              <w:pStyle w:val="yTableNAm"/>
              <w:jc w:val="center"/>
              <w:rPr>
                <w:rFonts w:ascii="Arial" w:hAnsi="Arial"/>
                <w:b/>
              </w:rPr>
            </w:pPr>
            <w:r>
              <w:t>196.5</w:t>
            </w:r>
          </w:p>
        </w:tc>
      </w:tr>
      <w:tr>
        <w:tc>
          <w:tcPr>
            <w:tcW w:w="1842" w:type="dxa"/>
          </w:tcPr>
          <w:p>
            <w:pPr>
              <w:pStyle w:val="yTableNAm"/>
            </w:pPr>
            <w:r>
              <w:rPr>
                <w:bCs/>
              </w:rPr>
              <w:t xml:space="preserve">Class 2 </w:t>
            </w:r>
          </w:p>
        </w:tc>
        <w:tc>
          <w:tcPr>
            <w:tcW w:w="3687" w:type="dxa"/>
            <w:vAlign w:val="bottom"/>
          </w:tcPr>
          <w:p>
            <w:pPr>
              <w:pStyle w:val="yTableNAm"/>
              <w:jc w:val="center"/>
              <w:rPr>
                <w:rFonts w:ascii="Arial" w:hAnsi="Arial"/>
                <w:b/>
              </w:rPr>
            </w:pPr>
            <w:r>
              <w:t>214.0</w:t>
            </w:r>
          </w:p>
        </w:tc>
      </w:tr>
      <w:tr>
        <w:tc>
          <w:tcPr>
            <w:tcW w:w="1842" w:type="dxa"/>
          </w:tcPr>
          <w:p>
            <w:pPr>
              <w:pStyle w:val="yTableNAm"/>
            </w:pPr>
            <w:r>
              <w:rPr>
                <w:bCs/>
              </w:rPr>
              <w:t xml:space="preserve">Class 3 </w:t>
            </w:r>
          </w:p>
        </w:tc>
        <w:tc>
          <w:tcPr>
            <w:tcW w:w="3687" w:type="dxa"/>
            <w:vAlign w:val="bottom"/>
          </w:tcPr>
          <w:p>
            <w:pPr>
              <w:pStyle w:val="yTableNAm"/>
              <w:jc w:val="center"/>
              <w:rPr>
                <w:rFonts w:ascii="Arial" w:hAnsi="Arial"/>
                <w:b/>
              </w:rPr>
            </w:pPr>
            <w:r>
              <w:t>232.8</w:t>
            </w:r>
          </w:p>
        </w:tc>
      </w:tr>
      <w:tr>
        <w:tc>
          <w:tcPr>
            <w:tcW w:w="1842" w:type="dxa"/>
          </w:tcPr>
          <w:p>
            <w:pPr>
              <w:pStyle w:val="yTableNAm"/>
            </w:pPr>
            <w:r>
              <w:rPr>
                <w:bCs/>
              </w:rPr>
              <w:t xml:space="preserve">Class 4 </w:t>
            </w:r>
          </w:p>
        </w:tc>
        <w:tc>
          <w:tcPr>
            <w:tcW w:w="3687" w:type="dxa"/>
            <w:vAlign w:val="bottom"/>
          </w:tcPr>
          <w:p>
            <w:pPr>
              <w:pStyle w:val="yTableNAm"/>
              <w:jc w:val="center"/>
              <w:rPr>
                <w:rFonts w:ascii="Arial" w:hAnsi="Arial"/>
                <w:b/>
              </w:rPr>
            </w:pPr>
            <w:r>
              <w:t>253.6</w:t>
            </w:r>
          </w:p>
        </w:tc>
      </w:tr>
      <w:tr>
        <w:tc>
          <w:tcPr>
            <w:tcW w:w="1842" w:type="dxa"/>
          </w:tcPr>
          <w:p>
            <w:pPr>
              <w:pStyle w:val="yTableNAm"/>
            </w:pPr>
            <w:r>
              <w:rPr>
                <w:bCs/>
              </w:rPr>
              <w:t xml:space="preserve">Class 5 </w:t>
            </w:r>
          </w:p>
        </w:tc>
        <w:tc>
          <w:tcPr>
            <w:tcW w:w="3687" w:type="dxa"/>
            <w:vAlign w:val="bottom"/>
          </w:tcPr>
          <w:p>
            <w:pPr>
              <w:pStyle w:val="yTableNAm"/>
              <w:jc w:val="center"/>
              <w:rPr>
                <w:rFonts w:ascii="Arial" w:hAnsi="Arial"/>
                <w:b/>
              </w:rPr>
            </w:pPr>
            <w:r>
              <w:t>276.1</w:t>
            </w:r>
          </w:p>
        </w:tc>
      </w:tr>
      <w:tr>
        <w:tc>
          <w:tcPr>
            <w:tcW w:w="1842" w:type="dxa"/>
          </w:tcPr>
          <w:p>
            <w:pPr>
              <w:pStyle w:val="yTableNAm"/>
            </w:pPr>
            <w:r>
              <w:rPr>
                <w:bCs/>
              </w:rPr>
              <w:t xml:space="preserve">Class 6 </w:t>
            </w:r>
          </w:p>
        </w:tc>
        <w:tc>
          <w:tcPr>
            <w:tcW w:w="3687" w:type="dxa"/>
            <w:vAlign w:val="bottom"/>
          </w:tcPr>
          <w:p>
            <w:pPr>
              <w:pStyle w:val="yTableNAm"/>
              <w:jc w:val="center"/>
              <w:rPr>
                <w:rFonts w:ascii="Arial" w:hAnsi="Arial"/>
                <w:b/>
              </w:rPr>
            </w:pPr>
            <w:r>
              <w:t>300.7</w:t>
            </w:r>
          </w:p>
        </w:tc>
      </w:tr>
      <w:tr>
        <w:tc>
          <w:tcPr>
            <w:tcW w:w="1842" w:type="dxa"/>
          </w:tcPr>
          <w:p>
            <w:pPr>
              <w:pStyle w:val="yTableNAm"/>
            </w:pPr>
            <w:r>
              <w:rPr>
                <w:bCs/>
              </w:rPr>
              <w:t xml:space="preserve">Class 7 </w:t>
            </w:r>
          </w:p>
        </w:tc>
        <w:tc>
          <w:tcPr>
            <w:tcW w:w="3687" w:type="dxa"/>
            <w:vAlign w:val="bottom"/>
          </w:tcPr>
          <w:p>
            <w:pPr>
              <w:pStyle w:val="yTableNAm"/>
              <w:jc w:val="center"/>
              <w:rPr>
                <w:rFonts w:ascii="Arial" w:hAnsi="Arial"/>
                <w:b/>
              </w:rPr>
            </w:pPr>
            <w:r>
              <w:t>327.5</w:t>
            </w:r>
          </w:p>
        </w:tc>
      </w:tr>
      <w:tr>
        <w:tc>
          <w:tcPr>
            <w:tcW w:w="1842" w:type="dxa"/>
          </w:tcPr>
          <w:p>
            <w:pPr>
              <w:pStyle w:val="yTableNAm"/>
            </w:pPr>
            <w:r>
              <w:rPr>
                <w:bCs/>
              </w:rPr>
              <w:t xml:space="preserve">Class 8 </w:t>
            </w:r>
          </w:p>
        </w:tc>
        <w:tc>
          <w:tcPr>
            <w:tcW w:w="3687" w:type="dxa"/>
            <w:vAlign w:val="bottom"/>
          </w:tcPr>
          <w:p>
            <w:pPr>
              <w:pStyle w:val="yTableNAm"/>
              <w:jc w:val="center"/>
              <w:rPr>
                <w:rFonts w:ascii="Arial" w:hAnsi="Arial"/>
                <w:b/>
              </w:rPr>
            </w:pPr>
            <w:r>
              <w:t>356.6</w:t>
            </w:r>
          </w:p>
        </w:tc>
      </w:tr>
      <w:tr>
        <w:tc>
          <w:tcPr>
            <w:tcW w:w="1842" w:type="dxa"/>
          </w:tcPr>
          <w:p>
            <w:pPr>
              <w:pStyle w:val="yTableNAm"/>
            </w:pPr>
            <w:r>
              <w:rPr>
                <w:bCs/>
              </w:rPr>
              <w:t xml:space="preserve">Class 9 </w:t>
            </w:r>
          </w:p>
        </w:tc>
        <w:tc>
          <w:tcPr>
            <w:tcW w:w="3687" w:type="dxa"/>
            <w:vAlign w:val="bottom"/>
          </w:tcPr>
          <w:p>
            <w:pPr>
              <w:pStyle w:val="yTableNAm"/>
              <w:jc w:val="center"/>
              <w:rPr>
                <w:rFonts w:ascii="Arial" w:hAnsi="Arial"/>
                <w:b/>
              </w:rPr>
            </w:pPr>
            <w:r>
              <w:t>388.3</w:t>
            </w:r>
          </w:p>
        </w:tc>
      </w:tr>
      <w:tr>
        <w:tc>
          <w:tcPr>
            <w:tcW w:w="1842" w:type="dxa"/>
          </w:tcPr>
          <w:p>
            <w:pPr>
              <w:pStyle w:val="yTableNAm"/>
            </w:pPr>
            <w:r>
              <w:rPr>
                <w:bCs/>
              </w:rPr>
              <w:t xml:space="preserve">Class 10 </w:t>
            </w:r>
          </w:p>
        </w:tc>
        <w:tc>
          <w:tcPr>
            <w:tcW w:w="3687" w:type="dxa"/>
            <w:vAlign w:val="bottom"/>
          </w:tcPr>
          <w:p>
            <w:pPr>
              <w:pStyle w:val="yTableNAm"/>
              <w:jc w:val="center"/>
              <w:rPr>
                <w:rFonts w:ascii="Arial" w:hAnsi="Arial"/>
                <w:b/>
              </w:rPr>
            </w:pPr>
            <w:r>
              <w:t>422.9</w:t>
            </w:r>
          </w:p>
        </w:tc>
      </w:tr>
      <w:tr>
        <w:tc>
          <w:tcPr>
            <w:tcW w:w="1842" w:type="dxa"/>
          </w:tcPr>
          <w:p>
            <w:pPr>
              <w:pStyle w:val="yTableNAm"/>
            </w:pPr>
            <w:r>
              <w:rPr>
                <w:bCs/>
              </w:rPr>
              <w:t xml:space="preserve">Class 11 </w:t>
            </w:r>
          </w:p>
        </w:tc>
        <w:tc>
          <w:tcPr>
            <w:tcW w:w="3687" w:type="dxa"/>
            <w:vAlign w:val="bottom"/>
          </w:tcPr>
          <w:p>
            <w:pPr>
              <w:pStyle w:val="yTableNAm"/>
              <w:jc w:val="center"/>
              <w:rPr>
                <w:rFonts w:ascii="Arial" w:hAnsi="Arial"/>
                <w:b/>
              </w:rPr>
            </w:pPr>
            <w:r>
              <w:t>460.4</w:t>
            </w:r>
          </w:p>
        </w:tc>
      </w:tr>
      <w:tr>
        <w:tc>
          <w:tcPr>
            <w:tcW w:w="1842" w:type="dxa"/>
          </w:tcPr>
          <w:p>
            <w:pPr>
              <w:pStyle w:val="yTableNAm"/>
            </w:pPr>
            <w:r>
              <w:rPr>
                <w:bCs/>
              </w:rPr>
              <w:t xml:space="preserve">Class 12 </w:t>
            </w:r>
          </w:p>
        </w:tc>
        <w:tc>
          <w:tcPr>
            <w:tcW w:w="3687" w:type="dxa"/>
            <w:vAlign w:val="bottom"/>
          </w:tcPr>
          <w:p>
            <w:pPr>
              <w:pStyle w:val="yTableNAm"/>
              <w:jc w:val="center"/>
              <w:rPr>
                <w:rFonts w:ascii="Arial" w:hAnsi="Arial"/>
                <w:b/>
              </w:rPr>
            </w:pPr>
            <w:r>
              <w:t>501.4</w:t>
            </w:r>
          </w:p>
        </w:tc>
      </w:tr>
      <w:tr>
        <w:tc>
          <w:tcPr>
            <w:tcW w:w="1842" w:type="dxa"/>
          </w:tcPr>
          <w:p>
            <w:pPr>
              <w:pStyle w:val="yTableNAm"/>
            </w:pPr>
            <w:r>
              <w:rPr>
                <w:bCs/>
              </w:rPr>
              <w:t xml:space="preserve">Class 13 </w:t>
            </w:r>
          </w:p>
        </w:tc>
        <w:tc>
          <w:tcPr>
            <w:tcW w:w="3687" w:type="dxa"/>
            <w:vAlign w:val="bottom"/>
          </w:tcPr>
          <w:p>
            <w:pPr>
              <w:pStyle w:val="yTableNAm"/>
              <w:jc w:val="center"/>
              <w:rPr>
                <w:rFonts w:ascii="Arial" w:hAnsi="Arial"/>
                <w:b/>
              </w:rPr>
            </w:pPr>
            <w:r>
              <w:t>546.0</w:t>
            </w:r>
          </w:p>
        </w:tc>
      </w:tr>
      <w:tr>
        <w:tc>
          <w:tcPr>
            <w:tcW w:w="1842" w:type="dxa"/>
          </w:tcPr>
          <w:p>
            <w:pPr>
              <w:pStyle w:val="yTableNAm"/>
            </w:pPr>
            <w:r>
              <w:rPr>
                <w:bCs/>
              </w:rPr>
              <w:t xml:space="preserve">Class 14 </w:t>
            </w:r>
          </w:p>
        </w:tc>
        <w:tc>
          <w:tcPr>
            <w:tcW w:w="3687" w:type="dxa"/>
            <w:vAlign w:val="bottom"/>
          </w:tcPr>
          <w:p>
            <w:pPr>
              <w:pStyle w:val="yTableNAm"/>
              <w:jc w:val="center"/>
              <w:rPr>
                <w:rFonts w:ascii="Arial" w:hAnsi="Arial"/>
                <w:b/>
              </w:rPr>
            </w:pPr>
            <w:r>
              <w:t>594.6</w:t>
            </w:r>
          </w:p>
        </w:tc>
      </w:tr>
      <w:tr>
        <w:tc>
          <w:tcPr>
            <w:tcW w:w="1842" w:type="dxa"/>
            <w:tcBorders>
              <w:bottom w:val="single" w:sz="4" w:space="0" w:color="auto"/>
            </w:tcBorders>
          </w:tcPr>
          <w:p>
            <w:pPr>
              <w:pStyle w:val="yTableNAm"/>
            </w:pPr>
            <w:r>
              <w:rPr>
                <w:bCs/>
              </w:rPr>
              <w:t xml:space="preserve">Class 15 </w:t>
            </w:r>
          </w:p>
        </w:tc>
        <w:tc>
          <w:tcPr>
            <w:tcW w:w="3687" w:type="dxa"/>
            <w:tcBorders>
              <w:bottom w:val="single" w:sz="4" w:space="0" w:color="auto"/>
            </w:tcBorders>
            <w:vAlign w:val="bottom"/>
          </w:tcPr>
          <w:p>
            <w:pPr>
              <w:pStyle w:val="yTableNAm"/>
              <w:jc w:val="center"/>
              <w:rPr>
                <w:rFonts w:ascii="Arial" w:hAnsi="Arial"/>
                <w:b/>
              </w:rPr>
            </w:pPr>
            <w:r>
              <w:t>647.4</w:t>
            </w:r>
          </w:p>
        </w:tc>
      </w:tr>
    </w:tbl>
    <w:p>
      <w:pPr>
        <w:pStyle w:val="yFootnotesection"/>
      </w:pPr>
      <w:r>
        <w:tab/>
        <w:t>[Schedule 8 inserted in Gazette 19 Jun 2013 p. 2401-2.]</w:t>
      </w:r>
    </w:p>
    <w:p>
      <w:pPr>
        <w:sectPr>
          <w:headerReference w:type="even" r:id="rId29"/>
          <w:headerReference w:type="default" r:id="rId30"/>
          <w:headerReference w:type="first" r:id="rId31"/>
          <w:pgSz w:w="11907" w:h="16840" w:code="9"/>
          <w:pgMar w:top="2376" w:right="2404" w:bottom="3544" w:left="2404" w:header="709" w:footer="3380" w:gutter="0"/>
          <w:cols w:space="720"/>
          <w:noEndnote/>
          <w:docGrid w:linePitch="326"/>
        </w:sectPr>
      </w:pPr>
    </w:p>
    <w:p>
      <w:pPr>
        <w:pStyle w:val="yScheduleHeading"/>
      </w:pPr>
      <w:bookmarkStart w:id="356" w:name="_Toc390772172"/>
      <w:bookmarkStart w:id="357" w:name="_Toc391907039"/>
      <w:bookmarkStart w:id="358" w:name="_Toc426119900"/>
      <w:r>
        <w:rPr>
          <w:rStyle w:val="CharSchNo"/>
        </w:rPr>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356"/>
      <w:bookmarkEnd w:id="357"/>
      <w:bookmarkEnd w:id="358"/>
    </w:p>
    <w:p>
      <w:pPr>
        <w:pStyle w:val="yShoulderClause"/>
      </w:pPr>
      <w:r>
        <w:t>[bl. 17D(3)]</w:t>
      </w:r>
    </w:p>
    <w:p>
      <w:pPr>
        <w:pStyle w:val="yFootnoteheading"/>
        <w:spacing w:after="120"/>
      </w:pPr>
      <w:r>
        <w:tab/>
        <w:t>[Heading inserted in Gazette 19 Jun 2013 p. 2403.]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6"/>
        <w:gridCol w:w="1871"/>
        <w:gridCol w:w="1871"/>
      </w:tblGrid>
      <w:tr>
        <w:trPr>
          <w:tblHeader/>
        </w:trPr>
        <w:tc>
          <w:tcPr>
            <w:tcW w:w="3346" w:type="dxa"/>
            <w:tcBorders>
              <w:top w:val="single" w:sz="4" w:space="0" w:color="auto"/>
              <w:left w:val="nil"/>
              <w:bottom w:val="single" w:sz="4" w:space="0" w:color="auto"/>
              <w:right w:val="nil"/>
            </w:tcBorders>
          </w:tcPr>
          <w:p>
            <w:pPr>
              <w:pStyle w:val="yTableNAm"/>
              <w:spacing w:before="100"/>
              <w:jc w:val="center"/>
            </w:pPr>
            <w:r>
              <w:rPr>
                <w:b/>
                <w:bCs/>
              </w:rPr>
              <w:t>Town/area</w:t>
            </w:r>
          </w:p>
        </w:tc>
        <w:tc>
          <w:tcPr>
            <w:tcW w:w="1871" w:type="dxa"/>
            <w:tcBorders>
              <w:top w:val="single" w:sz="4" w:space="0" w:color="auto"/>
              <w:left w:val="nil"/>
              <w:bottom w:val="single" w:sz="4" w:space="0" w:color="auto"/>
              <w:right w:val="nil"/>
            </w:tcBorders>
          </w:tcPr>
          <w:p>
            <w:pPr>
              <w:pStyle w:val="yTableNAm"/>
              <w:spacing w:before="100"/>
              <w:jc w:val="center"/>
            </w:pPr>
            <w:r>
              <w:rPr>
                <w:b/>
                <w:bCs/>
              </w:rPr>
              <w:t>Residential classification</w:t>
            </w:r>
          </w:p>
        </w:tc>
        <w:tc>
          <w:tcPr>
            <w:tcW w:w="1871" w:type="dxa"/>
            <w:tcBorders>
              <w:top w:val="single" w:sz="4" w:space="0" w:color="auto"/>
              <w:left w:val="nil"/>
              <w:bottom w:val="single" w:sz="4" w:space="0" w:color="auto"/>
              <w:right w:val="nil"/>
            </w:tcBorders>
          </w:tcPr>
          <w:p>
            <w:pPr>
              <w:pStyle w:val="yTableNAm"/>
              <w:spacing w:before="100"/>
              <w:jc w:val="center"/>
            </w:pPr>
            <w:r>
              <w:rPr>
                <w:b/>
                <w:bCs/>
              </w:rPr>
              <w:t>Non</w:t>
            </w:r>
            <w:r>
              <w:rPr>
                <w:b/>
                <w:bCs/>
              </w:rPr>
              <w:noBreakHyphen/>
              <w:t>residential classification</w:t>
            </w:r>
          </w:p>
        </w:tc>
      </w:tr>
      <w:tr>
        <w:tc>
          <w:tcPr>
            <w:tcW w:w="3346" w:type="dxa"/>
            <w:tcBorders>
              <w:top w:val="single" w:sz="4" w:space="0" w:color="auto"/>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Albany</w:t>
                </w:r>
              </w:smartTag>
            </w:smartTag>
          </w:p>
        </w:tc>
        <w:tc>
          <w:tcPr>
            <w:tcW w:w="1871" w:type="dxa"/>
            <w:tcBorders>
              <w:top w:val="single" w:sz="4" w:space="0" w:color="auto"/>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single" w:sz="4" w:space="0" w:color="auto"/>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Albany</w:t>
                </w:r>
              </w:smartTag>
            </w:smartTag>
            <w:r>
              <w:rPr>
                <w:szCs w:val="22"/>
              </w:rPr>
              <w:t xml:space="preserve">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Allanooka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Allanson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Arrino</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Arrowsmith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Augusta</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Australind/Eaton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Badgingarra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Bakers Hill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Balingup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Ballidu</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Beacon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Bencubbin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Beverley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Bindi Bindi</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Bindoon/Chittering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Binningup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Bodallin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Boddington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Bolgart</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Borden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Boyanup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Boyup Brook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Bridgetown/Hester</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Broad Arrow</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Brookton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Broome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Broomehill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Bruce Rock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Brunswick/Burekup/Roelands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Bullaring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Bullfinch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Bunjil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Buntine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Burracoppin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Calingiri</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Camballin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Capel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Carnamah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Carnarvon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Caron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Cervantes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Collie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Collie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Condingup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Coolgardie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Coomberdale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Coorow</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N/A</w:t>
            </w:r>
          </w:p>
        </w:tc>
      </w:tr>
      <w:tr>
        <w:tc>
          <w:tcPr>
            <w:tcW w:w="3346" w:type="dxa"/>
            <w:tcBorders>
              <w:top w:val="nil"/>
              <w:left w:val="nil"/>
              <w:bottom w:val="nil"/>
              <w:right w:val="nil"/>
            </w:tcBorders>
            <w:vAlign w:val="center"/>
          </w:tcPr>
          <w:p>
            <w:pPr>
              <w:pStyle w:val="yTableNAm"/>
              <w:spacing w:before="100"/>
            </w:pPr>
            <w:r>
              <w:rPr>
                <w:szCs w:val="22"/>
              </w:rPr>
              <w:t>Corrigin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Cowaramup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Cranbrook</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Cuballing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Cue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Cunderdin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Dalwallinu</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Dalyellup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Dandaragan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tcPr>
          <w:p>
            <w:pPr>
              <w:pStyle w:val="yTableNAm"/>
              <w:spacing w:before="100"/>
            </w:pPr>
            <w:r>
              <w:rPr>
                <w:szCs w:val="22"/>
              </w:rPr>
              <w:t>Dardanup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Darkan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Dathagnoorara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Denham (Saline)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ountry-region">
                <w:r>
                  <w:rPr>
                    <w:szCs w:val="22"/>
                  </w:rPr>
                  <w:t>Denmark</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Derby</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Dongara/Denison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Donnybrook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Doodlakine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Dowerin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Dudinin/Harrismith/Jitarning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Dumbleyung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Dunsborough/Yallingup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Dwellingup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Eneabba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Eradu</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Esperance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Exmouth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Fitzroy Crossing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r>
      <w:tr>
        <w:tc>
          <w:tcPr>
            <w:tcW w:w="3346" w:type="dxa"/>
            <w:tcBorders>
              <w:top w:val="nil"/>
              <w:left w:val="nil"/>
              <w:bottom w:val="nil"/>
              <w:right w:val="nil"/>
            </w:tcBorders>
            <w:vAlign w:val="center"/>
          </w:tcPr>
          <w:p>
            <w:pPr>
              <w:pStyle w:val="yTableNAm"/>
              <w:spacing w:before="100"/>
            </w:pPr>
            <w:r>
              <w:rPr>
                <w:szCs w:val="22"/>
              </w:rPr>
              <w:t>Frankland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Gabbadah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Gascoyne Junction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Geraldton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Gibson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Gingin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Gnarabup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Gnowangerup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Goomalling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Grass Patch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Grass</w:t>
                </w:r>
              </w:smartTag>
              <w:r>
                <w:rPr>
                  <w:szCs w:val="22"/>
                </w:rPr>
                <w:t xml:space="preserve"> </w:t>
              </w:r>
              <w:smartTag w:uri="urn:schemas-microsoft-com:office:smarttags" w:element="PlaceType">
                <w:r>
                  <w:rPr>
                    <w:szCs w:val="22"/>
                  </w:rPr>
                  <w:t>Valley</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Greenbushes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Greenhead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Guilderton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8</w:t>
            </w:r>
          </w:p>
        </w:tc>
      </w:tr>
      <w:tr>
        <w:tc>
          <w:tcPr>
            <w:tcW w:w="3346" w:type="dxa"/>
            <w:tcBorders>
              <w:top w:val="nil"/>
              <w:left w:val="nil"/>
              <w:bottom w:val="nil"/>
              <w:right w:val="nil"/>
            </w:tcBorders>
            <w:vAlign w:val="center"/>
          </w:tcPr>
          <w:p>
            <w:pPr>
              <w:pStyle w:val="yTableNAm"/>
              <w:spacing w:before="100"/>
            </w:pPr>
            <w:r>
              <w:rPr>
                <w:szCs w:val="22"/>
              </w:rPr>
              <w:t>Halls Creek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Hamel/Waroona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Harvey/Wokalup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Highbury/Piesseville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Hines Hill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Hopetoun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Horrocks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Hyden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Jerramungup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r>
      <w:tr>
        <w:tc>
          <w:tcPr>
            <w:tcW w:w="3346" w:type="dxa"/>
            <w:tcBorders>
              <w:top w:val="nil"/>
              <w:left w:val="nil"/>
              <w:bottom w:val="nil"/>
              <w:right w:val="nil"/>
            </w:tcBorders>
            <w:vAlign w:val="center"/>
          </w:tcPr>
          <w:p>
            <w:pPr>
              <w:pStyle w:val="yTableNAm"/>
              <w:spacing w:before="100"/>
            </w:pPr>
            <w:r>
              <w:rPr>
                <w:szCs w:val="22"/>
              </w:rPr>
              <w:t>Kalannie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Kalbarri</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r>
      <w:tr>
        <w:tc>
          <w:tcPr>
            <w:tcW w:w="3346" w:type="dxa"/>
            <w:tcBorders>
              <w:top w:val="nil"/>
              <w:left w:val="nil"/>
              <w:bottom w:val="nil"/>
              <w:right w:val="nil"/>
            </w:tcBorders>
            <w:vAlign w:val="center"/>
          </w:tcPr>
          <w:p>
            <w:pPr>
              <w:pStyle w:val="yTableNAm"/>
              <w:spacing w:before="100"/>
            </w:pPr>
            <w:r>
              <w:rPr>
                <w:szCs w:val="22"/>
              </w:rPr>
              <w:t>Kalgoorlie/Boulder</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Kambalda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8</w:t>
            </w:r>
          </w:p>
        </w:tc>
      </w:tr>
      <w:tr>
        <w:tc>
          <w:tcPr>
            <w:tcW w:w="3346" w:type="dxa"/>
            <w:tcBorders>
              <w:top w:val="nil"/>
              <w:left w:val="nil"/>
              <w:bottom w:val="nil"/>
              <w:right w:val="nil"/>
            </w:tcBorders>
            <w:vAlign w:val="center"/>
          </w:tcPr>
          <w:p>
            <w:pPr>
              <w:pStyle w:val="yTableNAm"/>
              <w:spacing w:before="100"/>
            </w:pPr>
            <w:r>
              <w:rPr>
                <w:szCs w:val="22"/>
              </w:rPr>
              <w:t>Karakin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Karlgarin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Karratha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Katanning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Katanning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Kellerberrin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Kendenup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Kendenup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Kirup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Kojonup/Muradup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Kondinin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Koorda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Kukerin/Moulyinning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Kulin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Kununoppin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tcPr>
          <w:p>
            <w:pPr>
              <w:pStyle w:val="yTableNAm"/>
              <w:spacing w:before="100"/>
            </w:pPr>
            <w:r>
              <w:rPr>
                <w:szCs w:val="22"/>
              </w:rPr>
              <w:t>Kununurra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r>
      <w:tr>
        <w:tc>
          <w:tcPr>
            <w:tcW w:w="3346" w:type="dxa"/>
            <w:tcBorders>
              <w:top w:val="nil"/>
              <w:left w:val="nil"/>
              <w:bottom w:val="nil"/>
              <w:right w:val="nil"/>
            </w:tcBorders>
            <w:vAlign w:val="center"/>
          </w:tcPr>
          <w:p>
            <w:pPr>
              <w:pStyle w:val="yTableNAm"/>
              <w:spacing w:before="100"/>
            </w:pPr>
            <w:r>
              <w:rPr>
                <w:szCs w:val="22"/>
              </w:rPr>
              <w:t xml:space="preserve">Lake </w:t>
            </w:r>
            <w:smartTag w:uri="urn:schemas-microsoft-com:office:smarttags" w:element="PlaceName">
              <w:r>
                <w:rPr>
                  <w:szCs w:val="22"/>
                </w:rPr>
                <w:t>Grace</w:t>
              </w:r>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King</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Lancelin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Latham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Laverton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Ledge Point</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Leeman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Leonora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Mandurah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r>
      <w:tr>
        <w:tc>
          <w:tcPr>
            <w:tcW w:w="3346" w:type="dxa"/>
            <w:tcBorders>
              <w:top w:val="nil"/>
              <w:left w:val="nil"/>
              <w:bottom w:val="nil"/>
              <w:right w:val="nil"/>
            </w:tcBorders>
            <w:vAlign w:val="center"/>
          </w:tcPr>
          <w:p>
            <w:pPr>
              <w:pStyle w:val="yTableNAm"/>
              <w:spacing w:before="100"/>
            </w:pPr>
            <w:r>
              <w:rPr>
                <w:szCs w:val="22"/>
              </w:rPr>
              <w:t>Manjimup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Marble Bar</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 xml:space="preserve">Marvel </w:t>
            </w:r>
            <w:smartTag w:uri="urn:schemas-microsoft-com:office:smarttags" w:element="place">
              <w:r>
                <w:rPr>
                  <w:szCs w:val="22"/>
                </w:rPr>
                <w:t>Loch</w:t>
              </w:r>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Meckering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Meekatharra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Menzies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Merredin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Merredin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Miling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Mingenew</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Moora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r>
      <w:tr>
        <w:tc>
          <w:tcPr>
            <w:tcW w:w="3346" w:type="dxa"/>
            <w:tcBorders>
              <w:top w:val="nil"/>
              <w:left w:val="nil"/>
              <w:bottom w:val="nil"/>
              <w:right w:val="nil"/>
            </w:tcBorders>
            <w:vAlign w:val="center"/>
          </w:tcPr>
          <w:p>
            <w:pPr>
              <w:pStyle w:val="yTableNAm"/>
              <w:spacing w:before="100"/>
            </w:pPr>
            <w:r>
              <w:rPr>
                <w:szCs w:val="22"/>
              </w:rPr>
              <w:t>Moorine Rock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Morawa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Magnet</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Roe</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Mukinbudin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Mullalyup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Mullewa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Mullewa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Munglinup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Muntadgin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Myalup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Nabawa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Nannup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Narembeen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Narngulu</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Narrikup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Narrogin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Narrogin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8</w:t>
            </w:r>
          </w:p>
        </w:tc>
      </w:tr>
      <w:tr>
        <w:tc>
          <w:tcPr>
            <w:tcW w:w="3346" w:type="dxa"/>
            <w:tcBorders>
              <w:top w:val="nil"/>
              <w:left w:val="nil"/>
              <w:bottom w:val="nil"/>
              <w:right w:val="nil"/>
            </w:tcBorders>
            <w:vAlign w:val="center"/>
          </w:tcPr>
          <w:p>
            <w:pPr>
              <w:pStyle w:val="yTableNAm"/>
              <w:spacing w:before="100"/>
            </w:pPr>
            <w:r>
              <w:rPr>
                <w:szCs w:val="22"/>
              </w:rPr>
              <w:t>New Norcia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Newdegate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Newman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Nilgen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7</w:t>
            </w:r>
          </w:p>
        </w:tc>
      </w:tr>
      <w:tr>
        <w:tc>
          <w:tcPr>
            <w:tcW w:w="3346" w:type="dxa"/>
            <w:tcBorders>
              <w:top w:val="nil"/>
              <w:left w:val="nil"/>
              <w:bottom w:val="nil"/>
              <w:right w:val="nil"/>
            </w:tcBorders>
            <w:vAlign w:val="center"/>
          </w:tcPr>
          <w:p>
            <w:pPr>
              <w:pStyle w:val="yTableNAm"/>
              <w:spacing w:before="100"/>
            </w:pPr>
            <w:r>
              <w:rPr>
                <w:szCs w:val="22"/>
              </w:rPr>
              <w:t>Norseman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r>
                <w:rPr>
                  <w:szCs w:val="22"/>
                </w:rPr>
                <w:t>North Dandalup</w:t>
              </w:r>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Northam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Northam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Northampton</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Northcliffe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Nullagine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Nungarin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Nyabing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Ongerup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Onslow</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Ora Banda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Park Ridge</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Pemberton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Peppermint</w:t>
                </w:r>
              </w:smartTag>
              <w:r>
                <w:rPr>
                  <w:szCs w:val="22"/>
                </w:rPr>
                <w:t xml:space="preserve"> </w:t>
              </w:r>
              <w:smartTag w:uri="urn:schemas-microsoft-com:office:smarttags" w:element="PlaceType">
                <w:r>
                  <w:rPr>
                    <w:szCs w:val="22"/>
                  </w:rPr>
                  <w:t>Grove</w:t>
                </w:r>
              </w:smartTag>
              <w:r>
                <w:rPr>
                  <w:szCs w:val="22"/>
                </w:rPr>
                <w:t xml:space="preserve"> </w:t>
              </w:r>
              <w:smartTag w:uri="urn:schemas-microsoft-com:office:smarttags" w:element="PlaceType">
                <w:r>
                  <w:rPr>
                    <w:szCs w:val="22"/>
                  </w:rPr>
                  <w:t>Beach</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Perenjori</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Pingaring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Pingelly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Pingrup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Pinjarra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Pithara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Point Samson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Popanyinning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Porongurup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Porongurup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Port Hedland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Preston</w:t>
                </w:r>
              </w:smartTag>
              <w:r>
                <w:rPr>
                  <w:szCs w:val="22"/>
                </w:rPr>
                <w:t xml:space="preserve"> </w:t>
              </w:r>
              <w:smartTag w:uri="urn:schemas-microsoft-com:office:smarttags" w:element="PlaceType">
                <w:r>
                  <w:rPr>
                    <w:szCs w:val="22"/>
                  </w:rPr>
                  <w:t>Beach</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Quairading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Quinninup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Ravensthorpe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Rocky Gully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Roebourne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Salmon Gums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Sandstone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Seabird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smartTag w:uri="urn:schemas-microsoft-com:office:smarttags" w:element="place">
              <w:r>
                <w:rPr>
                  <w:szCs w:val="22"/>
                </w:rPr>
                <w:t>South Hedland</w:t>
              </w:r>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Southern Cross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Tambellup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Tammin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Three Springs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Tincurrin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Toodyay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Trayning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Varley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Wagin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Walkaway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Walpole</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Wandering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Watheroo</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Wellstead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Westonia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Wickepin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Wickham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Widgiemooltha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Williams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Wiluna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Wongan Hills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Woodanilling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smartTag w:uri="urn:schemas-microsoft-com:office:smarttags" w:element="place">
              <w:r>
                <w:rPr>
                  <w:szCs w:val="22"/>
                </w:rPr>
                <w:t>Woodridge</w:t>
              </w:r>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Wubin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Wundowie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Wyalkatchem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Wyndham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Yalgoo</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Yarloop/Wagerup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Yealering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Yerecoin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York</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single" w:sz="4" w:space="0" w:color="auto"/>
              <w:right w:val="nil"/>
            </w:tcBorders>
            <w:vAlign w:val="center"/>
          </w:tcPr>
          <w:p>
            <w:pPr>
              <w:pStyle w:val="yTableNAm"/>
              <w:spacing w:before="100"/>
            </w:pPr>
            <w:r>
              <w:rPr>
                <w:szCs w:val="22"/>
              </w:rPr>
              <w:t>Yuna</w:t>
            </w:r>
          </w:p>
        </w:tc>
        <w:tc>
          <w:tcPr>
            <w:tcW w:w="1871" w:type="dxa"/>
            <w:tcBorders>
              <w:top w:val="nil"/>
              <w:left w:val="nil"/>
              <w:bottom w:val="single" w:sz="4" w:space="0" w:color="auto"/>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single" w:sz="4" w:space="0" w:color="auto"/>
              <w:right w:val="nil"/>
            </w:tcBorders>
            <w:vAlign w:val="bottom"/>
          </w:tcPr>
          <w:p>
            <w:pPr>
              <w:pStyle w:val="yTableNAm"/>
              <w:spacing w:before="100"/>
              <w:jc w:val="center"/>
              <w:rPr>
                <w:rFonts w:ascii="Arial" w:hAnsi="Arial"/>
                <w:b/>
              </w:rPr>
            </w:pPr>
            <w:r>
              <w:rPr>
                <w:szCs w:val="22"/>
              </w:rPr>
              <w:t>15</w:t>
            </w:r>
          </w:p>
        </w:tc>
      </w:tr>
    </w:tbl>
    <w:p>
      <w:pPr>
        <w:pStyle w:val="yFootnotesection"/>
      </w:pPr>
      <w:r>
        <w:tab/>
        <w:t>[Schedule 9 inserted in Gazette 19 Jun 2013 p. 2403-12.]</w:t>
      </w:r>
    </w:p>
    <w:p>
      <w:pPr>
        <w:pStyle w:val="yScheduleHeading"/>
      </w:pPr>
      <w:bookmarkStart w:id="359" w:name="_Toc390772173"/>
      <w:bookmarkStart w:id="360" w:name="_Toc391907040"/>
      <w:bookmarkStart w:id="361" w:name="_Toc426119901"/>
      <w:r>
        <w:rPr>
          <w:rStyle w:val="CharSchNo"/>
        </w:rPr>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359"/>
      <w:bookmarkEnd w:id="360"/>
      <w:bookmarkEnd w:id="361"/>
    </w:p>
    <w:p>
      <w:pPr>
        <w:pStyle w:val="yShoulderClause"/>
      </w:pPr>
      <w:r>
        <w:t>[bl. 17D(3)]</w:t>
      </w:r>
    </w:p>
    <w:p>
      <w:pPr>
        <w:pStyle w:val="yFootnoteheading"/>
        <w:spacing w:after="120"/>
      </w:pPr>
      <w:r>
        <w:tab/>
        <w:t>[Heading inserted in Gazette 19 Jun 2013 p. 2412.]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6"/>
        <w:gridCol w:w="1871"/>
        <w:gridCol w:w="1871"/>
      </w:tblGrid>
      <w:tr>
        <w:trPr>
          <w:tblHeader/>
        </w:trPr>
        <w:tc>
          <w:tcPr>
            <w:tcW w:w="3346" w:type="dxa"/>
            <w:tcBorders>
              <w:top w:val="single" w:sz="4" w:space="0" w:color="auto"/>
              <w:left w:val="nil"/>
              <w:bottom w:val="single" w:sz="4" w:space="0" w:color="auto"/>
              <w:right w:val="nil"/>
            </w:tcBorders>
          </w:tcPr>
          <w:p>
            <w:pPr>
              <w:pStyle w:val="yTableNAm"/>
              <w:spacing w:before="100"/>
              <w:jc w:val="center"/>
            </w:pPr>
            <w:r>
              <w:rPr>
                <w:b/>
                <w:bCs/>
              </w:rPr>
              <w:t>Town/area</w:t>
            </w:r>
          </w:p>
        </w:tc>
        <w:tc>
          <w:tcPr>
            <w:tcW w:w="1871" w:type="dxa"/>
            <w:tcBorders>
              <w:top w:val="single" w:sz="4" w:space="0" w:color="auto"/>
              <w:left w:val="nil"/>
              <w:bottom w:val="single" w:sz="4" w:space="0" w:color="auto"/>
              <w:right w:val="nil"/>
            </w:tcBorders>
          </w:tcPr>
          <w:p>
            <w:pPr>
              <w:pStyle w:val="yTableNAm"/>
              <w:spacing w:before="100"/>
              <w:jc w:val="center"/>
            </w:pPr>
            <w:r>
              <w:rPr>
                <w:b/>
                <w:bCs/>
              </w:rPr>
              <w:t>Residential classification</w:t>
            </w:r>
          </w:p>
        </w:tc>
        <w:tc>
          <w:tcPr>
            <w:tcW w:w="1871" w:type="dxa"/>
            <w:tcBorders>
              <w:top w:val="single" w:sz="4" w:space="0" w:color="auto"/>
              <w:left w:val="nil"/>
              <w:bottom w:val="single" w:sz="4" w:space="0" w:color="auto"/>
              <w:right w:val="nil"/>
            </w:tcBorders>
          </w:tcPr>
          <w:p>
            <w:pPr>
              <w:pStyle w:val="yTableNAm"/>
              <w:spacing w:before="100"/>
              <w:jc w:val="center"/>
            </w:pPr>
            <w:r>
              <w:rPr>
                <w:b/>
                <w:bCs/>
              </w:rPr>
              <w:t>Non</w:t>
            </w:r>
            <w:r>
              <w:rPr>
                <w:b/>
                <w:bCs/>
              </w:rPr>
              <w:noBreakHyphen/>
              <w:t>residential classification</w:t>
            </w:r>
          </w:p>
        </w:tc>
      </w:tr>
      <w:tr>
        <w:tc>
          <w:tcPr>
            <w:tcW w:w="3346" w:type="dxa"/>
            <w:tcBorders>
              <w:top w:val="single" w:sz="4" w:space="0" w:color="auto"/>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Albany</w:t>
                </w:r>
              </w:smartTag>
            </w:smartTag>
          </w:p>
        </w:tc>
        <w:tc>
          <w:tcPr>
            <w:tcW w:w="1871" w:type="dxa"/>
            <w:tcBorders>
              <w:top w:val="single" w:sz="4" w:space="0" w:color="auto"/>
              <w:left w:val="nil"/>
              <w:bottom w:val="nil"/>
              <w:right w:val="nil"/>
            </w:tcBorders>
            <w:vAlign w:val="bottom"/>
          </w:tcPr>
          <w:p>
            <w:pPr>
              <w:pStyle w:val="yTableNAm"/>
              <w:spacing w:before="100"/>
              <w:jc w:val="center"/>
            </w:pPr>
            <w:r>
              <w:rPr>
                <w:szCs w:val="22"/>
              </w:rPr>
              <w:t>3</w:t>
            </w:r>
          </w:p>
        </w:tc>
        <w:tc>
          <w:tcPr>
            <w:tcW w:w="1871" w:type="dxa"/>
            <w:tcBorders>
              <w:top w:val="single" w:sz="4" w:space="0" w:color="auto"/>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Albany</w:t>
                </w:r>
              </w:smartTag>
            </w:smartTag>
            <w:r>
              <w:rPr>
                <w:szCs w:val="22"/>
              </w:rPr>
              <w:t xml:space="preserve">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Allanooka Farmlands</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Allanson</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Arrino</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Arrowsmith Farmlands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Augusta</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Australind/Eaton</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Badgingarra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Bakers Hill</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Balingup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Ballidu</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Beacon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Bencubbin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Beverley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Bindi Bindi</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Bindoon/Chittering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Binningup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Bodallin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Boddington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Bolgart</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Borden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Boyanup</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Boyup Brook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Bridgetown/Hester</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Broad Arrow</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Brookton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Broome</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Broomehill</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Bruce Rock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Brunswick/Burekup/Roelands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Bullaring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Bullfinch</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Bunjil</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Buntine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Burracoppin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Calingiri</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Camballin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Capel</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Carnamah</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Carnarvon</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Caron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Cervantes</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Collie</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Collie Farmlands</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Condingup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Coolgardie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Coomberdale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Coorow</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N/A</w:t>
            </w:r>
          </w:p>
        </w:tc>
      </w:tr>
      <w:tr>
        <w:tc>
          <w:tcPr>
            <w:tcW w:w="3346" w:type="dxa"/>
            <w:tcBorders>
              <w:top w:val="nil"/>
              <w:left w:val="nil"/>
              <w:bottom w:val="nil"/>
              <w:right w:val="nil"/>
            </w:tcBorders>
            <w:vAlign w:val="center"/>
          </w:tcPr>
          <w:p>
            <w:pPr>
              <w:pStyle w:val="yTableNAm"/>
              <w:spacing w:before="100"/>
            </w:pPr>
            <w:r>
              <w:rPr>
                <w:szCs w:val="22"/>
              </w:rPr>
              <w:t>Corrigin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Cowaramup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Cranbrook</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Cuballing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Cue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Cunderdin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Dalwallinu</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Dalyellup</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4</w:t>
            </w:r>
          </w:p>
        </w:tc>
      </w:tr>
      <w:tr>
        <w:tc>
          <w:tcPr>
            <w:tcW w:w="3346" w:type="dxa"/>
            <w:tcBorders>
              <w:top w:val="nil"/>
              <w:left w:val="nil"/>
              <w:bottom w:val="nil"/>
              <w:right w:val="nil"/>
            </w:tcBorders>
            <w:vAlign w:val="center"/>
          </w:tcPr>
          <w:p>
            <w:pPr>
              <w:pStyle w:val="yTableNAm"/>
              <w:spacing w:before="100"/>
            </w:pPr>
            <w:r>
              <w:rPr>
                <w:szCs w:val="22"/>
              </w:rPr>
              <w:t>Dandaragan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tcPr>
          <w:p>
            <w:pPr>
              <w:pStyle w:val="yTableNAm"/>
              <w:spacing w:before="100"/>
            </w:pPr>
            <w:r>
              <w:rPr>
                <w:szCs w:val="22"/>
              </w:rPr>
              <w:t>Dardanup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Darkan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Dathagnoorara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Denham (Saline)</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ountry-region">
                <w:r>
                  <w:rPr>
                    <w:szCs w:val="22"/>
                  </w:rPr>
                  <w:t>Denmark</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Derby</w:t>
                </w:r>
              </w:smartTag>
            </w:smartTag>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Dongara/Denison</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Donnybrook</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4</w:t>
            </w:r>
          </w:p>
        </w:tc>
      </w:tr>
      <w:tr>
        <w:tc>
          <w:tcPr>
            <w:tcW w:w="3346" w:type="dxa"/>
            <w:tcBorders>
              <w:top w:val="nil"/>
              <w:left w:val="nil"/>
              <w:bottom w:val="nil"/>
              <w:right w:val="nil"/>
            </w:tcBorders>
            <w:vAlign w:val="center"/>
          </w:tcPr>
          <w:p>
            <w:pPr>
              <w:pStyle w:val="yTableNAm"/>
              <w:spacing w:before="100"/>
            </w:pPr>
            <w:r>
              <w:rPr>
                <w:szCs w:val="22"/>
              </w:rPr>
              <w:t>Doodlakine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Dowerin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Dudinin/Harrismith/Jitarning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Dumbleyung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Dunsborough/Yallingup</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Dwellingup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Eneabba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Eradu</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Esperance</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Exmouth</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Fitzroy Crossing</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Frankland</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Gabbadah</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Gascoyne Junction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Geraldton</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Gibson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Gingin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Gnarabup</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Gnowangerup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Goomalling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Grass Patch</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Grass</w:t>
                </w:r>
              </w:smartTag>
              <w:r>
                <w:rPr>
                  <w:szCs w:val="22"/>
                </w:rPr>
                <w:t xml:space="preserve"> </w:t>
              </w:r>
              <w:smartTag w:uri="urn:schemas-microsoft-com:office:smarttags" w:element="PlaceType">
                <w:r>
                  <w:rPr>
                    <w:szCs w:val="22"/>
                  </w:rPr>
                  <w:t>Valley</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Greenbushes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Greenhead</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Guilderton</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8</w:t>
            </w:r>
          </w:p>
        </w:tc>
      </w:tr>
      <w:tr>
        <w:tc>
          <w:tcPr>
            <w:tcW w:w="3346" w:type="dxa"/>
            <w:tcBorders>
              <w:top w:val="nil"/>
              <w:left w:val="nil"/>
              <w:bottom w:val="nil"/>
              <w:right w:val="nil"/>
            </w:tcBorders>
            <w:vAlign w:val="center"/>
          </w:tcPr>
          <w:p>
            <w:pPr>
              <w:pStyle w:val="yTableNAm"/>
              <w:spacing w:before="100"/>
            </w:pPr>
            <w:r>
              <w:rPr>
                <w:szCs w:val="22"/>
              </w:rPr>
              <w:t>Halls Creek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Hamel/Waroona</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4</w:t>
            </w:r>
          </w:p>
        </w:tc>
      </w:tr>
      <w:tr>
        <w:tc>
          <w:tcPr>
            <w:tcW w:w="3346" w:type="dxa"/>
            <w:tcBorders>
              <w:top w:val="nil"/>
              <w:left w:val="nil"/>
              <w:bottom w:val="nil"/>
              <w:right w:val="nil"/>
            </w:tcBorders>
            <w:vAlign w:val="center"/>
          </w:tcPr>
          <w:p>
            <w:pPr>
              <w:pStyle w:val="yTableNAm"/>
              <w:spacing w:before="100"/>
            </w:pPr>
            <w:r>
              <w:rPr>
                <w:szCs w:val="22"/>
              </w:rPr>
              <w:t>Harvey/Wokalup</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Highbury/Piesseville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Hines Hill</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Hopetoun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Horrocks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Hyden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Jerramungup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3</w:t>
            </w:r>
          </w:p>
        </w:tc>
      </w:tr>
      <w:tr>
        <w:tc>
          <w:tcPr>
            <w:tcW w:w="3346" w:type="dxa"/>
            <w:tcBorders>
              <w:top w:val="nil"/>
              <w:left w:val="nil"/>
              <w:bottom w:val="nil"/>
              <w:right w:val="nil"/>
            </w:tcBorders>
            <w:vAlign w:val="center"/>
          </w:tcPr>
          <w:p>
            <w:pPr>
              <w:pStyle w:val="yTableNAm"/>
              <w:spacing w:before="100"/>
            </w:pPr>
            <w:r>
              <w:rPr>
                <w:szCs w:val="22"/>
              </w:rPr>
              <w:t>Kalannie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Kalbarri</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2</w:t>
            </w:r>
          </w:p>
        </w:tc>
      </w:tr>
      <w:tr>
        <w:tc>
          <w:tcPr>
            <w:tcW w:w="3346" w:type="dxa"/>
            <w:tcBorders>
              <w:top w:val="nil"/>
              <w:left w:val="nil"/>
              <w:bottom w:val="nil"/>
              <w:right w:val="nil"/>
            </w:tcBorders>
            <w:vAlign w:val="center"/>
          </w:tcPr>
          <w:p>
            <w:pPr>
              <w:pStyle w:val="yTableNAm"/>
              <w:spacing w:before="100"/>
            </w:pPr>
            <w:r>
              <w:rPr>
                <w:szCs w:val="22"/>
              </w:rPr>
              <w:t>Kalgoorlie/Boulder</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Kambalda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Karakin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Karlgarin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Karratha</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Katanning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Katanning Farmlands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Kellerberrin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Kendenup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Kendenup Farmlands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Kirup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Kojonup/Muradup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Kondinin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Koorda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Kukerin/Moulyinning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Kulin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Kununoppin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tcPr>
          <w:p>
            <w:pPr>
              <w:pStyle w:val="yTableNAm"/>
              <w:spacing w:before="100"/>
            </w:pPr>
            <w:r>
              <w:rPr>
                <w:szCs w:val="22"/>
              </w:rPr>
              <w:t>Kununurra</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2</w:t>
            </w:r>
          </w:p>
        </w:tc>
      </w:tr>
      <w:tr>
        <w:tc>
          <w:tcPr>
            <w:tcW w:w="3346" w:type="dxa"/>
            <w:tcBorders>
              <w:top w:val="nil"/>
              <w:left w:val="nil"/>
              <w:bottom w:val="nil"/>
              <w:right w:val="nil"/>
            </w:tcBorders>
            <w:vAlign w:val="center"/>
          </w:tcPr>
          <w:p>
            <w:pPr>
              <w:pStyle w:val="yTableNAm"/>
              <w:spacing w:before="100"/>
            </w:pPr>
            <w:r>
              <w:rPr>
                <w:szCs w:val="22"/>
              </w:rPr>
              <w:t xml:space="preserve">Lake </w:t>
            </w:r>
            <w:smartTag w:uri="urn:schemas-microsoft-com:office:smarttags" w:element="PlaceName">
              <w:r>
                <w:rPr>
                  <w:szCs w:val="22"/>
                </w:rPr>
                <w:t>Grace</w:t>
              </w:r>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King</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Lancelin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Latham</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Laverton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Ledge Point</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Leeman</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Leonora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Mandurah</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3</w:t>
            </w:r>
          </w:p>
        </w:tc>
      </w:tr>
      <w:tr>
        <w:tc>
          <w:tcPr>
            <w:tcW w:w="3346" w:type="dxa"/>
            <w:tcBorders>
              <w:top w:val="nil"/>
              <w:left w:val="nil"/>
              <w:bottom w:val="nil"/>
              <w:right w:val="nil"/>
            </w:tcBorders>
            <w:vAlign w:val="center"/>
          </w:tcPr>
          <w:p>
            <w:pPr>
              <w:pStyle w:val="yTableNAm"/>
              <w:spacing w:before="100"/>
            </w:pPr>
            <w:r>
              <w:rPr>
                <w:szCs w:val="22"/>
              </w:rPr>
              <w:t>Manjimup</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Marble Bar</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 xml:space="preserve">Marvel </w:t>
            </w:r>
            <w:smartTag w:uri="urn:schemas-microsoft-com:office:smarttags" w:element="place">
              <w:r>
                <w:rPr>
                  <w:szCs w:val="22"/>
                </w:rPr>
                <w:t>Loch</w:t>
              </w:r>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Meckering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Meekatharra</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Menzies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Merredin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Merredin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Miling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Mingenew</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Moora</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3</w:t>
            </w:r>
          </w:p>
        </w:tc>
      </w:tr>
      <w:tr>
        <w:tc>
          <w:tcPr>
            <w:tcW w:w="3346" w:type="dxa"/>
            <w:tcBorders>
              <w:top w:val="nil"/>
              <w:left w:val="nil"/>
              <w:bottom w:val="nil"/>
              <w:right w:val="nil"/>
            </w:tcBorders>
            <w:vAlign w:val="center"/>
          </w:tcPr>
          <w:p>
            <w:pPr>
              <w:pStyle w:val="yTableNAm"/>
              <w:spacing w:before="100"/>
            </w:pPr>
            <w:r>
              <w:rPr>
                <w:szCs w:val="22"/>
              </w:rPr>
              <w:t>Moorine Rock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Morawa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Magnet</w:t>
                </w:r>
              </w:smartTag>
            </w:smartTag>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Roe</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Mukinbudin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Mullalyup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Mullewa</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Mullewa Farmlands</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Munglinup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Muntadgin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Myalup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Nabawa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Nannup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Narembeen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Narngulu</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Narrikup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Narrogin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Narrogin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8</w:t>
            </w:r>
          </w:p>
        </w:tc>
      </w:tr>
      <w:tr>
        <w:tc>
          <w:tcPr>
            <w:tcW w:w="3346" w:type="dxa"/>
            <w:tcBorders>
              <w:top w:val="nil"/>
              <w:left w:val="nil"/>
              <w:bottom w:val="nil"/>
              <w:right w:val="nil"/>
            </w:tcBorders>
            <w:vAlign w:val="center"/>
          </w:tcPr>
          <w:p>
            <w:pPr>
              <w:pStyle w:val="yTableNAm"/>
              <w:spacing w:before="100"/>
            </w:pPr>
            <w:r>
              <w:rPr>
                <w:szCs w:val="22"/>
              </w:rPr>
              <w:t>New Norcia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Newdegate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Newman</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Nilgen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8</w:t>
            </w:r>
          </w:p>
        </w:tc>
      </w:tr>
      <w:tr>
        <w:tc>
          <w:tcPr>
            <w:tcW w:w="3346" w:type="dxa"/>
            <w:tcBorders>
              <w:top w:val="nil"/>
              <w:left w:val="nil"/>
              <w:bottom w:val="nil"/>
              <w:right w:val="nil"/>
            </w:tcBorders>
            <w:vAlign w:val="center"/>
          </w:tcPr>
          <w:p>
            <w:pPr>
              <w:pStyle w:val="yTableNAm"/>
              <w:spacing w:before="100"/>
            </w:pPr>
            <w:r>
              <w:rPr>
                <w:szCs w:val="22"/>
              </w:rPr>
              <w:t>Norseman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14</w:t>
            </w:r>
          </w:p>
        </w:tc>
      </w:tr>
      <w:tr>
        <w:tc>
          <w:tcPr>
            <w:tcW w:w="3346" w:type="dxa"/>
            <w:tcBorders>
              <w:top w:val="nil"/>
              <w:left w:val="nil"/>
              <w:bottom w:val="nil"/>
              <w:right w:val="nil"/>
            </w:tcBorders>
            <w:vAlign w:val="center"/>
          </w:tcPr>
          <w:p>
            <w:pPr>
              <w:pStyle w:val="yTableNAm"/>
              <w:spacing w:before="100"/>
            </w:pPr>
            <w:smartTag w:uri="urn:schemas-microsoft-com:office:smarttags" w:element="place">
              <w:r>
                <w:rPr>
                  <w:szCs w:val="22"/>
                </w:rPr>
                <w:t>North Dandalup</w:t>
              </w:r>
            </w:smartTag>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Northam</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Northam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Northampton</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Northcliffe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Nullagine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Nungarin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Nyabing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Ongerup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Onslow</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Ora Banda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Park Ridge</w:t>
                </w:r>
              </w:smartTag>
            </w:smartTag>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Pemberton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Peppermint</w:t>
                </w:r>
              </w:smartTag>
              <w:r>
                <w:rPr>
                  <w:szCs w:val="22"/>
                </w:rPr>
                <w:t xml:space="preserve"> </w:t>
              </w:r>
              <w:smartTag w:uri="urn:schemas-microsoft-com:office:smarttags" w:element="PlaceType">
                <w:r>
                  <w:rPr>
                    <w:szCs w:val="22"/>
                  </w:rPr>
                  <w:t>Grove</w:t>
                </w:r>
              </w:smartTag>
              <w:r>
                <w:rPr>
                  <w:szCs w:val="22"/>
                </w:rPr>
                <w:t xml:space="preserve"> </w:t>
              </w:r>
              <w:smartTag w:uri="urn:schemas-microsoft-com:office:smarttags" w:element="PlaceType">
                <w:r>
                  <w:rPr>
                    <w:szCs w:val="22"/>
                  </w:rPr>
                  <w:t>Beach</w:t>
                </w:r>
              </w:smartTag>
            </w:smartTag>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12</w:t>
            </w:r>
          </w:p>
        </w:tc>
      </w:tr>
      <w:tr>
        <w:tc>
          <w:tcPr>
            <w:tcW w:w="3346" w:type="dxa"/>
            <w:tcBorders>
              <w:top w:val="nil"/>
              <w:left w:val="nil"/>
              <w:bottom w:val="nil"/>
              <w:right w:val="nil"/>
            </w:tcBorders>
            <w:vAlign w:val="center"/>
          </w:tcPr>
          <w:p>
            <w:pPr>
              <w:pStyle w:val="yTableNAm"/>
              <w:spacing w:before="100"/>
            </w:pPr>
            <w:r>
              <w:rPr>
                <w:szCs w:val="22"/>
              </w:rPr>
              <w:t>Perenjori</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Pingaring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Pingelly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Pingrup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Pinjarra</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Pithara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Point Samson</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Popanyinning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Porongurup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Porongurup Farmlands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Port Hedland</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Preston</w:t>
                </w:r>
              </w:smartTag>
              <w:r>
                <w:rPr>
                  <w:szCs w:val="22"/>
                </w:rPr>
                <w:t xml:space="preserve"> </w:t>
              </w:r>
              <w:smartTag w:uri="urn:schemas-microsoft-com:office:smarttags" w:element="PlaceType">
                <w:r>
                  <w:rPr>
                    <w:szCs w:val="22"/>
                  </w:rPr>
                  <w:t>Beach</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Quairading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Quinninup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Ravensthorpe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Rocky Gully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Roebourne</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Salmon Gums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Sandstone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Seabird</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r>
                <w:rPr>
                  <w:szCs w:val="22"/>
                </w:rPr>
                <w:t>South Hedland</w:t>
              </w:r>
            </w:smartTag>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Southern Cross</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Tambellup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Tammin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Three Springs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Tincurrin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Toodyay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Trayning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Varley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Wagin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Walkaway</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Walpole</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Wandering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Watheroo</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Wellstead</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Westonia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Wickepin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Wickham</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Widgiemooltha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Williams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Wiluna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Wongan Hills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Woodanilling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r>
                <w:rPr>
                  <w:szCs w:val="22"/>
                </w:rPr>
                <w:t>Woodridge</w:t>
              </w:r>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Wubin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Wundowie</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Wyalkatchem</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Wyndham</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Yalgoo</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Yarloop/Wagerup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Yealering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Yerecoin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York</w:t>
                </w:r>
              </w:smartTag>
            </w:smartTag>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single" w:sz="4" w:space="0" w:color="auto"/>
              <w:right w:val="nil"/>
            </w:tcBorders>
            <w:vAlign w:val="center"/>
          </w:tcPr>
          <w:p>
            <w:pPr>
              <w:pStyle w:val="yTableNAm"/>
              <w:spacing w:before="100"/>
            </w:pPr>
            <w:r>
              <w:rPr>
                <w:szCs w:val="22"/>
              </w:rPr>
              <w:t>Yuna</w:t>
            </w:r>
          </w:p>
        </w:tc>
        <w:tc>
          <w:tcPr>
            <w:tcW w:w="1871" w:type="dxa"/>
            <w:tcBorders>
              <w:top w:val="nil"/>
              <w:left w:val="nil"/>
              <w:bottom w:val="single" w:sz="4" w:space="0" w:color="auto"/>
              <w:right w:val="nil"/>
            </w:tcBorders>
            <w:vAlign w:val="bottom"/>
          </w:tcPr>
          <w:p>
            <w:pPr>
              <w:pStyle w:val="yTableNAm"/>
              <w:spacing w:before="100"/>
              <w:jc w:val="center"/>
            </w:pPr>
            <w:r>
              <w:rPr>
                <w:szCs w:val="22"/>
              </w:rPr>
              <w:t>5</w:t>
            </w:r>
          </w:p>
        </w:tc>
        <w:tc>
          <w:tcPr>
            <w:tcW w:w="1871" w:type="dxa"/>
            <w:tcBorders>
              <w:top w:val="nil"/>
              <w:left w:val="nil"/>
              <w:bottom w:val="single" w:sz="4" w:space="0" w:color="auto"/>
              <w:right w:val="nil"/>
            </w:tcBorders>
            <w:vAlign w:val="bottom"/>
          </w:tcPr>
          <w:p>
            <w:pPr>
              <w:pStyle w:val="yTableNAm"/>
              <w:spacing w:before="100"/>
              <w:jc w:val="center"/>
            </w:pPr>
            <w:r>
              <w:rPr>
                <w:szCs w:val="22"/>
              </w:rPr>
              <w:t>15</w:t>
            </w:r>
          </w:p>
        </w:tc>
      </w:tr>
    </w:tbl>
    <w:p>
      <w:pPr>
        <w:pStyle w:val="yFootnotesection"/>
      </w:pPr>
      <w:r>
        <w:tab/>
        <w:t>[Schedule 10 inserted in Gazette 19 Jun 2013 p. 2412-22.]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284"/>
          <w:tab w:val="left" w:pos="372"/>
          <w:tab w:val="left" w:pos="851"/>
          <w:tab w:val="right" w:pos="939"/>
          <w:tab w:val="left" w:pos="1179"/>
          <w:tab w:val="right" w:pos="1332"/>
          <w:tab w:val="left" w:pos="1418"/>
          <w:tab w:val="left" w:pos="1616"/>
        </w:tabs>
        <w:ind w:left="1179" w:hanging="1179"/>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outlineLvl w:val="0"/>
      </w:pPr>
      <w:bookmarkStart w:id="362" w:name="_Toc390772174"/>
      <w:bookmarkStart w:id="363" w:name="_Toc391907041"/>
      <w:bookmarkStart w:id="364" w:name="_Toc426119902"/>
      <w:r>
        <w:t>Notes</w:t>
      </w:r>
      <w:bookmarkEnd w:id="362"/>
      <w:bookmarkEnd w:id="363"/>
      <w:bookmarkEnd w:id="364"/>
    </w:p>
    <w:p>
      <w:pPr>
        <w:pStyle w:val="nSubsection"/>
        <w:rPr>
          <w:snapToGrid w:val="0"/>
        </w:rPr>
      </w:pPr>
      <w:r>
        <w:rPr>
          <w:snapToGrid w:val="0"/>
          <w:vertAlign w:val="superscript"/>
        </w:rPr>
        <w:t>1</w:t>
      </w:r>
      <w:r>
        <w:rPr>
          <w:snapToGrid w:val="0"/>
        </w:rPr>
        <w:tab/>
        <w:t xml:space="preserve">This reprint is a compilation as at 14 February 2014 of the </w:t>
      </w:r>
      <w:r>
        <w:rPr>
          <w:i/>
          <w:noProof/>
          <w:snapToGrid w:val="0"/>
        </w:rPr>
        <w:t>Water Agencies (Charges) By-laws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65" w:name="_Toc391907042"/>
      <w:bookmarkStart w:id="366" w:name="_Toc426119903"/>
      <w:r>
        <w:t>Compilation table</w:t>
      </w:r>
      <w:bookmarkEnd w:id="365"/>
      <w:bookmarkEnd w:id="3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rPr>
                <w:vertAlign w:val="superscript"/>
              </w:rPr>
            </w:pPr>
            <w:r>
              <w:rPr>
                <w:i/>
              </w:rPr>
              <w:t>Water Authority (Charges) By</w:t>
            </w:r>
            <w:r>
              <w:rPr>
                <w:i/>
              </w:rPr>
              <w:noBreakHyphen/>
              <w:t>laws 1987</w:t>
            </w:r>
            <w:r>
              <w:rPr>
                <w:vertAlign w:val="superscript"/>
              </w:rPr>
              <w:t> 15</w:t>
            </w:r>
          </w:p>
        </w:tc>
        <w:tc>
          <w:tcPr>
            <w:tcW w:w="1276" w:type="dxa"/>
            <w:tcBorders>
              <w:top w:val="single" w:sz="8" w:space="0" w:color="auto"/>
            </w:tcBorders>
          </w:tcPr>
          <w:p>
            <w:pPr>
              <w:pStyle w:val="nTable"/>
              <w:spacing w:after="40"/>
            </w:pPr>
            <w:r>
              <w:t>14 Jul 1987 p. 2658</w:t>
            </w:r>
            <w:r>
              <w:noBreakHyphen/>
              <w:t>72</w:t>
            </w:r>
            <w:r>
              <w:br/>
              <w:t>(errata 24 Jul 1987 p. 2841)</w:t>
            </w:r>
          </w:p>
        </w:tc>
        <w:tc>
          <w:tcPr>
            <w:tcW w:w="2693" w:type="dxa"/>
            <w:tcBorders>
              <w:top w:val="single" w:sz="8" w:space="0" w:color="auto"/>
            </w:tcBorders>
          </w:tcPr>
          <w:p>
            <w:pPr>
              <w:pStyle w:val="nTable"/>
              <w:spacing w:after="40"/>
            </w:pPr>
            <w:r>
              <w:t>14 Jul 1987</w:t>
            </w:r>
          </w:p>
        </w:tc>
      </w:tr>
      <w:tr>
        <w:trPr>
          <w:cantSplit/>
        </w:trPr>
        <w:tc>
          <w:tcPr>
            <w:tcW w:w="3118" w:type="dxa"/>
          </w:tcPr>
          <w:p>
            <w:pPr>
              <w:pStyle w:val="nTable"/>
              <w:spacing w:after="40"/>
              <w:ind w:right="113"/>
            </w:pPr>
            <w:r>
              <w:rPr>
                <w:i/>
              </w:rPr>
              <w:t>Water Authority (Charges) Amendment By</w:t>
            </w:r>
            <w:r>
              <w:rPr>
                <w:i/>
              </w:rPr>
              <w:noBreakHyphen/>
              <w:t>laws 1987</w:t>
            </w:r>
          </w:p>
        </w:tc>
        <w:tc>
          <w:tcPr>
            <w:tcW w:w="1276" w:type="dxa"/>
          </w:tcPr>
          <w:p>
            <w:pPr>
              <w:pStyle w:val="nTable"/>
              <w:spacing w:after="40"/>
            </w:pPr>
            <w:r>
              <w:t>31 Jul 1987 p. 2884</w:t>
            </w:r>
          </w:p>
        </w:tc>
        <w:tc>
          <w:tcPr>
            <w:tcW w:w="2693" w:type="dxa"/>
          </w:tcPr>
          <w:p>
            <w:pPr>
              <w:pStyle w:val="nTable"/>
              <w:spacing w:after="40"/>
            </w:pPr>
            <w:r>
              <w:t>31 Jul 1987</w:t>
            </w:r>
          </w:p>
        </w:tc>
      </w:tr>
      <w:tr>
        <w:trPr>
          <w:cantSplit/>
        </w:trPr>
        <w:tc>
          <w:tcPr>
            <w:tcW w:w="3118" w:type="dxa"/>
          </w:tcPr>
          <w:p>
            <w:pPr>
              <w:pStyle w:val="nTable"/>
              <w:spacing w:after="40"/>
              <w:ind w:right="113"/>
            </w:pPr>
            <w:r>
              <w:rPr>
                <w:i/>
              </w:rPr>
              <w:t>Water Authority (Charges) Amendment By</w:t>
            </w:r>
            <w:r>
              <w:rPr>
                <w:i/>
              </w:rPr>
              <w:noBreakHyphen/>
              <w:t>laws 1988</w:t>
            </w:r>
          </w:p>
        </w:tc>
        <w:tc>
          <w:tcPr>
            <w:tcW w:w="1276" w:type="dxa"/>
          </w:tcPr>
          <w:p>
            <w:pPr>
              <w:pStyle w:val="nTable"/>
              <w:spacing w:after="40"/>
            </w:pPr>
            <w:r>
              <w:t>29 Jun 1988 p. 2112</w:t>
            </w:r>
            <w:r>
              <w:noBreakHyphen/>
              <w:t>22</w:t>
            </w:r>
          </w:p>
        </w:tc>
        <w:tc>
          <w:tcPr>
            <w:tcW w:w="2693" w:type="dxa"/>
          </w:tcPr>
          <w:p>
            <w:pPr>
              <w:pStyle w:val="nTable"/>
              <w:spacing w:after="40"/>
            </w:pPr>
            <w:r>
              <w:t>29 Jun 1988</w:t>
            </w:r>
          </w:p>
        </w:tc>
      </w:tr>
      <w:tr>
        <w:trPr>
          <w:cantSplit/>
        </w:trPr>
        <w:tc>
          <w:tcPr>
            <w:tcW w:w="3118" w:type="dxa"/>
          </w:tcPr>
          <w:p>
            <w:pPr>
              <w:pStyle w:val="nTable"/>
              <w:spacing w:after="40"/>
              <w:ind w:right="113"/>
            </w:pPr>
            <w:r>
              <w:rPr>
                <w:i/>
              </w:rPr>
              <w:t>Water Authority (Charges) Amendment By</w:t>
            </w:r>
            <w:r>
              <w:rPr>
                <w:i/>
              </w:rPr>
              <w:noBreakHyphen/>
              <w:t>laws (No. 2) 1988</w:t>
            </w:r>
          </w:p>
        </w:tc>
        <w:tc>
          <w:tcPr>
            <w:tcW w:w="1276" w:type="dxa"/>
          </w:tcPr>
          <w:p>
            <w:pPr>
              <w:pStyle w:val="nTable"/>
              <w:spacing w:after="40"/>
            </w:pPr>
            <w:r>
              <w:t>4 Jul 1988 p. 2178</w:t>
            </w:r>
          </w:p>
        </w:tc>
        <w:tc>
          <w:tcPr>
            <w:tcW w:w="2693" w:type="dxa"/>
          </w:tcPr>
          <w:p>
            <w:pPr>
              <w:pStyle w:val="nTable"/>
              <w:spacing w:after="40"/>
            </w:pPr>
            <w:r>
              <w:t>4 Jul 1988</w:t>
            </w:r>
          </w:p>
        </w:tc>
      </w:tr>
      <w:tr>
        <w:trPr>
          <w:cantSplit/>
        </w:trPr>
        <w:tc>
          <w:tcPr>
            <w:tcW w:w="3118" w:type="dxa"/>
          </w:tcPr>
          <w:p>
            <w:pPr>
              <w:pStyle w:val="nTable"/>
              <w:spacing w:after="40"/>
              <w:ind w:right="113"/>
            </w:pPr>
            <w:r>
              <w:rPr>
                <w:i/>
              </w:rPr>
              <w:t>Water Authority (Charges) Amendment By</w:t>
            </w:r>
            <w:r>
              <w:rPr>
                <w:i/>
              </w:rPr>
              <w:noBreakHyphen/>
              <w:t>laws (No. 3) 1988</w:t>
            </w:r>
          </w:p>
        </w:tc>
        <w:tc>
          <w:tcPr>
            <w:tcW w:w="1276" w:type="dxa"/>
          </w:tcPr>
          <w:p>
            <w:pPr>
              <w:pStyle w:val="nTable"/>
              <w:spacing w:after="40"/>
            </w:pPr>
            <w:r>
              <w:t>8 Jul 1988 p. 2387</w:t>
            </w:r>
          </w:p>
        </w:tc>
        <w:tc>
          <w:tcPr>
            <w:tcW w:w="2693" w:type="dxa"/>
          </w:tcPr>
          <w:p>
            <w:pPr>
              <w:pStyle w:val="nTable"/>
              <w:spacing w:after="40"/>
            </w:pPr>
            <w:r>
              <w:t>8 Jul 1988</w:t>
            </w:r>
          </w:p>
        </w:tc>
      </w:tr>
      <w:tr>
        <w:trPr>
          <w:cantSplit/>
        </w:trPr>
        <w:tc>
          <w:tcPr>
            <w:tcW w:w="3118" w:type="dxa"/>
          </w:tcPr>
          <w:p>
            <w:pPr>
              <w:pStyle w:val="nTable"/>
              <w:spacing w:after="40"/>
              <w:ind w:right="113"/>
            </w:pPr>
            <w:r>
              <w:rPr>
                <w:i/>
              </w:rPr>
              <w:t>Water Authority (Charges) Amendment By</w:t>
            </w:r>
            <w:r>
              <w:rPr>
                <w:i/>
              </w:rPr>
              <w:noBreakHyphen/>
              <w:t>laws (No. 4) 1988</w:t>
            </w:r>
          </w:p>
        </w:tc>
        <w:tc>
          <w:tcPr>
            <w:tcW w:w="1276" w:type="dxa"/>
          </w:tcPr>
          <w:p>
            <w:pPr>
              <w:pStyle w:val="nTable"/>
              <w:spacing w:after="40"/>
            </w:pPr>
            <w:r>
              <w:t>14 Oct 1988 p. 4174</w:t>
            </w:r>
          </w:p>
        </w:tc>
        <w:tc>
          <w:tcPr>
            <w:tcW w:w="2693" w:type="dxa"/>
          </w:tcPr>
          <w:p>
            <w:pPr>
              <w:pStyle w:val="nTable"/>
              <w:spacing w:after="40"/>
            </w:pPr>
            <w:r>
              <w:t>14 Oct 1988</w:t>
            </w:r>
          </w:p>
        </w:tc>
      </w:tr>
      <w:tr>
        <w:trPr>
          <w:cantSplit/>
        </w:trPr>
        <w:tc>
          <w:tcPr>
            <w:tcW w:w="3118" w:type="dxa"/>
          </w:tcPr>
          <w:p>
            <w:pPr>
              <w:pStyle w:val="nTable"/>
              <w:spacing w:after="40"/>
              <w:ind w:right="113"/>
            </w:pPr>
            <w:r>
              <w:rPr>
                <w:i/>
              </w:rPr>
              <w:t>Water Authority (Charges) Amendment By</w:t>
            </w:r>
            <w:r>
              <w:rPr>
                <w:i/>
              </w:rPr>
              <w:noBreakHyphen/>
              <w:t>laws (No. 5) 1988</w:t>
            </w:r>
          </w:p>
        </w:tc>
        <w:tc>
          <w:tcPr>
            <w:tcW w:w="1276" w:type="dxa"/>
          </w:tcPr>
          <w:p>
            <w:pPr>
              <w:pStyle w:val="nTable"/>
              <w:spacing w:after="40"/>
            </w:pPr>
            <w:r>
              <w:t>20 Jan 1989 p. 121</w:t>
            </w:r>
          </w:p>
        </w:tc>
        <w:tc>
          <w:tcPr>
            <w:tcW w:w="2693" w:type="dxa"/>
          </w:tcPr>
          <w:p>
            <w:pPr>
              <w:pStyle w:val="nTable"/>
              <w:spacing w:after="40"/>
            </w:pPr>
            <w:r>
              <w:t>20 Jan 1989</w:t>
            </w:r>
          </w:p>
        </w:tc>
      </w:tr>
      <w:tr>
        <w:trPr>
          <w:cantSplit/>
        </w:trPr>
        <w:tc>
          <w:tcPr>
            <w:tcW w:w="3118" w:type="dxa"/>
          </w:tcPr>
          <w:p>
            <w:pPr>
              <w:pStyle w:val="nTable"/>
              <w:spacing w:after="40"/>
              <w:ind w:right="113"/>
            </w:pPr>
            <w:r>
              <w:rPr>
                <w:i/>
              </w:rPr>
              <w:t>Water Authority (Charges) Amendment By</w:t>
            </w:r>
            <w:r>
              <w:rPr>
                <w:i/>
              </w:rPr>
              <w:noBreakHyphen/>
              <w:t>laws 1989</w:t>
            </w:r>
          </w:p>
        </w:tc>
        <w:tc>
          <w:tcPr>
            <w:tcW w:w="1276" w:type="dxa"/>
          </w:tcPr>
          <w:p>
            <w:pPr>
              <w:pStyle w:val="nTable"/>
              <w:spacing w:after="40"/>
            </w:pPr>
            <w:r>
              <w:t>10 Mar 1989 p. 712</w:t>
            </w:r>
          </w:p>
        </w:tc>
        <w:tc>
          <w:tcPr>
            <w:tcW w:w="2693" w:type="dxa"/>
          </w:tcPr>
          <w:p>
            <w:pPr>
              <w:pStyle w:val="nTable"/>
              <w:spacing w:after="40"/>
            </w:pPr>
            <w:r>
              <w:t>10 Mar 1989</w:t>
            </w:r>
          </w:p>
        </w:tc>
      </w:tr>
      <w:tr>
        <w:trPr>
          <w:cantSplit/>
        </w:trPr>
        <w:tc>
          <w:tcPr>
            <w:tcW w:w="3118" w:type="dxa"/>
          </w:tcPr>
          <w:p>
            <w:pPr>
              <w:pStyle w:val="nTable"/>
              <w:spacing w:after="40"/>
              <w:ind w:right="113"/>
            </w:pPr>
            <w:r>
              <w:rPr>
                <w:i/>
              </w:rPr>
              <w:t>Water Authority (Charges) Amendment By</w:t>
            </w:r>
            <w:r>
              <w:rPr>
                <w:i/>
              </w:rPr>
              <w:noBreakHyphen/>
              <w:t>laws (No. 2) 1989</w:t>
            </w:r>
          </w:p>
        </w:tc>
        <w:tc>
          <w:tcPr>
            <w:tcW w:w="1276" w:type="dxa"/>
          </w:tcPr>
          <w:p>
            <w:pPr>
              <w:pStyle w:val="nTable"/>
              <w:spacing w:after="40"/>
            </w:pPr>
            <w:r>
              <w:t>23 Jun 1989 p. 1824</w:t>
            </w:r>
          </w:p>
        </w:tc>
        <w:tc>
          <w:tcPr>
            <w:tcW w:w="2693" w:type="dxa"/>
          </w:tcPr>
          <w:p>
            <w:pPr>
              <w:pStyle w:val="nTable"/>
              <w:spacing w:after="40"/>
            </w:pPr>
            <w:r>
              <w:t>23 Jun 1989</w:t>
            </w:r>
          </w:p>
        </w:tc>
      </w:tr>
      <w:tr>
        <w:trPr>
          <w:cantSplit/>
        </w:trPr>
        <w:tc>
          <w:tcPr>
            <w:tcW w:w="3118" w:type="dxa"/>
          </w:tcPr>
          <w:p>
            <w:pPr>
              <w:pStyle w:val="nTable"/>
              <w:spacing w:after="40"/>
              <w:ind w:right="113"/>
              <w:rPr>
                <w:rFonts w:ascii="Arial" w:hAnsi="Arial"/>
                <w:b/>
                <w:vertAlign w:val="superscript"/>
              </w:rPr>
            </w:pPr>
            <w:r>
              <w:rPr>
                <w:i/>
              </w:rPr>
              <w:t>Water Authority (Charges) Amendment By</w:t>
            </w:r>
            <w:r>
              <w:rPr>
                <w:i/>
              </w:rPr>
              <w:noBreakHyphen/>
              <w:t>laws (No. 3) 1989</w:t>
            </w:r>
            <w:r>
              <w:rPr>
                <w:vertAlign w:val="superscript"/>
              </w:rPr>
              <w:t> 16</w:t>
            </w:r>
          </w:p>
        </w:tc>
        <w:tc>
          <w:tcPr>
            <w:tcW w:w="1276" w:type="dxa"/>
          </w:tcPr>
          <w:p>
            <w:pPr>
              <w:pStyle w:val="nTable"/>
              <w:spacing w:after="40"/>
            </w:pPr>
            <w:r>
              <w:t>29 Jun 1989 p. 1870</w:t>
            </w:r>
            <w:r>
              <w:noBreakHyphen/>
              <w:t>82</w:t>
            </w:r>
            <w:r>
              <w:br/>
              <w:t>(errata 7 Jul 1989 p. 2075)</w:t>
            </w:r>
          </w:p>
        </w:tc>
        <w:tc>
          <w:tcPr>
            <w:tcW w:w="2693" w:type="dxa"/>
          </w:tcPr>
          <w:p>
            <w:pPr>
              <w:pStyle w:val="nTable"/>
              <w:spacing w:after="40"/>
            </w:pPr>
            <w:r>
              <w:t>29 Jun 1989</w:t>
            </w:r>
          </w:p>
        </w:tc>
      </w:tr>
      <w:tr>
        <w:trPr>
          <w:cantSplit/>
        </w:trPr>
        <w:tc>
          <w:tcPr>
            <w:tcW w:w="3118" w:type="dxa"/>
          </w:tcPr>
          <w:p>
            <w:pPr>
              <w:pStyle w:val="nTable"/>
              <w:spacing w:after="40"/>
              <w:ind w:right="113"/>
            </w:pPr>
            <w:r>
              <w:rPr>
                <w:i/>
              </w:rPr>
              <w:t>Water Authority (Charges) Amendment By</w:t>
            </w:r>
            <w:r>
              <w:rPr>
                <w:i/>
              </w:rPr>
              <w:noBreakHyphen/>
              <w:t>laws (No. 4) 1989</w:t>
            </w:r>
          </w:p>
        </w:tc>
        <w:tc>
          <w:tcPr>
            <w:tcW w:w="1276" w:type="dxa"/>
          </w:tcPr>
          <w:p>
            <w:pPr>
              <w:pStyle w:val="nTable"/>
              <w:spacing w:after="40"/>
            </w:pPr>
            <w:r>
              <w:t>7 Jul 1989 p. 2077</w:t>
            </w:r>
          </w:p>
        </w:tc>
        <w:tc>
          <w:tcPr>
            <w:tcW w:w="2693" w:type="dxa"/>
          </w:tcPr>
          <w:p>
            <w:pPr>
              <w:pStyle w:val="nTable"/>
              <w:spacing w:after="40"/>
            </w:pPr>
            <w:r>
              <w:t>7 Jul 1989</w:t>
            </w:r>
          </w:p>
        </w:tc>
      </w:tr>
      <w:tr>
        <w:trPr>
          <w:cantSplit/>
        </w:trPr>
        <w:tc>
          <w:tcPr>
            <w:tcW w:w="3118" w:type="dxa"/>
          </w:tcPr>
          <w:p>
            <w:pPr>
              <w:pStyle w:val="nTable"/>
              <w:spacing w:after="40"/>
              <w:ind w:right="113"/>
            </w:pPr>
            <w:r>
              <w:rPr>
                <w:i/>
              </w:rPr>
              <w:t>Water Authority (Charges) Amendment By</w:t>
            </w:r>
            <w:r>
              <w:rPr>
                <w:i/>
              </w:rPr>
              <w:noBreakHyphen/>
              <w:t>laws (No. 5) 1989</w:t>
            </w:r>
          </w:p>
        </w:tc>
        <w:tc>
          <w:tcPr>
            <w:tcW w:w="1276" w:type="dxa"/>
          </w:tcPr>
          <w:p>
            <w:pPr>
              <w:pStyle w:val="nTable"/>
              <w:spacing w:after="40"/>
            </w:pPr>
            <w:r>
              <w:t>7 Jul 1989 p. 2078</w:t>
            </w:r>
          </w:p>
        </w:tc>
        <w:tc>
          <w:tcPr>
            <w:tcW w:w="2693" w:type="dxa"/>
          </w:tcPr>
          <w:p>
            <w:pPr>
              <w:pStyle w:val="nTable"/>
              <w:spacing w:after="40"/>
            </w:pPr>
            <w:r>
              <w:t>7 Jul 1989</w:t>
            </w:r>
          </w:p>
        </w:tc>
      </w:tr>
      <w:tr>
        <w:trPr>
          <w:cantSplit/>
        </w:trPr>
        <w:tc>
          <w:tcPr>
            <w:tcW w:w="3118" w:type="dxa"/>
          </w:tcPr>
          <w:p>
            <w:pPr>
              <w:pStyle w:val="nTable"/>
              <w:spacing w:after="40"/>
              <w:ind w:right="113"/>
            </w:pPr>
            <w:r>
              <w:rPr>
                <w:i/>
              </w:rPr>
              <w:t>Water Authority (Charges) Amendment By</w:t>
            </w:r>
            <w:r>
              <w:rPr>
                <w:i/>
              </w:rPr>
              <w:noBreakHyphen/>
              <w:t>laws (No. 6) 1989</w:t>
            </w:r>
          </w:p>
        </w:tc>
        <w:tc>
          <w:tcPr>
            <w:tcW w:w="1276" w:type="dxa"/>
          </w:tcPr>
          <w:p>
            <w:pPr>
              <w:pStyle w:val="nTable"/>
              <w:spacing w:after="40"/>
            </w:pPr>
            <w:r>
              <w:t>27 Oct 1989 p. 3898</w:t>
            </w:r>
            <w:r>
              <w:noBreakHyphen/>
              <w:t>9</w:t>
            </w:r>
          </w:p>
        </w:tc>
        <w:tc>
          <w:tcPr>
            <w:tcW w:w="2693" w:type="dxa"/>
          </w:tcPr>
          <w:p>
            <w:pPr>
              <w:pStyle w:val="nTable"/>
              <w:spacing w:after="40"/>
            </w:pPr>
            <w:r>
              <w:t>27 Oct 1989</w:t>
            </w:r>
          </w:p>
        </w:tc>
      </w:tr>
      <w:tr>
        <w:trPr>
          <w:cantSplit/>
        </w:trPr>
        <w:tc>
          <w:tcPr>
            <w:tcW w:w="3118" w:type="dxa"/>
          </w:tcPr>
          <w:p>
            <w:pPr>
              <w:pStyle w:val="nTable"/>
              <w:spacing w:after="40"/>
              <w:ind w:right="113"/>
            </w:pPr>
            <w:r>
              <w:rPr>
                <w:i/>
              </w:rPr>
              <w:t>Water Authority (Charges) Amendment By</w:t>
            </w:r>
            <w:r>
              <w:rPr>
                <w:i/>
              </w:rPr>
              <w:noBreakHyphen/>
              <w:t>laws (No. 7) 1989</w:t>
            </w:r>
          </w:p>
        </w:tc>
        <w:tc>
          <w:tcPr>
            <w:tcW w:w="1276" w:type="dxa"/>
          </w:tcPr>
          <w:p>
            <w:pPr>
              <w:pStyle w:val="nTable"/>
              <w:spacing w:after="40"/>
            </w:pPr>
            <w:r>
              <w:t>17 Nov 1989 p. 4117</w:t>
            </w:r>
          </w:p>
        </w:tc>
        <w:tc>
          <w:tcPr>
            <w:tcW w:w="2693" w:type="dxa"/>
          </w:tcPr>
          <w:p>
            <w:pPr>
              <w:pStyle w:val="nTable"/>
              <w:spacing w:after="40"/>
            </w:pPr>
            <w:r>
              <w:t>17 Nov 1989</w:t>
            </w:r>
          </w:p>
        </w:tc>
      </w:tr>
      <w:tr>
        <w:trPr>
          <w:cantSplit/>
        </w:trPr>
        <w:tc>
          <w:tcPr>
            <w:tcW w:w="3118" w:type="dxa"/>
          </w:tcPr>
          <w:p>
            <w:pPr>
              <w:pStyle w:val="nTable"/>
              <w:spacing w:after="40"/>
              <w:ind w:right="113"/>
              <w:rPr>
                <w:rFonts w:ascii="Arial" w:hAnsi="Arial"/>
                <w:b/>
                <w:vertAlign w:val="superscript"/>
              </w:rPr>
            </w:pPr>
            <w:r>
              <w:rPr>
                <w:i/>
              </w:rPr>
              <w:t>Water Authority (Charges) Amendment By</w:t>
            </w:r>
            <w:r>
              <w:rPr>
                <w:i/>
              </w:rPr>
              <w:noBreakHyphen/>
              <w:t>laws 1990</w:t>
            </w:r>
            <w:r>
              <w:rPr>
                <w:vertAlign w:val="superscript"/>
              </w:rPr>
              <w:t> 17</w:t>
            </w:r>
          </w:p>
        </w:tc>
        <w:tc>
          <w:tcPr>
            <w:tcW w:w="1276" w:type="dxa"/>
          </w:tcPr>
          <w:p>
            <w:pPr>
              <w:pStyle w:val="nTable"/>
              <w:spacing w:after="40"/>
            </w:pPr>
            <w:r>
              <w:t>29 Jun 1990 p. 3226</w:t>
            </w:r>
            <w:r>
              <w:noBreakHyphen/>
              <w:t>40</w:t>
            </w:r>
            <w:r>
              <w:br/>
              <w:t>(errata 6 Jul 1990 p. 3317)</w:t>
            </w:r>
          </w:p>
        </w:tc>
        <w:tc>
          <w:tcPr>
            <w:tcW w:w="2693" w:type="dxa"/>
          </w:tcPr>
          <w:p>
            <w:pPr>
              <w:pStyle w:val="nTable"/>
              <w:spacing w:after="40"/>
            </w:pPr>
            <w:r>
              <w:t>29 Jun 1990</w:t>
            </w:r>
          </w:p>
        </w:tc>
      </w:tr>
      <w:tr>
        <w:trPr>
          <w:cantSplit/>
        </w:trPr>
        <w:tc>
          <w:tcPr>
            <w:tcW w:w="3118" w:type="dxa"/>
          </w:tcPr>
          <w:p>
            <w:pPr>
              <w:pStyle w:val="nTable"/>
              <w:spacing w:after="40"/>
              <w:ind w:right="113"/>
              <w:rPr>
                <w:rFonts w:ascii="Arial" w:hAnsi="Arial"/>
                <w:b/>
                <w:vertAlign w:val="superscript"/>
              </w:rPr>
            </w:pPr>
            <w:r>
              <w:rPr>
                <w:i/>
              </w:rPr>
              <w:t>Water Authority (Charges) Amendment By</w:t>
            </w:r>
            <w:r>
              <w:rPr>
                <w:i/>
              </w:rPr>
              <w:noBreakHyphen/>
              <w:t>laws 1991</w:t>
            </w:r>
            <w:r>
              <w:rPr>
                <w:i/>
                <w:vertAlign w:val="superscript"/>
              </w:rPr>
              <w:t> </w:t>
            </w:r>
            <w:r>
              <w:rPr>
                <w:vertAlign w:val="superscript"/>
              </w:rPr>
              <w:t>18</w:t>
            </w:r>
          </w:p>
        </w:tc>
        <w:tc>
          <w:tcPr>
            <w:tcW w:w="1276" w:type="dxa"/>
          </w:tcPr>
          <w:p>
            <w:pPr>
              <w:pStyle w:val="nTable"/>
              <w:spacing w:after="40"/>
            </w:pPr>
            <w:r>
              <w:t>28 Jun 1991 p. 3267</w:t>
            </w:r>
            <w:r>
              <w:noBreakHyphen/>
              <w:t>80</w:t>
            </w:r>
            <w:r>
              <w:br/>
              <w:t>(errata 5 Jul 1991 p. 3379)</w:t>
            </w:r>
          </w:p>
        </w:tc>
        <w:tc>
          <w:tcPr>
            <w:tcW w:w="2693" w:type="dxa"/>
          </w:tcPr>
          <w:p>
            <w:pPr>
              <w:pStyle w:val="nTable"/>
              <w:spacing w:after="40"/>
            </w:pPr>
            <w:r>
              <w:t>28 Jun 1991</w:t>
            </w:r>
          </w:p>
        </w:tc>
      </w:tr>
      <w:tr>
        <w:trPr>
          <w:cantSplit/>
        </w:trPr>
        <w:tc>
          <w:tcPr>
            <w:tcW w:w="3118" w:type="dxa"/>
          </w:tcPr>
          <w:p>
            <w:pPr>
              <w:pStyle w:val="nTable"/>
              <w:spacing w:after="40"/>
              <w:ind w:right="113"/>
            </w:pPr>
            <w:r>
              <w:rPr>
                <w:i/>
              </w:rPr>
              <w:t>Water Authority (Charges) Amendment By</w:t>
            </w:r>
            <w:r>
              <w:rPr>
                <w:i/>
              </w:rPr>
              <w:noBreakHyphen/>
              <w:t>laws (No. 2) 1991</w:t>
            </w:r>
          </w:p>
        </w:tc>
        <w:tc>
          <w:tcPr>
            <w:tcW w:w="1276" w:type="dxa"/>
          </w:tcPr>
          <w:p>
            <w:pPr>
              <w:pStyle w:val="nTable"/>
              <w:spacing w:after="40"/>
            </w:pPr>
            <w:r>
              <w:t>20 Sep 1991 p. 4952</w:t>
            </w:r>
            <w:r>
              <w:noBreakHyphen/>
              <w:t>3</w:t>
            </w:r>
          </w:p>
        </w:tc>
        <w:tc>
          <w:tcPr>
            <w:tcW w:w="2693" w:type="dxa"/>
          </w:tcPr>
          <w:p>
            <w:pPr>
              <w:pStyle w:val="nTable"/>
              <w:spacing w:after="40"/>
            </w:pPr>
            <w:r>
              <w:t>20 Sep 1991</w:t>
            </w:r>
          </w:p>
        </w:tc>
      </w:tr>
      <w:tr>
        <w:trPr>
          <w:cantSplit/>
        </w:trPr>
        <w:tc>
          <w:tcPr>
            <w:tcW w:w="3118" w:type="dxa"/>
          </w:tcPr>
          <w:p>
            <w:pPr>
              <w:pStyle w:val="nTable"/>
              <w:spacing w:after="40"/>
              <w:ind w:right="113"/>
            </w:pPr>
            <w:r>
              <w:rPr>
                <w:i/>
              </w:rPr>
              <w:t>Water Authority (Charges) Amendment By</w:t>
            </w:r>
            <w:r>
              <w:rPr>
                <w:i/>
              </w:rPr>
              <w:noBreakHyphen/>
              <w:t>laws (No. 3) 1991</w:t>
            </w:r>
          </w:p>
        </w:tc>
        <w:tc>
          <w:tcPr>
            <w:tcW w:w="1276" w:type="dxa"/>
          </w:tcPr>
          <w:p>
            <w:pPr>
              <w:pStyle w:val="nTable"/>
              <w:spacing w:after="40"/>
            </w:pPr>
            <w:r>
              <w:t>20 Sep 1991 p. 4954</w:t>
            </w:r>
            <w:r>
              <w:noBreakHyphen/>
              <w:t>5</w:t>
            </w:r>
          </w:p>
        </w:tc>
        <w:tc>
          <w:tcPr>
            <w:tcW w:w="2693" w:type="dxa"/>
          </w:tcPr>
          <w:p>
            <w:pPr>
              <w:pStyle w:val="nTable"/>
              <w:spacing w:after="40"/>
            </w:pPr>
            <w:r>
              <w:t>20 Sep 1991</w:t>
            </w:r>
          </w:p>
        </w:tc>
      </w:tr>
      <w:tr>
        <w:trPr>
          <w:cantSplit/>
        </w:trPr>
        <w:tc>
          <w:tcPr>
            <w:tcW w:w="3118" w:type="dxa"/>
          </w:tcPr>
          <w:p>
            <w:pPr>
              <w:pStyle w:val="nTable"/>
              <w:spacing w:after="40"/>
              <w:ind w:right="113"/>
              <w:rPr>
                <w:rFonts w:ascii="Arial" w:hAnsi="Arial"/>
                <w:b/>
                <w:vertAlign w:val="superscript"/>
              </w:rPr>
            </w:pPr>
            <w:r>
              <w:rPr>
                <w:i/>
              </w:rPr>
              <w:t>Water Authority (Charges) Amendment By</w:t>
            </w:r>
            <w:r>
              <w:rPr>
                <w:i/>
              </w:rPr>
              <w:noBreakHyphen/>
              <w:t>laws 1992</w:t>
            </w:r>
            <w:r>
              <w:rPr>
                <w:i/>
                <w:vertAlign w:val="superscript"/>
              </w:rPr>
              <w:t> </w:t>
            </w:r>
            <w:r>
              <w:rPr>
                <w:vertAlign w:val="superscript"/>
              </w:rPr>
              <w:t>19</w:t>
            </w:r>
          </w:p>
        </w:tc>
        <w:tc>
          <w:tcPr>
            <w:tcW w:w="1276" w:type="dxa"/>
          </w:tcPr>
          <w:p>
            <w:pPr>
              <w:pStyle w:val="nTable"/>
              <w:spacing w:after="40"/>
            </w:pPr>
            <w:r>
              <w:t>28 Feb 1992 p. 1024</w:t>
            </w:r>
          </w:p>
        </w:tc>
        <w:tc>
          <w:tcPr>
            <w:tcW w:w="2693" w:type="dxa"/>
          </w:tcPr>
          <w:p>
            <w:pPr>
              <w:pStyle w:val="nTable"/>
              <w:spacing w:after="40"/>
            </w:pPr>
            <w:r>
              <w:t>28 Feb 1992</w:t>
            </w:r>
          </w:p>
        </w:tc>
      </w:tr>
      <w:tr>
        <w:trPr>
          <w:cantSplit/>
        </w:trPr>
        <w:tc>
          <w:tcPr>
            <w:tcW w:w="3118" w:type="dxa"/>
          </w:tcPr>
          <w:p>
            <w:pPr>
              <w:pStyle w:val="nTable"/>
              <w:spacing w:after="40"/>
              <w:ind w:right="113"/>
            </w:pPr>
            <w:r>
              <w:rPr>
                <w:i/>
              </w:rPr>
              <w:t>Water Authority (Charges) Amendment By</w:t>
            </w:r>
            <w:r>
              <w:rPr>
                <w:i/>
              </w:rPr>
              <w:noBreakHyphen/>
              <w:t>laws (No. 2) 1992</w:t>
            </w:r>
          </w:p>
        </w:tc>
        <w:tc>
          <w:tcPr>
            <w:tcW w:w="1276" w:type="dxa"/>
          </w:tcPr>
          <w:p>
            <w:pPr>
              <w:pStyle w:val="nTable"/>
              <w:spacing w:after="40"/>
            </w:pPr>
            <w:r>
              <w:t>28 Feb 1992 p. 1025</w:t>
            </w:r>
          </w:p>
        </w:tc>
        <w:tc>
          <w:tcPr>
            <w:tcW w:w="2693" w:type="dxa"/>
          </w:tcPr>
          <w:p>
            <w:pPr>
              <w:pStyle w:val="nTable"/>
              <w:spacing w:after="40"/>
            </w:pPr>
            <w:r>
              <w:t>28 Feb 1992</w:t>
            </w:r>
          </w:p>
        </w:tc>
      </w:tr>
      <w:tr>
        <w:trPr>
          <w:cantSplit/>
        </w:trPr>
        <w:tc>
          <w:tcPr>
            <w:tcW w:w="3118" w:type="dxa"/>
          </w:tcPr>
          <w:p>
            <w:pPr>
              <w:pStyle w:val="nTable"/>
              <w:spacing w:after="40"/>
              <w:ind w:right="113"/>
            </w:pPr>
            <w:r>
              <w:rPr>
                <w:i/>
              </w:rPr>
              <w:t>Water Authority (Charges) Amendment By</w:t>
            </w:r>
            <w:r>
              <w:rPr>
                <w:i/>
              </w:rPr>
              <w:noBreakHyphen/>
              <w:t>laws (No. 3) 1992</w:t>
            </w:r>
          </w:p>
        </w:tc>
        <w:tc>
          <w:tcPr>
            <w:tcW w:w="1276" w:type="dxa"/>
          </w:tcPr>
          <w:p>
            <w:pPr>
              <w:pStyle w:val="nTable"/>
              <w:spacing w:after="40"/>
            </w:pPr>
            <w:r>
              <w:t>1 May 1992 p. 1864</w:t>
            </w:r>
          </w:p>
        </w:tc>
        <w:tc>
          <w:tcPr>
            <w:tcW w:w="2693" w:type="dxa"/>
          </w:tcPr>
          <w:p>
            <w:pPr>
              <w:pStyle w:val="nTable"/>
              <w:spacing w:after="40"/>
            </w:pPr>
            <w:r>
              <w:t>1 May 1992</w:t>
            </w:r>
          </w:p>
        </w:tc>
      </w:tr>
      <w:tr>
        <w:trPr>
          <w:cantSplit/>
        </w:trPr>
        <w:tc>
          <w:tcPr>
            <w:tcW w:w="3118" w:type="dxa"/>
          </w:tcPr>
          <w:p>
            <w:pPr>
              <w:pStyle w:val="nTable"/>
              <w:spacing w:after="40"/>
              <w:ind w:right="113"/>
              <w:rPr>
                <w:rFonts w:ascii="Arial" w:hAnsi="Arial"/>
                <w:b/>
                <w:vertAlign w:val="superscript"/>
              </w:rPr>
            </w:pPr>
            <w:r>
              <w:rPr>
                <w:i/>
              </w:rPr>
              <w:t>Water Authority (Charges) Amendment By</w:t>
            </w:r>
            <w:r>
              <w:rPr>
                <w:i/>
              </w:rPr>
              <w:noBreakHyphen/>
              <w:t>laws (No. 4) 1992</w:t>
            </w:r>
            <w:r>
              <w:rPr>
                <w:vertAlign w:val="superscript"/>
              </w:rPr>
              <w:t> 20</w:t>
            </w:r>
          </w:p>
        </w:tc>
        <w:tc>
          <w:tcPr>
            <w:tcW w:w="1276" w:type="dxa"/>
          </w:tcPr>
          <w:p>
            <w:pPr>
              <w:pStyle w:val="nTable"/>
              <w:spacing w:after="40"/>
            </w:pPr>
            <w:r>
              <w:t>1 May 1992 p. 1865</w:t>
            </w:r>
          </w:p>
        </w:tc>
        <w:tc>
          <w:tcPr>
            <w:tcW w:w="2693" w:type="dxa"/>
          </w:tcPr>
          <w:p>
            <w:pPr>
              <w:pStyle w:val="nTable"/>
              <w:spacing w:after="40"/>
            </w:pPr>
            <w:r>
              <w:t>1 May 1992</w:t>
            </w:r>
          </w:p>
        </w:tc>
      </w:tr>
      <w:tr>
        <w:trPr>
          <w:cantSplit/>
        </w:trPr>
        <w:tc>
          <w:tcPr>
            <w:tcW w:w="3118" w:type="dxa"/>
          </w:tcPr>
          <w:p>
            <w:pPr>
              <w:pStyle w:val="nTable"/>
              <w:keepNext/>
              <w:keepLines/>
              <w:spacing w:after="40"/>
              <w:ind w:right="113"/>
            </w:pPr>
            <w:r>
              <w:rPr>
                <w:i/>
              </w:rPr>
              <w:t>Water Authority (Charges) Amendment By</w:t>
            </w:r>
            <w:r>
              <w:rPr>
                <w:i/>
              </w:rPr>
              <w:noBreakHyphen/>
              <w:t>laws (No. 5) 1992</w:t>
            </w:r>
          </w:p>
        </w:tc>
        <w:tc>
          <w:tcPr>
            <w:tcW w:w="1276" w:type="dxa"/>
          </w:tcPr>
          <w:p>
            <w:pPr>
              <w:pStyle w:val="nTable"/>
              <w:keepNext/>
              <w:keepLines/>
              <w:spacing w:after="40"/>
            </w:pPr>
            <w:r>
              <w:t>26 Jun 1992 p. 2812</w:t>
            </w:r>
            <w:r>
              <w:noBreakHyphen/>
              <w:t>31</w:t>
            </w:r>
          </w:p>
        </w:tc>
        <w:tc>
          <w:tcPr>
            <w:tcW w:w="2693" w:type="dxa"/>
          </w:tcPr>
          <w:p>
            <w:pPr>
              <w:pStyle w:val="nTable"/>
              <w:keepNext/>
              <w:keepLines/>
              <w:spacing w:after="40"/>
            </w:pPr>
            <w:r>
              <w:t>1 Jul 1992 (see bl. 2)</w:t>
            </w:r>
          </w:p>
        </w:tc>
      </w:tr>
      <w:tr>
        <w:trPr>
          <w:cantSplit/>
        </w:trPr>
        <w:tc>
          <w:tcPr>
            <w:tcW w:w="3118" w:type="dxa"/>
          </w:tcPr>
          <w:p>
            <w:pPr>
              <w:pStyle w:val="nTable"/>
              <w:spacing w:after="40"/>
              <w:ind w:right="113"/>
            </w:pPr>
            <w:r>
              <w:rPr>
                <w:i/>
              </w:rPr>
              <w:t>Water Authority (Charges) Amendment By</w:t>
            </w:r>
            <w:r>
              <w:rPr>
                <w:i/>
              </w:rPr>
              <w:noBreakHyphen/>
              <w:t>laws (No. 6) 1992</w:t>
            </w:r>
          </w:p>
        </w:tc>
        <w:tc>
          <w:tcPr>
            <w:tcW w:w="1276" w:type="dxa"/>
          </w:tcPr>
          <w:p>
            <w:pPr>
              <w:pStyle w:val="nTable"/>
              <w:spacing w:after="40"/>
            </w:pPr>
            <w:r>
              <w:t>26 Jun 1992 p. 2831</w:t>
            </w:r>
            <w:r>
              <w:noBreakHyphen/>
              <w:t>2</w:t>
            </w:r>
          </w:p>
        </w:tc>
        <w:tc>
          <w:tcPr>
            <w:tcW w:w="2693" w:type="dxa"/>
          </w:tcPr>
          <w:p>
            <w:pPr>
              <w:pStyle w:val="nTable"/>
              <w:spacing w:after="40"/>
            </w:pPr>
            <w:r>
              <w:t>1 Jul 1992 (see bl. 2)</w:t>
            </w:r>
          </w:p>
        </w:tc>
      </w:tr>
      <w:tr>
        <w:trPr>
          <w:cantSplit/>
        </w:trPr>
        <w:tc>
          <w:tcPr>
            <w:tcW w:w="3118" w:type="dxa"/>
          </w:tcPr>
          <w:p>
            <w:pPr>
              <w:pStyle w:val="nTable"/>
              <w:spacing w:after="40"/>
              <w:ind w:right="113"/>
            </w:pPr>
            <w:r>
              <w:rPr>
                <w:i/>
              </w:rPr>
              <w:t>Water Authority (Charges) Amendment By</w:t>
            </w:r>
            <w:r>
              <w:rPr>
                <w:i/>
              </w:rPr>
              <w:noBreakHyphen/>
              <w:t>laws (No. 7) 1992</w:t>
            </w:r>
          </w:p>
        </w:tc>
        <w:tc>
          <w:tcPr>
            <w:tcW w:w="1276" w:type="dxa"/>
          </w:tcPr>
          <w:p>
            <w:pPr>
              <w:pStyle w:val="nTable"/>
              <w:spacing w:after="40"/>
            </w:pPr>
            <w:r>
              <w:t>6 Jul 1992 p. 3079</w:t>
            </w:r>
          </w:p>
        </w:tc>
        <w:tc>
          <w:tcPr>
            <w:tcW w:w="2693" w:type="dxa"/>
          </w:tcPr>
          <w:p>
            <w:pPr>
              <w:pStyle w:val="nTable"/>
              <w:spacing w:after="40"/>
            </w:pPr>
            <w:r>
              <w:t>6 Jul 1992</w:t>
            </w:r>
          </w:p>
        </w:tc>
      </w:tr>
      <w:tr>
        <w:trPr>
          <w:cantSplit/>
        </w:trPr>
        <w:tc>
          <w:tcPr>
            <w:tcW w:w="3118" w:type="dxa"/>
          </w:tcPr>
          <w:p>
            <w:pPr>
              <w:pStyle w:val="nTable"/>
              <w:spacing w:after="40"/>
              <w:ind w:right="113"/>
            </w:pPr>
            <w:r>
              <w:rPr>
                <w:i/>
              </w:rPr>
              <w:t>Water Authority (Charges) Amendment By</w:t>
            </w:r>
            <w:r>
              <w:rPr>
                <w:i/>
              </w:rPr>
              <w:noBreakHyphen/>
              <w:t>laws (No. 8) 1992</w:t>
            </w:r>
          </w:p>
        </w:tc>
        <w:tc>
          <w:tcPr>
            <w:tcW w:w="1276" w:type="dxa"/>
          </w:tcPr>
          <w:p>
            <w:pPr>
              <w:pStyle w:val="nTable"/>
              <w:spacing w:after="40"/>
            </w:pPr>
            <w:r>
              <w:t>24 Jul 1992 p. 3660</w:t>
            </w:r>
            <w:r>
              <w:noBreakHyphen/>
              <w:t>1</w:t>
            </w:r>
          </w:p>
        </w:tc>
        <w:tc>
          <w:tcPr>
            <w:tcW w:w="2693" w:type="dxa"/>
          </w:tcPr>
          <w:p>
            <w:pPr>
              <w:pStyle w:val="nTable"/>
              <w:spacing w:after="40"/>
            </w:pPr>
            <w:r>
              <w:t>24 Jul 1992</w:t>
            </w:r>
          </w:p>
        </w:tc>
      </w:tr>
      <w:tr>
        <w:trPr>
          <w:cantSplit/>
        </w:trPr>
        <w:tc>
          <w:tcPr>
            <w:tcW w:w="3118" w:type="dxa"/>
          </w:tcPr>
          <w:p>
            <w:pPr>
              <w:pStyle w:val="nTable"/>
              <w:spacing w:after="40"/>
              <w:ind w:right="113"/>
            </w:pPr>
            <w:r>
              <w:rPr>
                <w:i/>
              </w:rPr>
              <w:t>Water Authority (Charges) Amendment By</w:t>
            </w:r>
            <w:r>
              <w:rPr>
                <w:i/>
              </w:rPr>
              <w:noBreakHyphen/>
              <w:t>laws (No. 9) 1992</w:t>
            </w:r>
          </w:p>
        </w:tc>
        <w:tc>
          <w:tcPr>
            <w:tcW w:w="1276" w:type="dxa"/>
          </w:tcPr>
          <w:p>
            <w:pPr>
              <w:pStyle w:val="nTable"/>
              <w:spacing w:after="40"/>
            </w:pPr>
            <w:r>
              <w:t>31 Dec 1992 p. 6412</w:t>
            </w:r>
            <w:r>
              <w:noBreakHyphen/>
              <w:t>13</w:t>
            </w:r>
          </w:p>
        </w:tc>
        <w:tc>
          <w:tcPr>
            <w:tcW w:w="2693" w:type="dxa"/>
          </w:tcPr>
          <w:p>
            <w:pPr>
              <w:pStyle w:val="nTable"/>
              <w:spacing w:after="40"/>
            </w:pPr>
            <w:r>
              <w:t>31 Dec 1992</w:t>
            </w:r>
          </w:p>
        </w:tc>
      </w:tr>
      <w:tr>
        <w:trPr>
          <w:cantSplit/>
        </w:trPr>
        <w:tc>
          <w:tcPr>
            <w:tcW w:w="3118" w:type="dxa"/>
          </w:tcPr>
          <w:p>
            <w:pPr>
              <w:pStyle w:val="nTable"/>
              <w:spacing w:after="40"/>
              <w:ind w:right="113"/>
            </w:pPr>
            <w:r>
              <w:rPr>
                <w:i/>
              </w:rPr>
              <w:t>Water Authority (Charges) Amendment By</w:t>
            </w:r>
            <w:r>
              <w:rPr>
                <w:i/>
              </w:rPr>
              <w:noBreakHyphen/>
              <w:t>laws 1993</w:t>
            </w:r>
          </w:p>
        </w:tc>
        <w:tc>
          <w:tcPr>
            <w:tcW w:w="1276" w:type="dxa"/>
          </w:tcPr>
          <w:p>
            <w:pPr>
              <w:pStyle w:val="nTable"/>
              <w:spacing w:after="40"/>
            </w:pPr>
            <w:r>
              <w:t>1 Jul 1993 p. 3214</w:t>
            </w:r>
            <w:r>
              <w:noBreakHyphen/>
              <w:t>36</w:t>
            </w:r>
          </w:p>
        </w:tc>
        <w:tc>
          <w:tcPr>
            <w:tcW w:w="2693" w:type="dxa"/>
          </w:tcPr>
          <w:p>
            <w:pPr>
              <w:pStyle w:val="nTable"/>
              <w:spacing w:after="40"/>
            </w:pPr>
            <w:r>
              <w:t>1 Jul 1993</w:t>
            </w:r>
          </w:p>
        </w:tc>
      </w:tr>
      <w:tr>
        <w:trPr>
          <w:cantSplit/>
        </w:trPr>
        <w:tc>
          <w:tcPr>
            <w:tcW w:w="3118" w:type="dxa"/>
          </w:tcPr>
          <w:p>
            <w:pPr>
              <w:pStyle w:val="nTable"/>
              <w:spacing w:after="40"/>
              <w:ind w:right="113"/>
            </w:pPr>
            <w:r>
              <w:rPr>
                <w:i/>
              </w:rPr>
              <w:t>Water Authority (Charges) Amendment By</w:t>
            </w:r>
            <w:r>
              <w:rPr>
                <w:i/>
              </w:rPr>
              <w:noBreakHyphen/>
              <w:t>laws (No. 2) 1993</w:t>
            </w:r>
          </w:p>
        </w:tc>
        <w:tc>
          <w:tcPr>
            <w:tcW w:w="1276" w:type="dxa"/>
          </w:tcPr>
          <w:p>
            <w:pPr>
              <w:pStyle w:val="nTable"/>
              <w:spacing w:after="40"/>
            </w:pPr>
            <w:r>
              <w:t>1 Jul 1993 p. 3236</w:t>
            </w:r>
            <w:r>
              <w:noBreakHyphen/>
              <w:t>7</w:t>
            </w:r>
          </w:p>
        </w:tc>
        <w:tc>
          <w:tcPr>
            <w:tcW w:w="2693" w:type="dxa"/>
          </w:tcPr>
          <w:p>
            <w:pPr>
              <w:pStyle w:val="nTable"/>
              <w:spacing w:after="40"/>
            </w:pPr>
            <w:r>
              <w:t>1 Jul 1993 (see bl. 2)</w:t>
            </w:r>
          </w:p>
        </w:tc>
      </w:tr>
      <w:tr>
        <w:trPr>
          <w:cantSplit/>
        </w:trPr>
        <w:tc>
          <w:tcPr>
            <w:tcW w:w="3118" w:type="dxa"/>
          </w:tcPr>
          <w:p>
            <w:pPr>
              <w:pStyle w:val="nTable"/>
              <w:spacing w:after="40"/>
              <w:ind w:right="113"/>
            </w:pPr>
            <w:r>
              <w:rPr>
                <w:i/>
              </w:rPr>
              <w:t>Water Authority (Charges) Amendment By</w:t>
            </w:r>
            <w:r>
              <w:rPr>
                <w:i/>
              </w:rPr>
              <w:noBreakHyphen/>
              <w:t>laws (No. 3) 1993</w:t>
            </w:r>
          </w:p>
        </w:tc>
        <w:tc>
          <w:tcPr>
            <w:tcW w:w="1276" w:type="dxa"/>
          </w:tcPr>
          <w:p>
            <w:pPr>
              <w:pStyle w:val="nTable"/>
              <w:spacing w:after="40"/>
            </w:pPr>
            <w:r>
              <w:t>27 Jul 1993 p. 4096</w:t>
            </w:r>
            <w:r>
              <w:noBreakHyphen/>
              <w:t>7</w:t>
            </w:r>
          </w:p>
        </w:tc>
        <w:tc>
          <w:tcPr>
            <w:tcW w:w="2693" w:type="dxa"/>
          </w:tcPr>
          <w:p>
            <w:pPr>
              <w:pStyle w:val="nTable"/>
              <w:spacing w:after="40"/>
            </w:pPr>
            <w:r>
              <w:t>27 Jul 1993</w:t>
            </w:r>
          </w:p>
        </w:tc>
      </w:tr>
      <w:tr>
        <w:trPr>
          <w:cantSplit/>
        </w:trPr>
        <w:tc>
          <w:tcPr>
            <w:tcW w:w="3118" w:type="dxa"/>
          </w:tcPr>
          <w:p>
            <w:pPr>
              <w:pStyle w:val="nTable"/>
              <w:spacing w:after="40"/>
              <w:ind w:right="113"/>
            </w:pPr>
            <w:r>
              <w:rPr>
                <w:i/>
              </w:rPr>
              <w:t>Water Authority (Charges) Amendment By</w:t>
            </w:r>
            <w:r>
              <w:rPr>
                <w:i/>
              </w:rPr>
              <w:noBreakHyphen/>
              <w:t>laws (No. 4) 1993</w:t>
            </w:r>
          </w:p>
        </w:tc>
        <w:tc>
          <w:tcPr>
            <w:tcW w:w="1276" w:type="dxa"/>
          </w:tcPr>
          <w:p>
            <w:pPr>
              <w:pStyle w:val="nTable"/>
              <w:spacing w:after="40"/>
            </w:pPr>
            <w:r>
              <w:t>28 Sep 1993 p. 5328</w:t>
            </w:r>
          </w:p>
        </w:tc>
        <w:tc>
          <w:tcPr>
            <w:tcW w:w="2693" w:type="dxa"/>
          </w:tcPr>
          <w:p>
            <w:pPr>
              <w:pStyle w:val="nTable"/>
              <w:spacing w:after="40"/>
            </w:pPr>
            <w:r>
              <w:t>28 Sep 1993</w:t>
            </w:r>
          </w:p>
        </w:tc>
      </w:tr>
      <w:tr>
        <w:trPr>
          <w:cantSplit/>
        </w:trPr>
        <w:tc>
          <w:tcPr>
            <w:tcW w:w="3118" w:type="dxa"/>
          </w:tcPr>
          <w:p>
            <w:pPr>
              <w:pStyle w:val="nTable"/>
              <w:spacing w:after="40"/>
              <w:ind w:right="113"/>
            </w:pPr>
            <w:r>
              <w:rPr>
                <w:i/>
              </w:rPr>
              <w:t>Water Authority (Charges) Amendment By</w:t>
            </w:r>
            <w:r>
              <w:rPr>
                <w:i/>
              </w:rPr>
              <w:noBreakHyphen/>
              <w:t>laws 1994</w:t>
            </w:r>
          </w:p>
        </w:tc>
        <w:tc>
          <w:tcPr>
            <w:tcW w:w="1276" w:type="dxa"/>
          </w:tcPr>
          <w:p>
            <w:pPr>
              <w:pStyle w:val="nTable"/>
              <w:spacing w:after="40"/>
            </w:pPr>
            <w:r>
              <w:t>4 Mar 1994 p. 900</w:t>
            </w:r>
            <w:r>
              <w:noBreakHyphen/>
              <w:t>1</w:t>
            </w:r>
          </w:p>
        </w:tc>
        <w:tc>
          <w:tcPr>
            <w:tcW w:w="2693" w:type="dxa"/>
          </w:tcPr>
          <w:p>
            <w:pPr>
              <w:pStyle w:val="nTable"/>
              <w:spacing w:after="40"/>
            </w:pPr>
            <w:r>
              <w:t>4 Mar 1994</w:t>
            </w:r>
          </w:p>
        </w:tc>
      </w:tr>
      <w:tr>
        <w:trPr>
          <w:cantSplit/>
        </w:trPr>
        <w:tc>
          <w:tcPr>
            <w:tcW w:w="3118" w:type="dxa"/>
          </w:tcPr>
          <w:p>
            <w:pPr>
              <w:pStyle w:val="nTable"/>
              <w:spacing w:after="40"/>
              <w:ind w:right="113"/>
            </w:pPr>
            <w:r>
              <w:rPr>
                <w:i/>
              </w:rPr>
              <w:t>Water Authority (Charges) Amendment By</w:t>
            </w:r>
            <w:r>
              <w:rPr>
                <w:i/>
              </w:rPr>
              <w:noBreakHyphen/>
              <w:t>laws (No. 2) 1994</w:t>
            </w:r>
          </w:p>
        </w:tc>
        <w:tc>
          <w:tcPr>
            <w:tcW w:w="1276" w:type="dxa"/>
          </w:tcPr>
          <w:p>
            <w:pPr>
              <w:pStyle w:val="nTable"/>
              <w:spacing w:after="40"/>
            </w:pPr>
            <w:r>
              <w:t>4 Mar 1994 p. 901</w:t>
            </w:r>
          </w:p>
        </w:tc>
        <w:tc>
          <w:tcPr>
            <w:tcW w:w="2693" w:type="dxa"/>
          </w:tcPr>
          <w:p>
            <w:pPr>
              <w:pStyle w:val="nTable"/>
              <w:spacing w:after="40"/>
            </w:pPr>
            <w:r>
              <w:t>4 Mar 1994</w:t>
            </w:r>
          </w:p>
        </w:tc>
      </w:tr>
      <w:tr>
        <w:trPr>
          <w:cantSplit/>
        </w:trPr>
        <w:tc>
          <w:tcPr>
            <w:tcW w:w="3118" w:type="dxa"/>
          </w:tcPr>
          <w:p>
            <w:pPr>
              <w:pStyle w:val="nTable"/>
              <w:spacing w:after="40"/>
              <w:ind w:right="113"/>
            </w:pPr>
            <w:r>
              <w:rPr>
                <w:i/>
              </w:rPr>
              <w:t>Water Authority (Charges) Amendment By</w:t>
            </w:r>
            <w:r>
              <w:rPr>
                <w:i/>
              </w:rPr>
              <w:noBreakHyphen/>
              <w:t>laws (No. 3) 1994</w:t>
            </w:r>
          </w:p>
        </w:tc>
        <w:tc>
          <w:tcPr>
            <w:tcW w:w="1276" w:type="dxa"/>
          </w:tcPr>
          <w:p>
            <w:pPr>
              <w:pStyle w:val="nTable"/>
              <w:spacing w:after="40"/>
            </w:pPr>
            <w:r>
              <w:t>4 Mar 1994 p. 902</w:t>
            </w:r>
            <w:r>
              <w:noBreakHyphen/>
              <w:t>3</w:t>
            </w:r>
          </w:p>
        </w:tc>
        <w:tc>
          <w:tcPr>
            <w:tcW w:w="2693" w:type="dxa"/>
          </w:tcPr>
          <w:p>
            <w:pPr>
              <w:pStyle w:val="nTable"/>
              <w:spacing w:after="40"/>
            </w:pPr>
            <w:r>
              <w:t>1 Jul 1994 (see bl. 2)</w:t>
            </w:r>
          </w:p>
        </w:tc>
      </w:tr>
      <w:tr>
        <w:trPr>
          <w:cantSplit/>
        </w:trPr>
        <w:tc>
          <w:tcPr>
            <w:tcW w:w="3118" w:type="dxa"/>
          </w:tcPr>
          <w:p>
            <w:pPr>
              <w:pStyle w:val="nTable"/>
              <w:spacing w:after="40"/>
              <w:ind w:right="113"/>
            </w:pPr>
            <w:r>
              <w:rPr>
                <w:i/>
              </w:rPr>
              <w:t>Water Authority (Charges) Amendment By</w:t>
            </w:r>
            <w:r>
              <w:rPr>
                <w:i/>
              </w:rPr>
              <w:noBreakHyphen/>
              <w:t>laws (No. 6) 1994</w:t>
            </w:r>
          </w:p>
        </w:tc>
        <w:tc>
          <w:tcPr>
            <w:tcW w:w="1276" w:type="dxa"/>
          </w:tcPr>
          <w:p>
            <w:pPr>
              <w:pStyle w:val="nTable"/>
              <w:spacing w:after="40"/>
            </w:pPr>
            <w:r>
              <w:t>4 Mar 1994 p. 904</w:t>
            </w:r>
          </w:p>
        </w:tc>
        <w:tc>
          <w:tcPr>
            <w:tcW w:w="2693" w:type="dxa"/>
          </w:tcPr>
          <w:p>
            <w:pPr>
              <w:pStyle w:val="nTable"/>
              <w:spacing w:after="40"/>
            </w:pPr>
            <w:r>
              <w:t>4 Mar 1994</w:t>
            </w:r>
          </w:p>
        </w:tc>
      </w:tr>
      <w:tr>
        <w:trPr>
          <w:cantSplit/>
        </w:trPr>
        <w:tc>
          <w:tcPr>
            <w:tcW w:w="3118" w:type="dxa"/>
          </w:tcPr>
          <w:p>
            <w:pPr>
              <w:pStyle w:val="nTable"/>
              <w:spacing w:after="40"/>
              <w:ind w:right="113"/>
            </w:pPr>
            <w:r>
              <w:rPr>
                <w:i/>
              </w:rPr>
              <w:t>Water Authority (Charges) Amendment By</w:t>
            </w:r>
            <w:r>
              <w:rPr>
                <w:i/>
              </w:rPr>
              <w:noBreakHyphen/>
              <w:t>laws (No. 7) 1994</w:t>
            </w:r>
          </w:p>
        </w:tc>
        <w:tc>
          <w:tcPr>
            <w:tcW w:w="1276" w:type="dxa"/>
          </w:tcPr>
          <w:p>
            <w:pPr>
              <w:pStyle w:val="nTable"/>
              <w:spacing w:after="40"/>
            </w:pPr>
            <w:r>
              <w:t>6 May 1994 p. 1934</w:t>
            </w:r>
          </w:p>
        </w:tc>
        <w:tc>
          <w:tcPr>
            <w:tcW w:w="2693" w:type="dxa"/>
          </w:tcPr>
          <w:p>
            <w:pPr>
              <w:pStyle w:val="nTable"/>
              <w:spacing w:after="40"/>
            </w:pPr>
            <w:r>
              <w:t>6 May 1994</w:t>
            </w:r>
          </w:p>
        </w:tc>
      </w:tr>
      <w:tr>
        <w:trPr>
          <w:cantSplit/>
        </w:trPr>
        <w:tc>
          <w:tcPr>
            <w:tcW w:w="3118" w:type="dxa"/>
          </w:tcPr>
          <w:p>
            <w:pPr>
              <w:pStyle w:val="nTable"/>
              <w:spacing w:after="40"/>
              <w:ind w:right="113"/>
            </w:pPr>
            <w:r>
              <w:rPr>
                <w:i/>
              </w:rPr>
              <w:t>Water Authority (Charges) Amendment By</w:t>
            </w:r>
            <w:r>
              <w:rPr>
                <w:i/>
              </w:rPr>
              <w:noBreakHyphen/>
              <w:t>laws (No. 8) 1994</w:t>
            </w:r>
          </w:p>
        </w:tc>
        <w:tc>
          <w:tcPr>
            <w:tcW w:w="1276" w:type="dxa"/>
          </w:tcPr>
          <w:p>
            <w:pPr>
              <w:pStyle w:val="nTable"/>
              <w:spacing w:after="40"/>
            </w:pPr>
            <w:r>
              <w:t>29 Jun 1994 p. 3171</w:t>
            </w:r>
            <w:r>
              <w:noBreakHyphen/>
              <w:t>200</w:t>
            </w:r>
          </w:p>
        </w:tc>
        <w:tc>
          <w:tcPr>
            <w:tcW w:w="2693" w:type="dxa"/>
          </w:tcPr>
          <w:p>
            <w:pPr>
              <w:pStyle w:val="nTable"/>
              <w:spacing w:after="40"/>
            </w:pPr>
            <w:r>
              <w:t>1 Jul 1994 (see bl. 2)</w:t>
            </w:r>
          </w:p>
        </w:tc>
      </w:tr>
      <w:tr>
        <w:trPr>
          <w:cantSplit/>
        </w:trPr>
        <w:tc>
          <w:tcPr>
            <w:tcW w:w="3118" w:type="dxa"/>
          </w:tcPr>
          <w:p>
            <w:pPr>
              <w:pStyle w:val="nTable"/>
              <w:spacing w:after="40"/>
              <w:ind w:right="113"/>
            </w:pPr>
            <w:r>
              <w:rPr>
                <w:i/>
              </w:rPr>
              <w:t>Water Authority (Charges) Amendment By</w:t>
            </w:r>
            <w:r>
              <w:rPr>
                <w:i/>
              </w:rPr>
              <w:noBreakHyphen/>
              <w:t>laws (No. 9) 1994</w:t>
            </w:r>
          </w:p>
        </w:tc>
        <w:tc>
          <w:tcPr>
            <w:tcW w:w="1276" w:type="dxa"/>
          </w:tcPr>
          <w:p>
            <w:pPr>
              <w:pStyle w:val="nTable"/>
              <w:spacing w:after="40"/>
            </w:pPr>
            <w:r>
              <w:t>16 Sep 1994 p. 4806</w:t>
            </w:r>
            <w:r>
              <w:noBreakHyphen/>
              <w:t>7</w:t>
            </w:r>
          </w:p>
        </w:tc>
        <w:tc>
          <w:tcPr>
            <w:tcW w:w="2693" w:type="dxa"/>
          </w:tcPr>
          <w:p>
            <w:pPr>
              <w:pStyle w:val="nTable"/>
              <w:spacing w:after="40"/>
            </w:pPr>
            <w:r>
              <w:t>16 Sep 1994</w:t>
            </w:r>
          </w:p>
        </w:tc>
      </w:tr>
      <w:tr>
        <w:trPr>
          <w:cantSplit/>
        </w:trPr>
        <w:tc>
          <w:tcPr>
            <w:tcW w:w="3118" w:type="dxa"/>
          </w:tcPr>
          <w:p>
            <w:pPr>
              <w:pStyle w:val="nTable"/>
              <w:spacing w:after="40"/>
              <w:ind w:right="113"/>
            </w:pPr>
            <w:r>
              <w:rPr>
                <w:i/>
              </w:rPr>
              <w:t>Water Authority (Charges) Amendment By</w:t>
            </w:r>
            <w:r>
              <w:rPr>
                <w:i/>
              </w:rPr>
              <w:noBreakHyphen/>
              <w:t>laws (No. 10) 1994</w:t>
            </w:r>
          </w:p>
        </w:tc>
        <w:tc>
          <w:tcPr>
            <w:tcW w:w="1276" w:type="dxa"/>
          </w:tcPr>
          <w:p>
            <w:pPr>
              <w:pStyle w:val="nTable"/>
              <w:spacing w:after="40"/>
            </w:pPr>
            <w:r>
              <w:t>28 Oct 1994 p. 5556</w:t>
            </w:r>
            <w:r>
              <w:noBreakHyphen/>
              <w:t>7</w:t>
            </w:r>
          </w:p>
        </w:tc>
        <w:tc>
          <w:tcPr>
            <w:tcW w:w="2693" w:type="dxa"/>
          </w:tcPr>
          <w:p>
            <w:pPr>
              <w:pStyle w:val="nTable"/>
              <w:spacing w:after="40"/>
            </w:pPr>
            <w:r>
              <w:t>28 Oct 1994</w:t>
            </w:r>
          </w:p>
        </w:tc>
      </w:tr>
      <w:tr>
        <w:trPr>
          <w:cantSplit/>
        </w:trPr>
        <w:tc>
          <w:tcPr>
            <w:tcW w:w="3118" w:type="dxa"/>
          </w:tcPr>
          <w:p>
            <w:pPr>
              <w:pStyle w:val="nTable"/>
              <w:spacing w:after="40"/>
              <w:ind w:right="113"/>
            </w:pPr>
            <w:r>
              <w:rPr>
                <w:i/>
              </w:rPr>
              <w:t>Water Authority (Charges) Amendment By</w:t>
            </w:r>
            <w:r>
              <w:rPr>
                <w:i/>
              </w:rPr>
              <w:noBreakHyphen/>
              <w:t>laws (No. 11) 1994</w:t>
            </w:r>
          </w:p>
        </w:tc>
        <w:tc>
          <w:tcPr>
            <w:tcW w:w="1276" w:type="dxa"/>
          </w:tcPr>
          <w:p>
            <w:pPr>
              <w:pStyle w:val="nTable"/>
              <w:spacing w:after="40"/>
            </w:pPr>
            <w:r>
              <w:t>30 Dec 1994 p. 7351</w:t>
            </w:r>
            <w:r>
              <w:noBreakHyphen/>
              <w:t>3</w:t>
            </w:r>
          </w:p>
        </w:tc>
        <w:tc>
          <w:tcPr>
            <w:tcW w:w="2693" w:type="dxa"/>
          </w:tcPr>
          <w:p>
            <w:pPr>
              <w:pStyle w:val="nTable"/>
              <w:spacing w:after="40"/>
            </w:pPr>
            <w:r>
              <w:t>30 Dec 1994</w:t>
            </w:r>
          </w:p>
        </w:tc>
      </w:tr>
      <w:tr>
        <w:trPr>
          <w:cantSplit/>
        </w:trPr>
        <w:tc>
          <w:tcPr>
            <w:tcW w:w="3118" w:type="dxa"/>
          </w:tcPr>
          <w:p>
            <w:pPr>
              <w:pStyle w:val="nTable"/>
              <w:spacing w:after="40"/>
              <w:ind w:right="113"/>
            </w:pPr>
            <w:r>
              <w:rPr>
                <w:i/>
              </w:rPr>
              <w:t>Water Authority (Charges) Amendment By</w:t>
            </w:r>
            <w:r>
              <w:rPr>
                <w:i/>
              </w:rPr>
              <w:noBreakHyphen/>
              <w:t>Laws 1995</w:t>
            </w:r>
          </w:p>
        </w:tc>
        <w:tc>
          <w:tcPr>
            <w:tcW w:w="1276" w:type="dxa"/>
          </w:tcPr>
          <w:p>
            <w:pPr>
              <w:pStyle w:val="nTable"/>
              <w:spacing w:after="40"/>
            </w:pPr>
            <w:r>
              <w:t>2 Jun 1995 p. 2215</w:t>
            </w:r>
          </w:p>
        </w:tc>
        <w:tc>
          <w:tcPr>
            <w:tcW w:w="2693" w:type="dxa"/>
          </w:tcPr>
          <w:p>
            <w:pPr>
              <w:pStyle w:val="nTable"/>
              <w:spacing w:after="40"/>
            </w:pPr>
            <w:r>
              <w:t>2 Jun 1995</w:t>
            </w:r>
          </w:p>
        </w:tc>
      </w:tr>
      <w:tr>
        <w:trPr>
          <w:cantSplit/>
        </w:trPr>
        <w:tc>
          <w:tcPr>
            <w:tcW w:w="3118" w:type="dxa"/>
          </w:tcPr>
          <w:p>
            <w:pPr>
              <w:pStyle w:val="nTable"/>
              <w:spacing w:after="40"/>
              <w:ind w:right="113"/>
            </w:pPr>
            <w:r>
              <w:rPr>
                <w:i/>
              </w:rPr>
              <w:t>Water Authority (Charges) Amendment By</w:t>
            </w:r>
            <w:r>
              <w:rPr>
                <w:i/>
              </w:rPr>
              <w:noBreakHyphen/>
              <w:t>laws (No. 2) 1995</w:t>
            </w:r>
          </w:p>
        </w:tc>
        <w:tc>
          <w:tcPr>
            <w:tcW w:w="1276" w:type="dxa"/>
          </w:tcPr>
          <w:p>
            <w:pPr>
              <w:pStyle w:val="nTable"/>
              <w:spacing w:after="40"/>
            </w:pPr>
            <w:r>
              <w:t>30 Jun 1995 p. 2735</w:t>
            </w:r>
            <w:r>
              <w:noBreakHyphen/>
              <w:t>66</w:t>
            </w:r>
          </w:p>
        </w:tc>
        <w:tc>
          <w:tcPr>
            <w:tcW w:w="2693" w:type="dxa"/>
          </w:tcPr>
          <w:p>
            <w:pPr>
              <w:pStyle w:val="nTable"/>
              <w:spacing w:after="40"/>
            </w:pPr>
            <w:r>
              <w:t>1 Jul 1995 (see bl. 2)</w:t>
            </w:r>
          </w:p>
        </w:tc>
      </w:tr>
      <w:tr>
        <w:trPr>
          <w:cantSplit/>
        </w:trPr>
        <w:tc>
          <w:tcPr>
            <w:tcW w:w="3118" w:type="dxa"/>
          </w:tcPr>
          <w:p>
            <w:pPr>
              <w:pStyle w:val="nTable"/>
              <w:spacing w:after="40"/>
              <w:ind w:right="113"/>
            </w:pPr>
            <w:r>
              <w:rPr>
                <w:i/>
              </w:rPr>
              <w:t>Water Authority (Charges) Amendment By</w:t>
            </w:r>
            <w:r>
              <w:rPr>
                <w:i/>
              </w:rPr>
              <w:noBreakHyphen/>
              <w:t>laws (No. 3) 1995</w:t>
            </w:r>
          </w:p>
        </w:tc>
        <w:tc>
          <w:tcPr>
            <w:tcW w:w="1276" w:type="dxa"/>
          </w:tcPr>
          <w:p>
            <w:pPr>
              <w:pStyle w:val="nTable"/>
              <w:spacing w:after="40"/>
            </w:pPr>
            <w:r>
              <w:t>17 Nov 1995 p. 5344</w:t>
            </w:r>
            <w:r>
              <w:noBreakHyphen/>
              <w:t>5</w:t>
            </w:r>
          </w:p>
        </w:tc>
        <w:tc>
          <w:tcPr>
            <w:tcW w:w="2693" w:type="dxa"/>
          </w:tcPr>
          <w:p>
            <w:pPr>
              <w:pStyle w:val="nTable"/>
              <w:spacing w:after="40"/>
            </w:pPr>
            <w:r>
              <w:t>17 Nov 1995</w:t>
            </w:r>
          </w:p>
        </w:tc>
      </w:tr>
      <w:tr>
        <w:trPr>
          <w:cantSplit/>
        </w:trPr>
        <w:tc>
          <w:tcPr>
            <w:tcW w:w="3118" w:type="dxa"/>
          </w:tcPr>
          <w:p>
            <w:pPr>
              <w:pStyle w:val="nTable"/>
              <w:spacing w:after="40"/>
              <w:ind w:right="113"/>
            </w:pPr>
            <w:r>
              <w:rPr>
                <w:i/>
              </w:rPr>
              <w:t>Water Authority (Charges) Amendment By</w:t>
            </w:r>
            <w:r>
              <w:rPr>
                <w:i/>
              </w:rPr>
              <w:noBreakHyphen/>
              <w:t>laws (No. 4) 1995</w:t>
            </w:r>
          </w:p>
        </w:tc>
        <w:tc>
          <w:tcPr>
            <w:tcW w:w="1276" w:type="dxa"/>
          </w:tcPr>
          <w:p>
            <w:pPr>
              <w:pStyle w:val="nTable"/>
              <w:spacing w:after="40"/>
            </w:pPr>
            <w:r>
              <w:t>17 Nov 1995 p. 5345</w:t>
            </w:r>
            <w:r>
              <w:noBreakHyphen/>
              <w:t>6</w:t>
            </w:r>
          </w:p>
        </w:tc>
        <w:tc>
          <w:tcPr>
            <w:tcW w:w="2693" w:type="dxa"/>
          </w:tcPr>
          <w:p>
            <w:pPr>
              <w:pStyle w:val="nTable"/>
              <w:spacing w:after="40"/>
            </w:pPr>
            <w:r>
              <w:t>17 Nov 1995</w:t>
            </w:r>
          </w:p>
        </w:tc>
      </w:tr>
      <w:tr>
        <w:trPr>
          <w:cantSplit/>
        </w:trPr>
        <w:tc>
          <w:tcPr>
            <w:tcW w:w="3118" w:type="dxa"/>
          </w:tcPr>
          <w:p>
            <w:pPr>
              <w:pStyle w:val="nTable"/>
              <w:spacing w:after="40"/>
              <w:ind w:right="113"/>
            </w:pPr>
            <w:r>
              <w:rPr>
                <w:i/>
              </w:rPr>
              <w:t>Water Authority (Charges) Amendment By</w:t>
            </w:r>
            <w:r>
              <w:rPr>
                <w:i/>
              </w:rPr>
              <w:noBreakHyphen/>
              <w:t>laws (No. 5) 1995</w:t>
            </w:r>
          </w:p>
        </w:tc>
        <w:tc>
          <w:tcPr>
            <w:tcW w:w="1276" w:type="dxa"/>
          </w:tcPr>
          <w:p>
            <w:pPr>
              <w:pStyle w:val="nTable"/>
              <w:spacing w:after="40"/>
            </w:pPr>
            <w:r>
              <w:t>17 Nov 1995 p. 5346</w:t>
            </w:r>
          </w:p>
        </w:tc>
        <w:tc>
          <w:tcPr>
            <w:tcW w:w="2693" w:type="dxa"/>
          </w:tcPr>
          <w:p>
            <w:pPr>
              <w:pStyle w:val="nTable"/>
              <w:spacing w:after="40"/>
            </w:pPr>
            <w:r>
              <w:t>17 Nov 1995</w:t>
            </w:r>
          </w:p>
        </w:tc>
      </w:tr>
      <w:tr>
        <w:trPr>
          <w:cantSplit/>
        </w:trPr>
        <w:tc>
          <w:tcPr>
            <w:tcW w:w="3118" w:type="dxa"/>
          </w:tcPr>
          <w:p>
            <w:pPr>
              <w:pStyle w:val="nTable"/>
              <w:spacing w:after="40"/>
              <w:ind w:right="113"/>
              <w:rPr>
                <w:i/>
              </w:rPr>
            </w:pPr>
            <w:r>
              <w:rPr>
                <w:i/>
              </w:rPr>
              <w:t>Water Agencies (Amendment and Repeal) By</w:t>
            </w:r>
            <w:r>
              <w:rPr>
                <w:i/>
              </w:rPr>
              <w:noBreakHyphen/>
              <w:t xml:space="preserve">laws 1995 </w:t>
            </w:r>
            <w:r>
              <w:t>Pt. 11</w:t>
            </w:r>
          </w:p>
        </w:tc>
        <w:tc>
          <w:tcPr>
            <w:tcW w:w="1276" w:type="dxa"/>
          </w:tcPr>
          <w:p>
            <w:pPr>
              <w:pStyle w:val="nTable"/>
              <w:spacing w:after="40"/>
              <w:ind w:right="113"/>
            </w:pPr>
            <w:r>
              <w:t>29 Dec 1995 p. 6305-32</w:t>
            </w:r>
          </w:p>
        </w:tc>
        <w:tc>
          <w:tcPr>
            <w:tcW w:w="2693" w:type="dxa"/>
          </w:tcPr>
          <w:p>
            <w:pPr>
              <w:pStyle w:val="nTable"/>
              <w:spacing w:after="40"/>
              <w:ind w:right="113"/>
            </w:pPr>
            <w:r>
              <w:t xml:space="preserve">1 Jan 1996 (see bl. 2 and </w:t>
            </w:r>
            <w:r>
              <w:rPr>
                <w:i/>
              </w:rPr>
              <w:t>Gazette</w:t>
            </w:r>
            <w:r>
              <w:t xml:space="preserve"> 29 Dec 1995 p. 6291)</w:t>
            </w:r>
          </w:p>
        </w:tc>
      </w:tr>
      <w:tr>
        <w:trPr>
          <w:cantSplit/>
        </w:trPr>
        <w:tc>
          <w:tcPr>
            <w:tcW w:w="3118" w:type="dxa"/>
          </w:tcPr>
          <w:p>
            <w:pPr>
              <w:pStyle w:val="nTable"/>
              <w:spacing w:after="40"/>
              <w:ind w:right="113"/>
            </w:pPr>
            <w:r>
              <w:rPr>
                <w:i/>
              </w:rPr>
              <w:t>Water Agencies (Charges) Amendment By</w:t>
            </w:r>
            <w:r>
              <w:rPr>
                <w:i/>
              </w:rPr>
              <w:noBreakHyphen/>
              <w:t>laws 1996</w:t>
            </w:r>
          </w:p>
        </w:tc>
        <w:tc>
          <w:tcPr>
            <w:tcW w:w="1276" w:type="dxa"/>
          </w:tcPr>
          <w:p>
            <w:pPr>
              <w:pStyle w:val="nTable"/>
              <w:spacing w:after="40"/>
            </w:pPr>
            <w:r>
              <w:t>21 May 1996 p. 2139</w:t>
            </w:r>
          </w:p>
        </w:tc>
        <w:tc>
          <w:tcPr>
            <w:tcW w:w="2693" w:type="dxa"/>
          </w:tcPr>
          <w:p>
            <w:pPr>
              <w:pStyle w:val="nTable"/>
              <w:spacing w:after="40"/>
            </w:pPr>
            <w:r>
              <w:t xml:space="preserve">21 May 1996 (see bl. 2 and </w:t>
            </w:r>
            <w:r>
              <w:rPr>
                <w:i/>
              </w:rPr>
              <w:t>Gazette</w:t>
            </w:r>
            <w:r>
              <w:t xml:space="preserve"> 21 May 1996 p. 2140)</w:t>
            </w:r>
          </w:p>
        </w:tc>
      </w:tr>
      <w:tr>
        <w:trPr>
          <w:cantSplit/>
        </w:trPr>
        <w:tc>
          <w:tcPr>
            <w:tcW w:w="3118" w:type="dxa"/>
          </w:tcPr>
          <w:p>
            <w:pPr>
              <w:pStyle w:val="nTable"/>
              <w:keepNext/>
              <w:spacing w:after="40"/>
              <w:ind w:right="113"/>
            </w:pPr>
            <w:r>
              <w:rPr>
                <w:i/>
              </w:rPr>
              <w:t>Water Agencies (Charges) Amendment By</w:t>
            </w:r>
            <w:r>
              <w:rPr>
                <w:i/>
              </w:rPr>
              <w:noBreakHyphen/>
              <w:t>laws (No. 2) 1996</w:t>
            </w:r>
          </w:p>
        </w:tc>
        <w:tc>
          <w:tcPr>
            <w:tcW w:w="1276" w:type="dxa"/>
          </w:tcPr>
          <w:p>
            <w:pPr>
              <w:pStyle w:val="nTable"/>
              <w:keepNext/>
              <w:spacing w:after="40"/>
            </w:pPr>
            <w:r>
              <w:t>28 Jun 1996 p. 3103</w:t>
            </w:r>
            <w:r>
              <w:noBreakHyphen/>
              <w:t>30</w:t>
            </w:r>
            <w:r>
              <w:br/>
              <w:t>(correction 9 Jul 1996 p. 3281)</w:t>
            </w:r>
          </w:p>
        </w:tc>
        <w:tc>
          <w:tcPr>
            <w:tcW w:w="2693" w:type="dxa"/>
          </w:tcPr>
          <w:p>
            <w:pPr>
              <w:pStyle w:val="nTable"/>
              <w:keepNext/>
              <w:spacing w:after="40"/>
            </w:pPr>
            <w:r>
              <w:t>1 Jul 1996 (see bl. 2)</w:t>
            </w:r>
          </w:p>
        </w:tc>
      </w:tr>
      <w:tr>
        <w:trPr>
          <w:cantSplit/>
        </w:trPr>
        <w:tc>
          <w:tcPr>
            <w:tcW w:w="3118" w:type="dxa"/>
          </w:tcPr>
          <w:p>
            <w:pPr>
              <w:pStyle w:val="nTable"/>
              <w:spacing w:after="40"/>
              <w:ind w:right="113"/>
            </w:pPr>
            <w:r>
              <w:rPr>
                <w:i/>
              </w:rPr>
              <w:t>Water Agencies (Charges) Amendment By</w:t>
            </w:r>
            <w:r>
              <w:rPr>
                <w:i/>
              </w:rPr>
              <w:noBreakHyphen/>
              <w:t>laws (No. 3) 1996</w:t>
            </w:r>
          </w:p>
        </w:tc>
        <w:tc>
          <w:tcPr>
            <w:tcW w:w="1276" w:type="dxa"/>
          </w:tcPr>
          <w:p>
            <w:pPr>
              <w:pStyle w:val="nTable"/>
              <w:spacing w:after="40"/>
            </w:pPr>
            <w:r>
              <w:t>5 Jul 1996 p. 3255</w:t>
            </w:r>
          </w:p>
        </w:tc>
        <w:tc>
          <w:tcPr>
            <w:tcW w:w="2693" w:type="dxa"/>
          </w:tcPr>
          <w:p>
            <w:pPr>
              <w:pStyle w:val="nTable"/>
              <w:spacing w:after="40"/>
            </w:pPr>
            <w:r>
              <w:t>5 Jul 1996</w:t>
            </w:r>
          </w:p>
        </w:tc>
      </w:tr>
      <w:tr>
        <w:trPr>
          <w:cantSplit/>
        </w:trPr>
        <w:tc>
          <w:tcPr>
            <w:tcW w:w="3118" w:type="dxa"/>
          </w:tcPr>
          <w:p>
            <w:pPr>
              <w:pStyle w:val="nTable"/>
              <w:spacing w:after="40"/>
              <w:ind w:right="113"/>
            </w:pPr>
            <w:r>
              <w:rPr>
                <w:i/>
              </w:rPr>
              <w:t>Water Agencies (Charges) Amendment By</w:t>
            </w:r>
            <w:r>
              <w:rPr>
                <w:i/>
              </w:rPr>
              <w:noBreakHyphen/>
              <w:t>laws (No. 4) 1996</w:t>
            </w:r>
          </w:p>
        </w:tc>
        <w:tc>
          <w:tcPr>
            <w:tcW w:w="1276" w:type="dxa"/>
          </w:tcPr>
          <w:p>
            <w:pPr>
              <w:pStyle w:val="nTable"/>
              <w:spacing w:after="40"/>
            </w:pPr>
            <w:r>
              <w:t>19 Jul 1996 p. 3489</w:t>
            </w:r>
            <w:r>
              <w:noBreakHyphen/>
              <w:t>90</w:t>
            </w:r>
          </w:p>
        </w:tc>
        <w:tc>
          <w:tcPr>
            <w:tcW w:w="2693" w:type="dxa"/>
          </w:tcPr>
          <w:p>
            <w:pPr>
              <w:pStyle w:val="nTable"/>
              <w:spacing w:after="40"/>
            </w:pPr>
            <w:r>
              <w:t>19 Jul 1996</w:t>
            </w:r>
          </w:p>
        </w:tc>
      </w:tr>
      <w:tr>
        <w:trPr>
          <w:cantSplit/>
        </w:trPr>
        <w:tc>
          <w:tcPr>
            <w:tcW w:w="3118" w:type="dxa"/>
          </w:tcPr>
          <w:p>
            <w:pPr>
              <w:pStyle w:val="nTable"/>
              <w:spacing w:after="40"/>
              <w:ind w:right="113"/>
            </w:pPr>
            <w:r>
              <w:rPr>
                <w:i/>
              </w:rPr>
              <w:t>Water Agencies (Charges) Amendment By</w:t>
            </w:r>
            <w:r>
              <w:rPr>
                <w:i/>
              </w:rPr>
              <w:noBreakHyphen/>
              <w:t>laws (No. 5) 1996</w:t>
            </w:r>
          </w:p>
        </w:tc>
        <w:tc>
          <w:tcPr>
            <w:tcW w:w="1276" w:type="dxa"/>
          </w:tcPr>
          <w:p>
            <w:pPr>
              <w:pStyle w:val="nTable"/>
              <w:spacing w:after="40"/>
            </w:pPr>
            <w:r>
              <w:t>23 Aug 1996 p. 4128</w:t>
            </w:r>
            <w:r>
              <w:noBreakHyphen/>
              <w:t>9</w:t>
            </w:r>
          </w:p>
        </w:tc>
        <w:tc>
          <w:tcPr>
            <w:tcW w:w="2693" w:type="dxa"/>
          </w:tcPr>
          <w:p>
            <w:pPr>
              <w:pStyle w:val="nTable"/>
              <w:spacing w:after="40"/>
            </w:pPr>
            <w:r>
              <w:t>23 Aug 1996</w:t>
            </w:r>
          </w:p>
        </w:tc>
      </w:tr>
      <w:tr>
        <w:trPr>
          <w:cantSplit/>
        </w:trPr>
        <w:tc>
          <w:tcPr>
            <w:tcW w:w="3118" w:type="dxa"/>
          </w:tcPr>
          <w:p>
            <w:pPr>
              <w:pStyle w:val="nTable"/>
              <w:spacing w:after="40"/>
              <w:ind w:right="113"/>
            </w:pPr>
            <w:r>
              <w:rPr>
                <w:i/>
              </w:rPr>
              <w:t>Water Agencies (Charges) Amendment By</w:t>
            </w:r>
            <w:r>
              <w:rPr>
                <w:i/>
              </w:rPr>
              <w:noBreakHyphen/>
              <w:t>laws (No. 6) 1996</w:t>
            </w:r>
          </w:p>
        </w:tc>
        <w:tc>
          <w:tcPr>
            <w:tcW w:w="1276" w:type="dxa"/>
          </w:tcPr>
          <w:p>
            <w:pPr>
              <w:pStyle w:val="nTable"/>
              <w:spacing w:after="40"/>
            </w:pPr>
            <w:r>
              <w:t>13 Sep 1996 p. 4606</w:t>
            </w:r>
          </w:p>
        </w:tc>
        <w:tc>
          <w:tcPr>
            <w:tcW w:w="2693" w:type="dxa"/>
          </w:tcPr>
          <w:p>
            <w:pPr>
              <w:pStyle w:val="nTable"/>
              <w:spacing w:after="40"/>
            </w:pPr>
            <w:r>
              <w:t>13 Sep 1996</w:t>
            </w:r>
          </w:p>
        </w:tc>
      </w:tr>
      <w:tr>
        <w:trPr>
          <w:cantSplit/>
        </w:trPr>
        <w:tc>
          <w:tcPr>
            <w:tcW w:w="3118" w:type="dxa"/>
          </w:tcPr>
          <w:p>
            <w:pPr>
              <w:pStyle w:val="nTable"/>
              <w:spacing w:after="40"/>
              <w:ind w:right="113"/>
            </w:pPr>
            <w:r>
              <w:rPr>
                <w:i/>
              </w:rPr>
              <w:t>Water Agencies (Charges) Amendment By</w:t>
            </w:r>
            <w:r>
              <w:rPr>
                <w:i/>
              </w:rPr>
              <w:noBreakHyphen/>
              <w:t>laws (No. 7) 1996</w:t>
            </w:r>
          </w:p>
        </w:tc>
        <w:tc>
          <w:tcPr>
            <w:tcW w:w="1276" w:type="dxa"/>
          </w:tcPr>
          <w:p>
            <w:pPr>
              <w:pStyle w:val="nTable"/>
              <w:spacing w:after="40"/>
            </w:pPr>
            <w:r>
              <w:t>7 Jan 1997 p. 63</w:t>
            </w:r>
          </w:p>
        </w:tc>
        <w:tc>
          <w:tcPr>
            <w:tcW w:w="2693" w:type="dxa"/>
          </w:tcPr>
          <w:p>
            <w:pPr>
              <w:pStyle w:val="nTable"/>
              <w:spacing w:after="40"/>
            </w:pPr>
            <w:r>
              <w:t>7 Jan 1997</w:t>
            </w:r>
          </w:p>
        </w:tc>
      </w:tr>
      <w:tr>
        <w:trPr>
          <w:cantSplit/>
        </w:trPr>
        <w:tc>
          <w:tcPr>
            <w:tcW w:w="3118" w:type="dxa"/>
          </w:tcPr>
          <w:p>
            <w:pPr>
              <w:pStyle w:val="nTable"/>
              <w:spacing w:after="40"/>
              <w:ind w:right="113"/>
            </w:pPr>
            <w:r>
              <w:rPr>
                <w:i/>
              </w:rPr>
              <w:t>Water Agencies (Charges) Amendment By</w:t>
            </w:r>
            <w:r>
              <w:rPr>
                <w:i/>
              </w:rPr>
              <w:noBreakHyphen/>
              <w:t>laws 1997</w:t>
            </w:r>
          </w:p>
        </w:tc>
        <w:tc>
          <w:tcPr>
            <w:tcW w:w="1276" w:type="dxa"/>
          </w:tcPr>
          <w:p>
            <w:pPr>
              <w:pStyle w:val="nTable"/>
              <w:spacing w:after="40"/>
            </w:pPr>
            <w:r>
              <w:t>7 Feb 1997 p. 779</w:t>
            </w:r>
          </w:p>
        </w:tc>
        <w:tc>
          <w:tcPr>
            <w:tcW w:w="2693" w:type="dxa"/>
          </w:tcPr>
          <w:p>
            <w:pPr>
              <w:pStyle w:val="nTable"/>
              <w:spacing w:after="40"/>
            </w:pPr>
            <w:r>
              <w:t>7 Feb 1997</w:t>
            </w:r>
          </w:p>
        </w:tc>
      </w:tr>
      <w:tr>
        <w:trPr>
          <w:cantSplit/>
        </w:trPr>
        <w:tc>
          <w:tcPr>
            <w:tcW w:w="3118" w:type="dxa"/>
          </w:tcPr>
          <w:p>
            <w:pPr>
              <w:pStyle w:val="nTable"/>
              <w:spacing w:after="40"/>
              <w:ind w:right="113"/>
            </w:pPr>
            <w:r>
              <w:rPr>
                <w:i/>
              </w:rPr>
              <w:t>Water Agencies (Charges) Amendment By</w:t>
            </w:r>
            <w:r>
              <w:rPr>
                <w:i/>
              </w:rPr>
              <w:noBreakHyphen/>
              <w:t>laws (No. 2) 1997</w:t>
            </w:r>
          </w:p>
        </w:tc>
        <w:tc>
          <w:tcPr>
            <w:tcW w:w="1276" w:type="dxa"/>
          </w:tcPr>
          <w:p>
            <w:pPr>
              <w:pStyle w:val="nTable"/>
              <w:spacing w:after="40"/>
            </w:pPr>
            <w:r>
              <w:t>13 May 1997 p. 2350</w:t>
            </w:r>
            <w:r>
              <w:noBreakHyphen/>
              <w:t>3</w:t>
            </w:r>
          </w:p>
        </w:tc>
        <w:tc>
          <w:tcPr>
            <w:tcW w:w="2693" w:type="dxa"/>
          </w:tcPr>
          <w:p>
            <w:pPr>
              <w:pStyle w:val="nTable"/>
              <w:spacing w:after="40"/>
            </w:pPr>
            <w:r>
              <w:t>13 May 1997</w:t>
            </w:r>
          </w:p>
        </w:tc>
      </w:tr>
      <w:tr>
        <w:trPr>
          <w:cantSplit/>
        </w:trPr>
        <w:tc>
          <w:tcPr>
            <w:tcW w:w="3118" w:type="dxa"/>
          </w:tcPr>
          <w:p>
            <w:pPr>
              <w:pStyle w:val="nTable"/>
              <w:spacing w:after="40"/>
              <w:ind w:right="113"/>
            </w:pPr>
            <w:r>
              <w:rPr>
                <w:i/>
              </w:rPr>
              <w:t>Water Agencies (Charges) Amendment By</w:t>
            </w:r>
            <w:r>
              <w:rPr>
                <w:i/>
              </w:rPr>
              <w:noBreakHyphen/>
              <w:t>laws (No. 4) 1997</w:t>
            </w:r>
          </w:p>
        </w:tc>
        <w:tc>
          <w:tcPr>
            <w:tcW w:w="1276" w:type="dxa"/>
          </w:tcPr>
          <w:p>
            <w:pPr>
              <w:pStyle w:val="nTable"/>
              <w:spacing w:after="40"/>
            </w:pPr>
            <w:r>
              <w:t>10 Jun 1997 p. 2669</w:t>
            </w:r>
            <w:r>
              <w:noBreakHyphen/>
              <w:t>70</w:t>
            </w:r>
          </w:p>
        </w:tc>
        <w:tc>
          <w:tcPr>
            <w:tcW w:w="2693" w:type="dxa"/>
          </w:tcPr>
          <w:p>
            <w:pPr>
              <w:pStyle w:val="nTable"/>
              <w:spacing w:after="40"/>
            </w:pPr>
            <w:r>
              <w:t>10 Jun 1997</w:t>
            </w:r>
          </w:p>
        </w:tc>
      </w:tr>
      <w:tr>
        <w:trPr>
          <w:cantSplit/>
        </w:trPr>
        <w:tc>
          <w:tcPr>
            <w:tcW w:w="3118" w:type="dxa"/>
          </w:tcPr>
          <w:p>
            <w:pPr>
              <w:pStyle w:val="nTable"/>
              <w:spacing w:after="40"/>
              <w:ind w:right="113"/>
            </w:pPr>
            <w:r>
              <w:rPr>
                <w:i/>
              </w:rPr>
              <w:t>Water Agencies (Charges) Amendment By</w:t>
            </w:r>
            <w:r>
              <w:rPr>
                <w:i/>
              </w:rPr>
              <w:noBreakHyphen/>
              <w:t>laws (No. 3) 1997</w:t>
            </w:r>
          </w:p>
        </w:tc>
        <w:tc>
          <w:tcPr>
            <w:tcW w:w="1276" w:type="dxa"/>
          </w:tcPr>
          <w:p>
            <w:pPr>
              <w:pStyle w:val="nTable"/>
              <w:spacing w:after="40"/>
            </w:pPr>
            <w:r>
              <w:t>27 Jun 1997 p. 3175</w:t>
            </w:r>
            <w:r>
              <w:noBreakHyphen/>
              <w:t>203</w:t>
            </w:r>
          </w:p>
        </w:tc>
        <w:tc>
          <w:tcPr>
            <w:tcW w:w="2693" w:type="dxa"/>
          </w:tcPr>
          <w:p>
            <w:pPr>
              <w:pStyle w:val="nTable"/>
              <w:spacing w:after="40"/>
            </w:pPr>
            <w:r>
              <w:t>1 Jul 1997 (see bl. 2)</w:t>
            </w:r>
          </w:p>
        </w:tc>
      </w:tr>
      <w:tr>
        <w:trPr>
          <w:cantSplit/>
        </w:trPr>
        <w:tc>
          <w:tcPr>
            <w:tcW w:w="7087" w:type="dxa"/>
            <w:gridSpan w:val="3"/>
          </w:tcPr>
          <w:p>
            <w:pPr>
              <w:pStyle w:val="nTable"/>
              <w:spacing w:after="40"/>
            </w:pPr>
            <w:r>
              <w:rPr>
                <w:b/>
              </w:rPr>
              <w:t xml:space="preserve">Reprint of the </w:t>
            </w:r>
            <w:r>
              <w:rPr>
                <w:b/>
                <w:i/>
              </w:rPr>
              <w:t>Water Agencies (Charges) By</w:t>
            </w:r>
            <w:r>
              <w:rPr>
                <w:b/>
                <w:bCs/>
                <w:i/>
              </w:rPr>
              <w:noBreakHyphen/>
            </w:r>
            <w:r>
              <w:rPr>
                <w:b/>
                <w:i/>
              </w:rPr>
              <w:t>laws 1987</w:t>
            </w:r>
            <w:r>
              <w:rPr>
                <w:b/>
              </w:rPr>
              <w:t xml:space="preserve"> as at 25 Aug 1997</w:t>
            </w:r>
            <w:r>
              <w:t xml:space="preserve"> </w:t>
            </w:r>
            <w:r>
              <w:br/>
              <w:t>(includes amendments listed above)</w:t>
            </w:r>
          </w:p>
        </w:tc>
      </w:tr>
      <w:tr>
        <w:trPr>
          <w:cantSplit/>
        </w:trPr>
        <w:tc>
          <w:tcPr>
            <w:tcW w:w="3118" w:type="dxa"/>
          </w:tcPr>
          <w:p>
            <w:pPr>
              <w:pStyle w:val="nTable"/>
              <w:spacing w:after="40"/>
              <w:ind w:right="113"/>
              <w:rPr>
                <w:rFonts w:ascii="Arial" w:hAnsi="Arial"/>
                <w:b/>
                <w:vertAlign w:val="superscript"/>
              </w:rPr>
            </w:pPr>
            <w:r>
              <w:rPr>
                <w:i/>
              </w:rPr>
              <w:t>Water Agencies (Charges) Amendment By</w:t>
            </w:r>
            <w:r>
              <w:rPr>
                <w:i/>
              </w:rPr>
              <w:noBreakHyphen/>
              <w:t>laws (No. 5) 1997</w:t>
            </w:r>
            <w:r>
              <w:rPr>
                <w:i/>
                <w:vertAlign w:val="superscript"/>
              </w:rPr>
              <w:t xml:space="preserve"> </w:t>
            </w:r>
            <w:r>
              <w:rPr>
                <w:vertAlign w:val="superscript"/>
              </w:rPr>
              <w:t>21</w:t>
            </w:r>
          </w:p>
        </w:tc>
        <w:tc>
          <w:tcPr>
            <w:tcW w:w="1276" w:type="dxa"/>
          </w:tcPr>
          <w:p>
            <w:pPr>
              <w:pStyle w:val="nTable"/>
              <w:spacing w:after="40"/>
            </w:pPr>
            <w:r>
              <w:t>6 Jan 1998 p. 39</w:t>
            </w:r>
            <w:r>
              <w:noBreakHyphen/>
              <w:t>41</w:t>
            </w:r>
          </w:p>
        </w:tc>
        <w:tc>
          <w:tcPr>
            <w:tcW w:w="2693" w:type="dxa"/>
          </w:tcPr>
          <w:p>
            <w:pPr>
              <w:pStyle w:val="nTable"/>
              <w:spacing w:after="40"/>
            </w:pPr>
            <w:r>
              <w:t>6 Jan 1998</w:t>
            </w:r>
          </w:p>
        </w:tc>
      </w:tr>
      <w:tr>
        <w:trPr>
          <w:cantSplit/>
        </w:trPr>
        <w:tc>
          <w:tcPr>
            <w:tcW w:w="3118" w:type="dxa"/>
          </w:tcPr>
          <w:p>
            <w:pPr>
              <w:pStyle w:val="nTable"/>
              <w:spacing w:after="40"/>
              <w:ind w:right="113"/>
            </w:pPr>
            <w:r>
              <w:rPr>
                <w:i/>
              </w:rPr>
              <w:t>Water Agencies (Charges) Amendment By</w:t>
            </w:r>
            <w:r>
              <w:rPr>
                <w:i/>
              </w:rPr>
              <w:noBreakHyphen/>
              <w:t>laws 1998</w:t>
            </w:r>
          </w:p>
        </w:tc>
        <w:tc>
          <w:tcPr>
            <w:tcW w:w="1276" w:type="dxa"/>
          </w:tcPr>
          <w:p>
            <w:pPr>
              <w:pStyle w:val="nTable"/>
              <w:spacing w:after="40"/>
            </w:pPr>
            <w:r>
              <w:t>9 Apr 1998 p. 2035</w:t>
            </w:r>
          </w:p>
        </w:tc>
        <w:tc>
          <w:tcPr>
            <w:tcW w:w="2693" w:type="dxa"/>
          </w:tcPr>
          <w:p>
            <w:pPr>
              <w:pStyle w:val="nTable"/>
              <w:spacing w:after="40"/>
            </w:pPr>
            <w:r>
              <w:t>14 Apr 1998 (see bl. 2)</w:t>
            </w:r>
          </w:p>
        </w:tc>
      </w:tr>
      <w:tr>
        <w:trPr>
          <w:cantSplit/>
        </w:trPr>
        <w:tc>
          <w:tcPr>
            <w:tcW w:w="3118" w:type="dxa"/>
          </w:tcPr>
          <w:p>
            <w:pPr>
              <w:pStyle w:val="nTable"/>
              <w:keepNext/>
              <w:spacing w:after="40"/>
              <w:ind w:right="113"/>
            </w:pPr>
            <w:r>
              <w:rPr>
                <w:i/>
              </w:rPr>
              <w:t>Water Agencies (Charges) Amendment By</w:t>
            </w:r>
            <w:r>
              <w:rPr>
                <w:i/>
              </w:rPr>
              <w:noBreakHyphen/>
              <w:t>laws (No. 2) 1998</w:t>
            </w:r>
          </w:p>
        </w:tc>
        <w:tc>
          <w:tcPr>
            <w:tcW w:w="1276" w:type="dxa"/>
          </w:tcPr>
          <w:p>
            <w:pPr>
              <w:pStyle w:val="nTable"/>
              <w:keepNext/>
              <w:spacing w:after="40"/>
            </w:pPr>
            <w:r>
              <w:t>26 Jun 1998 p. 3399</w:t>
            </w:r>
            <w:r>
              <w:noBreakHyphen/>
              <w:t>415</w:t>
            </w:r>
          </w:p>
        </w:tc>
        <w:tc>
          <w:tcPr>
            <w:tcW w:w="2693" w:type="dxa"/>
          </w:tcPr>
          <w:p>
            <w:pPr>
              <w:pStyle w:val="nTable"/>
              <w:keepNext/>
              <w:spacing w:after="40"/>
            </w:pPr>
            <w:r>
              <w:t xml:space="preserve">1 Jul 1998 (see bl. 2) </w:t>
            </w:r>
          </w:p>
        </w:tc>
      </w:tr>
      <w:tr>
        <w:trPr>
          <w:cantSplit/>
        </w:trPr>
        <w:tc>
          <w:tcPr>
            <w:tcW w:w="3118" w:type="dxa"/>
          </w:tcPr>
          <w:p>
            <w:pPr>
              <w:pStyle w:val="nTable"/>
              <w:spacing w:after="40"/>
              <w:ind w:right="113"/>
            </w:pPr>
            <w:r>
              <w:rPr>
                <w:i/>
              </w:rPr>
              <w:t>Water Agencies (Charges) Amendment By</w:t>
            </w:r>
            <w:r>
              <w:rPr>
                <w:i/>
              </w:rPr>
              <w:noBreakHyphen/>
              <w:t>laws (No. 3) 1998</w:t>
            </w:r>
          </w:p>
        </w:tc>
        <w:tc>
          <w:tcPr>
            <w:tcW w:w="1276" w:type="dxa"/>
          </w:tcPr>
          <w:p>
            <w:pPr>
              <w:pStyle w:val="nTable"/>
              <w:spacing w:after="40"/>
            </w:pPr>
            <w:r>
              <w:t>26 Jun 1998 p. 3415</w:t>
            </w:r>
            <w:r>
              <w:noBreakHyphen/>
              <w:t>16</w:t>
            </w:r>
          </w:p>
        </w:tc>
        <w:tc>
          <w:tcPr>
            <w:tcW w:w="2693" w:type="dxa"/>
          </w:tcPr>
          <w:p>
            <w:pPr>
              <w:pStyle w:val="nTable"/>
              <w:spacing w:after="40"/>
            </w:pPr>
            <w:r>
              <w:t>26 Jun 1998</w:t>
            </w:r>
          </w:p>
        </w:tc>
      </w:tr>
      <w:tr>
        <w:trPr>
          <w:cantSplit/>
        </w:trPr>
        <w:tc>
          <w:tcPr>
            <w:tcW w:w="3118" w:type="dxa"/>
          </w:tcPr>
          <w:p>
            <w:pPr>
              <w:pStyle w:val="nTable"/>
              <w:spacing w:after="40"/>
              <w:ind w:right="113"/>
            </w:pPr>
            <w:r>
              <w:rPr>
                <w:i/>
              </w:rPr>
              <w:t>Water Agencies (Charges) Amendment By</w:t>
            </w:r>
            <w:r>
              <w:rPr>
                <w:i/>
              </w:rPr>
              <w:noBreakHyphen/>
              <w:t>laws (No. 4) 1998</w:t>
            </w:r>
          </w:p>
        </w:tc>
        <w:tc>
          <w:tcPr>
            <w:tcW w:w="1276" w:type="dxa"/>
          </w:tcPr>
          <w:p>
            <w:pPr>
              <w:pStyle w:val="nTable"/>
              <w:spacing w:after="40"/>
            </w:pPr>
            <w:r>
              <w:t>1 Jul 1998 p. 3561</w:t>
            </w:r>
          </w:p>
        </w:tc>
        <w:tc>
          <w:tcPr>
            <w:tcW w:w="2693" w:type="dxa"/>
          </w:tcPr>
          <w:p>
            <w:pPr>
              <w:pStyle w:val="nTable"/>
              <w:spacing w:after="40"/>
            </w:pPr>
            <w:r>
              <w:t xml:space="preserve">1 Jul 1998 (see bl. 2 and </w:t>
            </w:r>
            <w:r>
              <w:rPr>
                <w:i/>
              </w:rPr>
              <w:t>Gazette</w:t>
            </w:r>
            <w:r>
              <w:t xml:space="preserve"> 26 Jun 1998 p. 3399)</w:t>
            </w:r>
          </w:p>
        </w:tc>
      </w:tr>
      <w:tr>
        <w:trPr>
          <w:cantSplit/>
        </w:trPr>
        <w:tc>
          <w:tcPr>
            <w:tcW w:w="3118" w:type="dxa"/>
          </w:tcPr>
          <w:p>
            <w:pPr>
              <w:pStyle w:val="nTable"/>
              <w:spacing w:after="40"/>
              <w:ind w:right="113"/>
              <w:rPr>
                <w:i/>
              </w:rPr>
            </w:pPr>
            <w:r>
              <w:rPr>
                <w:i/>
              </w:rPr>
              <w:t>Water Agencies (Charges) Amendment By</w:t>
            </w:r>
            <w:r>
              <w:rPr>
                <w:i/>
              </w:rPr>
              <w:noBreakHyphen/>
              <w:t>laws (No. 5) 1998</w:t>
            </w:r>
          </w:p>
        </w:tc>
        <w:tc>
          <w:tcPr>
            <w:tcW w:w="1276" w:type="dxa"/>
          </w:tcPr>
          <w:p>
            <w:pPr>
              <w:pStyle w:val="nTable"/>
              <w:spacing w:after="40"/>
            </w:pPr>
            <w:r>
              <w:t>30 Oct 1998 p. 6017</w:t>
            </w:r>
            <w:r>
              <w:noBreakHyphen/>
              <w:t>18</w:t>
            </w:r>
          </w:p>
        </w:tc>
        <w:tc>
          <w:tcPr>
            <w:tcW w:w="2693" w:type="dxa"/>
          </w:tcPr>
          <w:p>
            <w:pPr>
              <w:pStyle w:val="nTable"/>
              <w:spacing w:after="40"/>
            </w:pPr>
            <w:r>
              <w:t>30 Oct 1998</w:t>
            </w:r>
          </w:p>
        </w:tc>
      </w:tr>
      <w:tr>
        <w:trPr>
          <w:cantSplit/>
        </w:trPr>
        <w:tc>
          <w:tcPr>
            <w:tcW w:w="3118" w:type="dxa"/>
          </w:tcPr>
          <w:p>
            <w:pPr>
              <w:pStyle w:val="nTable"/>
              <w:spacing w:after="40"/>
              <w:ind w:right="113"/>
              <w:rPr>
                <w:i/>
              </w:rPr>
            </w:pPr>
            <w:r>
              <w:rPr>
                <w:i/>
              </w:rPr>
              <w:t>Water Agencies (Charges) Amendment By</w:t>
            </w:r>
            <w:r>
              <w:rPr>
                <w:i/>
              </w:rPr>
              <w:noBreakHyphen/>
              <w:t>laws 1999</w:t>
            </w:r>
          </w:p>
        </w:tc>
        <w:tc>
          <w:tcPr>
            <w:tcW w:w="1276" w:type="dxa"/>
          </w:tcPr>
          <w:p>
            <w:pPr>
              <w:pStyle w:val="nTable"/>
              <w:spacing w:after="40"/>
            </w:pPr>
            <w:r>
              <w:t>7 May 1999 p. 1859</w:t>
            </w:r>
            <w:r>
              <w:noBreakHyphen/>
              <w:t>61</w:t>
            </w:r>
          </w:p>
        </w:tc>
        <w:tc>
          <w:tcPr>
            <w:tcW w:w="2693" w:type="dxa"/>
          </w:tcPr>
          <w:p>
            <w:pPr>
              <w:pStyle w:val="nTable"/>
              <w:spacing w:after="40"/>
            </w:pPr>
            <w:r>
              <w:t>7 May 1999</w:t>
            </w:r>
          </w:p>
        </w:tc>
      </w:tr>
      <w:tr>
        <w:trPr>
          <w:cantSplit/>
        </w:trPr>
        <w:tc>
          <w:tcPr>
            <w:tcW w:w="3118" w:type="dxa"/>
          </w:tcPr>
          <w:p>
            <w:pPr>
              <w:pStyle w:val="nTable"/>
              <w:spacing w:after="40"/>
              <w:ind w:right="113"/>
              <w:rPr>
                <w:i/>
              </w:rPr>
            </w:pPr>
            <w:r>
              <w:rPr>
                <w:i/>
              </w:rPr>
              <w:t>Water Agencies (Charges) Amendment By</w:t>
            </w:r>
            <w:r>
              <w:rPr>
                <w:i/>
              </w:rPr>
              <w:noBreakHyphen/>
              <w:t>laws (No. 3) 1999</w:t>
            </w:r>
          </w:p>
        </w:tc>
        <w:tc>
          <w:tcPr>
            <w:tcW w:w="1276" w:type="dxa"/>
          </w:tcPr>
          <w:p>
            <w:pPr>
              <w:pStyle w:val="nTable"/>
              <w:spacing w:after="40"/>
            </w:pPr>
            <w:r>
              <w:t>25 Jun 1999 p. 2742</w:t>
            </w:r>
          </w:p>
        </w:tc>
        <w:tc>
          <w:tcPr>
            <w:tcW w:w="2693" w:type="dxa"/>
          </w:tcPr>
          <w:p>
            <w:pPr>
              <w:pStyle w:val="nTable"/>
              <w:spacing w:after="40"/>
            </w:pPr>
            <w:r>
              <w:t>25 Jun 1999</w:t>
            </w:r>
          </w:p>
        </w:tc>
      </w:tr>
      <w:tr>
        <w:trPr>
          <w:cantSplit/>
        </w:trPr>
        <w:tc>
          <w:tcPr>
            <w:tcW w:w="3118" w:type="dxa"/>
          </w:tcPr>
          <w:p>
            <w:pPr>
              <w:pStyle w:val="nTable"/>
              <w:spacing w:after="40"/>
              <w:ind w:right="113"/>
              <w:rPr>
                <w:rFonts w:ascii="Arial" w:hAnsi="Arial"/>
                <w:b/>
                <w:vertAlign w:val="superscript"/>
              </w:rPr>
            </w:pPr>
            <w:r>
              <w:rPr>
                <w:i/>
              </w:rPr>
              <w:t>Water Agencies (Charges) Amendment By</w:t>
            </w:r>
            <w:r>
              <w:rPr>
                <w:i/>
              </w:rPr>
              <w:noBreakHyphen/>
              <w:t>laws (No. 2) 1999</w:t>
            </w:r>
            <w:r>
              <w:rPr>
                <w:vertAlign w:val="superscript"/>
              </w:rPr>
              <w:t> 22</w:t>
            </w:r>
          </w:p>
        </w:tc>
        <w:tc>
          <w:tcPr>
            <w:tcW w:w="1276" w:type="dxa"/>
          </w:tcPr>
          <w:p>
            <w:pPr>
              <w:pStyle w:val="nTable"/>
              <w:spacing w:after="40"/>
            </w:pPr>
            <w:r>
              <w:t>29 Jun 1999 p. 2789</w:t>
            </w:r>
            <w:r>
              <w:noBreakHyphen/>
              <w:t>828</w:t>
            </w:r>
          </w:p>
        </w:tc>
        <w:tc>
          <w:tcPr>
            <w:tcW w:w="2693" w:type="dxa"/>
          </w:tcPr>
          <w:p>
            <w:pPr>
              <w:pStyle w:val="nTable"/>
              <w:spacing w:after="40"/>
            </w:pPr>
            <w:r>
              <w:t>1 Jul 1999 (see bl. 2)</w:t>
            </w:r>
          </w:p>
        </w:tc>
      </w:tr>
      <w:tr>
        <w:trPr>
          <w:cantSplit/>
        </w:trPr>
        <w:tc>
          <w:tcPr>
            <w:tcW w:w="3118" w:type="dxa"/>
          </w:tcPr>
          <w:p>
            <w:pPr>
              <w:pStyle w:val="nTable"/>
              <w:spacing w:after="40"/>
              <w:ind w:right="113"/>
              <w:rPr>
                <w:i/>
              </w:rPr>
            </w:pPr>
            <w:r>
              <w:rPr>
                <w:i/>
              </w:rPr>
              <w:t>Water Agencies (Charges) Amendment By</w:t>
            </w:r>
            <w:r>
              <w:rPr>
                <w:i/>
              </w:rPr>
              <w:noBreakHyphen/>
              <w:t>laws (No. 4) 1999</w:t>
            </w:r>
          </w:p>
        </w:tc>
        <w:tc>
          <w:tcPr>
            <w:tcW w:w="1276" w:type="dxa"/>
          </w:tcPr>
          <w:p>
            <w:pPr>
              <w:pStyle w:val="nTable"/>
              <w:spacing w:after="40"/>
            </w:pPr>
            <w:r>
              <w:t xml:space="preserve">1 Jul 1999 </w:t>
            </w:r>
            <w:r>
              <w:br/>
              <w:t>p. 2907</w:t>
            </w:r>
          </w:p>
        </w:tc>
        <w:tc>
          <w:tcPr>
            <w:tcW w:w="2693" w:type="dxa"/>
          </w:tcPr>
          <w:p>
            <w:pPr>
              <w:pStyle w:val="nTable"/>
              <w:spacing w:after="40"/>
            </w:pPr>
            <w:r>
              <w:t>1 Jul 1999 (see bl. 2)</w:t>
            </w:r>
          </w:p>
        </w:tc>
      </w:tr>
      <w:tr>
        <w:trPr>
          <w:cantSplit/>
        </w:trPr>
        <w:tc>
          <w:tcPr>
            <w:tcW w:w="3118" w:type="dxa"/>
          </w:tcPr>
          <w:p>
            <w:pPr>
              <w:pStyle w:val="nTable"/>
              <w:spacing w:after="40"/>
              <w:ind w:right="113"/>
              <w:rPr>
                <w:i/>
              </w:rPr>
            </w:pPr>
            <w:r>
              <w:rPr>
                <w:i/>
              </w:rPr>
              <w:t>Water Agencies (Charges) Amendment By</w:t>
            </w:r>
            <w:r>
              <w:rPr>
                <w:i/>
              </w:rPr>
              <w:noBreakHyphen/>
              <w:t>laws 2000</w:t>
            </w:r>
          </w:p>
        </w:tc>
        <w:tc>
          <w:tcPr>
            <w:tcW w:w="1276" w:type="dxa"/>
          </w:tcPr>
          <w:p>
            <w:pPr>
              <w:pStyle w:val="nTable"/>
              <w:spacing w:after="40"/>
            </w:pPr>
            <w:r>
              <w:t>15 Feb 2000 p. 524</w:t>
            </w:r>
            <w:r>
              <w:noBreakHyphen/>
              <w:t>5</w:t>
            </w:r>
          </w:p>
        </w:tc>
        <w:tc>
          <w:tcPr>
            <w:tcW w:w="2693" w:type="dxa"/>
          </w:tcPr>
          <w:p>
            <w:pPr>
              <w:pStyle w:val="nTable"/>
              <w:spacing w:after="40"/>
            </w:pPr>
            <w:r>
              <w:t>15 Feb 2000</w:t>
            </w:r>
          </w:p>
        </w:tc>
      </w:tr>
      <w:tr>
        <w:trPr>
          <w:cantSplit/>
        </w:trPr>
        <w:tc>
          <w:tcPr>
            <w:tcW w:w="3118" w:type="dxa"/>
          </w:tcPr>
          <w:p>
            <w:pPr>
              <w:pStyle w:val="nTable"/>
              <w:spacing w:after="40"/>
              <w:ind w:right="113"/>
              <w:rPr>
                <w:i/>
              </w:rPr>
            </w:pPr>
            <w:r>
              <w:rPr>
                <w:i/>
              </w:rPr>
              <w:t>Water Agencies (Charges) Amendment By</w:t>
            </w:r>
            <w:r>
              <w:rPr>
                <w:i/>
              </w:rPr>
              <w:noBreakHyphen/>
              <w:t>laws (No. 2) 2000</w:t>
            </w:r>
          </w:p>
        </w:tc>
        <w:tc>
          <w:tcPr>
            <w:tcW w:w="1276" w:type="dxa"/>
          </w:tcPr>
          <w:p>
            <w:pPr>
              <w:pStyle w:val="nTable"/>
              <w:spacing w:after="40"/>
            </w:pPr>
            <w:r>
              <w:t>29 Jun 2000 p. 3323</w:t>
            </w:r>
            <w:r>
              <w:noBreakHyphen/>
              <w:t>63</w:t>
            </w:r>
          </w:p>
        </w:tc>
        <w:tc>
          <w:tcPr>
            <w:tcW w:w="2693" w:type="dxa"/>
          </w:tcPr>
          <w:p>
            <w:pPr>
              <w:pStyle w:val="nTable"/>
              <w:spacing w:after="40"/>
            </w:pPr>
            <w:r>
              <w:t>1 Jul 2000 (see bl. 2)</w:t>
            </w:r>
          </w:p>
        </w:tc>
      </w:tr>
      <w:tr>
        <w:trPr>
          <w:cantSplit/>
        </w:trPr>
        <w:tc>
          <w:tcPr>
            <w:tcW w:w="3118" w:type="dxa"/>
          </w:tcPr>
          <w:p>
            <w:pPr>
              <w:pStyle w:val="nTable"/>
              <w:spacing w:after="40"/>
              <w:ind w:right="113"/>
              <w:rPr>
                <w:i/>
              </w:rPr>
            </w:pPr>
            <w:r>
              <w:rPr>
                <w:i/>
              </w:rPr>
              <w:t>Water Agencies (Charges) Amendment By</w:t>
            </w:r>
            <w:r>
              <w:rPr>
                <w:i/>
              </w:rPr>
              <w:noBreakHyphen/>
              <w:t>laws 2001</w:t>
            </w:r>
          </w:p>
        </w:tc>
        <w:tc>
          <w:tcPr>
            <w:tcW w:w="1276" w:type="dxa"/>
          </w:tcPr>
          <w:p>
            <w:pPr>
              <w:pStyle w:val="nTable"/>
              <w:spacing w:after="40"/>
            </w:pPr>
            <w:r>
              <w:t>13 Feb 2001 p. 892</w:t>
            </w:r>
          </w:p>
        </w:tc>
        <w:tc>
          <w:tcPr>
            <w:tcW w:w="2693" w:type="dxa"/>
          </w:tcPr>
          <w:p>
            <w:pPr>
              <w:pStyle w:val="nTable"/>
              <w:spacing w:after="40"/>
            </w:pPr>
            <w:r>
              <w:t>13 Feb 2001</w:t>
            </w:r>
          </w:p>
        </w:tc>
      </w:tr>
      <w:tr>
        <w:trPr>
          <w:cantSplit/>
        </w:trPr>
        <w:tc>
          <w:tcPr>
            <w:tcW w:w="7087" w:type="dxa"/>
            <w:gridSpan w:val="3"/>
          </w:tcPr>
          <w:p>
            <w:pPr>
              <w:pStyle w:val="nTable"/>
              <w:spacing w:after="40"/>
            </w:pPr>
            <w:r>
              <w:rPr>
                <w:b/>
              </w:rPr>
              <w:t xml:space="preserve">Reprint of the </w:t>
            </w:r>
            <w:r>
              <w:rPr>
                <w:b/>
                <w:i/>
              </w:rPr>
              <w:t>Water Agencies (Charges) By</w:t>
            </w:r>
            <w:r>
              <w:rPr>
                <w:b/>
                <w:bCs/>
                <w:i/>
              </w:rPr>
              <w:noBreakHyphen/>
            </w:r>
            <w:r>
              <w:rPr>
                <w:b/>
                <w:i/>
              </w:rPr>
              <w:t>laws 1987</w:t>
            </w:r>
            <w:r>
              <w:rPr>
                <w:b/>
              </w:rPr>
              <w:t xml:space="preserve"> as at 16 Feb 2001</w:t>
            </w:r>
            <w:r>
              <w:rPr>
                <w:b/>
              </w:rPr>
              <w:br/>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(No. 2) 2001</w:t>
            </w:r>
          </w:p>
        </w:tc>
        <w:tc>
          <w:tcPr>
            <w:tcW w:w="1276" w:type="dxa"/>
          </w:tcPr>
          <w:p>
            <w:pPr>
              <w:pStyle w:val="nTable"/>
              <w:spacing w:after="40"/>
            </w:pPr>
            <w:r>
              <w:t>29 Jun 2001 p. 3187</w:t>
            </w:r>
            <w:r>
              <w:noBreakHyphen/>
              <w:t>229</w:t>
            </w:r>
          </w:p>
        </w:tc>
        <w:tc>
          <w:tcPr>
            <w:tcW w:w="2693" w:type="dxa"/>
          </w:tcPr>
          <w:p>
            <w:pPr>
              <w:pStyle w:val="nTable"/>
              <w:spacing w:after="40"/>
            </w:pPr>
            <w:r>
              <w:t>1 Jul 2001 (see bl. 2)</w:t>
            </w:r>
          </w:p>
        </w:tc>
      </w:tr>
      <w:tr>
        <w:trPr>
          <w:cantSplit/>
        </w:trPr>
        <w:tc>
          <w:tcPr>
            <w:tcW w:w="3118" w:type="dxa"/>
          </w:tcPr>
          <w:p>
            <w:pPr>
              <w:pStyle w:val="nTable"/>
              <w:spacing w:after="40"/>
              <w:ind w:right="113"/>
              <w:rPr>
                <w:i/>
              </w:rPr>
            </w:pPr>
            <w:r>
              <w:rPr>
                <w:i/>
              </w:rPr>
              <w:t>Water Agencies (Charges) Amendment By</w:t>
            </w:r>
            <w:r>
              <w:rPr>
                <w:i/>
              </w:rPr>
              <w:noBreakHyphen/>
              <w:t>laws (No. 3) 2001</w:t>
            </w:r>
          </w:p>
        </w:tc>
        <w:tc>
          <w:tcPr>
            <w:tcW w:w="1276" w:type="dxa"/>
          </w:tcPr>
          <w:p>
            <w:pPr>
              <w:pStyle w:val="nTable"/>
              <w:spacing w:after="40"/>
            </w:pPr>
            <w:r>
              <w:t>7 Aug 2001 p. 4037</w:t>
            </w:r>
            <w:r>
              <w:noBreakHyphen/>
              <w:t>8</w:t>
            </w:r>
          </w:p>
        </w:tc>
        <w:tc>
          <w:tcPr>
            <w:tcW w:w="2693" w:type="dxa"/>
          </w:tcPr>
          <w:p>
            <w:pPr>
              <w:pStyle w:val="nTable"/>
              <w:spacing w:after="40"/>
            </w:pPr>
            <w:r>
              <w:t>7 Aug 2001</w:t>
            </w:r>
          </w:p>
        </w:tc>
      </w:tr>
      <w:tr>
        <w:trPr>
          <w:cantSplit/>
        </w:trPr>
        <w:tc>
          <w:tcPr>
            <w:tcW w:w="3118" w:type="dxa"/>
          </w:tcPr>
          <w:p>
            <w:pPr>
              <w:pStyle w:val="nTable"/>
              <w:spacing w:after="40"/>
              <w:ind w:right="113"/>
              <w:rPr>
                <w:i/>
              </w:rPr>
            </w:pPr>
            <w:r>
              <w:rPr>
                <w:i/>
              </w:rPr>
              <w:t>Water Agencies (Charges) Amendment By</w:t>
            </w:r>
            <w:r>
              <w:rPr>
                <w:i/>
              </w:rPr>
              <w:noBreakHyphen/>
              <w:t>laws (No. 4) 2001</w:t>
            </w:r>
          </w:p>
        </w:tc>
        <w:tc>
          <w:tcPr>
            <w:tcW w:w="1276" w:type="dxa"/>
          </w:tcPr>
          <w:p>
            <w:pPr>
              <w:pStyle w:val="nTable"/>
              <w:spacing w:after="40"/>
            </w:pPr>
            <w:r>
              <w:t>5 Oct 2001 p. 5478</w:t>
            </w:r>
            <w:r>
              <w:noBreakHyphen/>
              <w:t>9</w:t>
            </w:r>
          </w:p>
        </w:tc>
        <w:tc>
          <w:tcPr>
            <w:tcW w:w="2693" w:type="dxa"/>
          </w:tcPr>
          <w:p>
            <w:pPr>
              <w:pStyle w:val="nTable"/>
              <w:spacing w:after="40"/>
            </w:pPr>
            <w:r>
              <w:t>5 Oct 2001</w:t>
            </w:r>
          </w:p>
        </w:tc>
      </w:tr>
      <w:tr>
        <w:trPr>
          <w:cantSplit/>
        </w:trPr>
        <w:tc>
          <w:tcPr>
            <w:tcW w:w="3118" w:type="dxa"/>
          </w:tcPr>
          <w:p>
            <w:pPr>
              <w:pStyle w:val="nTable"/>
              <w:spacing w:after="40"/>
              <w:ind w:right="113"/>
              <w:rPr>
                <w:rFonts w:ascii="Arial" w:hAnsi="Arial"/>
                <w:b/>
                <w:vertAlign w:val="superscript"/>
              </w:rPr>
            </w:pPr>
            <w:r>
              <w:rPr>
                <w:i/>
              </w:rPr>
              <w:t>Water Agencies (Charges) Amendment By</w:t>
            </w:r>
            <w:r>
              <w:rPr>
                <w:i/>
              </w:rPr>
              <w:noBreakHyphen/>
              <w:t>Laws (No. 5) 2001</w:t>
            </w:r>
            <w:r>
              <w:rPr>
                <w:vertAlign w:val="superscript"/>
              </w:rPr>
              <w:t> 23</w:t>
            </w:r>
          </w:p>
        </w:tc>
        <w:tc>
          <w:tcPr>
            <w:tcW w:w="1276" w:type="dxa"/>
          </w:tcPr>
          <w:p>
            <w:pPr>
              <w:pStyle w:val="nTable"/>
              <w:spacing w:after="40"/>
            </w:pPr>
            <w:r>
              <w:t>22 Feb 2002 p. 767</w:t>
            </w:r>
            <w:r>
              <w:noBreakHyphen/>
              <w:t>9</w:t>
            </w:r>
          </w:p>
        </w:tc>
        <w:tc>
          <w:tcPr>
            <w:tcW w:w="2693" w:type="dxa"/>
          </w:tcPr>
          <w:p>
            <w:pPr>
              <w:pStyle w:val="nTable"/>
              <w:spacing w:after="40"/>
            </w:pPr>
            <w:r>
              <w:t>22 Feb 2002</w:t>
            </w:r>
          </w:p>
        </w:tc>
      </w:tr>
      <w:tr>
        <w:trPr>
          <w:cantSplit/>
        </w:trPr>
        <w:tc>
          <w:tcPr>
            <w:tcW w:w="3118" w:type="dxa"/>
          </w:tcPr>
          <w:p>
            <w:pPr>
              <w:pStyle w:val="nTable"/>
              <w:spacing w:after="40"/>
              <w:ind w:right="113"/>
              <w:rPr>
                <w:rFonts w:ascii="Arial" w:hAnsi="Arial"/>
                <w:b/>
                <w:vertAlign w:val="superscript"/>
              </w:rPr>
            </w:pPr>
            <w:r>
              <w:rPr>
                <w:i/>
              </w:rPr>
              <w:t>Water Agencies (Charges) Amendment By</w:t>
            </w:r>
            <w:r>
              <w:rPr>
                <w:i/>
              </w:rPr>
              <w:noBreakHyphen/>
              <w:t>laws 2002</w:t>
            </w:r>
            <w:r>
              <w:rPr>
                <w:vertAlign w:val="superscript"/>
              </w:rPr>
              <w:t> 24</w:t>
            </w:r>
          </w:p>
        </w:tc>
        <w:tc>
          <w:tcPr>
            <w:tcW w:w="1276" w:type="dxa"/>
          </w:tcPr>
          <w:p>
            <w:pPr>
              <w:pStyle w:val="nTable"/>
              <w:spacing w:after="40"/>
            </w:pPr>
            <w:r>
              <w:t>1 Mar 2002 p. 869</w:t>
            </w:r>
            <w:r>
              <w:noBreakHyphen/>
              <w:t>70</w:t>
            </w:r>
          </w:p>
        </w:tc>
        <w:tc>
          <w:tcPr>
            <w:tcW w:w="2693" w:type="dxa"/>
          </w:tcPr>
          <w:p>
            <w:pPr>
              <w:pStyle w:val="nTable"/>
              <w:spacing w:after="40"/>
            </w:pPr>
            <w:r>
              <w:t>1 Mar 2002</w:t>
            </w:r>
          </w:p>
        </w:tc>
      </w:tr>
      <w:tr>
        <w:trPr>
          <w:cantSplit/>
        </w:trPr>
        <w:tc>
          <w:tcPr>
            <w:tcW w:w="3118" w:type="dxa"/>
          </w:tcPr>
          <w:p>
            <w:pPr>
              <w:pStyle w:val="nTable"/>
              <w:spacing w:after="40"/>
              <w:ind w:right="113"/>
              <w:rPr>
                <w:i/>
              </w:rPr>
            </w:pPr>
            <w:r>
              <w:rPr>
                <w:i/>
              </w:rPr>
              <w:t>Water Agencies (Charges) Amendment By</w:t>
            </w:r>
            <w:r>
              <w:rPr>
                <w:i/>
              </w:rPr>
              <w:noBreakHyphen/>
              <w:t>laws (No. 2) 2002</w:t>
            </w:r>
          </w:p>
        </w:tc>
        <w:tc>
          <w:tcPr>
            <w:tcW w:w="1276" w:type="dxa"/>
          </w:tcPr>
          <w:p>
            <w:pPr>
              <w:pStyle w:val="nTable"/>
              <w:spacing w:after="40"/>
            </w:pPr>
            <w:r>
              <w:t>1 Mar 2002 p. 870</w:t>
            </w:r>
          </w:p>
        </w:tc>
        <w:tc>
          <w:tcPr>
            <w:tcW w:w="2693" w:type="dxa"/>
          </w:tcPr>
          <w:p>
            <w:pPr>
              <w:pStyle w:val="nTable"/>
              <w:spacing w:after="40"/>
            </w:pPr>
            <w:r>
              <w:t xml:space="preserve">1 Mar 2002 </w:t>
            </w:r>
          </w:p>
        </w:tc>
      </w:tr>
      <w:tr>
        <w:trPr>
          <w:cantSplit/>
        </w:trPr>
        <w:tc>
          <w:tcPr>
            <w:tcW w:w="3118" w:type="dxa"/>
          </w:tcPr>
          <w:p>
            <w:pPr>
              <w:pStyle w:val="nTable"/>
              <w:spacing w:after="40"/>
              <w:ind w:right="113"/>
              <w:rPr>
                <w:i/>
              </w:rPr>
            </w:pPr>
            <w:r>
              <w:rPr>
                <w:i/>
              </w:rPr>
              <w:t>Water Agencies (Charges) Amendment By</w:t>
            </w:r>
            <w:r>
              <w:rPr>
                <w:i/>
              </w:rPr>
              <w:noBreakHyphen/>
              <w:t>laws (No. 3) 2002</w:t>
            </w:r>
          </w:p>
        </w:tc>
        <w:tc>
          <w:tcPr>
            <w:tcW w:w="1276" w:type="dxa"/>
          </w:tcPr>
          <w:p>
            <w:pPr>
              <w:pStyle w:val="nTable"/>
              <w:spacing w:after="40"/>
            </w:pPr>
            <w:r>
              <w:t>1 Jul 2002 p. 3155</w:t>
            </w:r>
            <w:r>
              <w:noBreakHyphen/>
              <w:t>201</w:t>
            </w:r>
          </w:p>
        </w:tc>
        <w:tc>
          <w:tcPr>
            <w:tcW w:w="2693" w:type="dxa"/>
          </w:tcPr>
          <w:p>
            <w:pPr>
              <w:pStyle w:val="nTable"/>
              <w:spacing w:after="40"/>
            </w:pPr>
            <w:r>
              <w:t>1 Jul 2002</w:t>
            </w:r>
          </w:p>
        </w:tc>
      </w:tr>
      <w:tr>
        <w:trPr>
          <w:cantSplit/>
        </w:trPr>
        <w:tc>
          <w:tcPr>
            <w:tcW w:w="3118" w:type="dxa"/>
          </w:tcPr>
          <w:p>
            <w:pPr>
              <w:pStyle w:val="nTable"/>
              <w:spacing w:after="40"/>
              <w:ind w:right="113"/>
              <w:rPr>
                <w:i/>
              </w:rPr>
            </w:pPr>
            <w:r>
              <w:rPr>
                <w:i/>
              </w:rPr>
              <w:t>Water Agencies (Charges) Amendment By</w:t>
            </w:r>
            <w:r>
              <w:rPr>
                <w:i/>
              </w:rPr>
              <w:noBreakHyphen/>
              <w:t>laws 2003</w:t>
            </w:r>
          </w:p>
        </w:tc>
        <w:tc>
          <w:tcPr>
            <w:tcW w:w="1276" w:type="dxa"/>
          </w:tcPr>
          <w:p>
            <w:pPr>
              <w:pStyle w:val="nTable"/>
              <w:spacing w:after="40"/>
            </w:pPr>
            <w:r>
              <w:t>29 Apr 2003 p. 1293-4</w:t>
            </w:r>
          </w:p>
        </w:tc>
        <w:tc>
          <w:tcPr>
            <w:tcW w:w="2693" w:type="dxa"/>
          </w:tcPr>
          <w:p>
            <w:pPr>
              <w:pStyle w:val="nTable"/>
              <w:spacing w:after="40"/>
            </w:pPr>
            <w:r>
              <w:t>29 Apr 2003</w:t>
            </w:r>
          </w:p>
        </w:tc>
      </w:tr>
      <w:tr>
        <w:trPr>
          <w:cantSplit/>
        </w:trPr>
        <w:tc>
          <w:tcPr>
            <w:tcW w:w="7087" w:type="dxa"/>
            <w:gridSpan w:val="3"/>
          </w:tcPr>
          <w:p>
            <w:pPr>
              <w:pStyle w:val="nTable"/>
              <w:spacing w:after="40"/>
            </w:pPr>
            <w:r>
              <w:rPr>
                <w:b/>
              </w:rPr>
              <w:t xml:space="preserve">Reprint 3:  The </w:t>
            </w:r>
            <w:r>
              <w:rPr>
                <w:b/>
                <w:i/>
              </w:rPr>
              <w:t>Water Agencies (Charges) By</w:t>
            </w:r>
            <w:r>
              <w:rPr>
                <w:b/>
                <w:bCs/>
                <w:i/>
              </w:rPr>
              <w:noBreakHyphen/>
            </w:r>
            <w:r>
              <w:rPr>
                <w:b/>
                <w:i/>
              </w:rPr>
              <w:t>laws 1987</w:t>
            </w:r>
            <w:r>
              <w:rPr>
                <w:b/>
              </w:rPr>
              <w:t xml:space="preserve"> as at 9 May 2003 </w:t>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(No. 2) 2003</w:t>
            </w:r>
          </w:p>
        </w:tc>
        <w:tc>
          <w:tcPr>
            <w:tcW w:w="1276" w:type="dxa"/>
          </w:tcPr>
          <w:p>
            <w:pPr>
              <w:pStyle w:val="nTable"/>
              <w:spacing w:after="40"/>
            </w:pPr>
            <w:r>
              <w:t>24 Jun 2003 p. 2273</w:t>
            </w:r>
          </w:p>
        </w:tc>
        <w:tc>
          <w:tcPr>
            <w:tcW w:w="2693" w:type="dxa"/>
          </w:tcPr>
          <w:p>
            <w:pPr>
              <w:pStyle w:val="nTable"/>
              <w:spacing w:after="40"/>
            </w:pPr>
            <w:r>
              <w:t>24 Jun 2003</w:t>
            </w:r>
          </w:p>
        </w:tc>
      </w:tr>
      <w:tr>
        <w:trPr>
          <w:cantSplit/>
        </w:trPr>
        <w:tc>
          <w:tcPr>
            <w:tcW w:w="3118" w:type="dxa"/>
          </w:tcPr>
          <w:p>
            <w:pPr>
              <w:pStyle w:val="nTable"/>
              <w:spacing w:after="40"/>
              <w:ind w:right="113"/>
              <w:rPr>
                <w:i/>
              </w:rPr>
            </w:pPr>
            <w:r>
              <w:rPr>
                <w:i/>
              </w:rPr>
              <w:t>Water Agencies (Charges) Amendment By</w:t>
            </w:r>
            <w:r>
              <w:rPr>
                <w:i/>
              </w:rPr>
              <w:noBreakHyphen/>
              <w:t>laws (No. 3) 2003</w:t>
            </w:r>
          </w:p>
        </w:tc>
        <w:tc>
          <w:tcPr>
            <w:tcW w:w="1276" w:type="dxa"/>
          </w:tcPr>
          <w:p>
            <w:pPr>
              <w:pStyle w:val="nTable"/>
              <w:spacing w:after="40"/>
            </w:pPr>
            <w:r>
              <w:t>27 Jun 2003 p. 2283-340</w:t>
            </w:r>
          </w:p>
        </w:tc>
        <w:tc>
          <w:tcPr>
            <w:tcW w:w="2693" w:type="dxa"/>
          </w:tcPr>
          <w:p>
            <w:pPr>
              <w:pStyle w:val="nTable"/>
              <w:spacing w:after="40"/>
            </w:pPr>
            <w:r>
              <w:t>1 Jul 2003 (see bl. 2)</w:t>
            </w:r>
          </w:p>
        </w:tc>
      </w:tr>
      <w:tr>
        <w:trPr>
          <w:cantSplit/>
        </w:trPr>
        <w:tc>
          <w:tcPr>
            <w:tcW w:w="3118" w:type="dxa"/>
          </w:tcPr>
          <w:p>
            <w:pPr>
              <w:pStyle w:val="nTable"/>
              <w:spacing w:after="40"/>
              <w:ind w:right="113"/>
              <w:rPr>
                <w:i/>
              </w:rPr>
            </w:pPr>
            <w:r>
              <w:rPr>
                <w:i/>
              </w:rPr>
              <w:t>Water Agencies (Charges) Amendment By</w:t>
            </w:r>
            <w:r>
              <w:rPr>
                <w:i/>
              </w:rPr>
              <w:noBreakHyphen/>
              <w:t>laws (No. 4) 2003</w:t>
            </w:r>
          </w:p>
        </w:tc>
        <w:tc>
          <w:tcPr>
            <w:tcW w:w="1276" w:type="dxa"/>
          </w:tcPr>
          <w:p>
            <w:pPr>
              <w:pStyle w:val="nTable"/>
              <w:spacing w:after="40"/>
            </w:pPr>
            <w:r>
              <w:t>9 Dec 2003 p. 5007-8</w:t>
            </w:r>
          </w:p>
        </w:tc>
        <w:tc>
          <w:tcPr>
            <w:tcW w:w="2693" w:type="dxa"/>
          </w:tcPr>
          <w:p>
            <w:pPr>
              <w:pStyle w:val="nTable"/>
              <w:spacing w:after="40"/>
            </w:pPr>
            <w:r>
              <w:t>9 Dec 2003</w:t>
            </w:r>
          </w:p>
        </w:tc>
      </w:tr>
      <w:tr>
        <w:trPr>
          <w:cantSplit/>
        </w:trPr>
        <w:tc>
          <w:tcPr>
            <w:tcW w:w="3118" w:type="dxa"/>
          </w:tcPr>
          <w:p>
            <w:pPr>
              <w:pStyle w:val="nTable"/>
              <w:spacing w:after="40"/>
              <w:ind w:right="113"/>
              <w:rPr>
                <w:i/>
              </w:rPr>
            </w:pPr>
            <w:r>
              <w:rPr>
                <w:i/>
              </w:rPr>
              <w:t>Water Agencies (Charges) Amendment By</w:t>
            </w:r>
            <w:r>
              <w:rPr>
                <w:i/>
              </w:rPr>
              <w:noBreakHyphen/>
              <w:t>laws 2004</w:t>
            </w:r>
          </w:p>
        </w:tc>
        <w:tc>
          <w:tcPr>
            <w:tcW w:w="1276" w:type="dxa"/>
          </w:tcPr>
          <w:p>
            <w:pPr>
              <w:pStyle w:val="nTable"/>
              <w:spacing w:after="40"/>
            </w:pPr>
            <w:r>
              <w:t>29 Jun 2004 p. 2467-96</w:t>
            </w:r>
          </w:p>
        </w:tc>
        <w:tc>
          <w:tcPr>
            <w:tcW w:w="2693" w:type="dxa"/>
          </w:tcPr>
          <w:p>
            <w:pPr>
              <w:pStyle w:val="nTable"/>
              <w:spacing w:after="40"/>
            </w:pPr>
            <w:r>
              <w:t>1 Jul 2004 (see bl. 2)</w:t>
            </w:r>
          </w:p>
        </w:tc>
      </w:tr>
      <w:tr>
        <w:trPr>
          <w:cantSplit/>
        </w:trPr>
        <w:tc>
          <w:tcPr>
            <w:tcW w:w="3118" w:type="dxa"/>
          </w:tcPr>
          <w:p>
            <w:pPr>
              <w:pStyle w:val="nTable"/>
              <w:spacing w:after="40"/>
              <w:ind w:right="113"/>
              <w:rPr>
                <w:i/>
              </w:rPr>
            </w:pPr>
            <w:r>
              <w:rPr>
                <w:i/>
              </w:rPr>
              <w:t>Water Agencies (Charges) Amendment By</w:t>
            </w:r>
            <w:r>
              <w:rPr>
                <w:i/>
              </w:rPr>
              <w:noBreakHyphen/>
              <w:t>laws (No. 2) 2004</w:t>
            </w:r>
          </w:p>
        </w:tc>
        <w:tc>
          <w:tcPr>
            <w:tcW w:w="1276" w:type="dxa"/>
          </w:tcPr>
          <w:p>
            <w:pPr>
              <w:pStyle w:val="nTable"/>
              <w:spacing w:after="40"/>
            </w:pPr>
            <w:r>
              <w:t>24 Dec 2004 p. 6157-8</w:t>
            </w:r>
          </w:p>
        </w:tc>
        <w:tc>
          <w:tcPr>
            <w:tcW w:w="2693" w:type="dxa"/>
          </w:tcPr>
          <w:p>
            <w:pPr>
              <w:pStyle w:val="nTable"/>
              <w:spacing w:after="40"/>
            </w:pPr>
            <w:r>
              <w:t>24 Dec 2004</w:t>
            </w:r>
          </w:p>
        </w:tc>
      </w:tr>
      <w:tr>
        <w:trPr>
          <w:cantSplit/>
        </w:trPr>
        <w:tc>
          <w:tcPr>
            <w:tcW w:w="3118" w:type="dxa"/>
          </w:tcPr>
          <w:p>
            <w:pPr>
              <w:pStyle w:val="nTable"/>
              <w:spacing w:after="40"/>
              <w:ind w:right="113"/>
              <w:rPr>
                <w:i/>
              </w:rPr>
            </w:pPr>
            <w:r>
              <w:rPr>
                <w:i/>
              </w:rPr>
              <w:t>Water Agencies (Charges) Amendment By</w:t>
            </w:r>
            <w:r>
              <w:rPr>
                <w:i/>
              </w:rPr>
              <w:noBreakHyphen/>
              <w:t>laws 2005</w:t>
            </w:r>
          </w:p>
        </w:tc>
        <w:tc>
          <w:tcPr>
            <w:tcW w:w="1276" w:type="dxa"/>
          </w:tcPr>
          <w:p>
            <w:pPr>
              <w:pStyle w:val="nTable"/>
              <w:spacing w:after="40"/>
            </w:pPr>
            <w:r>
              <w:t>13 May 2005 p. 2088</w:t>
            </w:r>
          </w:p>
        </w:tc>
        <w:tc>
          <w:tcPr>
            <w:tcW w:w="2693" w:type="dxa"/>
          </w:tcPr>
          <w:p>
            <w:pPr>
              <w:pStyle w:val="nTable"/>
              <w:spacing w:after="40"/>
            </w:pPr>
            <w:r>
              <w:t>13 May 2005</w:t>
            </w:r>
          </w:p>
        </w:tc>
      </w:tr>
      <w:tr>
        <w:trPr>
          <w:cantSplit/>
        </w:trPr>
        <w:tc>
          <w:tcPr>
            <w:tcW w:w="3118" w:type="dxa"/>
          </w:tcPr>
          <w:p>
            <w:pPr>
              <w:pStyle w:val="nTable"/>
              <w:spacing w:after="40"/>
              <w:ind w:right="113"/>
              <w:rPr>
                <w:i/>
              </w:rPr>
            </w:pPr>
            <w:r>
              <w:rPr>
                <w:i/>
              </w:rPr>
              <w:t>Water Agencies (Charges) Amendment By</w:t>
            </w:r>
            <w:r>
              <w:rPr>
                <w:i/>
              </w:rPr>
              <w:noBreakHyphen/>
              <w:t>laws (No. 3) 2005</w:t>
            </w:r>
          </w:p>
        </w:tc>
        <w:tc>
          <w:tcPr>
            <w:tcW w:w="1276" w:type="dxa"/>
          </w:tcPr>
          <w:p>
            <w:pPr>
              <w:pStyle w:val="nTable"/>
              <w:spacing w:after="40"/>
            </w:pPr>
            <w:r>
              <w:t>1 Jul 2005 p. 3008-9</w:t>
            </w:r>
          </w:p>
        </w:tc>
        <w:tc>
          <w:tcPr>
            <w:tcW w:w="2693" w:type="dxa"/>
          </w:tcPr>
          <w:p>
            <w:pPr>
              <w:pStyle w:val="nTable"/>
              <w:spacing w:after="40"/>
            </w:pPr>
            <w:r>
              <w:t>1 Jul 2005 (see bl. 2)</w:t>
            </w:r>
          </w:p>
        </w:tc>
      </w:tr>
      <w:tr>
        <w:trPr>
          <w:cantSplit/>
        </w:trPr>
        <w:tc>
          <w:tcPr>
            <w:tcW w:w="3118" w:type="dxa"/>
          </w:tcPr>
          <w:p>
            <w:pPr>
              <w:pStyle w:val="nTable"/>
              <w:spacing w:after="40"/>
              <w:ind w:right="113"/>
              <w:rPr>
                <w:i/>
              </w:rPr>
            </w:pPr>
            <w:r>
              <w:rPr>
                <w:i/>
              </w:rPr>
              <w:t>Water Agencies (Charges) Amendment By</w:t>
            </w:r>
            <w:r>
              <w:rPr>
                <w:i/>
              </w:rPr>
              <w:noBreakHyphen/>
              <w:t>laws (No. 2) 2005</w:t>
            </w:r>
          </w:p>
        </w:tc>
        <w:tc>
          <w:tcPr>
            <w:tcW w:w="1276" w:type="dxa"/>
          </w:tcPr>
          <w:p>
            <w:pPr>
              <w:pStyle w:val="nTable"/>
              <w:spacing w:after="40"/>
            </w:pPr>
            <w:r>
              <w:t>1 Jul 2005 p. 3031-78</w:t>
            </w:r>
          </w:p>
        </w:tc>
        <w:tc>
          <w:tcPr>
            <w:tcW w:w="2693" w:type="dxa"/>
          </w:tcPr>
          <w:p>
            <w:pPr>
              <w:pStyle w:val="nTable"/>
              <w:spacing w:after="40"/>
            </w:pPr>
            <w:r>
              <w:t>1 Jul 2005 (see bl. 2)</w:t>
            </w:r>
          </w:p>
        </w:tc>
      </w:tr>
      <w:tr>
        <w:trPr>
          <w:cantSplit/>
        </w:trPr>
        <w:tc>
          <w:tcPr>
            <w:tcW w:w="3118" w:type="dxa"/>
          </w:tcPr>
          <w:p>
            <w:pPr>
              <w:pStyle w:val="nTable"/>
              <w:spacing w:after="40"/>
              <w:ind w:right="113"/>
              <w:rPr>
                <w:i/>
              </w:rPr>
            </w:pPr>
            <w:r>
              <w:rPr>
                <w:i/>
              </w:rPr>
              <w:t>Water Agencies (Charges) Amendment By</w:t>
            </w:r>
            <w:r>
              <w:rPr>
                <w:i/>
              </w:rPr>
              <w:noBreakHyphen/>
              <w:t>laws (No. 4) 2005</w:t>
            </w:r>
          </w:p>
        </w:tc>
        <w:tc>
          <w:tcPr>
            <w:tcW w:w="1276" w:type="dxa"/>
          </w:tcPr>
          <w:p>
            <w:pPr>
              <w:pStyle w:val="nTable"/>
              <w:spacing w:after="40"/>
            </w:pPr>
            <w:r>
              <w:t>4 Nov 2005 p. 5321</w:t>
            </w:r>
          </w:p>
        </w:tc>
        <w:tc>
          <w:tcPr>
            <w:tcW w:w="2693" w:type="dxa"/>
          </w:tcPr>
          <w:p>
            <w:pPr>
              <w:pStyle w:val="nTable"/>
              <w:spacing w:after="40"/>
            </w:pPr>
            <w:r>
              <w:t>4 Nov 2005</w:t>
            </w:r>
          </w:p>
        </w:tc>
      </w:tr>
      <w:tr>
        <w:trPr>
          <w:cantSplit/>
        </w:trPr>
        <w:tc>
          <w:tcPr>
            <w:tcW w:w="7087" w:type="dxa"/>
            <w:gridSpan w:val="3"/>
          </w:tcPr>
          <w:p>
            <w:pPr>
              <w:pStyle w:val="nTable"/>
              <w:spacing w:after="40"/>
            </w:pPr>
            <w:r>
              <w:rPr>
                <w:b/>
              </w:rPr>
              <w:t xml:space="preserve">Reprint 4:  The </w:t>
            </w:r>
            <w:r>
              <w:rPr>
                <w:b/>
                <w:i/>
              </w:rPr>
              <w:t>Water Agencies (Charges) By</w:t>
            </w:r>
            <w:r>
              <w:rPr>
                <w:b/>
                <w:bCs/>
                <w:i/>
              </w:rPr>
              <w:noBreakHyphen/>
            </w:r>
            <w:r>
              <w:rPr>
                <w:b/>
                <w:i/>
              </w:rPr>
              <w:t>laws 1987</w:t>
            </w:r>
            <w:r>
              <w:rPr>
                <w:b/>
              </w:rPr>
              <w:t xml:space="preserve"> as at 31 Mar 2006 </w:t>
            </w:r>
            <w:r>
              <w:t>(includes amendments listed above)</w:t>
            </w:r>
          </w:p>
        </w:tc>
      </w:tr>
      <w:tr>
        <w:trPr>
          <w:cantSplit/>
        </w:trPr>
        <w:tc>
          <w:tcPr>
            <w:tcW w:w="3118" w:type="dxa"/>
          </w:tcPr>
          <w:p>
            <w:pPr>
              <w:pStyle w:val="nTable"/>
              <w:spacing w:after="40"/>
              <w:ind w:right="113"/>
            </w:pPr>
            <w:r>
              <w:rPr>
                <w:i/>
              </w:rPr>
              <w:t>Electricity Corporations (Consequential Amendments) Regulations 2006</w:t>
            </w:r>
            <w:r>
              <w:t xml:space="preserve"> r. 89</w:t>
            </w:r>
          </w:p>
        </w:tc>
        <w:tc>
          <w:tcPr>
            <w:tcW w:w="1276" w:type="dxa"/>
          </w:tcPr>
          <w:p>
            <w:pPr>
              <w:pStyle w:val="nTable"/>
              <w:spacing w:after="40"/>
            </w:pPr>
            <w:r>
              <w:t>31 Mar 2006 p. 1299-357</w:t>
            </w:r>
          </w:p>
        </w:tc>
        <w:tc>
          <w:tcPr>
            <w:tcW w:w="2693" w:type="dxa"/>
          </w:tcPr>
          <w:p>
            <w:pPr>
              <w:pStyle w:val="nTable"/>
              <w:spacing w:after="40"/>
            </w:pPr>
            <w:r>
              <w:t>1 Apr 2006 (see r. 2)</w:t>
            </w:r>
          </w:p>
        </w:tc>
      </w:tr>
      <w:tr>
        <w:trPr>
          <w:cantSplit/>
        </w:trPr>
        <w:tc>
          <w:tcPr>
            <w:tcW w:w="3118" w:type="dxa"/>
          </w:tcPr>
          <w:p>
            <w:pPr>
              <w:pStyle w:val="nTable"/>
              <w:spacing w:after="40"/>
              <w:ind w:right="113"/>
              <w:rPr>
                <w:i/>
              </w:rPr>
            </w:pPr>
            <w:r>
              <w:rPr>
                <w:i/>
              </w:rPr>
              <w:t>Water Agencies (Charges) Amendment By</w:t>
            </w:r>
            <w:r>
              <w:rPr>
                <w:i/>
              </w:rPr>
              <w:noBreakHyphen/>
              <w:t xml:space="preserve">laws 2006 </w:t>
            </w:r>
          </w:p>
        </w:tc>
        <w:tc>
          <w:tcPr>
            <w:tcW w:w="1276" w:type="dxa"/>
          </w:tcPr>
          <w:p>
            <w:pPr>
              <w:pStyle w:val="nTable"/>
              <w:spacing w:after="40"/>
            </w:pPr>
            <w:r>
              <w:t>30 Jun 2006 p. 2413</w:t>
            </w:r>
            <w:r>
              <w:noBreakHyphen/>
              <w:t>61</w:t>
            </w:r>
          </w:p>
        </w:tc>
        <w:tc>
          <w:tcPr>
            <w:tcW w:w="2693" w:type="dxa"/>
          </w:tcPr>
          <w:p>
            <w:pPr>
              <w:pStyle w:val="nTable"/>
              <w:spacing w:after="40"/>
            </w:pPr>
            <w:r>
              <w:t>1 Jul 2006 (see bl. 2)</w:t>
            </w:r>
          </w:p>
        </w:tc>
      </w:tr>
      <w:tr>
        <w:trPr>
          <w:cantSplit/>
        </w:trPr>
        <w:tc>
          <w:tcPr>
            <w:tcW w:w="3118" w:type="dxa"/>
          </w:tcPr>
          <w:p>
            <w:pPr>
              <w:pStyle w:val="nTable"/>
              <w:spacing w:after="40"/>
              <w:ind w:right="113"/>
              <w:rPr>
                <w:i/>
              </w:rPr>
            </w:pPr>
            <w:r>
              <w:rPr>
                <w:i/>
              </w:rPr>
              <w:t>Water Agencies (Charges) Amendment By</w:t>
            </w:r>
            <w:r>
              <w:rPr>
                <w:i/>
              </w:rPr>
              <w:noBreakHyphen/>
              <w:t>laws (No. 3) 2006</w:t>
            </w:r>
          </w:p>
        </w:tc>
        <w:tc>
          <w:tcPr>
            <w:tcW w:w="1276" w:type="dxa"/>
          </w:tcPr>
          <w:p>
            <w:pPr>
              <w:pStyle w:val="nTable"/>
              <w:spacing w:after="40"/>
            </w:pPr>
            <w:r>
              <w:t>14 Nov 2006 p. 4738</w:t>
            </w:r>
          </w:p>
        </w:tc>
        <w:tc>
          <w:tcPr>
            <w:tcW w:w="2693" w:type="dxa"/>
          </w:tcPr>
          <w:p>
            <w:pPr>
              <w:pStyle w:val="nTable"/>
              <w:spacing w:after="40"/>
            </w:pPr>
            <w:r>
              <w:t>14 Nov 2006</w:t>
            </w:r>
          </w:p>
        </w:tc>
      </w:tr>
      <w:tr>
        <w:trPr>
          <w:cantSplit/>
        </w:trPr>
        <w:tc>
          <w:tcPr>
            <w:tcW w:w="3118" w:type="dxa"/>
          </w:tcPr>
          <w:p>
            <w:pPr>
              <w:pStyle w:val="nTable"/>
              <w:spacing w:after="40"/>
              <w:ind w:right="113"/>
              <w:rPr>
                <w:i/>
              </w:rPr>
            </w:pPr>
            <w:r>
              <w:rPr>
                <w:i/>
              </w:rPr>
              <w:t>Water Agencies (Charges) Amendment By</w:t>
            </w:r>
            <w:r>
              <w:rPr>
                <w:i/>
              </w:rPr>
              <w:noBreakHyphen/>
              <w:t>laws 2007</w:t>
            </w:r>
          </w:p>
        </w:tc>
        <w:tc>
          <w:tcPr>
            <w:tcW w:w="1276" w:type="dxa"/>
          </w:tcPr>
          <w:p>
            <w:pPr>
              <w:pStyle w:val="nTable"/>
              <w:spacing w:after="40"/>
            </w:pPr>
            <w:r>
              <w:t>13 Apr 2007 p. 1686-8</w:t>
            </w:r>
          </w:p>
        </w:tc>
        <w:tc>
          <w:tcPr>
            <w:tcW w:w="2693" w:type="dxa"/>
          </w:tcPr>
          <w:p>
            <w:pPr>
              <w:pStyle w:val="nTable"/>
              <w:spacing w:after="40"/>
            </w:pPr>
            <w:r>
              <w:t>13 Apr 2007</w:t>
            </w:r>
          </w:p>
        </w:tc>
      </w:tr>
      <w:tr>
        <w:trPr>
          <w:cantSplit/>
        </w:trPr>
        <w:tc>
          <w:tcPr>
            <w:tcW w:w="3118" w:type="dxa"/>
          </w:tcPr>
          <w:p>
            <w:pPr>
              <w:pStyle w:val="nTable"/>
              <w:spacing w:after="40"/>
              <w:ind w:right="113"/>
              <w:rPr>
                <w:i/>
              </w:rPr>
            </w:pPr>
            <w:r>
              <w:rPr>
                <w:i/>
              </w:rPr>
              <w:t>Water Agencies (Charges) Amendment By</w:t>
            </w:r>
            <w:r>
              <w:rPr>
                <w:i/>
              </w:rPr>
              <w:noBreakHyphen/>
              <w:t>laws (No. 2) 2007</w:t>
            </w:r>
          </w:p>
        </w:tc>
        <w:tc>
          <w:tcPr>
            <w:tcW w:w="1276" w:type="dxa"/>
          </w:tcPr>
          <w:p>
            <w:pPr>
              <w:pStyle w:val="nTable"/>
              <w:spacing w:after="40"/>
            </w:pPr>
            <w:r>
              <w:t>29 Jun 2007 p. 3245-88</w:t>
            </w:r>
          </w:p>
        </w:tc>
        <w:tc>
          <w:tcPr>
            <w:tcW w:w="2693" w:type="dxa"/>
          </w:tcPr>
          <w:p>
            <w:pPr>
              <w:pStyle w:val="nTable"/>
              <w:spacing w:after="40"/>
            </w:pPr>
            <w:r>
              <w:t>bl. 1 and 2: 29 Jun 2007 (see bl. 2(a));</w:t>
            </w:r>
            <w:r>
              <w:br/>
              <w:t>By-laws other than bl. 1 and 2: 1 Jul 2007 (see bl. 2(b))</w:t>
            </w:r>
          </w:p>
        </w:tc>
      </w:tr>
      <w:tr>
        <w:trPr>
          <w:cantSplit/>
        </w:trPr>
        <w:tc>
          <w:tcPr>
            <w:tcW w:w="7087" w:type="dxa"/>
            <w:gridSpan w:val="3"/>
          </w:tcPr>
          <w:p>
            <w:pPr>
              <w:pStyle w:val="nTable"/>
              <w:spacing w:after="40"/>
            </w:pPr>
            <w:r>
              <w:rPr>
                <w:b/>
              </w:rPr>
              <w:t xml:space="preserve">Reprint 5:  The </w:t>
            </w:r>
            <w:r>
              <w:rPr>
                <w:b/>
                <w:i/>
              </w:rPr>
              <w:t>Water Agencies (Charges) By</w:t>
            </w:r>
            <w:r>
              <w:rPr>
                <w:b/>
                <w:bCs/>
                <w:i/>
              </w:rPr>
              <w:noBreakHyphen/>
            </w:r>
            <w:r>
              <w:rPr>
                <w:b/>
                <w:i/>
              </w:rPr>
              <w:t>laws 1987</w:t>
            </w:r>
            <w:r>
              <w:rPr>
                <w:b/>
              </w:rPr>
              <w:t xml:space="preserve"> as at 5 Oct 2007 </w:t>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(No. 4) 2007</w:t>
            </w:r>
          </w:p>
        </w:tc>
        <w:tc>
          <w:tcPr>
            <w:tcW w:w="1276" w:type="dxa"/>
          </w:tcPr>
          <w:p>
            <w:pPr>
              <w:pStyle w:val="nTable"/>
              <w:spacing w:after="40"/>
            </w:pPr>
            <w:r>
              <w:t>21 Dec 2007 p. 6349</w:t>
            </w:r>
          </w:p>
        </w:tc>
        <w:tc>
          <w:tcPr>
            <w:tcW w:w="2693" w:type="dxa"/>
          </w:tcPr>
          <w:p>
            <w:pPr>
              <w:pStyle w:val="nTable"/>
              <w:spacing w:after="40"/>
            </w:pPr>
            <w:r>
              <w:t>bl. 1 and 2: 21 Dec 2007 (see bl. 2(a));</w:t>
            </w:r>
            <w:r>
              <w:br/>
              <w:t>By-laws other than bl. 1 and 2: 22 Dec 2007 (see bl. 2(b))</w:t>
            </w:r>
          </w:p>
        </w:tc>
      </w:tr>
      <w:tr>
        <w:trPr>
          <w:cantSplit/>
        </w:trPr>
        <w:tc>
          <w:tcPr>
            <w:tcW w:w="3118" w:type="dxa"/>
          </w:tcPr>
          <w:p>
            <w:pPr>
              <w:pStyle w:val="nTable"/>
              <w:spacing w:after="40"/>
              <w:ind w:right="113"/>
              <w:rPr>
                <w:i/>
              </w:rPr>
            </w:pPr>
            <w:r>
              <w:rPr>
                <w:i/>
              </w:rPr>
              <w:t>Water Agencies (Charges) Amendment By</w:t>
            </w:r>
            <w:r>
              <w:rPr>
                <w:i/>
              </w:rPr>
              <w:noBreakHyphen/>
              <w:t>laws 2008</w:t>
            </w:r>
          </w:p>
        </w:tc>
        <w:tc>
          <w:tcPr>
            <w:tcW w:w="1276" w:type="dxa"/>
          </w:tcPr>
          <w:p>
            <w:pPr>
              <w:pStyle w:val="nTable"/>
              <w:spacing w:after="40"/>
            </w:pPr>
            <w:r>
              <w:t>27 Jun 2008 p. 2981</w:t>
            </w:r>
            <w:r>
              <w:noBreakHyphen/>
              <w:t>3048</w:t>
            </w:r>
          </w:p>
        </w:tc>
        <w:tc>
          <w:tcPr>
            <w:tcW w:w="2693" w:type="dxa"/>
          </w:tcPr>
          <w:p>
            <w:pPr>
              <w:pStyle w:val="nTable"/>
              <w:spacing w:after="40"/>
            </w:pPr>
            <w:r>
              <w:t>bl. 1 and 2: 27 Jun 2008 (see bl. 2(a));</w:t>
            </w:r>
            <w:r>
              <w:br/>
              <w:t>By-laws other than bl. 1 and 2: 1 Jul 2008 (see bl. 2(b))</w:t>
            </w:r>
          </w:p>
        </w:tc>
      </w:tr>
      <w:tr>
        <w:trPr>
          <w:cantSplit/>
        </w:trPr>
        <w:tc>
          <w:tcPr>
            <w:tcW w:w="3118" w:type="dxa"/>
          </w:tcPr>
          <w:p>
            <w:pPr>
              <w:pStyle w:val="nTable"/>
              <w:spacing w:after="40"/>
              <w:ind w:right="113"/>
              <w:rPr>
                <w:i/>
              </w:rPr>
            </w:pPr>
            <w:r>
              <w:rPr>
                <w:i/>
              </w:rPr>
              <w:t>Water Agencies (Charges) Amendment By</w:t>
            </w:r>
            <w:r>
              <w:rPr>
                <w:i/>
              </w:rPr>
              <w:noBreakHyphen/>
              <w:t>laws 2009</w:t>
            </w:r>
          </w:p>
        </w:tc>
        <w:tc>
          <w:tcPr>
            <w:tcW w:w="1276" w:type="dxa"/>
          </w:tcPr>
          <w:p>
            <w:pPr>
              <w:pStyle w:val="nTable"/>
              <w:spacing w:after="40"/>
            </w:pPr>
            <w:r>
              <w:t>19 Jun 2009 p. 2319-92</w:t>
            </w:r>
          </w:p>
        </w:tc>
        <w:tc>
          <w:tcPr>
            <w:tcW w:w="2693" w:type="dxa"/>
          </w:tcPr>
          <w:p>
            <w:pPr>
              <w:pStyle w:val="nTable"/>
              <w:spacing w:after="40"/>
            </w:pPr>
            <w:r>
              <w:t>bl. 1 and 2: 19 Jun 2009 (see bl. 2(a));</w:t>
            </w:r>
            <w:r>
              <w:br/>
              <w:t>By-laws other than bl. 1 and 2: 1 Jul 2009 (see bl. 2(b))</w:t>
            </w:r>
          </w:p>
        </w:tc>
      </w:tr>
      <w:tr>
        <w:trPr>
          <w:cantSplit/>
        </w:trPr>
        <w:tc>
          <w:tcPr>
            <w:tcW w:w="7087" w:type="dxa"/>
            <w:gridSpan w:val="3"/>
          </w:tcPr>
          <w:p>
            <w:pPr>
              <w:pStyle w:val="nTable"/>
              <w:spacing w:after="40"/>
            </w:pPr>
            <w:r>
              <w:rPr>
                <w:b/>
              </w:rPr>
              <w:t xml:space="preserve">Reprint 6:  The </w:t>
            </w:r>
            <w:r>
              <w:rPr>
                <w:b/>
                <w:i/>
              </w:rPr>
              <w:t>Water Agencies (Charges) By</w:t>
            </w:r>
            <w:r>
              <w:rPr>
                <w:b/>
                <w:bCs/>
                <w:i/>
              </w:rPr>
              <w:noBreakHyphen/>
            </w:r>
            <w:r>
              <w:rPr>
                <w:b/>
                <w:i/>
              </w:rPr>
              <w:t>laws 1987</w:t>
            </w:r>
            <w:r>
              <w:rPr>
                <w:b/>
              </w:rPr>
              <w:t xml:space="preserve"> as at 7 Aug 2009 </w:t>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2010</w:t>
            </w:r>
          </w:p>
        </w:tc>
        <w:tc>
          <w:tcPr>
            <w:tcW w:w="1276" w:type="dxa"/>
          </w:tcPr>
          <w:p>
            <w:pPr>
              <w:pStyle w:val="nTable"/>
              <w:spacing w:after="40"/>
            </w:pPr>
            <w:r>
              <w:t>25 Jun 2010 p. 2901</w:t>
            </w:r>
            <w:r>
              <w:noBreakHyphen/>
              <w:t>81</w:t>
            </w:r>
          </w:p>
        </w:tc>
        <w:tc>
          <w:tcPr>
            <w:tcW w:w="2693" w:type="dxa"/>
          </w:tcPr>
          <w:p>
            <w:pPr>
              <w:pStyle w:val="nTable"/>
              <w:spacing w:after="40"/>
            </w:pPr>
            <w:r>
              <w:t>bl. 1 and 2: 25 Jun 2010 (see bl. 2(a));</w:t>
            </w:r>
            <w:r>
              <w:br/>
              <w:t>By-laws other than bl. 1 and 2: 1 Jul 2010 (see bl. 2(b))</w:t>
            </w:r>
          </w:p>
        </w:tc>
      </w:tr>
      <w:tr>
        <w:trPr>
          <w:cantSplit/>
        </w:trPr>
        <w:tc>
          <w:tcPr>
            <w:tcW w:w="3118" w:type="dxa"/>
          </w:tcPr>
          <w:p>
            <w:pPr>
              <w:pStyle w:val="nTable"/>
              <w:spacing w:after="40"/>
              <w:ind w:right="113"/>
              <w:rPr>
                <w:i/>
              </w:rPr>
            </w:pPr>
            <w:r>
              <w:rPr>
                <w:i/>
              </w:rPr>
              <w:t>Water Agencies (Charges) Amendment By</w:t>
            </w:r>
            <w:r>
              <w:rPr>
                <w:i/>
              </w:rPr>
              <w:noBreakHyphen/>
              <w:t>laws (No. 2) 2010</w:t>
            </w:r>
          </w:p>
        </w:tc>
        <w:tc>
          <w:tcPr>
            <w:tcW w:w="1276" w:type="dxa"/>
          </w:tcPr>
          <w:p>
            <w:pPr>
              <w:pStyle w:val="nTable"/>
              <w:spacing w:after="40"/>
            </w:pPr>
            <w:r>
              <w:t>10 Sep 2010 p. 4350-1</w:t>
            </w:r>
          </w:p>
        </w:tc>
        <w:tc>
          <w:tcPr>
            <w:tcW w:w="2693" w:type="dxa"/>
          </w:tcPr>
          <w:p>
            <w:pPr>
              <w:pStyle w:val="nTable"/>
              <w:spacing w:after="40"/>
            </w:pPr>
            <w:r>
              <w:t>bl. 1 and 2: 10 Sep 2010 (see bl. 2(a));</w:t>
            </w:r>
            <w:r>
              <w:br/>
              <w:t>By-laws other than bl. 1 and 2: 11 Sep 2010 (see bl. 2(b))</w:t>
            </w:r>
          </w:p>
        </w:tc>
      </w:tr>
      <w:tr>
        <w:trPr>
          <w:cantSplit/>
        </w:trPr>
        <w:tc>
          <w:tcPr>
            <w:tcW w:w="3118" w:type="dxa"/>
          </w:tcPr>
          <w:p>
            <w:pPr>
              <w:pStyle w:val="nTable"/>
              <w:spacing w:after="40"/>
              <w:ind w:right="113"/>
              <w:rPr>
                <w:i/>
              </w:rPr>
            </w:pPr>
            <w:r>
              <w:rPr>
                <w:i/>
              </w:rPr>
              <w:t>Water Agencies (Charges) Amendment By</w:t>
            </w:r>
            <w:r>
              <w:rPr>
                <w:i/>
              </w:rPr>
              <w:noBreakHyphen/>
              <w:t>laws 2011</w:t>
            </w:r>
          </w:p>
        </w:tc>
        <w:tc>
          <w:tcPr>
            <w:tcW w:w="1276" w:type="dxa"/>
          </w:tcPr>
          <w:p>
            <w:pPr>
              <w:pStyle w:val="nTable"/>
              <w:spacing w:after="40"/>
            </w:pPr>
            <w:r>
              <w:t>23 Jun 2011 p. 2417-93</w:t>
            </w:r>
          </w:p>
        </w:tc>
        <w:tc>
          <w:tcPr>
            <w:tcW w:w="2693" w:type="dxa"/>
          </w:tcPr>
          <w:p>
            <w:pPr>
              <w:pStyle w:val="nTable"/>
              <w:spacing w:after="40"/>
            </w:pPr>
            <w:r>
              <w:t>bl. 1 and 2: 23 Jun 2011 (see bl. 2(a));</w:t>
            </w:r>
            <w:r>
              <w:br/>
              <w:t>By-laws other than bl. 1 and 2: 1 Jul 2011 (see bl. 2(b))</w:t>
            </w:r>
          </w:p>
        </w:tc>
      </w:tr>
      <w:tr>
        <w:trPr>
          <w:cantSplit/>
        </w:trPr>
        <w:tc>
          <w:tcPr>
            <w:tcW w:w="3118" w:type="dxa"/>
          </w:tcPr>
          <w:p>
            <w:pPr>
              <w:pStyle w:val="nTable"/>
              <w:spacing w:after="40"/>
              <w:ind w:right="113"/>
              <w:rPr>
                <w:i/>
              </w:rPr>
            </w:pPr>
            <w:r>
              <w:rPr>
                <w:i/>
              </w:rPr>
              <w:t>Water Agencies (Charges) Amendment By</w:t>
            </w:r>
            <w:r>
              <w:rPr>
                <w:i/>
              </w:rPr>
              <w:noBreakHyphen/>
              <w:t>laws 2012</w:t>
            </w:r>
          </w:p>
        </w:tc>
        <w:tc>
          <w:tcPr>
            <w:tcW w:w="1276" w:type="dxa"/>
          </w:tcPr>
          <w:p>
            <w:pPr>
              <w:pStyle w:val="nTable"/>
              <w:spacing w:after="40"/>
            </w:pPr>
            <w:r>
              <w:t>20 Jun 2012 p. 2693</w:t>
            </w:r>
            <w:r>
              <w:noBreakHyphen/>
              <w:t>774</w:t>
            </w:r>
          </w:p>
        </w:tc>
        <w:tc>
          <w:tcPr>
            <w:tcW w:w="2693" w:type="dxa"/>
          </w:tcPr>
          <w:p>
            <w:pPr>
              <w:pStyle w:val="nTable"/>
              <w:spacing w:after="40"/>
            </w:pPr>
            <w:r>
              <w:t>bl. 1 and 2: 20 Jun 2012 (see bl. 2(a));</w:t>
            </w:r>
            <w:r>
              <w:br/>
              <w:t>By-laws other than bl. 1 and 2: 1 Jul 2012 (see bl. 2(b))</w:t>
            </w:r>
          </w:p>
        </w:tc>
      </w:tr>
      <w:tr>
        <w:trPr>
          <w:cantSplit/>
        </w:trPr>
        <w:tc>
          <w:tcPr>
            <w:tcW w:w="3118" w:type="dxa"/>
          </w:tcPr>
          <w:p>
            <w:pPr>
              <w:pStyle w:val="nTable"/>
              <w:spacing w:after="40"/>
              <w:ind w:right="113"/>
              <w:rPr>
                <w:i/>
              </w:rPr>
            </w:pPr>
            <w:r>
              <w:rPr>
                <w:i/>
              </w:rPr>
              <w:t>Water Agencies (Charges) Amendment By</w:t>
            </w:r>
            <w:r>
              <w:rPr>
                <w:i/>
              </w:rPr>
              <w:noBreakHyphen/>
              <w:t>laws 2013</w:t>
            </w:r>
          </w:p>
        </w:tc>
        <w:tc>
          <w:tcPr>
            <w:tcW w:w="1276" w:type="dxa"/>
          </w:tcPr>
          <w:p>
            <w:pPr>
              <w:pStyle w:val="nTable"/>
              <w:spacing w:after="40"/>
            </w:pPr>
            <w:r>
              <w:t>19 Jun 2013 p. 2347-422</w:t>
            </w:r>
          </w:p>
        </w:tc>
        <w:tc>
          <w:tcPr>
            <w:tcW w:w="2693" w:type="dxa"/>
          </w:tcPr>
          <w:p>
            <w:pPr>
              <w:pStyle w:val="nTable"/>
              <w:spacing w:after="40"/>
              <w:rPr>
                <w:b/>
                <w:snapToGrid w:val="0"/>
                <w:spacing w:val="-2"/>
              </w:rPr>
            </w:pPr>
            <w:r>
              <w:t>bl. 1 and 2: 19 Jun 2013 (see bl. 2(a));</w:t>
            </w:r>
            <w:r>
              <w:br/>
              <w:t>By-laws other than bl. 1 and 2: 1 Jul 2013 (see bl. 2(b))</w:t>
            </w:r>
          </w:p>
        </w:tc>
      </w:tr>
      <w:tr>
        <w:trPr>
          <w:cantSplit/>
        </w:trPr>
        <w:tc>
          <w:tcPr>
            <w:tcW w:w="3118" w:type="dxa"/>
            <w:shd w:val="clear" w:color="auto" w:fill="auto"/>
          </w:tcPr>
          <w:p>
            <w:pPr>
              <w:pStyle w:val="nTable"/>
              <w:spacing w:after="40"/>
              <w:ind w:right="113"/>
              <w:rPr>
                <w:i/>
              </w:rPr>
            </w:pPr>
            <w:r>
              <w:rPr>
                <w:i/>
              </w:rPr>
              <w:t>Water Agencies (Charges) Amendment By laws (No. 2) 2013</w:t>
            </w:r>
          </w:p>
        </w:tc>
        <w:tc>
          <w:tcPr>
            <w:tcW w:w="1276" w:type="dxa"/>
            <w:shd w:val="clear" w:color="auto" w:fill="auto"/>
          </w:tcPr>
          <w:p>
            <w:pPr>
              <w:pStyle w:val="nTable"/>
              <w:spacing w:after="40"/>
            </w:pPr>
            <w:r>
              <w:t>14 Nov 2013 p. 5081-95</w:t>
            </w:r>
          </w:p>
        </w:tc>
        <w:tc>
          <w:tcPr>
            <w:tcW w:w="2693" w:type="dxa"/>
            <w:shd w:val="clear" w:color="auto" w:fill="auto"/>
          </w:tcPr>
          <w:p>
            <w:pPr>
              <w:pStyle w:val="nTable"/>
              <w:spacing w:after="40"/>
            </w:pPr>
            <w:r>
              <w:t>bl. 1 and 2: 14 Nov 2013 (see bl. 2(a));</w:t>
            </w:r>
            <w:r>
              <w:br/>
              <w:t xml:space="preserve">By-laws other than bl. 1 and 2: 18 Nov 2013 (see bl. 2(b) and </w:t>
            </w:r>
            <w:r>
              <w:rPr>
                <w:i/>
              </w:rPr>
              <w:t>Gazette</w:t>
            </w:r>
            <w:r>
              <w:t xml:space="preserve"> 14 Nov 2013 p. 5027)</w:t>
            </w:r>
          </w:p>
        </w:tc>
      </w:tr>
      <w:tr>
        <w:trPr>
          <w:cantSplit/>
        </w:trPr>
        <w:tc>
          <w:tcPr>
            <w:tcW w:w="3118" w:type="dxa"/>
            <w:shd w:val="clear" w:color="auto" w:fill="auto"/>
          </w:tcPr>
          <w:p>
            <w:pPr>
              <w:pStyle w:val="nTable"/>
              <w:spacing w:after="40"/>
              <w:ind w:right="113"/>
              <w:rPr>
                <w:i/>
              </w:rPr>
            </w:pPr>
            <w:r>
              <w:rPr>
                <w:i/>
              </w:rPr>
              <w:t>Electricity Corporations (Consequential Amendments) Regulations 2013</w:t>
            </w:r>
            <w:r>
              <w:t xml:space="preserve"> r. 17</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pPr>
            <w:r>
              <w:t xml:space="preserve">1 Jan 2014 (see r. 2(c) and </w:t>
            </w:r>
            <w:r>
              <w:rPr>
                <w:i/>
              </w:rPr>
              <w:t>Gazette</w:t>
            </w:r>
            <w:r>
              <w:t xml:space="preserve"> 27 Dec 2013 p. 6465)</w:t>
            </w:r>
          </w:p>
        </w:tc>
      </w:tr>
      <w:tr>
        <w:trPr>
          <w:cantSplit/>
        </w:trPr>
        <w:tc>
          <w:tcPr>
            <w:tcW w:w="7087" w:type="dxa"/>
            <w:gridSpan w:val="3"/>
            <w:shd w:val="clear" w:color="auto" w:fill="auto"/>
          </w:tcPr>
          <w:p>
            <w:pPr>
              <w:pStyle w:val="nTable"/>
              <w:spacing w:after="40"/>
            </w:pPr>
            <w:r>
              <w:rPr>
                <w:b/>
              </w:rPr>
              <w:t xml:space="preserve">Reprint 7:  The </w:t>
            </w:r>
            <w:r>
              <w:rPr>
                <w:b/>
                <w:i/>
              </w:rPr>
              <w:t>Water Agencies (Charges) By</w:t>
            </w:r>
            <w:r>
              <w:rPr>
                <w:b/>
                <w:bCs/>
                <w:i/>
              </w:rPr>
              <w:noBreakHyphen/>
            </w:r>
            <w:r>
              <w:rPr>
                <w:b/>
                <w:i/>
              </w:rPr>
              <w:t>laws 1987</w:t>
            </w:r>
            <w:r>
              <w:rPr>
                <w:b/>
              </w:rPr>
              <w:t xml:space="preserve"> as at 14 Feb 2014 </w:t>
            </w:r>
            <w:r>
              <w:t>(includes amendments listed above)</w:t>
            </w:r>
          </w:p>
        </w:tc>
      </w:tr>
      <w:tr>
        <w:trPr>
          <w:cantSplit/>
        </w:trPr>
        <w:tc>
          <w:tcPr>
            <w:tcW w:w="7087" w:type="dxa"/>
            <w:gridSpan w:val="3"/>
            <w:tcBorders>
              <w:bottom w:val="single" w:sz="8" w:space="0" w:color="auto"/>
            </w:tcBorders>
            <w:shd w:val="clear" w:color="auto" w:fill="auto"/>
          </w:tcPr>
          <w:p>
            <w:pPr>
              <w:pStyle w:val="nTable"/>
              <w:spacing w:after="40"/>
              <w:rPr>
                <w:b/>
              </w:rPr>
            </w:pPr>
            <w:r>
              <w:rPr>
                <w:b/>
                <w:color w:val="FF0000"/>
              </w:rPr>
              <w:t xml:space="preserve">These by-laws were repealed by the </w:t>
            </w:r>
            <w:r>
              <w:rPr>
                <w:b/>
                <w:i/>
                <w:iCs/>
                <w:color w:val="FF0000"/>
              </w:rPr>
              <w:t xml:space="preserve">Water Services Legislation Amendment and Repeal Act 2012 </w:t>
            </w:r>
            <w:r>
              <w:rPr>
                <w:b/>
                <w:color w:val="FF0000"/>
              </w:rPr>
              <w:t xml:space="preserve">s. 202(b) (No. 25 of 2012) as at 1 Jul 2014 (see s. 2(b) and </w:t>
            </w:r>
            <w:r>
              <w:rPr>
                <w:b/>
                <w:i/>
                <w:color w:val="FF0000"/>
              </w:rPr>
              <w:t>Gazette</w:t>
            </w:r>
            <w:r>
              <w:rPr>
                <w:b/>
                <w:color w:val="FF0000"/>
              </w:rPr>
              <w:t xml:space="preserve"> 14 Nov 2013 p. 5028)</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Water Services Legislation Amendment and Repeal Act 2012</w:t>
      </w:r>
      <w:r>
        <w:rPr>
          <w:snapToGrid w:val="0"/>
        </w:rPr>
        <w:t>.</w:t>
      </w:r>
    </w:p>
    <w:p>
      <w:pPr>
        <w:pStyle w:val="nSubsection"/>
        <w:rPr>
          <w:snapToGrid w:val="0"/>
        </w:rPr>
      </w:pPr>
      <w:r>
        <w:rPr>
          <w:snapToGrid w:val="0"/>
          <w:vertAlign w:val="superscript"/>
        </w:rPr>
        <w:t>3</w:t>
      </w:r>
      <w:r>
        <w:rPr>
          <w:snapToGrid w:val="0"/>
        </w:rPr>
        <w:tab/>
        <w:t>Commenced on 18 Nov 2013.</w:t>
      </w:r>
    </w:p>
    <w:p>
      <w:pPr>
        <w:pStyle w:val="nSubsection"/>
        <w:rPr>
          <w:snapToGrid w:val="0"/>
        </w:rPr>
      </w:pPr>
      <w:r>
        <w:rPr>
          <w:snapToGrid w:val="0"/>
          <w:vertAlign w:val="superscript"/>
        </w:rPr>
        <w:t>4</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5</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snapToGrid w:val="0"/>
        </w:rPr>
      </w:pPr>
      <w:r>
        <w:rPr>
          <w:snapToGrid w:val="0"/>
          <w:vertAlign w:val="superscript"/>
        </w:rPr>
        <w:t>6</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7</w:t>
      </w:r>
      <w:r>
        <w:rPr>
          <w:snapToGrid w:val="0"/>
        </w:rPr>
        <w:tab/>
        <w:t xml:space="preserve">Repealed by 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Act 1992</w:t>
      </w:r>
      <w:r>
        <w:rPr>
          <w:snapToGrid w:val="0"/>
        </w:rPr>
        <w:t>.</w:t>
      </w:r>
    </w:p>
    <w:p>
      <w:pPr>
        <w:pStyle w:val="nSubsection"/>
        <w:rPr>
          <w:snapToGrid w:val="0"/>
        </w:rPr>
      </w:pPr>
      <w:r>
        <w:rPr>
          <w:snapToGrid w:val="0"/>
          <w:vertAlign w:val="superscript"/>
        </w:rPr>
        <w:t>8</w:t>
      </w:r>
      <w:r>
        <w:rPr>
          <w:snapToGrid w:val="0"/>
        </w:rPr>
        <w:tab/>
        <w:t>Now the Public Transport Authority of Western Australia.</w:t>
      </w:r>
    </w:p>
    <w:p>
      <w:pPr>
        <w:pStyle w:val="nSubsection"/>
        <w:rPr>
          <w:snapToGrid w:val="0"/>
        </w:rPr>
      </w:pPr>
      <w:r>
        <w:rPr>
          <w:snapToGrid w:val="0"/>
          <w:vertAlign w:val="superscript"/>
        </w:rPr>
        <w:t>9</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10</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11</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12</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13</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rPr>
          <w:snapToGrid w:val="0"/>
        </w:rPr>
      </w:pPr>
      <w:r>
        <w:rPr>
          <w:snapToGrid w:val="0"/>
          <w:vertAlign w:val="superscript"/>
        </w:rPr>
        <w:t>14</w:t>
      </w:r>
      <w:r>
        <w:rPr>
          <w:snapToGrid w:val="0"/>
        </w:rPr>
        <w:tab/>
        <w:t xml:space="preserve">Repealed by the </w:t>
      </w:r>
      <w:r>
        <w:rPr>
          <w:i/>
          <w:color w:val="000000"/>
        </w:rPr>
        <w:t>Racing and Gambling Legislation Amendment and Repeal Act 2003</w:t>
      </w:r>
      <w:r>
        <w:rPr>
          <w:snapToGrid w:val="0"/>
        </w:rPr>
        <w:t>.</w:t>
      </w:r>
    </w:p>
    <w:p>
      <w:pPr>
        <w:pStyle w:val="nSubsection"/>
        <w:spacing w:before="60"/>
        <w:rPr>
          <w:snapToGrid w:val="0"/>
        </w:rPr>
      </w:pPr>
      <w:r>
        <w:rPr>
          <w:snapToGrid w:val="0"/>
          <w:vertAlign w:val="superscript"/>
        </w:rPr>
        <w:t>15</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17</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18</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19</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21</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22</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23</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24</w:t>
      </w:r>
      <w:r>
        <w:tab/>
        <w:t xml:space="preserve">The </w:t>
      </w:r>
      <w:r>
        <w:rPr>
          <w:i/>
        </w:rPr>
        <w:t>Water Agencies (Charges) Amendment By</w:t>
      </w:r>
      <w:r>
        <w:rPr>
          <w:i/>
        </w:rPr>
        <w:noBreakHyphen/>
        <w:t xml:space="preserve">laws 2002 </w:t>
      </w:r>
      <w:r>
        <w:t>bl. 3 reads as follows:</w:t>
      </w:r>
    </w:p>
    <w:p>
      <w:pPr>
        <w:pStyle w:val="BlankOpen"/>
      </w:pP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BlankClose"/>
        <w:rPr>
          <w:snapToGrid w:val="0"/>
        </w:rPr>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&gt;</w:t>
      </w:r>
      <w:r>
        <w:tab/>
        <w:t>2(3)</w:t>
      </w:r>
    </w:p>
    <w:p>
      <w:pPr>
        <w:pStyle w:val="DefinedTerms"/>
      </w:pPr>
      <w:r>
        <w:t>≤</w:t>
      </w:r>
      <w:r>
        <w:tab/>
        <w:t>2(3)</w:t>
      </w:r>
    </w:p>
    <w:p>
      <w:pPr>
        <w:pStyle w:val="DefinedTerms"/>
      </w:pPr>
      <w:r>
        <w:t>aged home</w:t>
      </w:r>
      <w:r>
        <w:tab/>
        <w:t>2(1)</w:t>
      </w:r>
    </w:p>
    <w:p>
      <w:pPr>
        <w:pStyle w:val="DefinedTerms"/>
      </w:pPr>
      <w:r>
        <w:t>annual charge</w:t>
      </w:r>
      <w:r>
        <w:tab/>
        <w:t>7(1)</w:t>
      </w:r>
    </w:p>
    <w:p>
      <w:pPr>
        <w:pStyle w:val="DefinedTerms"/>
      </w:pPr>
      <w:r>
        <w:t>approval of the Corporation</w:t>
      </w:r>
      <w:r>
        <w:tab/>
        <w:t>2(1)</w:t>
      </w:r>
    </w:p>
    <w:p>
      <w:pPr>
        <w:pStyle w:val="DefinedTerms"/>
      </w:pPr>
      <w:r>
        <w:t>approved meter</w:t>
      </w:r>
      <w:r>
        <w:tab/>
        <w:t>7A(1)</w:t>
      </w:r>
    </w:p>
    <w:p>
      <w:pPr>
        <w:pStyle w:val="DefinedTerms"/>
      </w:pPr>
      <w:r>
        <w:t>caravan bay</w:t>
      </w:r>
      <w:r>
        <w:tab/>
        <w:t>2(1)</w:t>
      </w:r>
    </w:p>
    <w:p>
      <w:pPr>
        <w:pStyle w:val="DefinedTerms"/>
      </w:pPr>
      <w:r>
        <w:t>charitable purposes</w:t>
      </w:r>
      <w:r>
        <w:tab/>
        <w:t>4(3)</w:t>
      </w:r>
    </w:p>
    <w:p>
      <w:pPr>
        <w:pStyle w:val="DefinedTerms"/>
      </w:pPr>
      <w:r>
        <w:t>consumption year</w:t>
      </w:r>
      <w:r>
        <w:tab/>
        <w:t>2(1)</w:t>
      </w:r>
    </w:p>
    <w:p>
      <w:pPr>
        <w:pStyle w:val="DefinedTerms"/>
      </w:pPr>
      <w:r>
        <w:t>Corporation</w:t>
      </w:r>
      <w:r>
        <w:tab/>
        <w:t>2(1)</w:t>
      </w:r>
    </w:p>
    <w:p>
      <w:pPr>
        <w:pStyle w:val="DefinedTerms"/>
      </w:pPr>
      <w:r>
        <w:t>country non</w:t>
      </w:r>
      <w:r>
        <w:noBreakHyphen/>
        <w:t>residential or commercial residential property</w:t>
      </w:r>
      <w:r>
        <w:tab/>
        <w:t>21A</w:t>
      </w:r>
    </w:p>
    <w:p>
      <w:pPr>
        <w:pStyle w:val="DefinedTerms"/>
      </w:pPr>
      <w:r>
        <w:t>country sewerage area</w:t>
      </w:r>
      <w:r>
        <w:tab/>
        <w:t>2(1)</w:t>
      </w:r>
    </w:p>
    <w:p>
      <w:pPr>
        <w:pStyle w:val="DefinedTerms"/>
      </w:pPr>
      <w:r>
        <w:t>current year</w:t>
      </w:r>
      <w:r>
        <w:tab/>
        <w:t>2(1)</w:t>
      </w:r>
    </w:p>
    <w:p>
      <w:pPr>
        <w:pStyle w:val="DefinedTerms"/>
      </w:pPr>
      <w:r>
        <w:t>development</w:t>
      </w:r>
      <w:r>
        <w:tab/>
        <w:t>28(3)</w:t>
      </w:r>
    </w:p>
    <w:p>
      <w:pPr>
        <w:pStyle w:val="DefinedTerms"/>
      </w:pPr>
      <w:r>
        <w:t>discharge charge</w:t>
      </w:r>
      <w:r>
        <w:tab/>
        <w:t>2(1)</w:t>
      </w:r>
    </w:p>
    <w:p>
      <w:pPr>
        <w:pStyle w:val="DefinedTerms"/>
      </w:pPr>
      <w:r>
        <w:t>discharge factor</w:t>
      </w:r>
      <w:r>
        <w:tab/>
        <w:t>2(1)</w:t>
      </w:r>
    </w:p>
    <w:p>
      <w:pPr>
        <w:pStyle w:val="DefinedTerms"/>
      </w:pPr>
      <w:r>
        <w:t>discharge period</w:t>
      </w:r>
      <w:r>
        <w:tab/>
        <w:t>2(1)</w:t>
      </w:r>
    </w:p>
    <w:p>
      <w:pPr>
        <w:pStyle w:val="DefinedTerms"/>
      </w:pPr>
      <w:r>
        <w:t>discharge volume</w:t>
      </w:r>
      <w:r>
        <w:tab/>
        <w:t>2(1)</w:t>
      </w:r>
    </w:p>
    <w:p>
      <w:pPr>
        <w:pStyle w:val="DefinedTerms"/>
      </w:pPr>
      <w:r>
        <w:t>drainage area</w:t>
      </w:r>
      <w:r>
        <w:tab/>
        <w:t>2(1)</w:t>
      </w:r>
    </w:p>
    <w:p>
      <w:pPr>
        <w:pStyle w:val="DefinedTerms"/>
      </w:pPr>
      <w:r>
        <w:t>eligible pensioner</w:t>
      </w:r>
      <w:r>
        <w:tab/>
        <w:t>18(1), 18A(1), 18B(1)</w:t>
      </w:r>
    </w:p>
    <w:p>
      <w:pPr>
        <w:pStyle w:val="DefinedTerms"/>
      </w:pPr>
      <w:r>
        <w:t>exempt land</w:t>
      </w:r>
      <w:r>
        <w:tab/>
        <w:t>5A(1)</w:t>
      </w:r>
    </w:p>
    <w:p>
      <w:pPr>
        <w:pStyle w:val="DefinedTerms"/>
      </w:pPr>
      <w:r>
        <w:t>formula</w:t>
      </w:r>
      <w:r>
        <w:tab/>
        <w:t>21A</w:t>
      </w:r>
    </w:p>
    <w:p>
      <w:pPr>
        <w:pStyle w:val="DefinedTerms"/>
      </w:pPr>
      <w:r>
        <w:t>garden purposes</w:t>
      </w:r>
      <w:r>
        <w:tab/>
        <w:t>2(1)</w:t>
      </w:r>
    </w:p>
    <w:p>
      <w:pPr>
        <w:pStyle w:val="DefinedTerms"/>
      </w:pPr>
      <w:r>
        <w:t>Government trading organisation</w:t>
      </w:r>
      <w:r>
        <w:tab/>
        <w:t>2(1)</w:t>
      </w:r>
    </w:p>
    <w:p>
      <w:pPr>
        <w:pStyle w:val="DefinedTerms"/>
      </w:pPr>
      <w:r>
        <w:t>GRV</w:t>
      </w:r>
      <w:r>
        <w:tab/>
        <w:t>2(1)</w:t>
      </w:r>
    </w:p>
    <w:p>
      <w:pPr>
        <w:pStyle w:val="DefinedTerms"/>
      </w:pPr>
      <w:r>
        <w:t>holiday accommodation</w:t>
      </w:r>
      <w:r>
        <w:tab/>
        <w:t>2(1)</w:t>
      </w:r>
    </w:p>
    <w:p>
      <w:pPr>
        <w:pStyle w:val="DefinedTerms"/>
      </w:pPr>
      <w:r>
        <w:t>irrigation district</w:t>
      </w:r>
      <w:r>
        <w:tab/>
        <w:t>2(1)</w:t>
      </w:r>
    </w:p>
    <w:p>
      <w:pPr>
        <w:pStyle w:val="DefinedTerms"/>
      </w:pPr>
      <w:r>
        <w:t>irrigation works</w:t>
      </w:r>
      <w:r>
        <w:tab/>
        <w:t>2(1)</w:t>
      </w:r>
    </w:p>
    <w:p>
      <w:pPr>
        <w:pStyle w:val="DefinedTerms"/>
      </w:pPr>
      <w:r>
        <w:t>land</w:t>
      </w:r>
      <w:r>
        <w:tab/>
        <w:t>19A(1)</w:t>
      </w:r>
    </w:p>
    <w:p>
      <w:pPr>
        <w:pStyle w:val="DefinedTerms"/>
      </w:pPr>
      <w:r>
        <w:t>long term residential caravan bay</w:t>
      </w:r>
      <w:r>
        <w:tab/>
        <w:t>2(1)</w:t>
      </w:r>
    </w:p>
    <w:p>
      <w:pPr>
        <w:pStyle w:val="DefinedTerms"/>
      </w:pPr>
      <w:r>
        <w:t>lot</w:t>
      </w:r>
      <w:r>
        <w:tab/>
        <w:t>28(3)</w:t>
      </w:r>
    </w:p>
    <w:p>
      <w:pPr>
        <w:pStyle w:val="DefinedTerms"/>
      </w:pPr>
      <w:r>
        <w:t>major fixture</w:t>
      </w:r>
      <w:r>
        <w:tab/>
        <w:t>2(1)</w:t>
      </w:r>
    </w:p>
    <w:p>
      <w:pPr>
        <w:pStyle w:val="DefinedTerms"/>
      </w:pPr>
      <w:r>
        <w:t>metropolitan area</w:t>
      </w:r>
      <w:r>
        <w:tab/>
        <w:t>2(1)</w:t>
      </w:r>
    </w:p>
    <w:p>
      <w:pPr>
        <w:pStyle w:val="DefinedTerms"/>
      </w:pPr>
      <w:r>
        <w:t>metropolitan non</w:t>
      </w:r>
      <w:r>
        <w:noBreakHyphen/>
        <w:t>residential property</w:t>
      </w:r>
      <w:r>
        <w:tab/>
        <w:t>21A</w:t>
      </w:r>
    </w:p>
    <w:p>
      <w:pPr>
        <w:pStyle w:val="DefinedTerms"/>
      </w:pPr>
      <w:r>
        <w:t>non</w:t>
      </w:r>
      <w:r>
        <w:noBreakHyphen/>
        <w:t>commercial Government property</w:t>
      </w:r>
      <w:r>
        <w:tab/>
        <w:t>2(1)</w:t>
      </w:r>
    </w:p>
    <w:p>
      <w:pPr>
        <w:pStyle w:val="DefinedTerms"/>
      </w:pPr>
      <w:r>
        <w:t>part year</w:t>
      </w:r>
      <w:r>
        <w:tab/>
        <w:t>9B(3)</w:t>
      </w:r>
    </w:p>
    <w:p>
      <w:pPr>
        <w:pStyle w:val="DefinedTerms"/>
      </w:pPr>
      <w:r>
        <w:t>previous year</w:t>
      </w:r>
      <w:r>
        <w:tab/>
        <w:t>2(1)</w:t>
      </w:r>
    </w:p>
    <w:p>
      <w:pPr>
        <w:pStyle w:val="DefinedTerms"/>
      </w:pPr>
      <w:r>
        <w:t>quantity charge</w:t>
      </w:r>
      <w:r>
        <w:tab/>
        <w:t>2(1)</w:t>
      </w:r>
    </w:p>
    <w:p>
      <w:pPr>
        <w:pStyle w:val="DefinedTerms"/>
      </w:pPr>
      <w:r>
        <w:t>registered</w:t>
      </w:r>
      <w:r>
        <w:tab/>
        <w:t>18B(1)</w:t>
      </w:r>
    </w:p>
    <w:p>
      <w:pPr>
        <w:pStyle w:val="DefinedTerms"/>
      </w:pPr>
      <w:r>
        <w:t>residence</w:t>
      </w:r>
      <w:r>
        <w:tab/>
        <w:t>2(1)</w:t>
      </w:r>
    </w:p>
    <w:p>
      <w:pPr>
        <w:pStyle w:val="DefinedTerms"/>
      </w:pPr>
      <w:r>
        <w:t>residential property</w:t>
      </w:r>
      <w:r>
        <w:tab/>
        <w:t>2(1)</w:t>
      </w:r>
    </w:p>
    <w:p>
      <w:pPr>
        <w:pStyle w:val="DefinedTerms"/>
      </w:pPr>
      <w:r>
        <w:t>retirement village</w:t>
      </w:r>
      <w:r>
        <w:tab/>
        <w:t>8A(3)</w:t>
      </w:r>
    </w:p>
    <w:p>
      <w:pPr>
        <w:pStyle w:val="DefinedTerms"/>
      </w:pPr>
      <w:r>
        <w:t>rural land</w:t>
      </w:r>
      <w:r>
        <w:tab/>
        <w:t>28(3)</w:t>
      </w:r>
    </w:p>
    <w:p>
      <w:pPr>
        <w:pStyle w:val="DefinedTerms"/>
      </w:pPr>
      <w:r>
        <w:t>single capital infrastructure charge</w:t>
      </w:r>
      <w:r>
        <w:tab/>
        <w:t>2(1)</w:t>
      </w:r>
    </w:p>
    <w:p>
      <w:pPr>
        <w:pStyle w:val="DefinedTerms"/>
      </w:pPr>
      <w:r>
        <w:t>site</w:t>
      </w:r>
      <w:r>
        <w:tab/>
        <w:t>2(1)</w:t>
      </w:r>
    </w:p>
    <w:p>
      <w:pPr>
        <w:pStyle w:val="DefinedTerms"/>
      </w:pPr>
      <w:r>
        <w:t>Table</w:t>
      </w:r>
      <w:r>
        <w:tab/>
        <w:t>21A</w:t>
      </w:r>
    </w:p>
    <w:p>
      <w:pPr>
        <w:pStyle w:val="DefinedTerms"/>
      </w:pPr>
      <w:r>
        <w:t>trade waste</w:t>
      </w:r>
      <w:r>
        <w:tab/>
        <w:t>2(1)</w:t>
      </w:r>
    </w:p>
    <w:p>
      <w:pPr>
        <w:pStyle w:val="DefinedTerms"/>
      </w:pPr>
      <w:r>
        <w:t>trade waste charge</w:t>
      </w:r>
      <w:r>
        <w:tab/>
        <w:t>7(1)</w:t>
      </w:r>
    </w:p>
    <w:p>
      <w:pPr>
        <w:pStyle w:val="DefinedTerms"/>
      </w:pPr>
      <w:r>
        <w:t>wastewater</w:t>
      </w:r>
      <w:r>
        <w:tab/>
        <w:t>2(1)</w:t>
      </w:r>
    </w:p>
    <w:p>
      <w:pPr>
        <w:pStyle w:val="DefinedTerms"/>
      </w:pPr>
      <w:r>
        <w:t>water supply</w:t>
      </w:r>
      <w:r>
        <w:tab/>
        <w:t>2(1)</w:t>
      </w:r>
    </w:p>
    <w:p>
      <w:pPr>
        <w:pStyle w:val="DefinedTerms"/>
      </w:pPr>
      <w:r>
        <w:t>water supply connection</w:t>
      </w:r>
      <w:r>
        <w:tab/>
        <w:t>12(1)</w:t>
      </w:r>
    </w:p>
    <w:p>
      <w:pPr>
        <w:pStyle w:val="DefinedTerms"/>
      </w:pPr>
      <w:r>
        <w:t>year</w:t>
      </w:r>
      <w:r>
        <w:tab/>
        <w:t>2(1)</w:t>
      </w:r>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138</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139</w:t>
    </w:r>
    <w:r>
      <w:rPr>
        <w:rFonts w:ascii="Arial" w:hAnsi="Arial"/>
      </w:rPr>
      <w:fldChar w:fldCharType="end"/>
    </w:r>
  </w:p>
  <w:p>
    <w:pPr>
      <w:rPr>
        <w:sz w:val="16"/>
      </w:rPr>
    </w:pPr>
    <w:r>
      <w:rPr>
        <w:rFonts w:cs="Arial"/>
        <w:sz w:val="16"/>
        <w:szCs w:val="16"/>
        <w:lang w:val="en-US"/>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fldSimple w:instr=" Styleref &quot;Name of Act/Reg&quot; ">
              <w:r>
                <w:rPr>
                  <w:noProof/>
                </w:rPr>
                <w:t>Water Agencies (Charges) By-laws 1987</w:t>
              </w:r>
            </w:fldSimple>
          </w:p>
        </w:tc>
      </w:tr>
      <w:tr>
        <w:tc>
          <w:tcPr>
            <w:tcW w:w="1548" w:type="dxa"/>
          </w:tcPr>
          <w:p/>
        </w:tc>
        <w:tc>
          <w:tcPr>
            <w:tcW w:w="5715" w:type="dxa"/>
          </w:tcPr>
          <w:p/>
        </w:tc>
      </w:tr>
      <w:tr>
        <w:tc>
          <w:tcPr>
            <w:tcW w:w="1548" w:type="dxa"/>
          </w:tcPr>
          <w:p/>
        </w:tc>
        <w:tc>
          <w:tcPr>
            <w:tcW w:w="5715" w:type="dxa"/>
          </w:tcPr>
          <w:p/>
        </w:tc>
      </w:tr>
      <w:tr>
        <w:trPr>
          <w:cantSplit/>
        </w:trPr>
        <w:tc>
          <w:tcPr>
            <w:tcW w:w="7263" w:type="dxa"/>
            <w:gridSpan w:val="2"/>
          </w:tcPr>
          <w:p>
            <w:pPr>
              <w:ind w:right="17"/>
            </w:pPr>
            <w:r>
              <w:t>Defined Terms</w:t>
            </w: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ind w:right="17"/>
            </w:pPr>
            <w:fldSimple w:instr=" Styleref &quot;Name of Act/Reg&quot; ">
              <w:r>
                <w:rPr>
                  <w:noProof/>
                </w:rPr>
                <w:t>Water Agencies (Charges) By-laws 1987</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63" w:type="dxa"/>
            <w:gridSpan w:val="2"/>
          </w:tcPr>
          <w:p>
            <w:pPr>
              <w:ind w:right="17"/>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632"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680" w:type="dxa"/>
        </w:tcPr>
        <w:p>
          <w:pPr>
            <w:pStyle w:val="Header"/>
            <w:spacing w:before="40"/>
          </w:pPr>
          <w:r>
            <w:fldChar w:fldCharType="begin"/>
          </w:r>
          <w:r>
            <w:instrText>styleref CharPartText</w:instrText>
          </w:r>
          <w:r>
            <w:fldChar w:fldCharType="end"/>
          </w:r>
        </w:p>
      </w:tc>
    </w:tr>
    <w:tr>
      <w:tc>
        <w:tcPr>
          <w:tcW w:w="1632"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680"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6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6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302"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it.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it.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55" w:name="Schedule"/>
    <w:bookmarkEnd w:id="3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8</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Water supply charges for Government trading organisations and non-commercial Government property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Water supply charges for Government trading organisations and non-commercial Government property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8</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67" w:name="Compilation"/>
    <w:bookmarkEnd w:id="36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8" w:name="DefinedTerms"/>
    <w:bookmarkEnd w:id="36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9" w:name="Coversheet"/>
    <w:bookmarkEnd w:id="3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9"/>
  </w:num>
  <w:num w:numId="14">
    <w:abstractNumId w:val="12"/>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276"/>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519"/>
    <w:docVar w:name="WAFER_20131122160050" w:val="UpdateArrangement"/>
    <w:docVar w:name="WAFER_20131122160050_GUID" w:val="f70fc2fa-51a1-498a-a569-2ea0b2f1fec4"/>
    <w:docVar w:name="WAFER_20140206110034" w:val="RemoveTocBookmarks,RemoveUnusedBookmarks,RemoveLanguageTags,UsedStyles,RemoveTrackChanges"/>
    <w:docVar w:name="WAFER_20140206110034_GUID" w:val="7c53cec6-1605-4abb-9ee9-7d5d0958de74"/>
    <w:docVar w:name="WAFER_20140206110052" w:val="RemoveTocBookmarks,RemoveLanguageTags,RemoveTrackChanges,RunningHeaders"/>
    <w:docVar w:name="WAFER_20140206110052_GUID" w:val="b37afd94-0819-48ba-826e-c4a77aad9e74"/>
    <w:docVar w:name="WAFER_20140617123439" w:val="RemoveTocBookmarks,RemoveUnusedBookmarks,RemoveLanguageTags,UsedStyles,ResetPageSize,UpdateArrangement"/>
    <w:docVar w:name="WAFER_20140617123439_GUID" w:val="37d24ae6-7e51-4624-93d8-4d4f6cbe8da2"/>
    <w:docVar w:name="WAFER_20150731124833" w:val="ResetPageSize,UpdateArrangement,UpdateNTable"/>
    <w:docVar w:name="WAFER_20150731124833_GUID" w:val="0008fd9d-bf63-4c8c-9f3b-26061022932a"/>
    <w:docVar w:name="WAFER_20151117145519" w:val="UpdateStyles,UsedStyles"/>
    <w:docVar w:name="WAFER_20151117145519_GUID" w:val="3f8d539f-5882-454a-8558-adcf9f39b6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9.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4.png"/><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C4A430-D3BA-4E7D-B109-C0359DE6C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149</Pages>
  <Words>28709</Words>
  <Characters>133500</Characters>
  <Application>Microsoft Office Word</Application>
  <DocSecurity>0</DocSecurity>
  <Lines>7026</Lines>
  <Paragraphs>5406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1987 - 07-b0-03</dc:title>
  <dc:subject/>
  <dc:creator/>
  <cp:keywords/>
  <dc:description/>
  <cp:lastModifiedBy>svcMRProcess</cp:lastModifiedBy>
  <cp:revision>4</cp:revision>
  <cp:lastPrinted>2014-02-27T01:04:00Z</cp:lastPrinted>
  <dcterms:created xsi:type="dcterms:W3CDTF">2020-02-29T18:11:00Z</dcterms:created>
  <dcterms:modified xsi:type="dcterms:W3CDTF">2020-02-29T18:12:00Z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4852</vt:i4>
  </property>
  <property fmtid="{D5CDD505-2E9C-101B-9397-08002B2CF9AE}" pid="6" name="ReprintNo">
    <vt:lpwstr>7</vt:lpwstr>
  </property>
  <property fmtid="{D5CDD505-2E9C-101B-9397-08002B2CF9AE}" pid="7" name="ReprintedAsAt">
    <vt:filetime>2014-02-13T16:00:00Z</vt:filetime>
  </property>
  <property fmtid="{D5CDD505-2E9C-101B-9397-08002B2CF9AE}" pid="8" name="AsAtDate">
    <vt:lpwstr>01 Jul 2014</vt:lpwstr>
  </property>
  <property fmtid="{D5CDD505-2E9C-101B-9397-08002B2CF9AE}" pid="9" name="Suffix">
    <vt:lpwstr>07-b0-03</vt:lpwstr>
  </property>
  <property fmtid="{D5CDD505-2E9C-101B-9397-08002B2CF9AE}" pid="10" name="Status">
    <vt:lpwstr>NIF</vt:lpwstr>
  </property>
</Properties>
</file>