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000" w:after="0"/>
      </w:pPr>
      <w:r>
        <w:t>Energy Operators (Powers) Act 1979</w:t>
      </w:r>
    </w:p>
    <w:p>
      <w:pPr>
        <w:pStyle w:val="NameofActRegPage1"/>
        <w:spacing w:before="19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Generation and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_Toc391912267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_Toc391912268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_Toc391912269 \h </w:instrText>
      </w:r>
      <w:r>
        <w:fldChar w:fldCharType="separate"/>
      </w:r>
      <w:r>
        <w:t>1</w:t>
      </w:r>
      <w:r>
        <w:fldChar w:fldCharType="end"/>
      </w:r>
    </w:p>
    <w:p>
      <w:pPr>
        <w:pStyle w:val="TOC8"/>
        <w:rPr>
          <w:rFonts w:asciiTheme="minorHAnsi" w:eastAsiaTheme="minorEastAsia" w:hAnsiTheme="minorHAnsi" w:cstheme="minorBidi"/>
          <w:szCs w:val="22"/>
        </w:rPr>
      </w:pPr>
      <w:r>
        <w:t>4A.</w:t>
      </w:r>
      <w:r>
        <w:tab/>
        <w:t>Carbon component</w:t>
      </w:r>
      <w:r>
        <w:tab/>
      </w:r>
      <w:r>
        <w:fldChar w:fldCharType="begin"/>
      </w:r>
      <w:r>
        <w:instrText xml:space="preserve"> PAGEREF _Toc391912270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_Toc391912271 \h </w:instrText>
      </w:r>
      <w:r>
        <w:fldChar w:fldCharType="separate"/>
      </w:r>
      <w:r>
        <w:t>4</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_Toc391912272 \h </w:instrText>
      </w:r>
      <w:r>
        <w:fldChar w:fldCharType="separate"/>
      </w:r>
      <w:r>
        <w:t>4</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_Toc391912273 \h </w:instrText>
      </w:r>
      <w:r>
        <w:fldChar w:fldCharType="separate"/>
      </w:r>
      <w:r>
        <w:t>4</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_Toc391912274 \h </w:instrText>
      </w:r>
      <w:r>
        <w:fldChar w:fldCharType="separate"/>
      </w:r>
      <w:r>
        <w:t>5</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_Toc391912275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_Toc391912276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_Toc391912277 \h </w:instrText>
      </w:r>
      <w:r>
        <w:fldChar w:fldCharType="separate"/>
      </w:r>
      <w:r>
        <w:t>6</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_Toc391912278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_Toc391912280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_Toc391912281 \h </w:instrText>
      </w:r>
      <w:r>
        <w:fldChar w:fldCharType="separate"/>
      </w:r>
      <w:r>
        <w:t>7</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_Toc391912282 \h </w:instrText>
      </w:r>
      <w:r>
        <w:fldChar w:fldCharType="separate"/>
      </w:r>
      <w:r>
        <w:t>8</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_Toc391912283 \h </w:instrText>
      </w:r>
      <w:r>
        <w:fldChar w:fldCharType="separate"/>
      </w:r>
      <w:r>
        <w:t>8</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_Toc391912284 \h </w:instrText>
      </w:r>
      <w:r>
        <w:fldChar w:fldCharType="separate"/>
      </w:r>
      <w:r>
        <w:t>9</w:t>
      </w:r>
      <w:r>
        <w:fldChar w:fldCharType="end"/>
      </w:r>
    </w:p>
    <w:p>
      <w:pPr>
        <w:pStyle w:val="TOC8"/>
        <w:rPr>
          <w:rFonts w:asciiTheme="minorHAnsi" w:eastAsiaTheme="minorEastAsia" w:hAnsiTheme="minorHAnsi" w:cstheme="minorBidi"/>
          <w:szCs w:val="22"/>
        </w:rPr>
      </w:pPr>
      <w:r>
        <w:t>6.</w:t>
      </w:r>
      <w:r>
        <w:tab/>
      </w:r>
      <w:r>
        <w:rPr>
          <w:snapToGrid w:val="0"/>
        </w:rPr>
        <w:t>Tariff S1 (low/medium voltage time based demand and energy tariff)</w:t>
      </w:r>
      <w:r>
        <w:tab/>
      </w:r>
      <w:r>
        <w:fldChar w:fldCharType="begin"/>
      </w:r>
      <w:r>
        <w:instrText xml:space="preserve"> PAGEREF _Toc391912285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Tariff T1 </w:t>
      </w:r>
      <w:r>
        <w:rPr>
          <w:snapToGrid w:val="0"/>
        </w:rPr>
        <w:t>(high voltage time based demand and energy tariff)</w:t>
      </w:r>
      <w:r>
        <w:tab/>
      </w:r>
      <w:r>
        <w:fldChar w:fldCharType="begin"/>
      </w:r>
      <w:r>
        <w:instrText xml:space="preserve"> PAGEREF _Toc391912286 \h </w:instrText>
      </w:r>
      <w:r>
        <w:fldChar w:fldCharType="separate"/>
      </w:r>
      <w:r>
        <w:t>10</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_Toc391912287 \h </w:instrText>
      </w:r>
      <w:r>
        <w:fldChar w:fldCharType="separate"/>
      </w:r>
      <w:r>
        <w:t>11</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_Toc391912288 \h </w:instrText>
      </w:r>
      <w:r>
        <w:fldChar w:fldCharType="separate"/>
      </w:r>
      <w:r>
        <w:t>13</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_Toc391912289 \h </w:instrText>
      </w:r>
      <w:r>
        <w:fldChar w:fldCharType="separate"/>
      </w:r>
      <w:r>
        <w:t>14</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_Toc391912290 \h </w:instrText>
      </w:r>
      <w:r>
        <w:fldChar w:fldCharType="separate"/>
      </w:r>
      <w:r>
        <w:t>14</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_Toc391912291 \h </w:instrText>
      </w:r>
      <w:r>
        <w:fldChar w:fldCharType="separate"/>
      </w:r>
      <w:r>
        <w:t>15</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_Toc391912292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Schedule 2A — Carbon components</w:t>
      </w:r>
    </w:p>
    <w:p>
      <w:pPr>
        <w:pStyle w:val="TOC4"/>
        <w:tabs>
          <w:tab w:val="right" w:leader="dot" w:pos="7086"/>
        </w:tabs>
        <w:rPr>
          <w:rFonts w:asciiTheme="minorHAnsi" w:eastAsiaTheme="minorEastAsia" w:hAnsiTheme="minorHAnsi" w:cstheme="minorBidi"/>
          <w:b w:val="0"/>
          <w:szCs w:val="22"/>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 — Street lighting</w:t>
      </w:r>
    </w:p>
    <w:p>
      <w:pPr>
        <w:pStyle w:val="TOC4"/>
        <w:tabs>
          <w:tab w:val="right" w:leader="dot" w:pos="7086"/>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_Toc391912299 \h </w:instrText>
      </w:r>
      <w:r>
        <w:fldChar w:fldCharType="separate"/>
      </w:r>
      <w:r>
        <w:t>22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_Toc391912300 \h </w:instrText>
      </w:r>
      <w:r>
        <w:fldChar w:fldCharType="separate"/>
      </w:r>
      <w:r>
        <w:t>22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_Toc391912301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_Toc391912305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91912267"/>
      <w:r>
        <w:rPr>
          <w:rStyle w:val="CharSectno"/>
        </w:rPr>
        <w:t>1</w:t>
      </w:r>
      <w:r>
        <w:t>.</w:t>
      </w:r>
      <w:r>
        <w:tab/>
        <w:t>Citation</w:t>
      </w:r>
      <w:bookmarkEnd w:id="1"/>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2" w:name="_Toc391912268"/>
      <w:r>
        <w:rPr>
          <w:rStyle w:val="CharSectno"/>
        </w:rPr>
        <w:t>2</w:t>
      </w:r>
      <w:r>
        <w:t>.</w:t>
      </w:r>
      <w:r>
        <w:tab/>
        <w:t>Commencement</w:t>
      </w:r>
      <w:bookmarkEnd w:id="2"/>
    </w:p>
    <w:p>
      <w:pPr>
        <w:pStyle w:val="Subsection"/>
      </w:pPr>
      <w:r>
        <w:tab/>
      </w:r>
      <w:r>
        <w:tab/>
        <w:t>These by</w:t>
      </w:r>
      <w:r>
        <w:noBreakHyphen/>
        <w:t>laws come into operation on 1 April 2006.</w:t>
      </w:r>
    </w:p>
    <w:p>
      <w:pPr>
        <w:pStyle w:val="Heading5"/>
        <w:rPr>
          <w:snapToGrid w:val="0"/>
        </w:rPr>
      </w:pPr>
      <w:bookmarkStart w:id="3" w:name="_Toc391912269"/>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w:t>
      </w:r>
    </w:p>
    <w:p>
      <w:pPr>
        <w:pStyle w:val="Ednotesection"/>
      </w:pPr>
      <w:r>
        <w:t>[</w:t>
      </w:r>
      <w:r>
        <w:rPr>
          <w:b/>
          <w:bCs/>
        </w:rPr>
        <w:t>3A.</w:t>
      </w:r>
      <w:r>
        <w:tab/>
        <w:t>Deleted in Gazette 26 Mar 2010 p. 1136.]</w:t>
      </w:r>
    </w:p>
    <w:p>
      <w:pPr>
        <w:pStyle w:val="Heading5"/>
      </w:pPr>
      <w:bookmarkStart w:id="4" w:name="_Toc391912270"/>
      <w:r>
        <w:rPr>
          <w:rStyle w:val="CharSectno"/>
        </w:rPr>
        <w:t>4A</w:t>
      </w:r>
      <w:r>
        <w:t>.</w:t>
      </w:r>
      <w:r>
        <w:tab/>
        <w:t>Carbon component</w:t>
      </w:r>
      <w:bookmarkEnd w:id="4"/>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Look w:val="0000" w:firstRow="0" w:lastRow="0" w:firstColumn="0" w:lastColumn="0" w:noHBand="0" w:noVBand="0"/>
      </w:tblPr>
      <w:tblGrid>
        <w:gridCol w:w="6176"/>
      </w:tblGrid>
      <w:tr>
        <w:trPr>
          <w:cantSplit/>
        </w:trPr>
        <w:tc>
          <w:tcPr>
            <w:tcW w:w="6176" w:type="dxa"/>
          </w:tcPr>
          <w:p>
            <w:pPr>
              <w:pStyle w:val="TableNAm"/>
              <w:spacing w:before="80"/>
              <w:ind w:right="-108"/>
            </w:pPr>
            <w:r>
              <w:rPr>
                <w:i/>
              </w:rPr>
              <w:t>Australian National Registry of Emissions Units Act 2011</w:t>
            </w:r>
          </w:p>
        </w:tc>
      </w:tr>
      <w:tr>
        <w:trPr>
          <w:cantSplit/>
        </w:trPr>
        <w:tc>
          <w:tcPr>
            <w:tcW w:w="6176" w:type="dxa"/>
          </w:tcPr>
          <w:p>
            <w:pPr>
              <w:pStyle w:val="TableNAm"/>
              <w:spacing w:before="80"/>
              <w:ind w:right="-108"/>
            </w:pPr>
            <w:r>
              <w:rPr>
                <w:i/>
              </w:rPr>
              <w:t>Carbon Credits (Carbon Farming Initiative) Act 2011</w:t>
            </w:r>
          </w:p>
        </w:tc>
      </w:tr>
      <w:tr>
        <w:trPr>
          <w:cantSplit/>
        </w:trPr>
        <w:tc>
          <w:tcPr>
            <w:tcW w:w="6176" w:type="dxa"/>
          </w:tcPr>
          <w:p>
            <w:pPr>
              <w:pStyle w:val="TableNAm"/>
              <w:spacing w:before="80"/>
              <w:ind w:right="-108"/>
            </w:pPr>
            <w:r>
              <w:rPr>
                <w:i/>
              </w:rPr>
              <w:t>Clean Energy (Charges—Customs) Act 2011</w:t>
            </w:r>
          </w:p>
        </w:tc>
      </w:tr>
      <w:tr>
        <w:trPr>
          <w:cantSplit/>
        </w:trPr>
        <w:tc>
          <w:tcPr>
            <w:tcW w:w="6176" w:type="dxa"/>
          </w:tcPr>
          <w:p>
            <w:pPr>
              <w:pStyle w:val="TableNAm"/>
              <w:spacing w:before="80"/>
              <w:ind w:right="-108"/>
            </w:pPr>
            <w:r>
              <w:rPr>
                <w:i/>
              </w:rPr>
              <w:t>Clean Energy (Charges—Excise) Act 2011</w:t>
            </w:r>
          </w:p>
        </w:tc>
      </w:tr>
      <w:tr>
        <w:trPr>
          <w:cantSplit/>
        </w:trPr>
        <w:tc>
          <w:tcPr>
            <w:tcW w:w="6176" w:type="dxa"/>
          </w:tcPr>
          <w:p>
            <w:pPr>
              <w:pStyle w:val="TableNAm"/>
              <w:spacing w:before="80"/>
              <w:ind w:right="-108"/>
            </w:pPr>
            <w:r>
              <w:rPr>
                <w:i/>
              </w:rPr>
              <w:t>Clean Energy (Consequential Amendments) Act 2011</w:t>
            </w:r>
          </w:p>
        </w:tc>
      </w:tr>
      <w:tr>
        <w:trPr>
          <w:cantSplit/>
        </w:trPr>
        <w:tc>
          <w:tcPr>
            <w:tcW w:w="6176" w:type="dxa"/>
          </w:tcPr>
          <w:p>
            <w:pPr>
              <w:pStyle w:val="TableNAm"/>
              <w:spacing w:before="80"/>
              <w:ind w:right="-108"/>
            </w:pPr>
            <w:r>
              <w:rPr>
                <w:i/>
              </w:rPr>
              <w:t>Clean Energy (Customs Tariff Amendment) Act 2011</w:t>
            </w:r>
          </w:p>
        </w:tc>
      </w:tr>
      <w:tr>
        <w:trPr>
          <w:cantSplit/>
        </w:trPr>
        <w:tc>
          <w:tcPr>
            <w:tcW w:w="6176" w:type="dxa"/>
          </w:tcPr>
          <w:p>
            <w:pPr>
              <w:pStyle w:val="TableNAm"/>
              <w:spacing w:before="80"/>
              <w:ind w:right="-108"/>
            </w:pPr>
            <w:r>
              <w:rPr>
                <w:i/>
              </w:rPr>
              <w:t>Clean Energy (Excise Tariff Legislation Amendment) Act 2011</w:t>
            </w:r>
          </w:p>
        </w:tc>
      </w:tr>
      <w:tr>
        <w:trPr>
          <w:cantSplit/>
        </w:trPr>
        <w:tc>
          <w:tcPr>
            <w:tcW w:w="6176" w:type="dxa"/>
          </w:tcPr>
          <w:p>
            <w:pPr>
              <w:pStyle w:val="TableNAm"/>
              <w:spacing w:before="80"/>
              <w:ind w:right="-108"/>
            </w:pPr>
            <w:r>
              <w:rPr>
                <w:i/>
              </w:rPr>
              <w:t>Clean Energy (Fuel Tax Legislation Amendment) Act 2011</w:t>
            </w:r>
          </w:p>
        </w:tc>
      </w:tr>
      <w:tr>
        <w:trPr>
          <w:cantSplit/>
        </w:trPr>
        <w:tc>
          <w:tcPr>
            <w:tcW w:w="6176" w:type="dxa"/>
          </w:tcPr>
          <w:p>
            <w:pPr>
              <w:pStyle w:val="TableNAm"/>
              <w:spacing w:before="80"/>
              <w:ind w:right="-108"/>
            </w:pPr>
            <w:r>
              <w:rPr>
                <w:i/>
              </w:rPr>
              <w:t>Clean Energy (Household Assistance Amendments) Act 2011</w:t>
            </w:r>
          </w:p>
        </w:tc>
      </w:tr>
      <w:tr>
        <w:trPr>
          <w:cantSplit/>
        </w:trPr>
        <w:tc>
          <w:tcPr>
            <w:tcW w:w="6176" w:type="dxa"/>
          </w:tcPr>
          <w:p>
            <w:pPr>
              <w:pStyle w:val="TableNAm"/>
              <w:spacing w:before="80"/>
              <w:ind w:right="-108"/>
            </w:pPr>
            <w:r>
              <w:rPr>
                <w:i/>
              </w:rPr>
              <w:t>Clean Energy (Income Tax Rates Amendments) Act 2011</w:t>
            </w:r>
          </w:p>
        </w:tc>
      </w:tr>
      <w:tr>
        <w:trPr>
          <w:cantSplit/>
        </w:trPr>
        <w:tc>
          <w:tcPr>
            <w:tcW w:w="6176" w:type="dxa"/>
          </w:tcPr>
          <w:p>
            <w:pPr>
              <w:pStyle w:val="TableNAm"/>
              <w:spacing w:before="80"/>
              <w:ind w:right="-108"/>
            </w:pPr>
            <w:r>
              <w:rPr>
                <w:i/>
              </w:rPr>
              <w:t>Clean Energy (International Unit Surrender Charge) Act 2011</w:t>
            </w:r>
          </w:p>
        </w:tc>
      </w:tr>
      <w:tr>
        <w:trPr>
          <w:cantSplit/>
        </w:trPr>
        <w:tc>
          <w:tcPr>
            <w:tcW w:w="6176" w:type="dxa"/>
          </w:tcPr>
          <w:p>
            <w:pPr>
              <w:pStyle w:val="TableNAm"/>
              <w:spacing w:before="80"/>
              <w:ind w:right="-108"/>
            </w:pPr>
            <w:r>
              <w:rPr>
                <w:i/>
              </w:rPr>
              <w:t>Clean Energy Regulator Act 2011</w:t>
            </w:r>
          </w:p>
        </w:tc>
      </w:tr>
      <w:tr>
        <w:trPr>
          <w:cantSplit/>
        </w:trPr>
        <w:tc>
          <w:tcPr>
            <w:tcW w:w="6176" w:type="dxa"/>
          </w:tcPr>
          <w:p>
            <w:pPr>
              <w:pStyle w:val="TableNAm"/>
              <w:spacing w:before="80"/>
              <w:ind w:right="-108"/>
            </w:pPr>
            <w:r>
              <w:rPr>
                <w:i/>
              </w:rPr>
              <w:t>Clean Energy (Tax Laws Amendments) Act 2011</w:t>
            </w:r>
          </w:p>
        </w:tc>
      </w:tr>
      <w:tr>
        <w:trPr>
          <w:cantSplit/>
        </w:trPr>
        <w:tc>
          <w:tcPr>
            <w:tcW w:w="6176" w:type="dxa"/>
          </w:tcPr>
          <w:p>
            <w:pPr>
              <w:pStyle w:val="TableNAm"/>
              <w:spacing w:before="80"/>
              <w:ind w:right="-108"/>
            </w:pPr>
            <w:r>
              <w:rPr>
                <w:i/>
              </w:rPr>
              <w:t>Clean Energy (Unit Issue Charge—Auctions) Act 2011</w:t>
            </w:r>
          </w:p>
        </w:tc>
      </w:tr>
      <w:tr>
        <w:trPr>
          <w:cantSplit/>
        </w:trPr>
        <w:tc>
          <w:tcPr>
            <w:tcW w:w="6176" w:type="dxa"/>
          </w:tcPr>
          <w:p>
            <w:pPr>
              <w:pStyle w:val="TableNAm"/>
              <w:spacing w:before="80"/>
              <w:ind w:right="-108"/>
            </w:pPr>
            <w:r>
              <w:rPr>
                <w:i/>
              </w:rPr>
              <w:t>Clean Energy (Unit Issue Charge—Fixed Charge) Act 2011</w:t>
            </w:r>
          </w:p>
        </w:tc>
      </w:tr>
      <w:tr>
        <w:trPr>
          <w:cantSplit/>
        </w:trPr>
        <w:tc>
          <w:tcPr>
            <w:tcW w:w="6176" w:type="dxa"/>
          </w:tcPr>
          <w:p>
            <w:pPr>
              <w:pStyle w:val="TableNAm"/>
              <w:spacing w:before="80"/>
              <w:ind w:right="-108"/>
            </w:pPr>
            <w:r>
              <w:rPr>
                <w:i/>
              </w:rPr>
              <w:t>Clean Energy (Unit Shortfall Charge—General) Act 2011</w:t>
            </w:r>
          </w:p>
        </w:tc>
      </w:tr>
      <w:tr>
        <w:trPr>
          <w:cantSplit/>
        </w:trPr>
        <w:tc>
          <w:tcPr>
            <w:tcW w:w="6176" w:type="dxa"/>
          </w:tcPr>
          <w:p>
            <w:pPr>
              <w:pStyle w:val="TableNAm"/>
              <w:spacing w:before="80"/>
              <w:ind w:right="-108"/>
            </w:pPr>
            <w:r>
              <w:rPr>
                <w:i/>
              </w:rPr>
              <w:t>Climate Change Authority Act 2011</w:t>
            </w:r>
          </w:p>
        </w:tc>
      </w:tr>
      <w:tr>
        <w:trPr>
          <w:cantSplit/>
        </w:trPr>
        <w:tc>
          <w:tcPr>
            <w:tcW w:w="6176" w:type="dxa"/>
          </w:tcPr>
          <w:p>
            <w:pPr>
              <w:pStyle w:val="TableNAm"/>
              <w:spacing w:before="80"/>
              <w:ind w:right="-108"/>
            </w:pPr>
            <w:r>
              <w:rPr>
                <w:i/>
              </w:rPr>
              <w:t>Customs Tariff Act 1995</w:t>
            </w:r>
          </w:p>
        </w:tc>
      </w:tr>
      <w:tr>
        <w:trPr>
          <w:cantSplit/>
        </w:trPr>
        <w:tc>
          <w:tcPr>
            <w:tcW w:w="6176" w:type="dxa"/>
          </w:tcPr>
          <w:p>
            <w:pPr>
              <w:pStyle w:val="TableNAm"/>
              <w:spacing w:before="80"/>
              <w:ind w:right="-108"/>
            </w:pPr>
            <w:r>
              <w:rPr>
                <w:i/>
              </w:rPr>
              <w:t>Excise Act 1901</w:t>
            </w:r>
          </w:p>
        </w:tc>
      </w:tr>
      <w:tr>
        <w:trPr>
          <w:cantSplit/>
        </w:trPr>
        <w:tc>
          <w:tcPr>
            <w:tcW w:w="6176" w:type="dxa"/>
          </w:tcPr>
          <w:p>
            <w:pPr>
              <w:pStyle w:val="TableNAm"/>
              <w:spacing w:before="80"/>
              <w:ind w:right="-108"/>
            </w:pPr>
            <w:r>
              <w:rPr>
                <w:i/>
              </w:rPr>
              <w:t>Excise Tariff Act 1921</w:t>
            </w:r>
          </w:p>
        </w:tc>
      </w:tr>
      <w:tr>
        <w:trPr>
          <w:cantSplit/>
        </w:trPr>
        <w:tc>
          <w:tcPr>
            <w:tcW w:w="6176" w:type="dxa"/>
          </w:tcPr>
          <w:p>
            <w:pPr>
              <w:pStyle w:val="TableNAm"/>
              <w:spacing w:before="80"/>
              <w:ind w:right="-108"/>
            </w:pPr>
            <w:r>
              <w:rPr>
                <w:i/>
              </w:rPr>
              <w:t>Excise Tariff Amendment (Taxation of Alternative Fuels) Act 2011</w:t>
            </w:r>
          </w:p>
        </w:tc>
      </w:tr>
      <w:tr>
        <w:trPr>
          <w:cantSplit/>
        </w:trPr>
        <w:tc>
          <w:tcPr>
            <w:tcW w:w="6176" w:type="dxa"/>
          </w:tcPr>
          <w:p>
            <w:pPr>
              <w:pStyle w:val="TableNAm"/>
              <w:spacing w:before="80"/>
              <w:ind w:right="-108"/>
            </w:pPr>
            <w:r>
              <w:rPr>
                <w:i/>
              </w:rPr>
              <w:t>Fuel Tax Act 2006</w:t>
            </w:r>
          </w:p>
        </w:tc>
      </w:tr>
      <w:tr>
        <w:trPr>
          <w:cantSplit/>
        </w:trPr>
        <w:tc>
          <w:tcPr>
            <w:tcW w:w="6176" w:type="dxa"/>
          </w:tcPr>
          <w:p>
            <w:pPr>
              <w:pStyle w:val="TableNAm"/>
              <w:spacing w:before="80"/>
              <w:ind w:right="-108"/>
            </w:pPr>
            <w:r>
              <w:rPr>
                <w:i/>
              </w:rPr>
              <w:t>Fuel Tax (Consequential and Transitional Provisions) Act 2006</w:t>
            </w:r>
          </w:p>
        </w:tc>
      </w:tr>
      <w:tr>
        <w:trPr>
          <w:cantSplit/>
        </w:trPr>
        <w:tc>
          <w:tcPr>
            <w:tcW w:w="6176" w:type="dxa"/>
          </w:tcPr>
          <w:p>
            <w:pPr>
              <w:pStyle w:val="TableNAm"/>
              <w:spacing w:before="80"/>
              <w:ind w:right="-108"/>
            </w:pPr>
            <w:r>
              <w:rPr>
                <w:i/>
              </w:rPr>
              <w:t>National Greenhouse and Energy Reporting Act 2007</w:t>
            </w:r>
          </w:p>
        </w:tc>
      </w:tr>
      <w:tr>
        <w:trPr>
          <w:cantSplit/>
        </w:trPr>
        <w:tc>
          <w:tcPr>
            <w:tcW w:w="6176" w:type="dxa"/>
          </w:tcPr>
          <w:p>
            <w:pPr>
              <w:pStyle w:val="TableNAm"/>
              <w:spacing w:before="80"/>
              <w:ind w:right="-108"/>
            </w:pPr>
            <w:r>
              <w:rPr>
                <w:i/>
              </w:rPr>
              <w:t>Ozone Protection and Synthetic Greenhouse Gas (Import Levy) Act 1995</w:t>
            </w:r>
          </w:p>
        </w:tc>
      </w:tr>
      <w:tr>
        <w:trPr>
          <w:cantSplit/>
        </w:trPr>
        <w:tc>
          <w:tcPr>
            <w:tcW w:w="6176" w:type="dxa"/>
          </w:tcPr>
          <w:p>
            <w:pPr>
              <w:pStyle w:val="TableNAm"/>
              <w:spacing w:before="80"/>
              <w:ind w:right="-108"/>
            </w:pPr>
            <w:r>
              <w:rPr>
                <w:i/>
              </w:rPr>
              <w:t>Ozone Protection and Synthetic Greenhouse Gas (Import Levy) Amendment Act 2011</w:t>
            </w:r>
          </w:p>
        </w:tc>
      </w:tr>
      <w:tr>
        <w:trPr>
          <w:cantSplit/>
        </w:trPr>
        <w:tc>
          <w:tcPr>
            <w:tcW w:w="6176" w:type="dxa"/>
          </w:tcPr>
          <w:p>
            <w:pPr>
              <w:pStyle w:val="TableNAm"/>
              <w:spacing w:before="80"/>
              <w:ind w:right="-108"/>
            </w:pPr>
            <w:r>
              <w:rPr>
                <w:i/>
              </w:rPr>
              <w:t>Ozone Protection and Synthetic Greenhouse Gas Management Act 1989</w:t>
            </w:r>
          </w:p>
        </w:tc>
      </w:tr>
      <w:tr>
        <w:trPr>
          <w:cantSplit/>
        </w:trPr>
        <w:tc>
          <w:tcPr>
            <w:tcW w:w="6176" w:type="dxa"/>
          </w:tcPr>
          <w:p>
            <w:pPr>
              <w:pStyle w:val="TableNAm"/>
              <w:spacing w:before="80"/>
              <w:ind w:right="-108"/>
            </w:pPr>
            <w:r>
              <w:rPr>
                <w:i/>
              </w:rPr>
              <w:t>Ozone Protection and Synthetic Greenhouse Gas (Manufacture Levy) Act 1995</w:t>
            </w:r>
          </w:p>
        </w:tc>
      </w:tr>
      <w:tr>
        <w:trPr>
          <w:cantSplit/>
        </w:trPr>
        <w:tc>
          <w:tcPr>
            <w:tcW w:w="6176" w:type="dxa"/>
          </w:tcPr>
          <w:p>
            <w:pPr>
              <w:pStyle w:val="TableNAm"/>
              <w:spacing w:before="80"/>
              <w:ind w:right="-108"/>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in Gazette 29 Jun 2012 p. 2914-16; amended in Gazette 30 Aug 2013 p. 4097.]</w:t>
      </w:r>
    </w:p>
    <w:p>
      <w:pPr>
        <w:pStyle w:val="Heading5"/>
        <w:rPr>
          <w:snapToGrid w:val="0"/>
        </w:rPr>
      </w:pPr>
      <w:bookmarkStart w:id="5" w:name="_Toc391912271"/>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6" w:name="_Toc391912272"/>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391912273"/>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391912274"/>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9" w:name="_Toc391912275"/>
      <w:r>
        <w:rPr>
          <w:rStyle w:val="CharSectno"/>
        </w:rPr>
        <w:t>8</w:t>
      </w:r>
      <w:r>
        <w:t>.</w:t>
      </w:r>
      <w:r>
        <w:tab/>
        <w:t>When charges payable; interest on unpaid charges</w:t>
      </w:r>
      <w:bookmarkEnd w:id="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0" w:name="_Toc391912276"/>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1" w:name="_Toc391912277"/>
      <w:r>
        <w:rPr>
          <w:rStyle w:val="CharSectno"/>
        </w:rPr>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391912278"/>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 w:name="_Toc391912279"/>
      <w:r>
        <w:rPr>
          <w:rStyle w:val="CharSchNo"/>
        </w:rPr>
        <w:t>Schedule 1</w:t>
      </w:r>
      <w:r>
        <w:rPr>
          <w:rStyle w:val="CharSDivNo"/>
        </w:rPr>
        <w:t> </w:t>
      </w:r>
      <w:r>
        <w:t>—</w:t>
      </w:r>
      <w:r>
        <w:rPr>
          <w:rStyle w:val="CharSDivText"/>
        </w:rPr>
        <w:t> </w:t>
      </w:r>
      <w:r>
        <w:rPr>
          <w:rStyle w:val="CharSchText"/>
        </w:rPr>
        <w:t>Supply charges</w:t>
      </w:r>
      <w:bookmarkEnd w:id="13"/>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14" w:name="_Toc391912280"/>
      <w:r>
        <w:rPr>
          <w:rStyle w:val="CharSClsNo"/>
        </w:rPr>
        <w:t>1</w:t>
      </w:r>
      <w:r>
        <w:t>.</w:t>
      </w:r>
      <w:r>
        <w:tab/>
        <w:t>Tariff L1 (general supply — low/medium voltage tariff)</w:t>
      </w:r>
      <w:bookmarkEnd w:id="1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42.8472</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30.5658</w:t>
      </w:r>
      <w:r>
        <w:t xml:space="preserve"> cents (being </w:t>
      </w:r>
      <w:r>
        <w:rPr>
          <w:szCs w:val="22"/>
        </w:rPr>
        <w:t>28.1603</w:t>
      </w:r>
      <w:r>
        <w:t xml:space="preserve"> cents plus the carbon component) per unit for the first 1 650 units per day; and</w:t>
      </w:r>
    </w:p>
    <w:p>
      <w:pPr>
        <w:pStyle w:val="yIndenti0"/>
      </w:pPr>
      <w:r>
        <w:tab/>
        <w:t>(ii)</w:t>
      </w:r>
      <w:r>
        <w:tab/>
      </w:r>
      <w:r>
        <w:rPr>
          <w:szCs w:val="22"/>
        </w:rPr>
        <w:t>27.8157</w:t>
      </w:r>
      <w:r>
        <w:t xml:space="preserve"> cents (being </w:t>
      </w:r>
      <w:r>
        <w:rPr>
          <w:szCs w:val="22"/>
        </w:rPr>
        <w:t>25.4102</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 14 Jun 2013 p. 2217-18; 27 Jun 2014 p. 2313.]</w:t>
      </w:r>
    </w:p>
    <w:p>
      <w:pPr>
        <w:pStyle w:val="yHeading5"/>
        <w:spacing w:before="180"/>
      </w:pPr>
      <w:bookmarkStart w:id="15" w:name="_Toc391912281"/>
      <w:r>
        <w:rPr>
          <w:rStyle w:val="CharSClsNo"/>
        </w:rPr>
        <w:t>2</w:t>
      </w:r>
      <w:r>
        <w:t>.</w:t>
      </w:r>
      <w:r>
        <w:tab/>
        <w:t>Tariff L3 (general supply — low/medium voltage tariff)</w:t>
      </w:r>
      <w:bookmarkEnd w:id="1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r>
        <w:rPr>
          <w:szCs w:val="22"/>
        </w:rPr>
        <w:t>54.9960</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38.5424</w:t>
      </w:r>
      <w:r>
        <w:t xml:space="preserve"> cents (being </w:t>
      </w:r>
      <w:r>
        <w:rPr>
          <w:szCs w:val="22"/>
        </w:rPr>
        <w:t>36.1369</w:t>
      </w:r>
      <w:r>
        <w:t xml:space="preserve"> cents plus the carbon component) per unit for the first 1 650 units per day; and</w:t>
      </w:r>
    </w:p>
    <w:p>
      <w:pPr>
        <w:pStyle w:val="yIndenti0"/>
      </w:pPr>
      <w:r>
        <w:tab/>
        <w:t>(ii)</w:t>
      </w:r>
      <w:r>
        <w:tab/>
      </w:r>
      <w:r>
        <w:rPr>
          <w:szCs w:val="22"/>
        </w:rPr>
        <w:t>35.0230</w:t>
      </w:r>
      <w:r>
        <w:t xml:space="preserve"> cents (being </w:t>
      </w:r>
      <w:r>
        <w:rPr>
          <w:szCs w:val="22"/>
        </w:rPr>
        <w:t>32.6175</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 14 Jun 2013 p. 2218; 27 Jun 2014 p. 2313-14.]</w:t>
      </w:r>
    </w:p>
    <w:p>
      <w:pPr>
        <w:pStyle w:val="yHeading5"/>
      </w:pPr>
      <w:bookmarkStart w:id="16" w:name="_Toc391912282"/>
      <w:r>
        <w:rPr>
          <w:rStyle w:val="CharSClsNo"/>
        </w:rPr>
        <w:t>3</w:t>
      </w:r>
      <w:r>
        <w:t>.</w:t>
      </w:r>
      <w:r>
        <w:rPr>
          <w:b w:val="0"/>
        </w:rPr>
        <w:tab/>
      </w:r>
      <w:r>
        <w:t>Tariff M1 (general supply — high voltage tariff)</w:t>
      </w:r>
      <w:bookmarkEnd w:id="16"/>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61.7368 cents</w:t>
      </w:r>
      <w:r>
        <w:t xml:space="preserve"> per day; and</w:t>
      </w:r>
    </w:p>
    <w:p>
      <w:pPr>
        <w:pStyle w:val="yIndenta"/>
      </w:pPr>
      <w:r>
        <w:tab/>
        <w:t>(b)</w:t>
      </w:r>
      <w:r>
        <w:tab/>
        <w:t>a charge for metered consumption at the rate of — </w:t>
      </w:r>
    </w:p>
    <w:p>
      <w:pPr>
        <w:pStyle w:val="yIndenti0"/>
      </w:pPr>
      <w:r>
        <w:tab/>
        <w:t>(i)</w:t>
      </w:r>
      <w:r>
        <w:tab/>
      </w:r>
      <w:r>
        <w:rPr>
          <w:szCs w:val="22"/>
        </w:rPr>
        <w:t>41.5984 cents</w:t>
      </w:r>
      <w:r>
        <w:t xml:space="preserve"> (being </w:t>
      </w:r>
      <w:r>
        <w:rPr>
          <w:szCs w:val="22"/>
        </w:rPr>
        <w:t>39.1929 cents</w:t>
      </w:r>
      <w:r>
        <w:t xml:space="preserve"> plus the carbon component) per unit for the first 1 650 units per day; and</w:t>
      </w:r>
    </w:p>
    <w:p>
      <w:pPr>
        <w:pStyle w:val="yIndenti0"/>
      </w:pPr>
      <w:r>
        <w:tab/>
        <w:t>(ii)</w:t>
      </w:r>
      <w:r>
        <w:tab/>
      </w:r>
      <w:r>
        <w:rPr>
          <w:szCs w:val="22"/>
        </w:rPr>
        <w:t>37.6054 cents</w:t>
      </w:r>
      <w:r>
        <w:t xml:space="preserve"> (being </w:t>
      </w:r>
      <w:r>
        <w:rPr>
          <w:szCs w:val="22"/>
        </w:rPr>
        <w:t>35.1999 cents</w:t>
      </w:r>
      <w:r>
        <w:t xml:space="preserve">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 14 Jun 2013 p. 2218; 30 Aug 2013 p. 4098; 27 Jun 2014 p. 2314.]</w:t>
      </w:r>
    </w:p>
    <w:p>
      <w:pPr>
        <w:pStyle w:val="yHeading5"/>
      </w:pPr>
      <w:bookmarkStart w:id="17" w:name="_Toc391912283"/>
      <w:r>
        <w:rPr>
          <w:rStyle w:val="CharSClsNo"/>
        </w:rPr>
        <w:t>4</w:t>
      </w:r>
      <w:r>
        <w:t>.</w:t>
      </w:r>
      <w:r>
        <w:tab/>
        <w:t>Tariff R1 (time of use tariff)</w:t>
      </w:r>
      <w:bookmarkEnd w:id="17"/>
    </w:p>
    <w:p>
      <w:pPr>
        <w:pStyle w:val="ySubsection"/>
      </w:pPr>
      <w:r>
        <w:tab/>
        <w:t>(1)</w:t>
      </w:r>
      <w:r>
        <w:tab/>
        <w:t>Tariff R1 comprises —</w:t>
      </w:r>
    </w:p>
    <w:p>
      <w:pPr>
        <w:pStyle w:val="yIndenta"/>
      </w:pPr>
      <w:r>
        <w:tab/>
        <w:t>(a)</w:t>
      </w:r>
      <w:r>
        <w:tab/>
        <w:t xml:space="preserve">a fixed charge at the rate of </w:t>
      </w:r>
      <w:r>
        <w:rPr>
          <w:szCs w:val="22"/>
        </w:rPr>
        <w:t>$1.7566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33.2387</w:t>
      </w:r>
      <w:r>
        <w:t xml:space="preserve"> cents (being </w:t>
      </w:r>
      <w:r>
        <w:rPr>
          <w:szCs w:val="22"/>
        </w:rPr>
        <w:t>30.8332</w:t>
      </w:r>
      <w:r>
        <w:t xml:space="preserve"> cents plus the carbon component) per unit; and</w:t>
      </w:r>
    </w:p>
    <w:p>
      <w:pPr>
        <w:pStyle w:val="yIndenti0"/>
      </w:pPr>
      <w:r>
        <w:tab/>
        <w:t>(ii)</w:t>
      </w:r>
      <w:r>
        <w:tab/>
        <w:t xml:space="preserve">an off peak energy charge at the rate of </w:t>
      </w:r>
      <w:r>
        <w:rPr>
          <w:szCs w:val="22"/>
        </w:rPr>
        <w:t>11.9152</w:t>
      </w:r>
      <w:r>
        <w:t xml:space="preserve"> cents (being </w:t>
      </w:r>
      <w:r>
        <w:rPr>
          <w:szCs w:val="22"/>
        </w:rPr>
        <w:t>9.5097</w:t>
      </w:r>
      <w:r>
        <w:t xml:space="preserve"> cents plus the carbon component) per unit.</w:t>
      </w:r>
    </w:p>
    <w:p>
      <w:pPr>
        <w:pStyle w:val="ySubsection"/>
        <w:keepNext/>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 14 Jun 2013 p. 2218; 27 Jun 2014 p. 2314.]</w:t>
      </w:r>
    </w:p>
    <w:p>
      <w:pPr>
        <w:pStyle w:val="yHeading5"/>
      </w:pPr>
      <w:bookmarkStart w:id="18" w:name="_Toc391912284"/>
      <w:r>
        <w:rPr>
          <w:rStyle w:val="CharSClsNo"/>
        </w:rPr>
        <w:t>5</w:t>
      </w:r>
      <w:r>
        <w:t>.</w:t>
      </w:r>
      <w:r>
        <w:tab/>
        <w:t>Tariff R3 (time of use tariff)</w:t>
      </w:r>
      <w:bookmarkEnd w:id="18"/>
    </w:p>
    <w:p>
      <w:pPr>
        <w:pStyle w:val="ySubsection"/>
      </w:pPr>
      <w:r>
        <w:tab/>
        <w:t>(1)</w:t>
      </w:r>
      <w:r>
        <w:tab/>
        <w:t>Tariff R3 comprises —</w:t>
      </w:r>
    </w:p>
    <w:p>
      <w:pPr>
        <w:pStyle w:val="yIndenta"/>
      </w:pPr>
      <w:r>
        <w:tab/>
        <w:t>(a)</w:t>
      </w:r>
      <w:r>
        <w:tab/>
        <w:t xml:space="preserve">a fixed charge at the rate of </w:t>
      </w:r>
      <w:r>
        <w:rPr>
          <w:szCs w:val="22"/>
        </w:rPr>
        <w:t>$2.6279</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48.4155 cents</w:t>
      </w:r>
      <w:r>
        <w:t xml:space="preserve"> (being </w:t>
      </w:r>
      <w:r>
        <w:rPr>
          <w:szCs w:val="22"/>
        </w:rPr>
        <w:t>46.0100 cents</w:t>
      </w:r>
      <w:r>
        <w:t xml:space="preserve"> plus the carbon component) per unit; and</w:t>
      </w:r>
    </w:p>
    <w:p>
      <w:pPr>
        <w:pStyle w:val="yIndenti0"/>
      </w:pPr>
      <w:r>
        <w:tab/>
        <w:t>(ii)</w:t>
      </w:r>
      <w:r>
        <w:tab/>
        <w:t xml:space="preserve">an off peak energy charge at the rate of </w:t>
      </w:r>
      <w:r>
        <w:rPr>
          <w:szCs w:val="22"/>
        </w:rPr>
        <w:t>16.5699 cents</w:t>
      </w:r>
      <w:r>
        <w:t xml:space="preserve"> (being </w:t>
      </w:r>
      <w:r>
        <w:rPr>
          <w:szCs w:val="22"/>
        </w:rPr>
        <w:t>14.1644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 14 Jun 2013 p. 2218; 30 Aug 2013 p. 4098; 27 Jun 2014 p. 2314.]</w:t>
      </w:r>
    </w:p>
    <w:p>
      <w:pPr>
        <w:pStyle w:val="yHeading5"/>
        <w:rPr>
          <w:snapToGrid w:val="0"/>
        </w:rPr>
      </w:pPr>
      <w:bookmarkStart w:id="19" w:name="_Toc391912285"/>
      <w:r>
        <w:rPr>
          <w:rStyle w:val="CharSClsNo"/>
        </w:rPr>
        <w:t>6</w:t>
      </w:r>
      <w:r>
        <w:t>.</w:t>
      </w:r>
      <w:r>
        <w:rPr>
          <w:b w:val="0"/>
        </w:rPr>
        <w:tab/>
      </w:r>
      <w:r>
        <w:rPr>
          <w:snapToGrid w:val="0"/>
        </w:rPr>
        <w:t>Tariff S1 (low/medium voltage time based demand and energy tariff)</w:t>
      </w:r>
      <w:bookmarkEnd w:id="19"/>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$476.3270</w:t>
      </w:r>
      <w:r>
        <w:t xml:space="preserve"> per day; and</w:t>
      </w:r>
    </w:p>
    <w:p>
      <w:pPr>
        <w:pStyle w:val="yIndenta"/>
      </w:pPr>
      <w:r>
        <w:tab/>
        <w:t>(b)</w:t>
      </w:r>
      <w:r>
        <w:tab/>
        <w:t xml:space="preserve">a demand charge at the rate of </w:t>
      </w:r>
      <w:r>
        <w:rPr>
          <w:szCs w:val="22"/>
        </w:rPr>
        <w:t>120.9893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19.7166 cents</w:t>
      </w:r>
      <w:r>
        <w:t xml:space="preserve"> (being </w:t>
      </w:r>
      <w:r>
        <w:rPr>
          <w:szCs w:val="22"/>
        </w:rPr>
        <w:t>17.3111 cents</w:t>
      </w:r>
      <w:r>
        <w:t xml:space="preserve"> plus the carbon component) per unit; and</w:t>
      </w:r>
    </w:p>
    <w:p>
      <w:pPr>
        <w:pStyle w:val="yIndenti0"/>
      </w:pPr>
      <w:r>
        <w:tab/>
        <w:t>(ii)</w:t>
      </w:r>
      <w:r>
        <w:tab/>
        <w:t xml:space="preserve">an off peak energy charge at the rate of </w:t>
      </w:r>
      <w:r>
        <w:rPr>
          <w:szCs w:val="22"/>
        </w:rPr>
        <w:t>13.3575 cents</w:t>
      </w:r>
      <w:r>
        <w:t xml:space="preserve"> (being </w:t>
      </w:r>
      <w:r>
        <w:rPr>
          <w:szCs w:val="22"/>
        </w:rPr>
        <w:t>10.9520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 14 Jun 2013 p. 2218; 30 Aug 2013 p. 4098; 27 Jun 2014 p. 2314.]</w:t>
      </w:r>
    </w:p>
    <w:p>
      <w:pPr>
        <w:pStyle w:val="yHeading5"/>
        <w:rPr>
          <w:snapToGrid w:val="0"/>
        </w:rPr>
      </w:pPr>
      <w:bookmarkStart w:id="20" w:name="_Toc391912286"/>
      <w:r>
        <w:rPr>
          <w:rStyle w:val="CharSClsNo"/>
        </w:rPr>
        <w:t>7</w:t>
      </w:r>
      <w:r>
        <w:t>.</w:t>
      </w:r>
      <w:r>
        <w:rPr>
          <w:b w:val="0"/>
        </w:rPr>
        <w:tab/>
      </w:r>
      <w:r>
        <w:t xml:space="preserve">Tariff T1 </w:t>
      </w:r>
      <w:r>
        <w:rPr>
          <w:snapToGrid w:val="0"/>
        </w:rPr>
        <w:t>(high voltage time based demand and energy tariff)</w:t>
      </w:r>
      <w:bookmarkEnd w:id="20"/>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$702.4218</w:t>
      </w:r>
      <w:r>
        <w:t xml:space="preserve"> per day; and</w:t>
      </w:r>
    </w:p>
    <w:p>
      <w:pPr>
        <w:pStyle w:val="yIndenta"/>
        <w:keepNext/>
      </w:pPr>
      <w:r>
        <w:tab/>
        <w:t>(b)</w:t>
      </w:r>
      <w:r>
        <w:tab/>
        <w:t xml:space="preserve">a demand charge at the rate of </w:t>
      </w:r>
      <w:r>
        <w:rPr>
          <w:szCs w:val="22"/>
        </w:rPr>
        <w:t>123.7522 cents</w:t>
      </w:r>
      <w:r>
        <w:t xml:space="preserve"> per day multiplied by — </w:t>
      </w:r>
    </w:p>
    <w:p>
      <w:pPr>
        <w:pStyle w:val="yIndenti0"/>
        <w:spacing w:before="60"/>
      </w:pPr>
      <w:r>
        <w:tab/>
        <w:t>(i)</w:t>
      </w:r>
      <w:r>
        <w:tab/>
        <w:t>the on peak half</w:t>
      </w:r>
      <w:r>
        <w:noBreakHyphen/>
        <w:t>hourly maximum demand; or</w:t>
      </w:r>
    </w:p>
    <w:p>
      <w:pPr>
        <w:pStyle w:val="yIndenti0"/>
        <w:spacing w:before="60"/>
      </w:pPr>
      <w:r>
        <w:tab/>
        <w:t>(ii)</w:t>
      </w:r>
      <w:r>
        <w:tab/>
        <w:t>30% of the off peak half</w:t>
      </w:r>
      <w:r>
        <w:noBreakHyphen/>
        <w:t>hourly maximum demand,</w:t>
      </w:r>
    </w:p>
    <w:p>
      <w:pPr>
        <w:pStyle w:val="yIndenta"/>
        <w:spacing w:before="60"/>
      </w:pPr>
      <w:r>
        <w:tab/>
      </w:r>
      <w:r>
        <w:tab/>
        <w:t>whichever is the greater; and</w:t>
      </w:r>
    </w:p>
    <w:p>
      <w:pPr>
        <w:pStyle w:val="yIndenta"/>
        <w:spacing w:before="60"/>
      </w:pPr>
      <w:r>
        <w:tab/>
        <w:t>(c)</w:t>
      </w:r>
      <w:r>
        <w:tab/>
        <w:t xml:space="preserve">an energy charge consisting of — </w:t>
      </w:r>
    </w:p>
    <w:p>
      <w:pPr>
        <w:pStyle w:val="yIndenti0"/>
        <w:spacing w:before="60"/>
      </w:pPr>
      <w:r>
        <w:tab/>
        <w:t>(i)</w:t>
      </w:r>
      <w:r>
        <w:tab/>
        <w:t xml:space="preserve">an on peak energy charge at the rate of </w:t>
      </w:r>
      <w:r>
        <w:rPr>
          <w:szCs w:val="22"/>
        </w:rPr>
        <w:t>20.4986 cents</w:t>
      </w:r>
      <w:r>
        <w:t xml:space="preserve"> (being </w:t>
      </w:r>
      <w:r>
        <w:rPr>
          <w:szCs w:val="22"/>
        </w:rPr>
        <w:t>18.0931 cents</w:t>
      </w:r>
      <w:r>
        <w:t xml:space="preserve"> plus the carbon component) per unit; and</w:t>
      </w:r>
    </w:p>
    <w:p>
      <w:pPr>
        <w:pStyle w:val="yIndenti0"/>
        <w:spacing w:before="60"/>
      </w:pPr>
      <w:r>
        <w:tab/>
        <w:t>(ii)</w:t>
      </w:r>
      <w:r>
        <w:tab/>
        <w:t xml:space="preserve">an off peak energy charge at the rate of </w:t>
      </w:r>
      <w:r>
        <w:rPr>
          <w:szCs w:val="22"/>
        </w:rPr>
        <w:t>14.4386 cents</w:t>
      </w:r>
      <w:r>
        <w:t xml:space="preserve"> (being </w:t>
      </w:r>
      <w:r>
        <w:rPr>
          <w:szCs w:val="22"/>
        </w:rPr>
        <w:t>12.0331 cents</w:t>
      </w:r>
      <w:r>
        <w:t xml:space="preserve"> plus the carbon component) per unit.</w:t>
      </w:r>
    </w:p>
    <w:p>
      <w:pPr>
        <w:pStyle w:val="ySubsection"/>
      </w:pPr>
      <w:r>
        <w:tab/>
        <w:t>(3)</w:t>
      </w:r>
      <w:r>
        <w:tab/>
        <w:t xml:space="preserve">Tariff T1 is available subject to the following conditions — </w:t>
      </w:r>
    </w:p>
    <w:p>
      <w:pPr>
        <w:pStyle w:val="yIndenta"/>
        <w:spacing w:before="60"/>
        <w:rPr>
          <w:snapToGrid w:val="0"/>
        </w:rPr>
      </w:pPr>
      <w:r>
        <w:tab/>
        <w:t>(a)</w:t>
      </w:r>
      <w:r>
        <w:tab/>
        <w:t xml:space="preserve">the consumer must </w:t>
      </w:r>
      <w:r>
        <w:rPr>
          <w:snapToGrid w:val="0"/>
        </w:rPr>
        <w:t>agree to take the tariff for a minimum period of 12 months;</w:t>
      </w:r>
    </w:p>
    <w:p>
      <w:pPr>
        <w:pStyle w:val="yIndenta"/>
        <w:spacing w:before="60"/>
      </w:pPr>
      <w:r>
        <w:tab/>
        <w:t>(b)</w:t>
      </w:r>
      <w:r>
        <w:tab/>
        <w:t xml:space="preserve">it applies to a </w:t>
      </w:r>
      <w:r>
        <w:rPr>
          <w:snapToGrid w:val="0"/>
        </w:rPr>
        <w:t>consumer who owns all equipment except tariff metering equipment on the load side of the consumer’s high voltage terminals;</w:t>
      </w:r>
    </w:p>
    <w:p>
      <w:pPr>
        <w:pStyle w:val="yIndenta"/>
        <w:spacing w:before="60"/>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spacing w:before="100"/>
      </w:pPr>
      <w:r>
        <w:tab/>
        <w:t>[Clause 7 inserted in Gazette 30 Mar 2009 p. 986</w:t>
      </w:r>
      <w:r>
        <w:noBreakHyphen/>
        <w:t>7; amended in Gazette 26 Mar 2010 p. 1136</w:t>
      </w:r>
      <w:r>
        <w:noBreakHyphen/>
        <w:t>7 and 1139; 24 Jun 2011 p. 2499</w:t>
      </w:r>
      <w:r>
        <w:noBreakHyphen/>
        <w:t>500; 29 Jun 2012 p. 2919; 14 Jun 2013 p. 2218; 30 Aug 2013 p. 4098-9; 27 Jun 2014 p. 2314-15.]</w:t>
      </w:r>
    </w:p>
    <w:p>
      <w:pPr>
        <w:pStyle w:val="yHeading5"/>
      </w:pPr>
      <w:bookmarkStart w:id="21" w:name="_Toc391912287"/>
      <w:r>
        <w:rPr>
          <w:rStyle w:val="CharSClsNo"/>
        </w:rPr>
        <w:t>8</w:t>
      </w:r>
      <w:r>
        <w:t>.</w:t>
      </w:r>
      <w:r>
        <w:rPr>
          <w:b w:val="0"/>
        </w:rPr>
        <w:tab/>
      </w:r>
      <w:r>
        <w:t>Standby charges</w:t>
      </w:r>
      <w:bookmarkEnd w:id="21"/>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spacing w:before="70"/>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spacing w:before="70"/>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spacing w:before="70"/>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spacing w:before="70"/>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spacing w:before="70"/>
        <w:rPr>
          <w:snapToGrid w:val="0"/>
        </w:rPr>
      </w:pPr>
      <w:r>
        <w:rPr>
          <w:snapToGrid w:val="0"/>
        </w:rPr>
        <w:tab/>
        <w:t>(a)</w:t>
      </w:r>
      <w:r>
        <w:rPr>
          <w:snapToGrid w:val="0"/>
        </w:rPr>
        <w:tab/>
        <w:t>the capacity of the consumer’s generation equipment; or</w:t>
      </w:r>
    </w:p>
    <w:p>
      <w:pPr>
        <w:pStyle w:val="yIndenta"/>
        <w:spacing w:before="70"/>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22" w:name="_Toc391912288"/>
      <w:r>
        <w:rPr>
          <w:rStyle w:val="CharSClsNo"/>
        </w:rPr>
        <w:t>9</w:t>
      </w:r>
      <w:r>
        <w:t>.</w:t>
      </w:r>
      <w:r>
        <w:rPr>
          <w:b w:val="0"/>
        </w:rPr>
        <w:tab/>
      </w:r>
      <w:r>
        <w:t>Tariff A1 (residential tariff)</w:t>
      </w:r>
      <w:bookmarkEnd w:id="22"/>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45.1516</w:t>
      </w:r>
      <w:r>
        <w:t xml:space="preserve"> cents per day or, for multiple dwellings supplied through one metered supply point, a fixed charge at the rate of —</w:t>
      </w:r>
    </w:p>
    <w:p>
      <w:pPr>
        <w:pStyle w:val="yIndenti0"/>
      </w:pPr>
      <w:r>
        <w:tab/>
        <w:t>(i)</w:t>
      </w:r>
      <w:r>
        <w:tab/>
      </w:r>
      <w:r>
        <w:rPr>
          <w:szCs w:val="22"/>
        </w:rPr>
        <w:t>45.1516</w:t>
      </w:r>
      <w:r>
        <w:t xml:space="preserve"> cents per day for the first dwelling; and</w:t>
      </w:r>
    </w:p>
    <w:p>
      <w:pPr>
        <w:pStyle w:val="yIndenti0"/>
      </w:pPr>
      <w:r>
        <w:tab/>
        <w:t>(ii)</w:t>
      </w:r>
      <w:r>
        <w:tab/>
      </w:r>
      <w:r>
        <w:rPr>
          <w:szCs w:val="22"/>
        </w:rPr>
        <w:t>35.0581</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27.0016</w:t>
      </w:r>
      <w:r>
        <w:t xml:space="preserve"> cents (being </w:t>
      </w:r>
      <w:r>
        <w:rPr>
          <w:szCs w:val="22"/>
        </w:rPr>
        <w:t>24.5961</w:t>
      </w:r>
      <w:r>
        <w:t xml:space="preserve">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 14 Jun 2013 p. 2218-19; 27 Jun 2014 p. 2315.]</w:t>
      </w:r>
    </w:p>
    <w:p>
      <w:pPr>
        <w:pStyle w:val="yHeading5"/>
      </w:pPr>
      <w:bookmarkStart w:id="23" w:name="_Toc391912289"/>
      <w:r>
        <w:rPr>
          <w:rStyle w:val="CharSClsNo"/>
        </w:rPr>
        <w:t>10</w:t>
      </w:r>
      <w:r>
        <w:t>.</w:t>
      </w:r>
      <w:r>
        <w:rPr>
          <w:b w:val="0"/>
        </w:rPr>
        <w:tab/>
      </w:r>
      <w:r>
        <w:t>Tariff B1 (residential water heating tariff)</w:t>
      </w:r>
      <w:bookmarkEnd w:id="23"/>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23.0184</w:t>
      </w:r>
      <w:r>
        <w:t xml:space="preserve"> cents per day or, for multiple dwellings supplied through one metered supply point, a fixed charge at the rate of </w:t>
      </w:r>
      <w:r>
        <w:rPr>
          <w:szCs w:val="22"/>
        </w:rPr>
        <w:t>23.0184</w:t>
      </w:r>
      <w:r>
        <w:t xml:space="preserve"> cents per day for each dwelling; and</w:t>
      </w:r>
    </w:p>
    <w:p>
      <w:pPr>
        <w:pStyle w:val="yIndenta"/>
      </w:pPr>
      <w:r>
        <w:tab/>
        <w:t>(b)</w:t>
      </w:r>
      <w:r>
        <w:tab/>
        <w:t xml:space="preserve">a charge for metered consumption at the rate of </w:t>
      </w:r>
      <w:r>
        <w:rPr>
          <w:szCs w:val="22"/>
        </w:rPr>
        <w:t>15.1218</w:t>
      </w:r>
      <w:r>
        <w:t xml:space="preserve"> cents (being </w:t>
      </w:r>
      <w:r>
        <w:rPr>
          <w:szCs w:val="22"/>
        </w:rPr>
        <w:t>12.7163</w:t>
      </w:r>
      <w:r>
        <w:t xml:space="preserve"> cents plus the carbon component) per unit.</w:t>
      </w:r>
    </w:p>
    <w:p>
      <w:pPr>
        <w:pStyle w:val="yFootnotesection"/>
      </w:pPr>
      <w:r>
        <w:tab/>
        <w:t>[Clause 10 inserted in Gazette 30 Mar 2009 p. 990; amended in Gazette 26 Mar 2010 p. 1140; 24 Jun 2011 p. 2499</w:t>
      </w:r>
      <w:r>
        <w:noBreakHyphen/>
        <w:t>500; 29 Jun 2012 p. 2920; 14 Jun 2013 p. 2219; 27 Jun 2014 p. 2315.]</w:t>
      </w:r>
    </w:p>
    <w:p>
      <w:pPr>
        <w:pStyle w:val="yHeading5"/>
      </w:pPr>
      <w:bookmarkStart w:id="24" w:name="_Toc391912290"/>
      <w:r>
        <w:rPr>
          <w:rStyle w:val="CharSClsNo"/>
        </w:rPr>
        <w:t>11</w:t>
      </w:r>
      <w:r>
        <w:t>.</w:t>
      </w:r>
      <w:r>
        <w:rPr>
          <w:b w:val="0"/>
        </w:rPr>
        <w:tab/>
      </w:r>
      <w:r>
        <w:t>Tariff C1 (special community service tariff)</w:t>
      </w:r>
      <w:bookmarkEnd w:id="24"/>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spacing w:before="70"/>
      </w:pPr>
      <w:r>
        <w:tab/>
        <w:t>(a)</w:t>
      </w:r>
      <w:r>
        <w:tab/>
        <w:t xml:space="preserve">a fixed charge at the rate of </w:t>
      </w:r>
      <w:r>
        <w:rPr>
          <w:szCs w:val="22"/>
        </w:rPr>
        <w:t>40.7568</w:t>
      </w:r>
      <w:r>
        <w:t xml:space="preserve"> cents per day; and</w:t>
      </w:r>
    </w:p>
    <w:p>
      <w:pPr>
        <w:pStyle w:val="yIndenta"/>
        <w:spacing w:before="70"/>
      </w:pPr>
      <w:r>
        <w:tab/>
        <w:t>(b)</w:t>
      </w:r>
      <w:r>
        <w:tab/>
        <w:t>a charge for metered consumption at the rate of — </w:t>
      </w:r>
    </w:p>
    <w:p>
      <w:pPr>
        <w:pStyle w:val="yIndenti0"/>
        <w:spacing w:before="70"/>
      </w:pPr>
      <w:r>
        <w:tab/>
        <w:t>(i)</w:t>
      </w:r>
      <w:r>
        <w:tab/>
      </w:r>
      <w:r>
        <w:rPr>
          <w:szCs w:val="22"/>
        </w:rPr>
        <w:t>24.6214</w:t>
      </w:r>
      <w:r>
        <w:t xml:space="preserve"> cents (being </w:t>
      </w:r>
      <w:r>
        <w:rPr>
          <w:szCs w:val="22"/>
        </w:rPr>
        <w:t>22.2159</w:t>
      </w:r>
      <w:r>
        <w:t> cents plus the carbon component) per unit for the first 20 units per day; and</w:t>
      </w:r>
    </w:p>
    <w:p>
      <w:pPr>
        <w:pStyle w:val="yIndenti0"/>
        <w:spacing w:before="70"/>
      </w:pPr>
      <w:r>
        <w:tab/>
        <w:t>(ii)</w:t>
      </w:r>
      <w:r>
        <w:tab/>
      </w:r>
      <w:r>
        <w:rPr>
          <w:szCs w:val="22"/>
        </w:rPr>
        <w:t>30.2399</w:t>
      </w:r>
      <w:r>
        <w:t xml:space="preserve"> cents (being </w:t>
      </w:r>
      <w:r>
        <w:rPr>
          <w:szCs w:val="22"/>
        </w:rPr>
        <w:t>27.8344</w:t>
      </w:r>
      <w:r>
        <w:t xml:space="preserve"> cents plus the carbon component) per unit for the next 1 630 units per day; and</w:t>
      </w:r>
    </w:p>
    <w:p>
      <w:pPr>
        <w:pStyle w:val="yIndenti0"/>
        <w:spacing w:before="70"/>
      </w:pPr>
      <w:r>
        <w:tab/>
        <w:t>(iii)</w:t>
      </w:r>
      <w:r>
        <w:tab/>
      </w:r>
      <w:r>
        <w:rPr>
          <w:szCs w:val="22"/>
        </w:rPr>
        <w:t>27.5217</w:t>
      </w:r>
      <w:r>
        <w:t xml:space="preserve"> cents (being </w:t>
      </w:r>
      <w:r>
        <w:rPr>
          <w:szCs w:val="22"/>
        </w:rPr>
        <w:t>25.1162</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 14 Jun 2013 p. 2219; 27 Jun 2014 p. 2315.]</w:t>
      </w:r>
    </w:p>
    <w:p>
      <w:pPr>
        <w:pStyle w:val="yHeading5"/>
      </w:pPr>
      <w:bookmarkStart w:id="25" w:name="_Toc391912291"/>
      <w:r>
        <w:rPr>
          <w:rStyle w:val="CharSClsNo"/>
        </w:rPr>
        <w:t>12</w:t>
      </w:r>
      <w:r>
        <w:t>.</w:t>
      </w:r>
      <w:r>
        <w:rPr>
          <w:b w:val="0"/>
        </w:rPr>
        <w:tab/>
      </w:r>
      <w:r>
        <w:t>Tariff D1 (special tariff for certain premises)</w:t>
      </w:r>
      <w:bookmarkEnd w:id="25"/>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37.9691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29.4813</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23.1018</w:t>
      </w:r>
      <w:r>
        <w:t xml:space="preserve"> cents (being </w:t>
      </w:r>
      <w:r>
        <w:rPr>
          <w:szCs w:val="22"/>
        </w:rPr>
        <w:t>20.6963</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 14 Jun 2013 p. 2219; 27 Jun 2014 p. 2315.]</w:t>
      </w:r>
    </w:p>
    <w:p>
      <w:pPr>
        <w:pStyle w:val="yHeading5"/>
      </w:pPr>
      <w:bookmarkStart w:id="26" w:name="_Toc391912292"/>
      <w:r>
        <w:rPr>
          <w:rStyle w:val="CharSClsNo"/>
        </w:rPr>
        <w:t>13</w:t>
      </w:r>
      <w:r>
        <w:t>.</w:t>
      </w:r>
      <w:r>
        <w:rPr>
          <w:b w:val="0"/>
        </w:rPr>
        <w:tab/>
      </w:r>
      <w:r>
        <w:t>Tariff K1 (general supply with residential tariff)</w:t>
      </w:r>
      <w:bookmarkEnd w:id="2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45.1516</w:t>
      </w:r>
      <w:r>
        <w:t xml:space="preserve"> cents per day; and</w:t>
      </w:r>
    </w:p>
    <w:p>
      <w:pPr>
        <w:pStyle w:val="yIndenta"/>
      </w:pPr>
      <w:r>
        <w:tab/>
        <w:t>(b)</w:t>
      </w:r>
      <w:r>
        <w:tab/>
        <w:t>a charge for metered consumption at the rate of — </w:t>
      </w:r>
    </w:p>
    <w:p>
      <w:pPr>
        <w:pStyle w:val="yIndenti0"/>
      </w:pPr>
      <w:r>
        <w:tab/>
        <w:t>(i)</w:t>
      </w:r>
      <w:r>
        <w:tab/>
      </w:r>
      <w:r>
        <w:rPr>
          <w:szCs w:val="22"/>
        </w:rPr>
        <w:t>27.0016</w:t>
      </w:r>
      <w:r>
        <w:t xml:space="preserve"> cents (being </w:t>
      </w:r>
      <w:r>
        <w:rPr>
          <w:szCs w:val="22"/>
        </w:rPr>
        <w:t>24.5961</w:t>
      </w:r>
      <w:r>
        <w:t xml:space="preserve"> cents plus the carbon component) per unit for the first 20 units per day; and</w:t>
      </w:r>
    </w:p>
    <w:p>
      <w:pPr>
        <w:pStyle w:val="yIndenti0"/>
      </w:pPr>
      <w:r>
        <w:tab/>
        <w:t>(ii)</w:t>
      </w:r>
      <w:r>
        <w:tab/>
      </w:r>
      <w:r>
        <w:rPr>
          <w:szCs w:val="22"/>
        </w:rPr>
        <w:t>30.5658</w:t>
      </w:r>
      <w:r>
        <w:t xml:space="preserve"> cents (being </w:t>
      </w:r>
      <w:r>
        <w:rPr>
          <w:szCs w:val="22"/>
        </w:rPr>
        <w:t>28.1603</w:t>
      </w:r>
      <w:r>
        <w:t xml:space="preserve"> cents plus the carbon component) per unit for the next 1 630 units per day; and</w:t>
      </w:r>
    </w:p>
    <w:p>
      <w:pPr>
        <w:pStyle w:val="yIndenti0"/>
      </w:pPr>
      <w:r>
        <w:tab/>
        <w:t>(iii)</w:t>
      </w:r>
      <w:r>
        <w:tab/>
      </w:r>
      <w:r>
        <w:rPr>
          <w:szCs w:val="22"/>
        </w:rPr>
        <w:t>27.8157</w:t>
      </w:r>
      <w:r>
        <w:t xml:space="preserve"> cents (being </w:t>
      </w:r>
      <w:r>
        <w:rPr>
          <w:szCs w:val="22"/>
        </w:rPr>
        <w:t>25.4102</w:t>
      </w:r>
      <w:r>
        <w:t xml:space="preserve">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 14 Jun 2013 p. 2219; 27 Jun 2014 p. 2315</w:t>
      </w:r>
      <w:r>
        <w:noBreakHyphen/>
        <w:t>16.]</w:t>
      </w:r>
    </w:p>
    <w:p>
      <w:pPr>
        <w:pStyle w:val="yEdnotesection"/>
      </w:pPr>
      <w:r>
        <w:t>[</w:t>
      </w:r>
      <w:r>
        <w:rPr>
          <w:b/>
        </w:rPr>
        <w:t>14.</w:t>
      </w:r>
      <w:r>
        <w:tab/>
        <w:t>Deleted in Gazette 30 Aug 2013 p. 4099.]</w:t>
      </w:r>
    </w:p>
    <w:p>
      <w:pPr>
        <w:rPr>
          <w:u w:val="words"/>
        </w:rPr>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pPr>
        <w:pStyle w:val="yScheduleHeading"/>
      </w:pPr>
      <w:bookmarkStart w:id="27" w:name="_Toc391912293"/>
      <w:r>
        <w:rPr>
          <w:rStyle w:val="CharSchNo"/>
        </w:rPr>
        <w:t>Schedule 2A</w:t>
      </w:r>
      <w:r>
        <w:t> — </w:t>
      </w:r>
      <w:r>
        <w:rPr>
          <w:rStyle w:val="CharSchText"/>
        </w:rPr>
        <w:t>Carbon components</w:t>
      </w:r>
      <w:bookmarkEnd w:id="27"/>
    </w:p>
    <w:p>
      <w:pPr>
        <w:pStyle w:val="yShoulderClause"/>
      </w:pPr>
      <w:r>
        <w:t>[bl. 4A(2)]</w:t>
      </w:r>
    </w:p>
    <w:p>
      <w:pPr>
        <w:pStyle w:val="yFootnoteheading"/>
        <w:spacing w:after="120"/>
      </w:pPr>
      <w:r>
        <w:tab/>
        <w:t>[Heading inserted in Gazette 14 Jun 2013 p. 2220.]</w:t>
      </w:r>
    </w:p>
    <w:p>
      <w:pPr>
        <w:pStyle w:val="yHeading3"/>
      </w:pPr>
      <w:bookmarkStart w:id="28" w:name="_Toc391912294"/>
      <w:r>
        <w:rPr>
          <w:rStyle w:val="CharSDivNo"/>
        </w:rPr>
        <w:t>Division 1</w:t>
      </w:r>
      <w:r>
        <w:rPr>
          <w:b w:val="0"/>
        </w:rPr>
        <w:t> — </w:t>
      </w:r>
      <w:r>
        <w:rPr>
          <w:rStyle w:val="CharSDivText"/>
        </w:rPr>
        <w:t>Schedule 1 provisions</w:t>
      </w:r>
      <w:bookmarkEnd w:id="28"/>
    </w:p>
    <w:p>
      <w:pPr>
        <w:pStyle w:val="yFootnoteheading"/>
        <w:spacing w:after="120"/>
      </w:pPr>
      <w:r>
        <w:tab/>
        <w:t>[Heading inserted in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jc w:val="center"/>
            </w:pPr>
            <w:r>
              <w:rPr>
                <w:b/>
              </w:rPr>
              <w:t>Carbon components</w:t>
            </w:r>
          </w:p>
        </w:tc>
      </w:tr>
      <w:tr>
        <w:tc>
          <w:tcPr>
            <w:tcW w:w="3544" w:type="dxa"/>
          </w:tcPr>
          <w:p>
            <w:pPr>
              <w:pStyle w:val="yTableNAm"/>
            </w:pPr>
            <w:r>
              <w:t>Sch. 1 cl. 1(2)(b)(i) and (ii)</w:t>
            </w:r>
          </w:p>
        </w:tc>
        <w:tc>
          <w:tcPr>
            <w:tcW w:w="2693" w:type="dxa"/>
          </w:tcPr>
          <w:p>
            <w:pPr>
              <w:pStyle w:val="yTableNAm"/>
              <w:jc w:val="center"/>
            </w:pPr>
            <w:r>
              <w:t>2.4055 cents</w:t>
            </w:r>
          </w:p>
        </w:tc>
      </w:tr>
      <w:tr>
        <w:tc>
          <w:tcPr>
            <w:tcW w:w="3544" w:type="dxa"/>
          </w:tcPr>
          <w:p>
            <w:pPr>
              <w:pStyle w:val="yTableNAm"/>
            </w:pPr>
            <w:r>
              <w:t>Sch. 1 cl. 2(2)(b)(i) and (ii)</w:t>
            </w:r>
          </w:p>
        </w:tc>
        <w:tc>
          <w:tcPr>
            <w:tcW w:w="2693" w:type="dxa"/>
          </w:tcPr>
          <w:p>
            <w:pPr>
              <w:pStyle w:val="yTableNAm"/>
              <w:jc w:val="center"/>
            </w:pPr>
            <w:r>
              <w:t>2.4055 cents</w:t>
            </w:r>
          </w:p>
        </w:tc>
      </w:tr>
      <w:tr>
        <w:tc>
          <w:tcPr>
            <w:tcW w:w="3544" w:type="dxa"/>
          </w:tcPr>
          <w:p>
            <w:pPr>
              <w:pStyle w:val="yTableNAm"/>
            </w:pPr>
            <w:r>
              <w:t>Sch. 1 cl. 3(2)(b)(i) and (ii)</w:t>
            </w:r>
          </w:p>
        </w:tc>
        <w:tc>
          <w:tcPr>
            <w:tcW w:w="2693" w:type="dxa"/>
          </w:tcPr>
          <w:p>
            <w:pPr>
              <w:pStyle w:val="yTableNAm"/>
              <w:jc w:val="center"/>
            </w:pPr>
            <w:r>
              <w:t>2.4055 cents</w:t>
            </w:r>
          </w:p>
        </w:tc>
      </w:tr>
      <w:tr>
        <w:tc>
          <w:tcPr>
            <w:tcW w:w="3544" w:type="dxa"/>
          </w:tcPr>
          <w:p>
            <w:pPr>
              <w:pStyle w:val="yTableNAm"/>
            </w:pPr>
            <w:r>
              <w:t>Sch. 1 cl. 4(1)(b)(i) and (ii)</w:t>
            </w:r>
          </w:p>
        </w:tc>
        <w:tc>
          <w:tcPr>
            <w:tcW w:w="2693" w:type="dxa"/>
          </w:tcPr>
          <w:p>
            <w:pPr>
              <w:pStyle w:val="yTableNAm"/>
              <w:jc w:val="center"/>
            </w:pPr>
            <w:r>
              <w:t>2.4055 cents</w:t>
            </w:r>
          </w:p>
        </w:tc>
      </w:tr>
      <w:tr>
        <w:tc>
          <w:tcPr>
            <w:tcW w:w="3544" w:type="dxa"/>
          </w:tcPr>
          <w:p>
            <w:pPr>
              <w:pStyle w:val="yTableNAm"/>
            </w:pPr>
            <w:r>
              <w:t>Sch. 1 cl. 5(1)(b)(i) and (ii)</w:t>
            </w:r>
          </w:p>
        </w:tc>
        <w:tc>
          <w:tcPr>
            <w:tcW w:w="2693" w:type="dxa"/>
          </w:tcPr>
          <w:p>
            <w:pPr>
              <w:pStyle w:val="yTableNAm"/>
              <w:jc w:val="center"/>
            </w:pPr>
            <w:r>
              <w:t>2.4055 cents</w:t>
            </w:r>
          </w:p>
        </w:tc>
      </w:tr>
      <w:tr>
        <w:tc>
          <w:tcPr>
            <w:tcW w:w="3544" w:type="dxa"/>
          </w:tcPr>
          <w:p>
            <w:pPr>
              <w:pStyle w:val="yTableNAm"/>
            </w:pPr>
            <w:r>
              <w:t>Sch. 1 cl. 6(2)(c)(i) and (ii)</w:t>
            </w:r>
          </w:p>
        </w:tc>
        <w:tc>
          <w:tcPr>
            <w:tcW w:w="2693" w:type="dxa"/>
          </w:tcPr>
          <w:p>
            <w:pPr>
              <w:pStyle w:val="yTableNAm"/>
              <w:jc w:val="center"/>
            </w:pPr>
            <w:r>
              <w:t>2.4055 cents</w:t>
            </w:r>
          </w:p>
        </w:tc>
      </w:tr>
      <w:tr>
        <w:tc>
          <w:tcPr>
            <w:tcW w:w="3544" w:type="dxa"/>
          </w:tcPr>
          <w:p>
            <w:pPr>
              <w:pStyle w:val="yTableNAm"/>
            </w:pPr>
            <w:r>
              <w:t>Sch. 1 cl. 7(2)(c)(i) and (ii)</w:t>
            </w:r>
          </w:p>
        </w:tc>
        <w:tc>
          <w:tcPr>
            <w:tcW w:w="2693" w:type="dxa"/>
          </w:tcPr>
          <w:p>
            <w:pPr>
              <w:pStyle w:val="yTableNAm"/>
              <w:jc w:val="center"/>
            </w:pPr>
            <w:r>
              <w:t>2.4055 cents</w:t>
            </w:r>
          </w:p>
        </w:tc>
      </w:tr>
      <w:tr>
        <w:tc>
          <w:tcPr>
            <w:tcW w:w="3544" w:type="dxa"/>
          </w:tcPr>
          <w:p>
            <w:pPr>
              <w:pStyle w:val="yTableNAm"/>
            </w:pPr>
            <w:r>
              <w:t>Sch. 1 cl. 9(2)(b)</w:t>
            </w:r>
          </w:p>
        </w:tc>
        <w:tc>
          <w:tcPr>
            <w:tcW w:w="2693" w:type="dxa"/>
          </w:tcPr>
          <w:p>
            <w:pPr>
              <w:pStyle w:val="yTableNAm"/>
              <w:jc w:val="center"/>
            </w:pPr>
            <w:r>
              <w:t>2.4055 cents</w:t>
            </w:r>
          </w:p>
        </w:tc>
      </w:tr>
      <w:tr>
        <w:tc>
          <w:tcPr>
            <w:tcW w:w="3544" w:type="dxa"/>
          </w:tcPr>
          <w:p>
            <w:pPr>
              <w:pStyle w:val="yTableNAm"/>
            </w:pPr>
            <w:r>
              <w:t>Sch. 1 cl. 10(2)(b)</w:t>
            </w:r>
          </w:p>
        </w:tc>
        <w:tc>
          <w:tcPr>
            <w:tcW w:w="2693" w:type="dxa"/>
          </w:tcPr>
          <w:p>
            <w:pPr>
              <w:pStyle w:val="yTableNAm"/>
              <w:jc w:val="center"/>
            </w:pPr>
            <w:r>
              <w:t>2.4055 cents</w:t>
            </w:r>
          </w:p>
        </w:tc>
      </w:tr>
      <w:tr>
        <w:tc>
          <w:tcPr>
            <w:tcW w:w="3544" w:type="dxa"/>
          </w:tcPr>
          <w:p>
            <w:pPr>
              <w:pStyle w:val="yTableNAm"/>
            </w:pPr>
            <w:r>
              <w:t>Sch. 1 cl. 11(2)(b)(i), (ii) and (iii)</w:t>
            </w:r>
          </w:p>
        </w:tc>
        <w:tc>
          <w:tcPr>
            <w:tcW w:w="2693" w:type="dxa"/>
          </w:tcPr>
          <w:p>
            <w:pPr>
              <w:pStyle w:val="yTableNAm"/>
              <w:jc w:val="center"/>
            </w:pPr>
            <w:r>
              <w:t>2.4055 cents</w:t>
            </w:r>
          </w:p>
        </w:tc>
      </w:tr>
      <w:tr>
        <w:tc>
          <w:tcPr>
            <w:tcW w:w="3544" w:type="dxa"/>
          </w:tcPr>
          <w:p>
            <w:pPr>
              <w:pStyle w:val="yTableNAm"/>
            </w:pPr>
            <w:r>
              <w:t>Sch. 1 cl. 12(2)(c)</w:t>
            </w:r>
          </w:p>
        </w:tc>
        <w:tc>
          <w:tcPr>
            <w:tcW w:w="2693" w:type="dxa"/>
          </w:tcPr>
          <w:p>
            <w:pPr>
              <w:pStyle w:val="yTableNAm"/>
              <w:jc w:val="center"/>
            </w:pPr>
            <w:r>
              <w:t>2.4055 cents</w:t>
            </w:r>
          </w:p>
        </w:tc>
      </w:tr>
      <w:tr>
        <w:tc>
          <w:tcPr>
            <w:tcW w:w="3544" w:type="dxa"/>
          </w:tcPr>
          <w:p>
            <w:pPr>
              <w:pStyle w:val="yTableNAm"/>
            </w:pPr>
            <w:r>
              <w:t>Sch. 1 cl. 13(2)(b)(i), (ii) and (iii)</w:t>
            </w:r>
          </w:p>
        </w:tc>
        <w:tc>
          <w:tcPr>
            <w:tcW w:w="2693" w:type="dxa"/>
          </w:tcPr>
          <w:p>
            <w:pPr>
              <w:pStyle w:val="yTableNAm"/>
              <w:jc w:val="center"/>
            </w:pPr>
            <w:r>
              <w:t>2.4055 cents</w:t>
            </w:r>
          </w:p>
        </w:tc>
      </w:tr>
    </w:tbl>
    <w:p>
      <w:pPr>
        <w:pStyle w:val="yFootnotesection"/>
      </w:pPr>
      <w:r>
        <w:tab/>
        <w:t>[Division 1 inserted in Gazette 14 Jun 2013 p. 2220; amended in Gazette 30 Aug 2013 p. 4099; 27 Jun 2014 p. 2316.]</w:t>
      </w:r>
    </w:p>
    <w:p>
      <w:pPr>
        <w:pStyle w:val="yHeading3"/>
      </w:pPr>
      <w:bookmarkStart w:id="29" w:name="_Toc391912295"/>
      <w:r>
        <w:rPr>
          <w:rStyle w:val="CharSDivNo"/>
        </w:rPr>
        <w:t>Division 2</w:t>
      </w:r>
      <w:r>
        <w:rPr>
          <w:b w:val="0"/>
        </w:rPr>
        <w:t> — </w:t>
      </w:r>
      <w:r>
        <w:rPr>
          <w:rStyle w:val="CharSDivText"/>
        </w:rPr>
        <w:t>Schedule 2 provisions</w:t>
      </w:r>
      <w:bookmarkEnd w:id="29"/>
    </w:p>
    <w:p>
      <w:pPr>
        <w:pStyle w:val="yFootnoteheading"/>
        <w:keepNext/>
        <w:spacing w:after="120"/>
      </w:pPr>
      <w:r>
        <w:tab/>
        <w:t>[Heading inserted in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$0.5773</w:t>
            </w:r>
          </w:p>
        </w:tc>
      </w:tr>
      <w:tr>
        <w:tc>
          <w:tcPr>
            <w:tcW w:w="3118" w:type="dxa"/>
          </w:tcPr>
          <w:p>
            <w:pPr>
              <w:pStyle w:val="yTableNAm"/>
            </w:pPr>
            <w:r>
              <w:t>Sch. 2 Div. 2 cl. 2</w:t>
            </w:r>
          </w:p>
        </w:tc>
        <w:tc>
          <w:tcPr>
            <w:tcW w:w="3119" w:type="dxa"/>
          </w:tcPr>
          <w:p>
            <w:pPr>
              <w:pStyle w:val="yTableNAm"/>
            </w:pPr>
            <w:r>
              <w:t>3.0044 cents</w:t>
            </w:r>
          </w:p>
        </w:tc>
      </w:tr>
      <w:tr>
        <w:tc>
          <w:tcPr>
            <w:tcW w:w="3118" w:type="dxa"/>
          </w:tcPr>
          <w:p>
            <w:pPr>
              <w:pStyle w:val="yTableNAm"/>
            </w:pPr>
            <w:r>
              <w:t>Sch. 2 Div. 2 cl. 3</w:t>
            </w:r>
          </w:p>
        </w:tc>
        <w:tc>
          <w:tcPr>
            <w:tcW w:w="3119" w:type="dxa"/>
          </w:tcPr>
          <w:p>
            <w:pPr>
              <w:pStyle w:val="yTableNAm"/>
            </w:pPr>
            <w:r>
              <w:t>1.3326 cents</w:t>
            </w:r>
          </w:p>
        </w:tc>
      </w:tr>
    </w:tbl>
    <w:p>
      <w:pPr>
        <w:pStyle w:val="yFootnotesection"/>
      </w:pPr>
      <w:r>
        <w:tab/>
        <w:t>[Division 2 inserted in Gazette 30 Aug 2013 p. 4099; amended in Gazette 27 Jun 2014 p. 2316.]</w:t>
      </w:r>
    </w:p>
    <w:p>
      <w:pPr>
        <w:pStyle w:val="yScheduleHeading"/>
      </w:pPr>
      <w:bookmarkStart w:id="30" w:name="_Toc391912296"/>
      <w:r>
        <w:rPr>
          <w:rStyle w:val="CharSchNo"/>
        </w:rPr>
        <w:t>Schedule 2</w:t>
      </w:r>
      <w:r>
        <w:t> — </w:t>
      </w:r>
      <w:r>
        <w:rPr>
          <w:rStyle w:val="CharSchText"/>
        </w:rPr>
        <w:t>Unmetered supply</w:t>
      </w:r>
      <w:bookmarkEnd w:id="30"/>
    </w:p>
    <w:p>
      <w:pPr>
        <w:pStyle w:val="yShoulderClause"/>
      </w:pPr>
      <w:r>
        <w:rPr>
          <w:szCs w:val="22"/>
        </w:rPr>
        <w:t>[bl. 4(2) and (3)]</w:t>
      </w:r>
    </w:p>
    <w:p>
      <w:pPr>
        <w:pStyle w:val="yFootnoteheading"/>
        <w:spacing w:after="120"/>
      </w:pPr>
      <w:r>
        <w:tab/>
        <w:t>[Heading inserted in Gazette 30 Aug 2013 p. 4099-100.]</w:t>
      </w:r>
    </w:p>
    <w:p>
      <w:pPr>
        <w:pStyle w:val="yHeading3"/>
      </w:pPr>
      <w:bookmarkStart w:id="31" w:name="_Toc391912297"/>
      <w:r>
        <w:rPr>
          <w:rStyle w:val="CharSDivNo"/>
        </w:rPr>
        <w:t>Division 1</w:t>
      </w:r>
      <w:r>
        <w:t> — </w:t>
      </w:r>
      <w:r>
        <w:rPr>
          <w:rStyle w:val="CharSDivText"/>
        </w:rPr>
        <w:t>Street lighting</w:t>
      </w:r>
      <w:bookmarkEnd w:id="31"/>
    </w:p>
    <w:p>
      <w:pPr>
        <w:pStyle w:val="yFootnoteheading"/>
        <w:spacing w:after="120"/>
      </w:pPr>
      <w:r>
        <w:tab/>
        <w:t>[Heading inserted in Gazette 27 Jun 2014 p. 2316.]</w:t>
      </w:r>
    </w:p>
    <w:tbl>
      <w:tblPr>
        <w:tblW w:w="6962" w:type="dxa"/>
        <w:tblInd w:w="196" w:type="dxa"/>
        <w:tblLayout w:type="fixed"/>
        <w:tblCellMar>
          <w:left w:w="70" w:type="dxa"/>
          <w:right w:w="70" w:type="dxa"/>
        </w:tblCellMar>
        <w:tblLook w:val="0000" w:firstRow="0" w:lastRow="0" w:firstColumn="0" w:lastColumn="0" w:noHBand="0" w:noVBand="0"/>
      </w:tblPr>
      <w:tblGrid>
        <w:gridCol w:w="16"/>
        <w:gridCol w:w="567"/>
        <w:gridCol w:w="747"/>
        <w:gridCol w:w="954"/>
        <w:gridCol w:w="1654"/>
        <w:gridCol w:w="1512"/>
        <w:gridCol w:w="1512"/>
      </w:tblGrid>
      <w:tr>
        <w:trPr>
          <w:cantSplit/>
          <w:tblHeader/>
        </w:trPr>
        <w:tc>
          <w:tcPr>
            <w:tcW w:w="583" w:type="dxa"/>
            <w:gridSpan w:val="2"/>
            <w:tcBorders>
              <w:top w:val="single" w:sz="4" w:space="0" w:color="auto"/>
              <w:bottom w:val="single" w:sz="4" w:space="0" w:color="auto"/>
            </w:tcBorders>
          </w:tcPr>
          <w:p>
            <w:pPr>
              <w:pStyle w:val="yTableNAm"/>
              <w:rPr>
                <w:b/>
                <w:bCs/>
                <w:sz w:val="16"/>
                <w:szCs w:val="16"/>
              </w:rPr>
            </w:pPr>
            <w:r>
              <w:rPr>
                <w:b/>
                <w:bCs/>
                <w:sz w:val="16"/>
                <w:szCs w:val="16"/>
              </w:rPr>
              <w:t>Item</w:t>
            </w:r>
          </w:p>
        </w:tc>
        <w:tc>
          <w:tcPr>
            <w:tcW w:w="747" w:type="dxa"/>
            <w:tcBorders>
              <w:top w:val="single" w:sz="4" w:space="0" w:color="auto"/>
              <w:bottom w:val="single" w:sz="4" w:space="0" w:color="auto"/>
            </w:tcBorders>
          </w:tcPr>
          <w:p>
            <w:pPr>
              <w:pStyle w:val="yTableNAm"/>
              <w:rPr>
                <w:b/>
                <w:bCs/>
                <w:sz w:val="16"/>
                <w:szCs w:val="16"/>
              </w:rPr>
            </w:pPr>
            <w:r>
              <w:rPr>
                <w:b/>
                <w:bCs/>
                <w:sz w:val="16"/>
                <w:szCs w:val="16"/>
              </w:rPr>
              <w:t>Wattage</w:t>
            </w:r>
          </w:p>
        </w:tc>
        <w:tc>
          <w:tcPr>
            <w:tcW w:w="954" w:type="dxa"/>
            <w:tcBorders>
              <w:top w:val="single" w:sz="4" w:space="0" w:color="auto"/>
              <w:bottom w:val="single" w:sz="4" w:space="0" w:color="auto"/>
            </w:tcBorders>
          </w:tcPr>
          <w:p>
            <w:pPr>
              <w:pStyle w:val="yTableNAm"/>
              <w:ind w:left="-14" w:right="-26"/>
              <w:rPr>
                <w:b/>
                <w:bCs/>
                <w:sz w:val="16"/>
                <w:szCs w:val="16"/>
              </w:rPr>
            </w:pPr>
            <w:r>
              <w:rPr>
                <w:b/>
                <w:bCs/>
                <w:sz w:val="16"/>
                <w:szCs w:val="16"/>
              </w:rPr>
              <w:t>Type</w:t>
            </w:r>
          </w:p>
        </w:tc>
        <w:tc>
          <w:tcPr>
            <w:tcW w:w="1654" w:type="dxa"/>
            <w:tcBorders>
              <w:top w:val="single" w:sz="4" w:space="0" w:color="auto"/>
              <w:bottom w:val="single" w:sz="4" w:space="0" w:color="auto"/>
            </w:tcBorders>
          </w:tcPr>
          <w:p>
            <w:pPr>
              <w:pStyle w:val="yTableNAm"/>
              <w:rPr>
                <w:b/>
                <w:bCs/>
                <w:sz w:val="16"/>
                <w:szCs w:val="16"/>
              </w:rPr>
            </w:pPr>
            <w:r>
              <w:rPr>
                <w:b/>
                <w:bCs/>
                <w:sz w:val="16"/>
                <w:szCs w:val="16"/>
              </w:rPr>
              <w:t>Midnight Switch</w:t>
            </w:r>
            <w:r>
              <w:rPr>
                <w:b/>
                <w:bCs/>
                <w:sz w:val="16"/>
                <w:szCs w:val="16"/>
              </w:rPr>
              <w:noBreakHyphen/>
              <w:t xml:space="preserve">off (Obsolescent) </w:t>
            </w:r>
            <w:r>
              <w:rPr>
                <w:b/>
                <w:bCs/>
                <w:sz w:val="16"/>
                <w:szCs w:val="16"/>
              </w:rPr>
              <w:br/>
              <w:t>Cents per day</w:t>
            </w:r>
          </w:p>
        </w:tc>
        <w:tc>
          <w:tcPr>
            <w:tcW w:w="1512" w:type="dxa"/>
            <w:tcBorders>
              <w:top w:val="single" w:sz="4" w:space="0" w:color="auto"/>
              <w:bottom w:val="single" w:sz="4" w:space="0" w:color="auto"/>
            </w:tcBorders>
          </w:tcPr>
          <w:p>
            <w:pPr>
              <w:pStyle w:val="yTableNAm"/>
              <w:rPr>
                <w:b/>
                <w:bCs/>
                <w:sz w:val="16"/>
                <w:szCs w:val="16"/>
              </w:rPr>
            </w:pPr>
            <w:r>
              <w:rPr>
                <w:b/>
                <w:bCs/>
                <w:sz w:val="16"/>
                <w:szCs w:val="16"/>
              </w:rPr>
              <w:t>1.15 a.m. Switch</w:t>
            </w:r>
            <w:r>
              <w:rPr>
                <w:b/>
                <w:bCs/>
                <w:sz w:val="16"/>
                <w:szCs w:val="16"/>
              </w:rPr>
              <w:noBreakHyphen/>
              <w:t>off Cents per day</w:t>
            </w:r>
          </w:p>
        </w:tc>
        <w:tc>
          <w:tcPr>
            <w:tcW w:w="1512" w:type="dxa"/>
            <w:tcBorders>
              <w:top w:val="single" w:sz="4" w:space="0" w:color="auto"/>
              <w:bottom w:val="single" w:sz="4" w:space="0" w:color="auto"/>
            </w:tcBorders>
          </w:tcPr>
          <w:p>
            <w:pPr>
              <w:pStyle w:val="yTableNAm"/>
              <w:rPr>
                <w:b/>
                <w:bCs/>
                <w:sz w:val="16"/>
                <w:szCs w:val="16"/>
              </w:rPr>
            </w:pPr>
            <w:r>
              <w:rPr>
                <w:b/>
                <w:bCs/>
                <w:sz w:val="16"/>
                <w:szCs w:val="16"/>
              </w:rPr>
              <w:t>Dawn Switch</w:t>
            </w:r>
            <w:r>
              <w:rPr>
                <w:b/>
                <w:bCs/>
                <w:sz w:val="16"/>
                <w:szCs w:val="16"/>
              </w:rPr>
              <w:noBreakHyphen/>
              <w:t>off Cents per day</w:t>
            </w:r>
          </w:p>
        </w:tc>
      </w:tr>
      <w:tr>
        <w:trPr>
          <w:gridBefore w:val="1"/>
          <w:wBefore w:w="16" w:type="dxa"/>
          <w:cantSplit/>
        </w:trPr>
        <w:tc>
          <w:tcPr>
            <w:tcW w:w="6946" w:type="dxa"/>
            <w:gridSpan w:val="6"/>
          </w:tcPr>
          <w:p>
            <w:pPr>
              <w:pStyle w:val="yTableNAm"/>
              <w:ind w:left="-14" w:right="-26"/>
            </w:pPr>
            <w:r>
              <w:rPr>
                <w:b/>
                <w:i/>
                <w:iCs/>
                <w:sz w:val="16"/>
                <w:szCs w:val="16"/>
              </w:rPr>
              <w:t>Street lighting on current offer and for existing services</w:t>
            </w:r>
          </w:p>
        </w:tc>
      </w:tr>
      <w:tr>
        <w:trPr>
          <w:gridBefore w:val="1"/>
          <w:wBefore w:w="16" w:type="dxa"/>
          <w:cantSplit/>
        </w:trPr>
        <w:tc>
          <w:tcPr>
            <w:tcW w:w="567" w:type="dxa"/>
          </w:tcPr>
          <w:p>
            <w:pPr>
              <w:pStyle w:val="yTableNAm"/>
            </w:pPr>
            <w:r>
              <w:rPr>
                <w:sz w:val="16"/>
                <w:szCs w:val="16"/>
              </w:rPr>
              <w:t>Z.01</w:t>
            </w:r>
          </w:p>
        </w:tc>
        <w:tc>
          <w:tcPr>
            <w:tcW w:w="747" w:type="dxa"/>
          </w:tcPr>
          <w:p>
            <w:pPr>
              <w:pStyle w:val="yTableNAm"/>
            </w:pPr>
            <w:r>
              <w:rPr>
                <w:sz w:val="16"/>
                <w:szCs w:val="16"/>
              </w:rPr>
              <w:t>50</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33.4494</w:t>
            </w:r>
            <w:r>
              <w:rPr>
                <w:sz w:val="16"/>
                <w:szCs w:val="16"/>
              </w:rPr>
              <w:br/>
              <w:t>(includes carbon component of  0.6423)</w:t>
            </w:r>
          </w:p>
        </w:tc>
        <w:tc>
          <w:tcPr>
            <w:tcW w:w="1512" w:type="dxa"/>
          </w:tcPr>
          <w:p>
            <w:pPr>
              <w:pStyle w:val="yTableNAm"/>
            </w:pPr>
            <w:r>
              <w:rPr>
                <w:sz w:val="16"/>
                <w:szCs w:val="16"/>
              </w:rPr>
              <w:t>34.3022</w:t>
            </w:r>
            <w:r>
              <w:rPr>
                <w:sz w:val="16"/>
                <w:szCs w:val="16"/>
              </w:rPr>
              <w:br/>
              <w:t>(includes carbon component of  0.7926)</w:t>
            </w:r>
          </w:p>
        </w:tc>
        <w:tc>
          <w:tcPr>
            <w:tcW w:w="1512" w:type="dxa"/>
          </w:tcPr>
          <w:p>
            <w:pPr>
              <w:pStyle w:val="yTableNAm"/>
            </w:pPr>
            <w:r>
              <w:rPr>
                <w:sz w:val="16"/>
                <w:szCs w:val="16"/>
              </w:rPr>
              <w:t>37.4083</w:t>
            </w:r>
            <w:r>
              <w:rPr>
                <w:sz w:val="16"/>
                <w:szCs w:val="16"/>
              </w:rPr>
              <w:br/>
              <w:t>(includes carbon component of  1.3603)</w:t>
            </w:r>
          </w:p>
        </w:tc>
      </w:tr>
      <w:tr>
        <w:trPr>
          <w:gridBefore w:val="1"/>
          <w:wBefore w:w="16" w:type="dxa"/>
          <w:cantSplit/>
        </w:trPr>
        <w:tc>
          <w:tcPr>
            <w:tcW w:w="567" w:type="dxa"/>
          </w:tcPr>
          <w:p>
            <w:pPr>
              <w:pStyle w:val="yTableNAm"/>
            </w:pPr>
            <w:r>
              <w:rPr>
                <w:sz w:val="16"/>
                <w:szCs w:val="16"/>
              </w:rPr>
              <w:t>Z.02</w:t>
            </w:r>
          </w:p>
        </w:tc>
        <w:tc>
          <w:tcPr>
            <w:tcW w:w="747" w:type="dxa"/>
          </w:tcPr>
          <w:p>
            <w:pPr>
              <w:pStyle w:val="yTableNAm"/>
            </w:pPr>
            <w:r>
              <w:rPr>
                <w:sz w:val="16"/>
                <w:szCs w:val="16"/>
              </w:rPr>
              <w:t>80</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39.6617</w:t>
            </w:r>
            <w:r>
              <w:rPr>
                <w:sz w:val="16"/>
                <w:szCs w:val="16"/>
              </w:rPr>
              <w:br/>
              <w:t>(includes carbon component of  1.0276)</w:t>
            </w:r>
          </w:p>
        </w:tc>
        <w:tc>
          <w:tcPr>
            <w:tcW w:w="1512" w:type="dxa"/>
          </w:tcPr>
          <w:p>
            <w:pPr>
              <w:pStyle w:val="yTableNAm"/>
            </w:pPr>
            <w:r>
              <w:rPr>
                <w:sz w:val="16"/>
                <w:szCs w:val="16"/>
              </w:rPr>
              <w:t>40.7645</w:t>
            </w:r>
            <w:r>
              <w:rPr>
                <w:sz w:val="16"/>
                <w:szCs w:val="16"/>
              </w:rPr>
              <w:br/>
              <w:t>(includes carbon component of  1.2682)</w:t>
            </w:r>
          </w:p>
        </w:tc>
        <w:tc>
          <w:tcPr>
            <w:tcW w:w="1512" w:type="dxa"/>
          </w:tcPr>
          <w:p>
            <w:pPr>
              <w:pStyle w:val="yTableNAm"/>
            </w:pPr>
            <w:r>
              <w:rPr>
                <w:sz w:val="16"/>
                <w:szCs w:val="16"/>
              </w:rPr>
              <w:t>45.6320</w:t>
            </w:r>
            <w:r>
              <w:rPr>
                <w:sz w:val="16"/>
                <w:szCs w:val="16"/>
              </w:rPr>
              <w:br/>
              <w:t>(includes carbon component of  2.1765)</w:t>
            </w:r>
          </w:p>
        </w:tc>
      </w:tr>
      <w:tr>
        <w:trPr>
          <w:gridBefore w:val="1"/>
          <w:wBefore w:w="16" w:type="dxa"/>
          <w:cantSplit/>
        </w:trPr>
        <w:tc>
          <w:tcPr>
            <w:tcW w:w="567" w:type="dxa"/>
          </w:tcPr>
          <w:p>
            <w:pPr>
              <w:pStyle w:val="yTableNAm"/>
            </w:pPr>
            <w:r>
              <w:rPr>
                <w:sz w:val="16"/>
                <w:szCs w:val="16"/>
              </w:rPr>
              <w:t>Z.03</w:t>
            </w:r>
          </w:p>
        </w:tc>
        <w:tc>
          <w:tcPr>
            <w:tcW w:w="747" w:type="dxa"/>
          </w:tcPr>
          <w:p>
            <w:pPr>
              <w:pStyle w:val="yTableNAm"/>
            </w:pPr>
            <w:r>
              <w:rPr>
                <w:sz w:val="16"/>
                <w:szCs w:val="16"/>
              </w:rPr>
              <w:t>125</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49.3876</w:t>
            </w:r>
            <w:r>
              <w:rPr>
                <w:sz w:val="16"/>
                <w:szCs w:val="16"/>
              </w:rPr>
              <w:br/>
              <w:t>(includes carbon component of  1.6057)</w:t>
            </w:r>
          </w:p>
        </w:tc>
        <w:tc>
          <w:tcPr>
            <w:tcW w:w="1512" w:type="dxa"/>
          </w:tcPr>
          <w:p>
            <w:pPr>
              <w:pStyle w:val="yTableNAm"/>
            </w:pPr>
            <w:r>
              <w:rPr>
                <w:sz w:val="16"/>
                <w:szCs w:val="16"/>
              </w:rPr>
              <w:t>51.3120</w:t>
            </w:r>
            <w:r>
              <w:rPr>
                <w:sz w:val="16"/>
                <w:szCs w:val="16"/>
              </w:rPr>
              <w:br/>
              <w:t>(includes carbon component of  1.9815)</w:t>
            </w:r>
          </w:p>
        </w:tc>
        <w:tc>
          <w:tcPr>
            <w:tcW w:w="1512" w:type="dxa"/>
          </w:tcPr>
          <w:p>
            <w:pPr>
              <w:pStyle w:val="yTableNAm"/>
            </w:pPr>
            <w:r>
              <w:rPr>
                <w:sz w:val="16"/>
                <w:szCs w:val="16"/>
              </w:rPr>
              <w:t>58.3188</w:t>
            </w:r>
            <w:r>
              <w:rPr>
                <w:sz w:val="16"/>
                <w:szCs w:val="16"/>
              </w:rPr>
              <w:br/>
              <w:t>(includes carbon component of  3.4007)</w:t>
            </w:r>
          </w:p>
        </w:tc>
      </w:tr>
      <w:tr>
        <w:trPr>
          <w:gridBefore w:val="1"/>
          <w:wBefore w:w="16" w:type="dxa"/>
          <w:cantSplit/>
        </w:trPr>
        <w:tc>
          <w:tcPr>
            <w:tcW w:w="567" w:type="dxa"/>
          </w:tcPr>
          <w:p>
            <w:pPr>
              <w:pStyle w:val="yTableNAm"/>
            </w:pPr>
            <w:r>
              <w:rPr>
                <w:sz w:val="16"/>
                <w:szCs w:val="16"/>
              </w:rPr>
              <w:t>Z.04</w:t>
            </w:r>
          </w:p>
        </w:tc>
        <w:tc>
          <w:tcPr>
            <w:tcW w:w="747" w:type="dxa"/>
          </w:tcPr>
          <w:p>
            <w:pPr>
              <w:pStyle w:val="yTableNAm"/>
            </w:pPr>
            <w:r>
              <w:rPr>
                <w:sz w:val="16"/>
                <w:szCs w:val="16"/>
              </w:rPr>
              <w:t>140</w:t>
            </w:r>
          </w:p>
        </w:tc>
        <w:tc>
          <w:tcPr>
            <w:tcW w:w="954" w:type="dxa"/>
          </w:tcPr>
          <w:p>
            <w:pPr>
              <w:pStyle w:val="yTableNAm"/>
              <w:ind w:left="-14" w:right="-26"/>
            </w:pPr>
            <w:r>
              <w:rPr>
                <w:sz w:val="16"/>
                <w:szCs w:val="16"/>
              </w:rPr>
              <w:t>Low Pressure Sodium</w:t>
            </w:r>
          </w:p>
        </w:tc>
        <w:tc>
          <w:tcPr>
            <w:tcW w:w="1654" w:type="dxa"/>
          </w:tcPr>
          <w:p>
            <w:pPr>
              <w:pStyle w:val="yTableNAm"/>
            </w:pPr>
            <w:r>
              <w:rPr>
                <w:sz w:val="16"/>
                <w:szCs w:val="16"/>
              </w:rPr>
              <w:t>50.6977</w:t>
            </w:r>
            <w:r>
              <w:rPr>
                <w:sz w:val="16"/>
                <w:szCs w:val="16"/>
              </w:rPr>
              <w:br/>
              <w:t>(includes carbon component of  1.7983)</w:t>
            </w:r>
          </w:p>
        </w:tc>
        <w:tc>
          <w:tcPr>
            <w:tcW w:w="1512" w:type="dxa"/>
          </w:tcPr>
          <w:p>
            <w:pPr>
              <w:pStyle w:val="yTableNAm"/>
            </w:pPr>
            <w:r>
              <w:rPr>
                <w:sz w:val="16"/>
                <w:szCs w:val="16"/>
              </w:rPr>
              <w:t>52.7152</w:t>
            </w:r>
            <w:r>
              <w:rPr>
                <w:sz w:val="16"/>
                <w:szCs w:val="16"/>
              </w:rPr>
              <w:br/>
              <w:t>(includes carbon component of  2.2193)</w:t>
            </w:r>
          </w:p>
        </w:tc>
        <w:tc>
          <w:tcPr>
            <w:tcW w:w="1512" w:type="dxa"/>
          </w:tcPr>
          <w:p>
            <w:pPr>
              <w:pStyle w:val="yTableNAm"/>
            </w:pPr>
            <w:r>
              <w:rPr>
                <w:sz w:val="16"/>
                <w:szCs w:val="16"/>
              </w:rPr>
              <w:t>60.7225</w:t>
            </w:r>
            <w:r>
              <w:rPr>
                <w:sz w:val="16"/>
                <w:szCs w:val="16"/>
              </w:rPr>
              <w:br/>
              <w:t>(includes carbon component of  3.8088)</w:t>
            </w:r>
          </w:p>
        </w:tc>
      </w:tr>
      <w:tr>
        <w:trPr>
          <w:gridBefore w:val="1"/>
          <w:wBefore w:w="16" w:type="dxa"/>
          <w:cantSplit/>
        </w:trPr>
        <w:tc>
          <w:tcPr>
            <w:tcW w:w="567" w:type="dxa"/>
          </w:tcPr>
          <w:p>
            <w:pPr>
              <w:pStyle w:val="yTableNAm"/>
            </w:pPr>
            <w:r>
              <w:rPr>
                <w:sz w:val="16"/>
                <w:szCs w:val="16"/>
              </w:rPr>
              <w:t>Z.07</w:t>
            </w:r>
          </w:p>
        </w:tc>
        <w:tc>
          <w:tcPr>
            <w:tcW w:w="747" w:type="dxa"/>
          </w:tcPr>
          <w:p>
            <w:pPr>
              <w:pStyle w:val="yTableNAm"/>
            </w:pPr>
            <w:r>
              <w:rPr>
                <w:sz w:val="16"/>
                <w:szCs w:val="16"/>
              </w:rPr>
              <w:t>250</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62.5037</w:t>
            </w:r>
            <w:r>
              <w:rPr>
                <w:sz w:val="16"/>
                <w:szCs w:val="16"/>
              </w:rPr>
              <w:br/>
              <w:t>(includes carbon component of  3.2113)</w:t>
            </w:r>
          </w:p>
        </w:tc>
        <w:tc>
          <w:tcPr>
            <w:tcW w:w="1512" w:type="dxa"/>
          </w:tcPr>
          <w:p>
            <w:pPr>
              <w:pStyle w:val="yTableNAm"/>
            </w:pPr>
            <w:r>
              <w:rPr>
                <w:sz w:val="16"/>
                <w:szCs w:val="16"/>
              </w:rPr>
              <w:t>66.2726</w:t>
            </w:r>
            <w:r>
              <w:rPr>
                <w:sz w:val="16"/>
                <w:szCs w:val="16"/>
              </w:rPr>
              <w:br/>
              <w:t>(includes carbon component of  3.9630)</w:t>
            </w:r>
          </w:p>
        </w:tc>
        <w:tc>
          <w:tcPr>
            <w:tcW w:w="1512" w:type="dxa"/>
          </w:tcPr>
          <w:p>
            <w:pPr>
              <w:pStyle w:val="yTableNAm"/>
            </w:pPr>
            <w:r>
              <w:rPr>
                <w:sz w:val="16"/>
                <w:szCs w:val="16"/>
              </w:rPr>
              <w:t>80.3661</w:t>
            </w:r>
            <w:r>
              <w:rPr>
                <w:sz w:val="16"/>
                <w:szCs w:val="16"/>
              </w:rPr>
              <w:br/>
              <w:t>(includes carbon component of  6.8015)</w:t>
            </w:r>
          </w:p>
        </w:tc>
      </w:tr>
      <w:tr>
        <w:trPr>
          <w:gridBefore w:val="1"/>
          <w:wBefore w:w="16" w:type="dxa"/>
          <w:cantSplit/>
        </w:trPr>
        <w:tc>
          <w:tcPr>
            <w:tcW w:w="567" w:type="dxa"/>
          </w:tcPr>
          <w:p>
            <w:pPr>
              <w:pStyle w:val="yTableNAm"/>
            </w:pPr>
            <w:r>
              <w:rPr>
                <w:sz w:val="16"/>
                <w:szCs w:val="16"/>
              </w:rPr>
              <w:t>Z.10</w:t>
            </w:r>
          </w:p>
        </w:tc>
        <w:tc>
          <w:tcPr>
            <w:tcW w:w="747" w:type="dxa"/>
          </w:tcPr>
          <w:p>
            <w:pPr>
              <w:pStyle w:val="yTableNAm"/>
            </w:pPr>
            <w:r>
              <w:rPr>
                <w:sz w:val="16"/>
                <w:szCs w:val="16"/>
              </w:rPr>
              <w:t>400</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92.9750</w:t>
            </w:r>
            <w:r>
              <w:rPr>
                <w:sz w:val="16"/>
                <w:szCs w:val="16"/>
              </w:rPr>
              <w:br/>
              <w:t>(includes carbon component of  5.1381)</w:t>
            </w:r>
          </w:p>
        </w:tc>
        <w:tc>
          <w:tcPr>
            <w:tcW w:w="1512" w:type="dxa"/>
          </w:tcPr>
          <w:p>
            <w:pPr>
              <w:pStyle w:val="yTableNAm"/>
            </w:pPr>
            <w:r>
              <w:rPr>
                <w:sz w:val="16"/>
                <w:szCs w:val="16"/>
              </w:rPr>
              <w:t>98.7755</w:t>
            </w:r>
            <w:r>
              <w:rPr>
                <w:sz w:val="16"/>
                <w:szCs w:val="16"/>
              </w:rPr>
              <w:br/>
              <w:t>(includes carbon component of  6.3408)</w:t>
            </w:r>
          </w:p>
        </w:tc>
        <w:tc>
          <w:tcPr>
            <w:tcW w:w="1512" w:type="dxa"/>
          </w:tcPr>
          <w:p>
            <w:pPr>
              <w:pStyle w:val="yTableNAm"/>
            </w:pPr>
            <w:r>
              <w:rPr>
                <w:sz w:val="16"/>
                <w:szCs w:val="16"/>
              </w:rPr>
              <w:t>120.8780</w:t>
            </w:r>
            <w:r>
              <w:rPr>
                <w:sz w:val="16"/>
                <w:szCs w:val="16"/>
              </w:rPr>
              <w:br/>
              <w:t>(includes carbon component of  10.8824)</w:t>
            </w:r>
          </w:p>
        </w:tc>
      </w:tr>
      <w:tr>
        <w:trPr>
          <w:gridBefore w:val="1"/>
          <w:wBefore w:w="16" w:type="dxa"/>
          <w:cantSplit/>
        </w:trPr>
        <w:tc>
          <w:tcPr>
            <w:tcW w:w="567" w:type="dxa"/>
          </w:tcPr>
          <w:p>
            <w:pPr>
              <w:pStyle w:val="yTableNAm"/>
            </w:pPr>
            <w:r>
              <w:rPr>
                <w:sz w:val="16"/>
                <w:szCs w:val="16"/>
              </w:rPr>
              <w:t>Z.13</w:t>
            </w:r>
          </w:p>
        </w:tc>
        <w:tc>
          <w:tcPr>
            <w:tcW w:w="747" w:type="dxa"/>
          </w:tcPr>
          <w:p>
            <w:pPr>
              <w:pStyle w:val="yTableNAm"/>
            </w:pPr>
            <w:r>
              <w:rPr>
                <w:sz w:val="16"/>
                <w:szCs w:val="16"/>
              </w:rPr>
              <w:t>150</w:t>
            </w:r>
          </w:p>
        </w:tc>
        <w:tc>
          <w:tcPr>
            <w:tcW w:w="954" w:type="dxa"/>
          </w:tcPr>
          <w:p>
            <w:pPr>
              <w:pStyle w:val="yTableNAm"/>
              <w:ind w:left="-14" w:right="-26"/>
            </w:pPr>
            <w:r>
              <w:rPr>
                <w:sz w:val="16"/>
                <w:szCs w:val="16"/>
              </w:rPr>
              <w:t>High Pressure Sodium</w:t>
            </w:r>
          </w:p>
        </w:tc>
        <w:tc>
          <w:tcPr>
            <w:tcW w:w="1654" w:type="dxa"/>
          </w:tcPr>
          <w:p>
            <w:pPr>
              <w:pStyle w:val="yTableNAm"/>
            </w:pPr>
            <w:r>
              <w:rPr>
                <w:sz w:val="16"/>
                <w:szCs w:val="16"/>
              </w:rPr>
              <w:t>47.1863</w:t>
            </w:r>
            <w:r>
              <w:rPr>
                <w:sz w:val="16"/>
                <w:szCs w:val="16"/>
              </w:rPr>
              <w:br/>
              <w:t>(includes carbon component of  1.9268)</w:t>
            </w:r>
          </w:p>
        </w:tc>
        <w:tc>
          <w:tcPr>
            <w:tcW w:w="1512" w:type="dxa"/>
          </w:tcPr>
          <w:p>
            <w:pPr>
              <w:pStyle w:val="yTableNAm"/>
            </w:pPr>
            <w:r>
              <w:rPr>
                <w:sz w:val="16"/>
                <w:szCs w:val="16"/>
              </w:rPr>
              <w:t>49.2977</w:t>
            </w:r>
            <w:r>
              <w:rPr>
                <w:sz w:val="16"/>
                <w:szCs w:val="16"/>
              </w:rPr>
              <w:br/>
              <w:t>(includes carbon component of  2.3778)</w:t>
            </w:r>
          </w:p>
        </w:tc>
        <w:tc>
          <w:tcPr>
            <w:tcW w:w="1512" w:type="dxa"/>
          </w:tcPr>
          <w:p>
            <w:pPr>
              <w:pStyle w:val="yTableNAm"/>
            </w:pPr>
            <w:r>
              <w:rPr>
                <w:sz w:val="16"/>
                <w:szCs w:val="16"/>
              </w:rPr>
              <w:t>60.2920</w:t>
            </w:r>
            <w:r>
              <w:rPr>
                <w:sz w:val="16"/>
                <w:szCs w:val="16"/>
              </w:rPr>
              <w:br/>
              <w:t>(includes carbon component of  4.0809)</w:t>
            </w:r>
          </w:p>
        </w:tc>
      </w:tr>
      <w:tr>
        <w:trPr>
          <w:gridBefore w:val="1"/>
          <w:wBefore w:w="16" w:type="dxa"/>
          <w:cantSplit/>
        </w:trPr>
        <w:tc>
          <w:tcPr>
            <w:tcW w:w="567" w:type="dxa"/>
          </w:tcPr>
          <w:p>
            <w:pPr>
              <w:pStyle w:val="yTableNAm"/>
            </w:pPr>
            <w:r>
              <w:rPr>
                <w:sz w:val="16"/>
                <w:szCs w:val="16"/>
              </w:rPr>
              <w:t>Z.15</w:t>
            </w:r>
          </w:p>
        </w:tc>
        <w:tc>
          <w:tcPr>
            <w:tcW w:w="747" w:type="dxa"/>
          </w:tcPr>
          <w:p>
            <w:pPr>
              <w:pStyle w:val="yTableNAm"/>
            </w:pPr>
            <w:r>
              <w:rPr>
                <w:sz w:val="16"/>
                <w:szCs w:val="16"/>
              </w:rPr>
              <w:t>250</w:t>
            </w:r>
          </w:p>
        </w:tc>
        <w:tc>
          <w:tcPr>
            <w:tcW w:w="954" w:type="dxa"/>
          </w:tcPr>
          <w:p>
            <w:pPr>
              <w:pStyle w:val="yTableNAm"/>
              <w:ind w:left="-14" w:right="-26"/>
            </w:pPr>
            <w:r>
              <w:rPr>
                <w:sz w:val="16"/>
                <w:szCs w:val="16"/>
              </w:rPr>
              <w:t>High Pressure Sodium</w:t>
            </w:r>
          </w:p>
        </w:tc>
        <w:tc>
          <w:tcPr>
            <w:tcW w:w="1654" w:type="dxa"/>
          </w:tcPr>
          <w:p>
            <w:pPr>
              <w:pStyle w:val="yTableNAm"/>
            </w:pPr>
            <w:r>
              <w:rPr>
                <w:sz w:val="16"/>
                <w:szCs w:val="16"/>
              </w:rPr>
              <w:t>70.3102</w:t>
            </w:r>
            <w:r>
              <w:rPr>
                <w:sz w:val="16"/>
                <w:szCs w:val="16"/>
              </w:rPr>
              <w:br/>
              <w:t>(includes carbon component of  3.2113)</w:t>
            </w:r>
          </w:p>
        </w:tc>
        <w:tc>
          <w:tcPr>
            <w:tcW w:w="1512" w:type="dxa"/>
          </w:tcPr>
          <w:p>
            <w:pPr>
              <w:pStyle w:val="yTableNAm"/>
            </w:pPr>
            <w:r>
              <w:rPr>
                <w:sz w:val="16"/>
                <w:szCs w:val="16"/>
              </w:rPr>
              <w:t>74.6381</w:t>
            </w:r>
            <w:r>
              <w:rPr>
                <w:sz w:val="16"/>
                <w:szCs w:val="16"/>
              </w:rPr>
              <w:br/>
              <w:t>(includes carbon component of  3.9630)</w:t>
            </w:r>
          </w:p>
        </w:tc>
        <w:tc>
          <w:tcPr>
            <w:tcW w:w="1512" w:type="dxa"/>
          </w:tcPr>
          <w:p>
            <w:pPr>
              <w:pStyle w:val="yTableNAm"/>
            </w:pPr>
            <w:r>
              <w:rPr>
                <w:sz w:val="16"/>
                <w:szCs w:val="16"/>
              </w:rPr>
              <w:t>91.2699</w:t>
            </w:r>
            <w:r>
              <w:rPr>
                <w:sz w:val="16"/>
                <w:szCs w:val="16"/>
              </w:rPr>
              <w:br/>
              <w:t>(includes carbon component of  6.8015)</w:t>
            </w:r>
          </w:p>
        </w:tc>
      </w:tr>
      <w:tr>
        <w:trPr>
          <w:gridBefore w:val="1"/>
          <w:wBefore w:w="16" w:type="dxa"/>
          <w:cantSplit/>
        </w:trPr>
        <w:tc>
          <w:tcPr>
            <w:tcW w:w="567" w:type="dxa"/>
          </w:tcPr>
          <w:p>
            <w:pPr>
              <w:pStyle w:val="yTableNAm"/>
            </w:pPr>
            <w:r>
              <w:rPr>
                <w:sz w:val="16"/>
                <w:szCs w:val="16"/>
              </w:rPr>
              <w:t>Z.18</w:t>
            </w:r>
          </w:p>
        </w:tc>
        <w:tc>
          <w:tcPr>
            <w:tcW w:w="747" w:type="dxa"/>
          </w:tcPr>
          <w:p>
            <w:pPr>
              <w:pStyle w:val="yTableNAm"/>
            </w:pPr>
            <w:r>
              <w:rPr>
                <w:sz w:val="16"/>
                <w:szCs w:val="16"/>
              </w:rPr>
              <w:t>per kW</w:t>
            </w:r>
          </w:p>
        </w:tc>
        <w:tc>
          <w:tcPr>
            <w:tcW w:w="954" w:type="dxa"/>
          </w:tcPr>
          <w:p>
            <w:pPr>
              <w:pStyle w:val="yTableNAm"/>
              <w:ind w:left="-14" w:right="-26"/>
            </w:pPr>
            <w:r>
              <w:rPr>
                <w:sz w:val="16"/>
                <w:szCs w:val="16"/>
              </w:rPr>
              <w:t>Auxiliary Lighting in Public Places</w:t>
            </w:r>
          </w:p>
        </w:tc>
        <w:tc>
          <w:tcPr>
            <w:tcW w:w="1654"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273.8094</w:t>
            </w:r>
            <w:r>
              <w:rPr>
                <w:sz w:val="16"/>
                <w:szCs w:val="16"/>
              </w:rPr>
              <w:br/>
              <w:t>(includes carbon component of  28.8658)</w:t>
            </w:r>
          </w:p>
        </w:tc>
      </w:tr>
      <w:tr>
        <w:trPr>
          <w:gridBefore w:val="1"/>
          <w:wBefore w:w="16" w:type="dxa"/>
          <w:cantSplit/>
        </w:trPr>
        <w:tc>
          <w:tcPr>
            <w:tcW w:w="6946" w:type="dxa"/>
            <w:gridSpan w:val="6"/>
          </w:tcPr>
          <w:p>
            <w:pPr>
              <w:pStyle w:val="yTableNAm"/>
              <w:ind w:left="-14" w:right="-26"/>
            </w:pPr>
            <w:r>
              <w:rPr>
                <w:b/>
                <w:i/>
                <w:iCs/>
                <w:sz w:val="16"/>
                <w:szCs w:val="16"/>
              </w:rPr>
              <w:t>Street lighting for existing services only</w:t>
            </w:r>
          </w:p>
        </w:tc>
      </w:tr>
      <w:tr>
        <w:trPr>
          <w:gridBefore w:val="1"/>
          <w:wBefore w:w="16" w:type="dxa"/>
          <w:cantSplit/>
        </w:trPr>
        <w:tc>
          <w:tcPr>
            <w:tcW w:w="567" w:type="dxa"/>
          </w:tcPr>
          <w:p>
            <w:pPr>
              <w:pStyle w:val="yTableNAm"/>
            </w:pPr>
            <w:r>
              <w:rPr>
                <w:sz w:val="16"/>
                <w:szCs w:val="16"/>
              </w:rPr>
              <w:t>Z.05</w:t>
            </w:r>
          </w:p>
        </w:tc>
        <w:tc>
          <w:tcPr>
            <w:tcW w:w="747" w:type="dxa"/>
          </w:tcPr>
          <w:p>
            <w:pPr>
              <w:pStyle w:val="yTableNAm"/>
            </w:pPr>
            <w:r>
              <w:rPr>
                <w:sz w:val="16"/>
                <w:szCs w:val="16"/>
              </w:rPr>
              <w:t>250</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80.0487</w:t>
            </w:r>
            <w:r>
              <w:rPr>
                <w:sz w:val="16"/>
                <w:szCs w:val="16"/>
              </w:rPr>
              <w:br/>
              <w:t>(includes carbon component of  3.2113)</w:t>
            </w:r>
          </w:p>
        </w:tc>
        <w:tc>
          <w:tcPr>
            <w:tcW w:w="1512" w:type="dxa"/>
          </w:tcPr>
          <w:p>
            <w:pPr>
              <w:pStyle w:val="yTableNAm"/>
            </w:pPr>
            <w:r>
              <w:rPr>
                <w:sz w:val="16"/>
                <w:szCs w:val="16"/>
              </w:rPr>
              <w:t>83.8017</w:t>
            </w:r>
            <w:r>
              <w:rPr>
                <w:sz w:val="16"/>
                <w:szCs w:val="16"/>
              </w:rPr>
              <w:br/>
              <w:t>(includes carbon component of  3.9630)</w:t>
            </w:r>
          </w:p>
        </w:tc>
        <w:tc>
          <w:tcPr>
            <w:tcW w:w="1512" w:type="dxa"/>
          </w:tcPr>
          <w:p>
            <w:pPr>
              <w:pStyle w:val="yTableNAm"/>
            </w:pPr>
            <w:r>
              <w:rPr>
                <w:sz w:val="16"/>
                <w:szCs w:val="16"/>
              </w:rPr>
              <w:t>97.9111</w:t>
            </w:r>
            <w:r>
              <w:rPr>
                <w:sz w:val="16"/>
                <w:szCs w:val="16"/>
              </w:rPr>
              <w:br/>
              <w:t>(includes carbon component of  6.8015)</w:t>
            </w:r>
          </w:p>
        </w:tc>
      </w:tr>
      <w:tr>
        <w:trPr>
          <w:gridBefore w:val="1"/>
          <w:wBefore w:w="16" w:type="dxa"/>
          <w:cantSplit/>
        </w:trPr>
        <w:tc>
          <w:tcPr>
            <w:tcW w:w="567" w:type="dxa"/>
          </w:tcPr>
          <w:p>
            <w:pPr>
              <w:pStyle w:val="yTableNAm"/>
            </w:pPr>
            <w:r>
              <w:rPr>
                <w:sz w:val="16"/>
                <w:szCs w:val="16"/>
              </w:rPr>
              <w:t>Z.06</w:t>
            </w:r>
          </w:p>
        </w:tc>
        <w:tc>
          <w:tcPr>
            <w:tcW w:w="747" w:type="dxa"/>
          </w:tcPr>
          <w:p>
            <w:pPr>
              <w:pStyle w:val="yTableNAm"/>
            </w:pPr>
            <w:r>
              <w:rPr>
                <w:sz w:val="16"/>
                <w:szCs w:val="16"/>
              </w:rPr>
              <w:t>400</w:t>
            </w:r>
          </w:p>
        </w:tc>
        <w:tc>
          <w:tcPr>
            <w:tcW w:w="954" w:type="dxa"/>
          </w:tcPr>
          <w:p>
            <w:pPr>
              <w:pStyle w:val="yTableNAm"/>
              <w:ind w:left="-14" w:right="-26"/>
            </w:pPr>
            <w:r>
              <w:rPr>
                <w:sz w:val="16"/>
                <w:szCs w:val="16"/>
              </w:rPr>
              <w:t>Mercury Vapour</w:t>
            </w:r>
          </w:p>
        </w:tc>
        <w:tc>
          <w:tcPr>
            <w:tcW w:w="1654" w:type="dxa"/>
          </w:tcPr>
          <w:p>
            <w:pPr>
              <w:pStyle w:val="yTableNAm"/>
            </w:pPr>
            <w:r>
              <w:rPr>
                <w:sz w:val="16"/>
                <w:szCs w:val="16"/>
              </w:rPr>
              <w:t>110.5360</w:t>
            </w:r>
            <w:r>
              <w:rPr>
                <w:sz w:val="16"/>
                <w:szCs w:val="16"/>
              </w:rPr>
              <w:br/>
              <w:t>(includes carbon component of  5.1381)</w:t>
            </w:r>
          </w:p>
        </w:tc>
        <w:tc>
          <w:tcPr>
            <w:tcW w:w="1512" w:type="dxa"/>
          </w:tcPr>
          <w:p>
            <w:pPr>
              <w:pStyle w:val="yTableNAm"/>
            </w:pPr>
            <w:r>
              <w:rPr>
                <w:sz w:val="16"/>
                <w:szCs w:val="16"/>
              </w:rPr>
              <w:t>116.3364</w:t>
            </w:r>
            <w:r>
              <w:rPr>
                <w:sz w:val="16"/>
                <w:szCs w:val="16"/>
              </w:rPr>
              <w:br/>
              <w:t>(includes carbon component of  6.3408)</w:t>
            </w:r>
          </w:p>
        </w:tc>
        <w:tc>
          <w:tcPr>
            <w:tcW w:w="1512" w:type="dxa"/>
          </w:tcPr>
          <w:p>
            <w:pPr>
              <w:pStyle w:val="yTableNAm"/>
            </w:pPr>
            <w:r>
              <w:rPr>
                <w:sz w:val="16"/>
                <w:szCs w:val="16"/>
              </w:rPr>
              <w:t>138.3592</w:t>
            </w:r>
            <w:r>
              <w:rPr>
                <w:sz w:val="16"/>
                <w:szCs w:val="16"/>
              </w:rPr>
              <w:br/>
              <w:t>(includes carbon component of  10.8824)</w:t>
            </w:r>
          </w:p>
        </w:tc>
      </w:tr>
      <w:tr>
        <w:trPr>
          <w:gridBefore w:val="1"/>
          <w:wBefore w:w="16" w:type="dxa"/>
          <w:cantSplit/>
        </w:trPr>
        <w:tc>
          <w:tcPr>
            <w:tcW w:w="567" w:type="dxa"/>
          </w:tcPr>
          <w:p>
            <w:pPr>
              <w:pStyle w:val="yTableNAm"/>
            </w:pPr>
            <w:r>
              <w:rPr>
                <w:sz w:val="16"/>
                <w:szCs w:val="16"/>
              </w:rPr>
              <w:t>Z.08</w:t>
            </w:r>
          </w:p>
        </w:tc>
        <w:tc>
          <w:tcPr>
            <w:tcW w:w="747" w:type="dxa"/>
          </w:tcPr>
          <w:p>
            <w:pPr>
              <w:pStyle w:val="yTableNAm"/>
            </w:pPr>
            <w:r>
              <w:rPr>
                <w:sz w:val="16"/>
                <w:szCs w:val="16"/>
              </w:rPr>
              <w:t>250</w:t>
            </w:r>
          </w:p>
        </w:tc>
        <w:tc>
          <w:tcPr>
            <w:tcW w:w="954" w:type="dxa"/>
          </w:tcPr>
          <w:p>
            <w:pPr>
              <w:pStyle w:val="yTableNAm"/>
              <w:ind w:left="-14" w:right="-26"/>
            </w:pPr>
            <w:r>
              <w:rPr>
                <w:sz w:val="16"/>
                <w:szCs w:val="16"/>
              </w:rPr>
              <w:t xml:space="preserve">Mercury Vapour </w:t>
            </w:r>
            <w:r>
              <w:rPr>
                <w:sz w:val="16"/>
                <w:szCs w:val="16"/>
              </w:rPr>
              <w:br/>
              <w:t>50% E.C. cost</w:t>
            </w:r>
          </w:p>
        </w:tc>
        <w:tc>
          <w:tcPr>
            <w:tcW w:w="1654" w:type="dxa"/>
          </w:tcPr>
          <w:p>
            <w:pPr>
              <w:pStyle w:val="yTableNAm"/>
            </w:pPr>
            <w:r>
              <w:rPr>
                <w:sz w:val="16"/>
                <w:szCs w:val="16"/>
              </w:rPr>
              <w:t>71.2681</w:t>
            </w:r>
            <w:r>
              <w:rPr>
                <w:sz w:val="16"/>
                <w:szCs w:val="16"/>
              </w:rPr>
              <w:br/>
              <w:t>(includes carbon component of  3.2113)</w:t>
            </w:r>
          </w:p>
        </w:tc>
        <w:tc>
          <w:tcPr>
            <w:tcW w:w="1512" w:type="dxa"/>
          </w:tcPr>
          <w:p>
            <w:pPr>
              <w:pStyle w:val="yTableNAm"/>
            </w:pPr>
            <w:r>
              <w:rPr>
                <w:sz w:val="16"/>
                <w:szCs w:val="16"/>
              </w:rPr>
              <w:t>74.9893</w:t>
            </w:r>
            <w:r>
              <w:rPr>
                <w:sz w:val="16"/>
                <w:szCs w:val="16"/>
              </w:rPr>
              <w:br/>
              <w:t>(includes carbon component of  3.9630)</w:t>
            </w:r>
          </w:p>
        </w:tc>
        <w:tc>
          <w:tcPr>
            <w:tcW w:w="1512" w:type="dxa"/>
          </w:tcPr>
          <w:p>
            <w:pPr>
              <w:pStyle w:val="yTableNAm"/>
            </w:pPr>
            <w:r>
              <w:rPr>
                <w:sz w:val="16"/>
                <w:szCs w:val="16"/>
              </w:rPr>
              <w:t>89.1307</w:t>
            </w:r>
            <w:r>
              <w:rPr>
                <w:sz w:val="16"/>
                <w:szCs w:val="16"/>
              </w:rPr>
              <w:br/>
              <w:t>(includes carbon component of  6.8015)</w:t>
            </w:r>
          </w:p>
        </w:tc>
      </w:tr>
      <w:tr>
        <w:trPr>
          <w:gridBefore w:val="1"/>
          <w:wBefore w:w="16" w:type="dxa"/>
          <w:cantSplit/>
        </w:trPr>
        <w:tc>
          <w:tcPr>
            <w:tcW w:w="567" w:type="dxa"/>
          </w:tcPr>
          <w:p>
            <w:pPr>
              <w:pStyle w:val="yTableNAm"/>
            </w:pPr>
            <w:r>
              <w:rPr>
                <w:sz w:val="16"/>
                <w:szCs w:val="16"/>
              </w:rPr>
              <w:t>Z.09</w:t>
            </w:r>
          </w:p>
        </w:tc>
        <w:tc>
          <w:tcPr>
            <w:tcW w:w="747" w:type="dxa"/>
          </w:tcPr>
          <w:p>
            <w:pPr>
              <w:pStyle w:val="yTableNAm"/>
            </w:pPr>
            <w:r>
              <w:rPr>
                <w:sz w:val="16"/>
                <w:szCs w:val="16"/>
              </w:rPr>
              <w:t>250</w:t>
            </w:r>
          </w:p>
        </w:tc>
        <w:tc>
          <w:tcPr>
            <w:tcW w:w="954" w:type="dxa"/>
          </w:tcPr>
          <w:p>
            <w:pPr>
              <w:pStyle w:val="yTableNAm"/>
              <w:ind w:left="-14" w:right="-26"/>
            </w:pPr>
            <w:r>
              <w:rPr>
                <w:sz w:val="16"/>
                <w:szCs w:val="16"/>
              </w:rPr>
              <w:t>Mercury Vapour</w:t>
            </w:r>
            <w:r>
              <w:rPr>
                <w:sz w:val="16"/>
                <w:szCs w:val="16"/>
              </w:rPr>
              <w:br/>
              <w:t>100% E.C. cost</w:t>
            </w:r>
          </w:p>
        </w:tc>
        <w:tc>
          <w:tcPr>
            <w:tcW w:w="1654" w:type="dxa"/>
          </w:tcPr>
          <w:p>
            <w:pPr>
              <w:pStyle w:val="yTableNAm"/>
            </w:pPr>
            <w:r>
              <w:rPr>
                <w:sz w:val="16"/>
                <w:szCs w:val="16"/>
              </w:rPr>
              <w:t>80.0487</w:t>
            </w:r>
            <w:r>
              <w:rPr>
                <w:sz w:val="16"/>
                <w:szCs w:val="16"/>
              </w:rPr>
              <w:br/>
              <w:t>(includes carbon component of  3.2113)</w:t>
            </w:r>
          </w:p>
        </w:tc>
        <w:tc>
          <w:tcPr>
            <w:tcW w:w="1512" w:type="dxa"/>
          </w:tcPr>
          <w:p>
            <w:pPr>
              <w:pStyle w:val="yTableNAm"/>
            </w:pPr>
            <w:r>
              <w:rPr>
                <w:sz w:val="16"/>
                <w:szCs w:val="16"/>
              </w:rPr>
              <w:t>83.8017</w:t>
            </w:r>
            <w:r>
              <w:rPr>
                <w:sz w:val="16"/>
                <w:szCs w:val="16"/>
              </w:rPr>
              <w:br/>
              <w:t>(includes carbon component of  3.9630)</w:t>
            </w:r>
          </w:p>
        </w:tc>
        <w:tc>
          <w:tcPr>
            <w:tcW w:w="1512" w:type="dxa"/>
          </w:tcPr>
          <w:p>
            <w:pPr>
              <w:pStyle w:val="yTableNAm"/>
            </w:pPr>
            <w:r>
              <w:rPr>
                <w:sz w:val="16"/>
                <w:szCs w:val="16"/>
              </w:rPr>
              <w:t>97.9111</w:t>
            </w:r>
            <w:r>
              <w:rPr>
                <w:sz w:val="16"/>
                <w:szCs w:val="16"/>
              </w:rPr>
              <w:br/>
              <w:t>(includes carbon component of  6.8015)</w:t>
            </w:r>
          </w:p>
        </w:tc>
      </w:tr>
      <w:tr>
        <w:trPr>
          <w:gridBefore w:val="1"/>
          <w:wBefore w:w="16" w:type="dxa"/>
          <w:cantSplit/>
        </w:trPr>
        <w:tc>
          <w:tcPr>
            <w:tcW w:w="567" w:type="dxa"/>
          </w:tcPr>
          <w:p>
            <w:pPr>
              <w:pStyle w:val="yTableNAm"/>
            </w:pPr>
            <w:r>
              <w:rPr>
                <w:sz w:val="16"/>
                <w:szCs w:val="16"/>
              </w:rPr>
              <w:t>Z.11</w:t>
            </w:r>
          </w:p>
        </w:tc>
        <w:tc>
          <w:tcPr>
            <w:tcW w:w="747" w:type="dxa"/>
          </w:tcPr>
          <w:p>
            <w:pPr>
              <w:pStyle w:val="yTableNAm"/>
            </w:pPr>
            <w:r>
              <w:rPr>
                <w:sz w:val="16"/>
                <w:szCs w:val="16"/>
              </w:rPr>
              <w:t>400</w:t>
            </w:r>
          </w:p>
        </w:tc>
        <w:tc>
          <w:tcPr>
            <w:tcW w:w="954" w:type="dxa"/>
          </w:tcPr>
          <w:p>
            <w:pPr>
              <w:pStyle w:val="yTableNAm"/>
              <w:ind w:left="-14" w:right="-26"/>
            </w:pPr>
            <w:r>
              <w:rPr>
                <w:sz w:val="16"/>
                <w:szCs w:val="16"/>
              </w:rPr>
              <w:t xml:space="preserve">Mercury Vapour </w:t>
            </w:r>
            <w:r>
              <w:rPr>
                <w:sz w:val="16"/>
                <w:szCs w:val="16"/>
              </w:rPr>
              <w:br/>
              <w:t>50% E.C. cost</w:t>
            </w:r>
          </w:p>
        </w:tc>
        <w:tc>
          <w:tcPr>
            <w:tcW w:w="1654" w:type="dxa"/>
          </w:tcPr>
          <w:p>
            <w:pPr>
              <w:pStyle w:val="yTableNAm"/>
            </w:pPr>
            <w:r>
              <w:rPr>
                <w:sz w:val="16"/>
                <w:szCs w:val="16"/>
              </w:rPr>
              <w:t>101.7555</w:t>
            </w:r>
            <w:r>
              <w:rPr>
                <w:sz w:val="16"/>
                <w:szCs w:val="16"/>
              </w:rPr>
              <w:br/>
              <w:t>(includes carbon component of  5.1381)</w:t>
            </w:r>
          </w:p>
        </w:tc>
        <w:tc>
          <w:tcPr>
            <w:tcW w:w="1512" w:type="dxa"/>
          </w:tcPr>
          <w:p>
            <w:pPr>
              <w:pStyle w:val="yTableNAm"/>
            </w:pPr>
            <w:r>
              <w:rPr>
                <w:sz w:val="16"/>
                <w:szCs w:val="16"/>
              </w:rPr>
              <w:t>107.5720</w:t>
            </w:r>
            <w:r>
              <w:rPr>
                <w:sz w:val="16"/>
                <w:szCs w:val="16"/>
              </w:rPr>
              <w:br/>
              <w:t>(includes carbon component of  6.3408)</w:t>
            </w:r>
          </w:p>
        </w:tc>
        <w:tc>
          <w:tcPr>
            <w:tcW w:w="1512" w:type="dxa"/>
          </w:tcPr>
          <w:p>
            <w:pPr>
              <w:pStyle w:val="yTableNAm"/>
            </w:pPr>
            <w:r>
              <w:rPr>
                <w:sz w:val="16"/>
                <w:szCs w:val="16"/>
              </w:rPr>
              <w:t>129.6107</w:t>
            </w:r>
            <w:r>
              <w:rPr>
                <w:sz w:val="16"/>
                <w:szCs w:val="16"/>
              </w:rPr>
              <w:br/>
              <w:t>(includes carbon component of  10.8824)</w:t>
            </w:r>
          </w:p>
        </w:tc>
      </w:tr>
      <w:tr>
        <w:trPr>
          <w:gridBefore w:val="1"/>
          <w:wBefore w:w="16" w:type="dxa"/>
          <w:cantSplit/>
        </w:trPr>
        <w:tc>
          <w:tcPr>
            <w:tcW w:w="567" w:type="dxa"/>
          </w:tcPr>
          <w:p>
            <w:pPr>
              <w:pStyle w:val="yTableNAm"/>
            </w:pPr>
            <w:r>
              <w:rPr>
                <w:sz w:val="16"/>
                <w:szCs w:val="16"/>
              </w:rPr>
              <w:t>Z.12</w:t>
            </w:r>
          </w:p>
        </w:tc>
        <w:tc>
          <w:tcPr>
            <w:tcW w:w="747" w:type="dxa"/>
          </w:tcPr>
          <w:p>
            <w:pPr>
              <w:pStyle w:val="yTableNAm"/>
            </w:pPr>
            <w:r>
              <w:rPr>
                <w:sz w:val="16"/>
                <w:szCs w:val="16"/>
              </w:rPr>
              <w:t>400</w:t>
            </w:r>
          </w:p>
        </w:tc>
        <w:tc>
          <w:tcPr>
            <w:tcW w:w="954" w:type="dxa"/>
          </w:tcPr>
          <w:p>
            <w:pPr>
              <w:pStyle w:val="yTableNAm"/>
              <w:ind w:left="-14" w:right="-26"/>
            </w:pPr>
            <w:r>
              <w:rPr>
                <w:sz w:val="16"/>
                <w:szCs w:val="16"/>
              </w:rPr>
              <w:t xml:space="preserve">Mercury Vapour </w:t>
            </w:r>
            <w:r>
              <w:rPr>
                <w:sz w:val="16"/>
                <w:szCs w:val="16"/>
              </w:rPr>
              <w:br/>
              <w:t>100% E.C. cost</w:t>
            </w:r>
          </w:p>
        </w:tc>
        <w:tc>
          <w:tcPr>
            <w:tcW w:w="1654" w:type="dxa"/>
          </w:tcPr>
          <w:p>
            <w:pPr>
              <w:pStyle w:val="yTableNAm"/>
            </w:pPr>
            <w:r>
              <w:rPr>
                <w:sz w:val="16"/>
                <w:szCs w:val="16"/>
              </w:rPr>
              <w:t>110.5360</w:t>
            </w:r>
            <w:r>
              <w:rPr>
                <w:sz w:val="16"/>
                <w:szCs w:val="16"/>
              </w:rPr>
              <w:br/>
              <w:t>(includes carbon component of  5.1381)</w:t>
            </w:r>
          </w:p>
        </w:tc>
        <w:tc>
          <w:tcPr>
            <w:tcW w:w="1512" w:type="dxa"/>
          </w:tcPr>
          <w:p>
            <w:pPr>
              <w:pStyle w:val="yTableNAm"/>
            </w:pPr>
            <w:r>
              <w:rPr>
                <w:sz w:val="16"/>
                <w:szCs w:val="16"/>
              </w:rPr>
              <w:t>116.3364</w:t>
            </w:r>
            <w:r>
              <w:rPr>
                <w:sz w:val="16"/>
                <w:szCs w:val="16"/>
              </w:rPr>
              <w:br/>
              <w:t>(includes carbon component of  6.3408)</w:t>
            </w:r>
          </w:p>
        </w:tc>
        <w:tc>
          <w:tcPr>
            <w:tcW w:w="1512" w:type="dxa"/>
          </w:tcPr>
          <w:p>
            <w:pPr>
              <w:pStyle w:val="yTableNAm"/>
            </w:pPr>
            <w:r>
              <w:rPr>
                <w:sz w:val="16"/>
                <w:szCs w:val="16"/>
              </w:rPr>
              <w:t>138.3592</w:t>
            </w:r>
            <w:r>
              <w:rPr>
                <w:sz w:val="16"/>
                <w:szCs w:val="16"/>
              </w:rPr>
              <w:br/>
              <w:t>(includes carbon component of  10.8824)</w:t>
            </w:r>
          </w:p>
        </w:tc>
      </w:tr>
      <w:tr>
        <w:trPr>
          <w:gridBefore w:val="1"/>
          <w:wBefore w:w="16" w:type="dxa"/>
          <w:cantSplit/>
        </w:trPr>
        <w:tc>
          <w:tcPr>
            <w:tcW w:w="567" w:type="dxa"/>
          </w:tcPr>
          <w:p>
            <w:pPr>
              <w:pStyle w:val="yTableNAm"/>
            </w:pPr>
            <w:r>
              <w:rPr>
                <w:sz w:val="16"/>
                <w:szCs w:val="16"/>
              </w:rPr>
              <w:t>Z.14</w:t>
            </w:r>
          </w:p>
        </w:tc>
        <w:tc>
          <w:tcPr>
            <w:tcW w:w="747" w:type="dxa"/>
          </w:tcPr>
          <w:p>
            <w:pPr>
              <w:pStyle w:val="yTableNAm"/>
            </w:pPr>
            <w:r>
              <w:rPr>
                <w:sz w:val="16"/>
                <w:szCs w:val="16"/>
              </w:rPr>
              <w:t>150</w:t>
            </w:r>
          </w:p>
        </w:tc>
        <w:tc>
          <w:tcPr>
            <w:tcW w:w="954" w:type="dxa"/>
          </w:tcPr>
          <w:p>
            <w:pPr>
              <w:pStyle w:val="yTableNAm"/>
              <w:ind w:left="-14" w:right="-26"/>
            </w:pPr>
            <w:r>
              <w:rPr>
                <w:sz w:val="16"/>
                <w:szCs w:val="16"/>
              </w:rPr>
              <w:t>High Pressure Sodium</w:t>
            </w:r>
          </w:p>
        </w:tc>
        <w:tc>
          <w:tcPr>
            <w:tcW w:w="1654" w:type="dxa"/>
          </w:tcPr>
          <w:p>
            <w:pPr>
              <w:pStyle w:val="yTableNAm"/>
            </w:pPr>
            <w:r>
              <w:rPr>
                <w:sz w:val="16"/>
                <w:szCs w:val="16"/>
              </w:rPr>
              <w:t>71.7556</w:t>
            </w:r>
            <w:r>
              <w:rPr>
                <w:sz w:val="16"/>
                <w:szCs w:val="16"/>
              </w:rPr>
              <w:br/>
              <w:t>(includes carbon component of  1.9268)</w:t>
            </w:r>
          </w:p>
        </w:tc>
        <w:tc>
          <w:tcPr>
            <w:tcW w:w="1512" w:type="dxa"/>
          </w:tcPr>
          <w:p>
            <w:pPr>
              <w:pStyle w:val="yTableNAm"/>
            </w:pPr>
            <w:r>
              <w:rPr>
                <w:sz w:val="16"/>
                <w:szCs w:val="16"/>
              </w:rPr>
              <w:t>73.8350</w:t>
            </w:r>
            <w:r>
              <w:rPr>
                <w:sz w:val="16"/>
                <w:szCs w:val="16"/>
              </w:rPr>
              <w:br/>
              <w:t>(includes carbon component of  2.3778)</w:t>
            </w:r>
          </w:p>
        </w:tc>
        <w:tc>
          <w:tcPr>
            <w:tcW w:w="1512" w:type="dxa"/>
          </w:tcPr>
          <w:p>
            <w:pPr>
              <w:pStyle w:val="yTableNAm"/>
            </w:pPr>
            <w:r>
              <w:rPr>
                <w:sz w:val="16"/>
                <w:szCs w:val="16"/>
              </w:rPr>
              <w:t>84.7975</w:t>
            </w:r>
            <w:r>
              <w:rPr>
                <w:sz w:val="16"/>
                <w:szCs w:val="16"/>
              </w:rPr>
              <w:br/>
              <w:t>(includes carbon component of  4.0809)</w:t>
            </w:r>
          </w:p>
        </w:tc>
      </w:tr>
      <w:tr>
        <w:trPr>
          <w:gridBefore w:val="1"/>
          <w:wBefore w:w="16" w:type="dxa"/>
          <w:cantSplit/>
        </w:trPr>
        <w:tc>
          <w:tcPr>
            <w:tcW w:w="567" w:type="dxa"/>
          </w:tcPr>
          <w:p>
            <w:pPr>
              <w:pStyle w:val="yTableNAm"/>
            </w:pPr>
            <w:r>
              <w:rPr>
                <w:sz w:val="16"/>
                <w:szCs w:val="16"/>
              </w:rPr>
              <w:t>Z.16</w:t>
            </w:r>
          </w:p>
        </w:tc>
        <w:tc>
          <w:tcPr>
            <w:tcW w:w="747" w:type="dxa"/>
          </w:tcPr>
          <w:p>
            <w:pPr>
              <w:pStyle w:val="yTableNAm"/>
            </w:pPr>
            <w:r>
              <w:rPr>
                <w:sz w:val="16"/>
                <w:szCs w:val="16"/>
              </w:rPr>
              <w:t>250</w:t>
            </w:r>
          </w:p>
        </w:tc>
        <w:tc>
          <w:tcPr>
            <w:tcW w:w="954" w:type="dxa"/>
          </w:tcPr>
          <w:p>
            <w:pPr>
              <w:pStyle w:val="yTableNAm"/>
              <w:ind w:left="-14" w:right="-26"/>
            </w:pPr>
            <w:r>
              <w:rPr>
                <w:sz w:val="16"/>
                <w:szCs w:val="16"/>
              </w:rPr>
              <w:t>High Pressure Sodium</w:t>
            </w:r>
            <w:r>
              <w:rPr>
                <w:sz w:val="16"/>
                <w:szCs w:val="16"/>
              </w:rPr>
              <w:br/>
              <w:t>50% E.C. cost</w:t>
            </w:r>
          </w:p>
        </w:tc>
        <w:tc>
          <w:tcPr>
            <w:tcW w:w="1654" w:type="dxa"/>
          </w:tcPr>
          <w:p>
            <w:pPr>
              <w:pStyle w:val="yTableNAm"/>
            </w:pPr>
            <w:r>
              <w:rPr>
                <w:sz w:val="16"/>
                <w:szCs w:val="16"/>
              </w:rPr>
              <w:t>83.4491</w:t>
            </w:r>
            <w:r>
              <w:rPr>
                <w:sz w:val="16"/>
                <w:szCs w:val="16"/>
              </w:rPr>
              <w:br/>
              <w:t>(includes carbon component of  3.2113)</w:t>
            </w:r>
          </w:p>
        </w:tc>
        <w:tc>
          <w:tcPr>
            <w:tcW w:w="1512" w:type="dxa"/>
          </w:tcPr>
          <w:p>
            <w:pPr>
              <w:pStyle w:val="yTableNAm"/>
            </w:pPr>
            <w:r>
              <w:rPr>
                <w:sz w:val="16"/>
                <w:szCs w:val="16"/>
              </w:rPr>
              <w:t>87.8088</w:t>
            </w:r>
            <w:r>
              <w:rPr>
                <w:sz w:val="16"/>
                <w:szCs w:val="16"/>
              </w:rPr>
              <w:br/>
              <w:t>(includes carbon component of  3.9630)</w:t>
            </w:r>
          </w:p>
        </w:tc>
        <w:tc>
          <w:tcPr>
            <w:tcW w:w="1512" w:type="dxa"/>
          </w:tcPr>
          <w:p>
            <w:pPr>
              <w:pStyle w:val="yTableNAm"/>
            </w:pPr>
            <w:r>
              <w:rPr>
                <w:sz w:val="16"/>
                <w:szCs w:val="16"/>
              </w:rPr>
              <w:t>104.4087</w:t>
            </w:r>
            <w:r>
              <w:rPr>
                <w:sz w:val="16"/>
                <w:szCs w:val="16"/>
              </w:rPr>
              <w:br/>
              <w:t>(includes carbon component of  6.8015)</w:t>
            </w:r>
          </w:p>
        </w:tc>
      </w:tr>
      <w:tr>
        <w:trPr>
          <w:gridBefore w:val="1"/>
          <w:wBefore w:w="16" w:type="dxa"/>
          <w:cantSplit/>
        </w:trPr>
        <w:tc>
          <w:tcPr>
            <w:tcW w:w="567" w:type="dxa"/>
          </w:tcPr>
          <w:p>
            <w:pPr>
              <w:pStyle w:val="yTableNAm"/>
            </w:pPr>
            <w:r>
              <w:rPr>
                <w:sz w:val="16"/>
                <w:szCs w:val="16"/>
              </w:rPr>
              <w:t>Z.17</w:t>
            </w:r>
          </w:p>
        </w:tc>
        <w:tc>
          <w:tcPr>
            <w:tcW w:w="747" w:type="dxa"/>
          </w:tcPr>
          <w:p>
            <w:pPr>
              <w:pStyle w:val="yTableNAm"/>
            </w:pPr>
            <w:r>
              <w:rPr>
                <w:sz w:val="16"/>
                <w:szCs w:val="16"/>
              </w:rPr>
              <w:t>250</w:t>
            </w:r>
          </w:p>
        </w:tc>
        <w:tc>
          <w:tcPr>
            <w:tcW w:w="954" w:type="dxa"/>
          </w:tcPr>
          <w:p>
            <w:pPr>
              <w:pStyle w:val="yTableNAm"/>
              <w:ind w:left="-14" w:right="-26"/>
            </w:pPr>
            <w:r>
              <w:rPr>
                <w:sz w:val="16"/>
                <w:szCs w:val="16"/>
              </w:rPr>
              <w:t xml:space="preserve">High Pressure Sodium </w:t>
            </w:r>
            <w:r>
              <w:rPr>
                <w:sz w:val="16"/>
                <w:szCs w:val="16"/>
              </w:rPr>
              <w:br/>
              <w:t>100% E.C. cost</w:t>
            </w:r>
          </w:p>
        </w:tc>
        <w:tc>
          <w:tcPr>
            <w:tcW w:w="1654" w:type="dxa"/>
          </w:tcPr>
          <w:p>
            <w:pPr>
              <w:pStyle w:val="yTableNAm"/>
            </w:pPr>
            <w:r>
              <w:rPr>
                <w:sz w:val="16"/>
                <w:szCs w:val="16"/>
              </w:rPr>
              <w:t>96.5559</w:t>
            </w:r>
            <w:r>
              <w:rPr>
                <w:sz w:val="16"/>
                <w:szCs w:val="16"/>
              </w:rPr>
              <w:br/>
              <w:t>(includes carbon component of  3.2113)</w:t>
            </w:r>
          </w:p>
        </w:tc>
        <w:tc>
          <w:tcPr>
            <w:tcW w:w="1512" w:type="dxa"/>
          </w:tcPr>
          <w:p>
            <w:pPr>
              <w:pStyle w:val="yTableNAm"/>
            </w:pPr>
            <w:r>
              <w:rPr>
                <w:sz w:val="16"/>
                <w:szCs w:val="16"/>
              </w:rPr>
              <w:t>100.9635</w:t>
            </w:r>
            <w:r>
              <w:rPr>
                <w:sz w:val="16"/>
                <w:szCs w:val="16"/>
              </w:rPr>
              <w:br/>
              <w:t>(includes carbon component of  3.9630)</w:t>
            </w:r>
          </w:p>
        </w:tc>
        <w:tc>
          <w:tcPr>
            <w:tcW w:w="1512" w:type="dxa"/>
          </w:tcPr>
          <w:p>
            <w:pPr>
              <w:pStyle w:val="yTableNAm"/>
            </w:pPr>
            <w:r>
              <w:rPr>
                <w:sz w:val="16"/>
                <w:szCs w:val="16"/>
              </w:rPr>
              <w:t>117.5793</w:t>
            </w:r>
            <w:r>
              <w:rPr>
                <w:sz w:val="16"/>
                <w:szCs w:val="16"/>
              </w:rPr>
              <w:br/>
              <w:t>(includes carbon component of  6.8015)</w:t>
            </w:r>
          </w:p>
        </w:tc>
      </w:tr>
      <w:tr>
        <w:trPr>
          <w:gridBefore w:val="1"/>
          <w:wBefore w:w="16" w:type="dxa"/>
          <w:cantSplit/>
        </w:trPr>
        <w:tc>
          <w:tcPr>
            <w:tcW w:w="567" w:type="dxa"/>
          </w:tcPr>
          <w:p>
            <w:pPr>
              <w:pStyle w:val="yTableNAm"/>
            </w:pPr>
            <w:r>
              <w:rPr>
                <w:sz w:val="16"/>
                <w:szCs w:val="16"/>
              </w:rPr>
              <w:t>Z.51</w:t>
            </w:r>
          </w:p>
        </w:tc>
        <w:tc>
          <w:tcPr>
            <w:tcW w:w="747" w:type="dxa"/>
          </w:tcPr>
          <w:p>
            <w:pPr>
              <w:pStyle w:val="yTableNAm"/>
            </w:pPr>
            <w:r>
              <w:rPr>
                <w:sz w:val="16"/>
                <w:szCs w:val="16"/>
              </w:rPr>
              <w:t>60</w:t>
            </w:r>
          </w:p>
        </w:tc>
        <w:tc>
          <w:tcPr>
            <w:tcW w:w="954" w:type="dxa"/>
          </w:tcPr>
          <w:p>
            <w:pPr>
              <w:pStyle w:val="yTableNAm"/>
              <w:ind w:left="-14" w:right="-26"/>
            </w:pPr>
            <w:r>
              <w:rPr>
                <w:sz w:val="16"/>
                <w:szCs w:val="16"/>
              </w:rPr>
              <w:t>Incandescent</w:t>
            </w:r>
          </w:p>
        </w:tc>
        <w:tc>
          <w:tcPr>
            <w:tcW w:w="1654" w:type="dxa"/>
          </w:tcPr>
          <w:p>
            <w:pPr>
              <w:pStyle w:val="yTableNAm"/>
            </w:pPr>
            <w:r>
              <w:rPr>
                <w:sz w:val="16"/>
                <w:szCs w:val="16"/>
              </w:rPr>
              <w:t>33.5779</w:t>
            </w:r>
            <w:r>
              <w:rPr>
                <w:sz w:val="16"/>
                <w:szCs w:val="16"/>
              </w:rPr>
              <w:br/>
              <w:t>(includes carbon component of  0.7707)</w:t>
            </w:r>
          </w:p>
        </w:tc>
        <w:tc>
          <w:tcPr>
            <w:tcW w:w="1512" w:type="dxa"/>
          </w:tcPr>
          <w:p>
            <w:pPr>
              <w:pStyle w:val="yTableNAm"/>
            </w:pPr>
            <w:r>
              <w:rPr>
                <w:sz w:val="16"/>
                <w:szCs w:val="16"/>
              </w:rPr>
              <w:t>34.4606</w:t>
            </w:r>
            <w:r>
              <w:rPr>
                <w:sz w:val="16"/>
                <w:szCs w:val="16"/>
              </w:rPr>
              <w:br/>
              <w:t>(includes carbon component of  0.9511)</w:t>
            </w:r>
          </w:p>
        </w:tc>
        <w:tc>
          <w:tcPr>
            <w:tcW w:w="1512" w:type="dxa"/>
          </w:tcPr>
          <w:p>
            <w:pPr>
              <w:pStyle w:val="yTableNAm"/>
            </w:pPr>
            <w:r>
              <w:rPr>
                <w:sz w:val="16"/>
                <w:szCs w:val="16"/>
              </w:rPr>
              <w:t>37.6803</w:t>
            </w:r>
            <w:r>
              <w:rPr>
                <w:sz w:val="16"/>
                <w:szCs w:val="16"/>
              </w:rPr>
              <w:br/>
              <w:t>(includes carbon component of  1.6324)</w:t>
            </w:r>
          </w:p>
        </w:tc>
      </w:tr>
      <w:tr>
        <w:trPr>
          <w:gridBefore w:val="1"/>
          <w:wBefore w:w="16" w:type="dxa"/>
          <w:cantSplit/>
        </w:trPr>
        <w:tc>
          <w:tcPr>
            <w:tcW w:w="567" w:type="dxa"/>
          </w:tcPr>
          <w:p>
            <w:pPr>
              <w:pStyle w:val="yTableNAm"/>
            </w:pPr>
            <w:r>
              <w:rPr>
                <w:sz w:val="16"/>
                <w:szCs w:val="16"/>
              </w:rPr>
              <w:t>Z.52</w:t>
            </w:r>
          </w:p>
        </w:tc>
        <w:tc>
          <w:tcPr>
            <w:tcW w:w="747" w:type="dxa"/>
          </w:tcPr>
          <w:p>
            <w:pPr>
              <w:pStyle w:val="yTableNAm"/>
            </w:pPr>
            <w:r>
              <w:rPr>
                <w:sz w:val="16"/>
                <w:szCs w:val="16"/>
              </w:rPr>
              <w:t>100</w:t>
            </w:r>
          </w:p>
        </w:tc>
        <w:tc>
          <w:tcPr>
            <w:tcW w:w="954" w:type="dxa"/>
          </w:tcPr>
          <w:p>
            <w:pPr>
              <w:pStyle w:val="yTableNAm"/>
              <w:ind w:left="-14" w:right="-26"/>
            </w:pPr>
            <w:r>
              <w:rPr>
                <w:sz w:val="16"/>
                <w:szCs w:val="16"/>
              </w:rPr>
              <w:t>Incandescent</w:t>
            </w:r>
          </w:p>
        </w:tc>
        <w:tc>
          <w:tcPr>
            <w:tcW w:w="1654" w:type="dxa"/>
          </w:tcPr>
          <w:p>
            <w:pPr>
              <w:pStyle w:val="yTableNAm"/>
            </w:pPr>
            <w:r>
              <w:rPr>
                <w:sz w:val="16"/>
                <w:szCs w:val="16"/>
              </w:rPr>
              <w:t>34.0916</w:t>
            </w:r>
            <w:r>
              <w:rPr>
                <w:sz w:val="16"/>
                <w:szCs w:val="16"/>
              </w:rPr>
              <w:br/>
              <w:t>(includes carbon component of  1.2845)</w:t>
            </w:r>
          </w:p>
        </w:tc>
        <w:tc>
          <w:tcPr>
            <w:tcW w:w="1512" w:type="dxa"/>
          </w:tcPr>
          <w:p>
            <w:pPr>
              <w:pStyle w:val="yTableNAm"/>
            </w:pPr>
            <w:r>
              <w:rPr>
                <w:sz w:val="16"/>
                <w:szCs w:val="16"/>
              </w:rPr>
              <w:t>35.0947</w:t>
            </w:r>
            <w:r>
              <w:rPr>
                <w:sz w:val="16"/>
                <w:szCs w:val="16"/>
              </w:rPr>
              <w:br/>
              <w:t>(includes carbon component of  1.5852)</w:t>
            </w:r>
          </w:p>
        </w:tc>
        <w:tc>
          <w:tcPr>
            <w:tcW w:w="1512" w:type="dxa"/>
          </w:tcPr>
          <w:p>
            <w:pPr>
              <w:pStyle w:val="yTableNAm"/>
            </w:pPr>
            <w:r>
              <w:rPr>
                <w:sz w:val="16"/>
                <w:szCs w:val="16"/>
              </w:rPr>
              <w:t>38.7684</w:t>
            </w:r>
            <w:r>
              <w:rPr>
                <w:sz w:val="16"/>
                <w:szCs w:val="16"/>
              </w:rPr>
              <w:br/>
              <w:t>(includes carbon component of  2.7206)</w:t>
            </w:r>
          </w:p>
        </w:tc>
      </w:tr>
      <w:tr>
        <w:trPr>
          <w:gridBefore w:val="1"/>
          <w:wBefore w:w="16" w:type="dxa"/>
          <w:cantSplit/>
        </w:trPr>
        <w:tc>
          <w:tcPr>
            <w:tcW w:w="567" w:type="dxa"/>
          </w:tcPr>
          <w:p>
            <w:pPr>
              <w:pStyle w:val="yTableNAm"/>
            </w:pPr>
            <w:r>
              <w:rPr>
                <w:sz w:val="16"/>
                <w:szCs w:val="16"/>
              </w:rPr>
              <w:t>Z.53</w:t>
            </w:r>
          </w:p>
        </w:tc>
        <w:tc>
          <w:tcPr>
            <w:tcW w:w="747" w:type="dxa"/>
          </w:tcPr>
          <w:p>
            <w:pPr>
              <w:pStyle w:val="yTableNAm"/>
            </w:pPr>
            <w:r>
              <w:rPr>
                <w:sz w:val="16"/>
                <w:szCs w:val="16"/>
              </w:rPr>
              <w:t>200</w:t>
            </w:r>
          </w:p>
        </w:tc>
        <w:tc>
          <w:tcPr>
            <w:tcW w:w="954" w:type="dxa"/>
          </w:tcPr>
          <w:p>
            <w:pPr>
              <w:pStyle w:val="yTableNAm"/>
              <w:ind w:left="-14" w:right="-26"/>
            </w:pPr>
            <w:r>
              <w:rPr>
                <w:sz w:val="16"/>
                <w:szCs w:val="16"/>
              </w:rPr>
              <w:t>Incandescent</w:t>
            </w:r>
          </w:p>
        </w:tc>
        <w:tc>
          <w:tcPr>
            <w:tcW w:w="1654" w:type="dxa"/>
          </w:tcPr>
          <w:p>
            <w:pPr>
              <w:pStyle w:val="yTableNAm"/>
            </w:pPr>
            <w:r>
              <w:rPr>
                <w:sz w:val="16"/>
                <w:szCs w:val="16"/>
              </w:rPr>
              <w:t>41.2033</w:t>
            </w:r>
            <w:r>
              <w:rPr>
                <w:sz w:val="16"/>
                <w:szCs w:val="16"/>
              </w:rPr>
              <w:br/>
              <w:t>(includes carbon component of  2.5691)</w:t>
            </w:r>
          </w:p>
        </w:tc>
        <w:tc>
          <w:tcPr>
            <w:tcW w:w="1512" w:type="dxa"/>
          </w:tcPr>
          <w:p>
            <w:pPr>
              <w:pStyle w:val="yTableNAm"/>
            </w:pPr>
            <w:r>
              <w:rPr>
                <w:sz w:val="16"/>
                <w:szCs w:val="16"/>
              </w:rPr>
              <w:t>42.6667</w:t>
            </w:r>
            <w:r>
              <w:rPr>
                <w:sz w:val="16"/>
                <w:szCs w:val="16"/>
              </w:rPr>
              <w:br/>
              <w:t>(includes carbon component of  3.1704)</w:t>
            </w:r>
          </w:p>
        </w:tc>
        <w:tc>
          <w:tcPr>
            <w:tcW w:w="1512" w:type="dxa"/>
          </w:tcPr>
          <w:p>
            <w:pPr>
              <w:pStyle w:val="yTableNAm"/>
            </w:pPr>
            <w:r>
              <w:rPr>
                <w:sz w:val="16"/>
                <w:szCs w:val="16"/>
              </w:rPr>
              <w:t>48.8967</w:t>
            </w:r>
            <w:r>
              <w:rPr>
                <w:sz w:val="16"/>
                <w:szCs w:val="16"/>
              </w:rPr>
              <w:br/>
              <w:t>(includes carbon component of  5.4412)</w:t>
            </w:r>
          </w:p>
        </w:tc>
      </w:tr>
      <w:tr>
        <w:trPr>
          <w:gridBefore w:val="1"/>
          <w:wBefore w:w="16" w:type="dxa"/>
          <w:cantSplit/>
        </w:trPr>
        <w:tc>
          <w:tcPr>
            <w:tcW w:w="567" w:type="dxa"/>
          </w:tcPr>
          <w:p>
            <w:pPr>
              <w:pStyle w:val="yTableNAm"/>
            </w:pPr>
            <w:r>
              <w:rPr>
                <w:sz w:val="16"/>
                <w:szCs w:val="16"/>
              </w:rPr>
              <w:t>Z.54</w:t>
            </w:r>
          </w:p>
        </w:tc>
        <w:tc>
          <w:tcPr>
            <w:tcW w:w="747" w:type="dxa"/>
          </w:tcPr>
          <w:p>
            <w:pPr>
              <w:pStyle w:val="yTableNAm"/>
            </w:pPr>
            <w:r>
              <w:rPr>
                <w:sz w:val="16"/>
                <w:szCs w:val="16"/>
              </w:rPr>
              <w:t>300</w:t>
            </w:r>
          </w:p>
        </w:tc>
        <w:tc>
          <w:tcPr>
            <w:tcW w:w="954" w:type="dxa"/>
          </w:tcPr>
          <w:p>
            <w:pPr>
              <w:pStyle w:val="yTableNAm"/>
              <w:ind w:left="-14" w:right="-26"/>
            </w:pPr>
            <w:r>
              <w:rPr>
                <w:sz w:val="16"/>
                <w:szCs w:val="16"/>
              </w:rPr>
              <w:t>Incandescent</w:t>
            </w:r>
          </w:p>
        </w:tc>
        <w:tc>
          <w:tcPr>
            <w:tcW w:w="1654" w:type="dxa"/>
          </w:tcPr>
          <w:p>
            <w:pPr>
              <w:pStyle w:val="yTableNAm"/>
            </w:pPr>
            <w:r>
              <w:rPr>
                <w:sz w:val="16"/>
                <w:szCs w:val="16"/>
              </w:rPr>
              <w:t>51.6355</w:t>
            </w:r>
            <w:r>
              <w:rPr>
                <w:sz w:val="16"/>
                <w:szCs w:val="16"/>
              </w:rPr>
              <w:br/>
              <w:t>(includes carbon component of  3.8536)</w:t>
            </w:r>
          </w:p>
        </w:tc>
        <w:tc>
          <w:tcPr>
            <w:tcW w:w="1512" w:type="dxa"/>
          </w:tcPr>
          <w:p>
            <w:pPr>
              <w:pStyle w:val="yTableNAm"/>
            </w:pPr>
            <w:r>
              <w:rPr>
                <w:sz w:val="16"/>
                <w:szCs w:val="16"/>
              </w:rPr>
              <w:t>54.0860</w:t>
            </w:r>
            <w:r>
              <w:rPr>
                <w:sz w:val="16"/>
                <w:szCs w:val="16"/>
              </w:rPr>
              <w:br/>
              <w:t>(includes carbon component of  4.7556)</w:t>
            </w:r>
          </w:p>
        </w:tc>
        <w:tc>
          <w:tcPr>
            <w:tcW w:w="1512" w:type="dxa"/>
          </w:tcPr>
          <w:p>
            <w:pPr>
              <w:pStyle w:val="yTableNAm"/>
            </w:pPr>
            <w:r>
              <w:rPr>
                <w:sz w:val="16"/>
                <w:szCs w:val="16"/>
              </w:rPr>
              <w:t>63.0797</w:t>
            </w:r>
            <w:r>
              <w:rPr>
                <w:sz w:val="16"/>
                <w:szCs w:val="16"/>
              </w:rPr>
              <w:br/>
              <w:t>(includes carbon component of  8.1618)</w:t>
            </w:r>
          </w:p>
        </w:tc>
      </w:tr>
      <w:tr>
        <w:trPr>
          <w:gridBefore w:val="1"/>
          <w:wBefore w:w="16" w:type="dxa"/>
          <w:cantSplit/>
        </w:trPr>
        <w:tc>
          <w:tcPr>
            <w:tcW w:w="567" w:type="dxa"/>
          </w:tcPr>
          <w:p>
            <w:pPr>
              <w:pStyle w:val="yTableNAm"/>
            </w:pPr>
            <w:r>
              <w:rPr>
                <w:sz w:val="16"/>
                <w:szCs w:val="16"/>
              </w:rPr>
              <w:t>Z.55</w:t>
            </w:r>
          </w:p>
        </w:tc>
        <w:tc>
          <w:tcPr>
            <w:tcW w:w="747" w:type="dxa"/>
          </w:tcPr>
          <w:p>
            <w:pPr>
              <w:pStyle w:val="yTableNAm"/>
            </w:pPr>
            <w:r>
              <w:rPr>
                <w:sz w:val="16"/>
                <w:szCs w:val="16"/>
              </w:rPr>
              <w:t>500</w:t>
            </w:r>
          </w:p>
        </w:tc>
        <w:tc>
          <w:tcPr>
            <w:tcW w:w="954" w:type="dxa"/>
          </w:tcPr>
          <w:p>
            <w:pPr>
              <w:pStyle w:val="yTableNAm"/>
              <w:ind w:left="-14" w:right="-26"/>
            </w:pPr>
            <w:r>
              <w:rPr>
                <w:sz w:val="16"/>
                <w:szCs w:val="16"/>
              </w:rPr>
              <w:t>Incandescent</w:t>
            </w:r>
          </w:p>
        </w:tc>
        <w:tc>
          <w:tcPr>
            <w:tcW w:w="1654" w:type="dxa"/>
          </w:tcPr>
          <w:p>
            <w:pPr>
              <w:pStyle w:val="yTableNAm"/>
            </w:pPr>
            <w:r>
              <w:rPr>
                <w:sz w:val="16"/>
                <w:szCs w:val="16"/>
              </w:rPr>
              <w:t>83.2599</w:t>
            </w:r>
            <w:r>
              <w:rPr>
                <w:sz w:val="16"/>
                <w:szCs w:val="16"/>
              </w:rPr>
              <w:br/>
              <w:t>(includes carbon component of  6.4226)</w:t>
            </w:r>
          </w:p>
        </w:tc>
        <w:tc>
          <w:tcPr>
            <w:tcW w:w="1512" w:type="dxa"/>
          </w:tcPr>
          <w:p>
            <w:pPr>
              <w:pStyle w:val="yTableNAm"/>
            </w:pPr>
            <w:r>
              <w:rPr>
                <w:sz w:val="16"/>
                <w:szCs w:val="16"/>
              </w:rPr>
              <w:t>87.7647</w:t>
            </w:r>
            <w:r>
              <w:rPr>
                <w:sz w:val="16"/>
                <w:szCs w:val="16"/>
              </w:rPr>
              <w:br/>
              <w:t>(includes carbon component of  7.9261)</w:t>
            </w:r>
          </w:p>
        </w:tc>
        <w:tc>
          <w:tcPr>
            <w:tcW w:w="1512" w:type="dxa"/>
          </w:tcPr>
          <w:p>
            <w:pPr>
              <w:pStyle w:val="yTableNAm"/>
            </w:pPr>
            <w:r>
              <w:rPr>
                <w:sz w:val="16"/>
                <w:szCs w:val="16"/>
              </w:rPr>
              <w:t>104.7125</w:t>
            </w:r>
            <w:r>
              <w:rPr>
                <w:sz w:val="16"/>
                <w:szCs w:val="16"/>
              </w:rPr>
              <w:br/>
              <w:t>(includes carbon component of  13.6030)</w:t>
            </w:r>
          </w:p>
        </w:tc>
      </w:tr>
      <w:tr>
        <w:trPr>
          <w:gridBefore w:val="1"/>
          <w:wBefore w:w="16" w:type="dxa"/>
          <w:cantSplit/>
        </w:trPr>
        <w:tc>
          <w:tcPr>
            <w:tcW w:w="567" w:type="dxa"/>
          </w:tcPr>
          <w:p>
            <w:pPr>
              <w:pStyle w:val="yTableNAm"/>
            </w:pPr>
            <w:r>
              <w:rPr>
                <w:sz w:val="16"/>
                <w:szCs w:val="16"/>
              </w:rPr>
              <w:t>Z.56</w:t>
            </w:r>
          </w:p>
        </w:tc>
        <w:tc>
          <w:tcPr>
            <w:tcW w:w="747" w:type="dxa"/>
          </w:tcPr>
          <w:p>
            <w:pPr>
              <w:pStyle w:val="yTableNAm"/>
            </w:pPr>
            <w:r>
              <w:rPr>
                <w:sz w:val="16"/>
                <w:szCs w:val="16"/>
              </w:rPr>
              <w:t>40</w:t>
            </w:r>
          </w:p>
        </w:tc>
        <w:tc>
          <w:tcPr>
            <w:tcW w:w="954" w:type="dxa"/>
          </w:tcPr>
          <w:p>
            <w:pPr>
              <w:pStyle w:val="yTableNAm"/>
              <w:ind w:left="-14" w:right="-26"/>
            </w:pPr>
            <w:r>
              <w:rPr>
                <w:sz w:val="16"/>
                <w:szCs w:val="16"/>
              </w:rPr>
              <w:t>Fluorescent</w:t>
            </w:r>
          </w:p>
        </w:tc>
        <w:tc>
          <w:tcPr>
            <w:tcW w:w="1654" w:type="dxa"/>
          </w:tcPr>
          <w:p>
            <w:pPr>
              <w:pStyle w:val="yTableNAm"/>
            </w:pPr>
            <w:r>
              <w:rPr>
                <w:sz w:val="16"/>
                <w:szCs w:val="16"/>
              </w:rPr>
              <w:t>33.3209</w:t>
            </w:r>
            <w:r>
              <w:rPr>
                <w:sz w:val="16"/>
                <w:szCs w:val="16"/>
              </w:rPr>
              <w:br/>
              <w:t>(includes carbon component of  0.5138)</w:t>
            </w:r>
          </w:p>
        </w:tc>
        <w:tc>
          <w:tcPr>
            <w:tcW w:w="1512" w:type="dxa"/>
          </w:tcPr>
          <w:p>
            <w:pPr>
              <w:pStyle w:val="yTableNAm"/>
            </w:pPr>
            <w:r>
              <w:rPr>
                <w:sz w:val="16"/>
                <w:szCs w:val="16"/>
              </w:rPr>
              <w:t>34.1436</w:t>
            </w:r>
            <w:r>
              <w:rPr>
                <w:sz w:val="16"/>
                <w:szCs w:val="16"/>
              </w:rPr>
              <w:br/>
              <w:t>(includes carbon component of  0.6341)</w:t>
            </w:r>
          </w:p>
        </w:tc>
        <w:tc>
          <w:tcPr>
            <w:tcW w:w="1512" w:type="dxa"/>
          </w:tcPr>
          <w:p>
            <w:pPr>
              <w:pStyle w:val="yTableNAm"/>
            </w:pPr>
            <w:r>
              <w:rPr>
                <w:sz w:val="16"/>
                <w:szCs w:val="16"/>
              </w:rPr>
              <w:t>37.1361</w:t>
            </w:r>
            <w:r>
              <w:rPr>
                <w:sz w:val="16"/>
                <w:szCs w:val="16"/>
              </w:rPr>
              <w:br/>
              <w:t>(includes carbon component of  1.0882)</w:t>
            </w:r>
          </w:p>
        </w:tc>
      </w:tr>
      <w:tr>
        <w:trPr>
          <w:gridBefore w:val="1"/>
          <w:wBefore w:w="16" w:type="dxa"/>
          <w:cantSplit/>
        </w:trPr>
        <w:tc>
          <w:tcPr>
            <w:tcW w:w="567" w:type="dxa"/>
          </w:tcPr>
          <w:p>
            <w:pPr>
              <w:pStyle w:val="yTableNAm"/>
            </w:pPr>
            <w:r>
              <w:rPr>
                <w:sz w:val="16"/>
                <w:szCs w:val="16"/>
              </w:rPr>
              <w:t>Z.57</w:t>
            </w:r>
          </w:p>
        </w:tc>
        <w:tc>
          <w:tcPr>
            <w:tcW w:w="747" w:type="dxa"/>
          </w:tcPr>
          <w:p>
            <w:pPr>
              <w:pStyle w:val="yTableNAm"/>
            </w:pPr>
            <w:r>
              <w:rPr>
                <w:sz w:val="16"/>
                <w:szCs w:val="16"/>
              </w:rPr>
              <w:t>80</w:t>
            </w:r>
          </w:p>
        </w:tc>
        <w:tc>
          <w:tcPr>
            <w:tcW w:w="954" w:type="dxa"/>
          </w:tcPr>
          <w:p>
            <w:pPr>
              <w:pStyle w:val="yTableNAm"/>
              <w:ind w:left="-14" w:right="-26"/>
            </w:pPr>
            <w:r>
              <w:rPr>
                <w:sz w:val="16"/>
                <w:szCs w:val="16"/>
              </w:rPr>
              <w:t>Fluorescent</w:t>
            </w:r>
          </w:p>
        </w:tc>
        <w:tc>
          <w:tcPr>
            <w:tcW w:w="1654" w:type="dxa"/>
          </w:tcPr>
          <w:p>
            <w:pPr>
              <w:pStyle w:val="yTableNAm"/>
            </w:pPr>
            <w:r>
              <w:rPr>
                <w:sz w:val="16"/>
                <w:szCs w:val="16"/>
              </w:rPr>
              <w:t>39.6617</w:t>
            </w:r>
            <w:r>
              <w:rPr>
                <w:sz w:val="16"/>
                <w:szCs w:val="16"/>
              </w:rPr>
              <w:br/>
              <w:t>(includes carbon component of  1.0276)</w:t>
            </w:r>
          </w:p>
        </w:tc>
        <w:tc>
          <w:tcPr>
            <w:tcW w:w="1512" w:type="dxa"/>
          </w:tcPr>
          <w:p>
            <w:pPr>
              <w:pStyle w:val="yTableNAm"/>
            </w:pPr>
            <w:r>
              <w:rPr>
                <w:sz w:val="16"/>
                <w:szCs w:val="16"/>
              </w:rPr>
              <w:t>40.7645</w:t>
            </w:r>
            <w:r>
              <w:rPr>
                <w:sz w:val="16"/>
                <w:szCs w:val="16"/>
              </w:rPr>
              <w:br/>
              <w:t>(includes carbon component of  1.2682)</w:t>
            </w:r>
          </w:p>
        </w:tc>
        <w:tc>
          <w:tcPr>
            <w:tcW w:w="1512" w:type="dxa"/>
          </w:tcPr>
          <w:p>
            <w:pPr>
              <w:pStyle w:val="yTableNAm"/>
            </w:pPr>
            <w:r>
              <w:rPr>
                <w:sz w:val="16"/>
                <w:szCs w:val="16"/>
              </w:rPr>
              <w:t>45.6320</w:t>
            </w:r>
            <w:r>
              <w:rPr>
                <w:sz w:val="16"/>
                <w:szCs w:val="16"/>
              </w:rPr>
              <w:br/>
              <w:t>(includes carbon component of  2.1765)</w:t>
            </w:r>
          </w:p>
        </w:tc>
      </w:tr>
      <w:tr>
        <w:trPr>
          <w:gridBefore w:val="1"/>
          <w:wBefore w:w="16" w:type="dxa"/>
          <w:cantSplit/>
        </w:trPr>
        <w:tc>
          <w:tcPr>
            <w:tcW w:w="567" w:type="dxa"/>
            <w:tcBorders>
              <w:bottom w:val="single" w:sz="4" w:space="0" w:color="auto"/>
            </w:tcBorders>
          </w:tcPr>
          <w:p>
            <w:pPr>
              <w:pStyle w:val="yTableNAm"/>
            </w:pPr>
            <w:r>
              <w:rPr>
                <w:sz w:val="16"/>
                <w:szCs w:val="16"/>
              </w:rPr>
              <w:t>Z.58</w:t>
            </w:r>
          </w:p>
        </w:tc>
        <w:tc>
          <w:tcPr>
            <w:tcW w:w="747" w:type="dxa"/>
            <w:tcBorders>
              <w:bottom w:val="single" w:sz="4" w:space="0" w:color="auto"/>
            </w:tcBorders>
          </w:tcPr>
          <w:p>
            <w:pPr>
              <w:pStyle w:val="yTableNAm"/>
            </w:pPr>
            <w:r>
              <w:rPr>
                <w:sz w:val="16"/>
                <w:szCs w:val="16"/>
              </w:rPr>
              <w:t>160</w:t>
            </w:r>
          </w:p>
        </w:tc>
        <w:tc>
          <w:tcPr>
            <w:tcW w:w="954" w:type="dxa"/>
            <w:tcBorders>
              <w:bottom w:val="single" w:sz="4" w:space="0" w:color="auto"/>
            </w:tcBorders>
          </w:tcPr>
          <w:p>
            <w:pPr>
              <w:pStyle w:val="yTableNAm"/>
              <w:ind w:left="-14" w:right="-26"/>
            </w:pPr>
            <w:r>
              <w:rPr>
                <w:sz w:val="16"/>
                <w:szCs w:val="16"/>
              </w:rPr>
              <w:t>Fluorescent</w:t>
            </w:r>
          </w:p>
        </w:tc>
        <w:tc>
          <w:tcPr>
            <w:tcW w:w="1654" w:type="dxa"/>
            <w:tcBorders>
              <w:bottom w:val="single" w:sz="4" w:space="0" w:color="auto"/>
            </w:tcBorders>
          </w:tcPr>
          <w:p>
            <w:pPr>
              <w:pStyle w:val="yTableNAm"/>
            </w:pPr>
            <w:r>
              <w:rPr>
                <w:sz w:val="16"/>
                <w:szCs w:val="16"/>
              </w:rPr>
              <w:t>56.0953</w:t>
            </w:r>
            <w:r>
              <w:rPr>
                <w:sz w:val="16"/>
                <w:szCs w:val="16"/>
              </w:rPr>
              <w:br/>
              <w:t>(includes carbon component of  2.0552)</w:t>
            </w:r>
          </w:p>
        </w:tc>
        <w:tc>
          <w:tcPr>
            <w:tcW w:w="1512" w:type="dxa"/>
            <w:tcBorders>
              <w:bottom w:val="single" w:sz="4" w:space="0" w:color="auto"/>
            </w:tcBorders>
          </w:tcPr>
          <w:p>
            <w:pPr>
              <w:pStyle w:val="yTableNAm"/>
            </w:pPr>
            <w:r>
              <w:rPr>
                <w:sz w:val="16"/>
                <w:szCs w:val="16"/>
              </w:rPr>
              <w:t>57.3265</w:t>
            </w:r>
            <w:r>
              <w:rPr>
                <w:sz w:val="16"/>
                <w:szCs w:val="16"/>
              </w:rPr>
              <w:br/>
              <w:t>(includes carbon component of  2.5363)</w:t>
            </w:r>
          </w:p>
        </w:tc>
        <w:tc>
          <w:tcPr>
            <w:tcW w:w="1512" w:type="dxa"/>
            <w:tcBorders>
              <w:bottom w:val="single" w:sz="4" w:space="0" w:color="auto"/>
            </w:tcBorders>
          </w:tcPr>
          <w:p>
            <w:pPr>
              <w:pStyle w:val="yTableNAm"/>
            </w:pPr>
            <w:r>
              <w:rPr>
                <w:sz w:val="16"/>
                <w:szCs w:val="16"/>
              </w:rPr>
              <w:t>67.9237</w:t>
            </w:r>
            <w:r>
              <w:rPr>
                <w:sz w:val="16"/>
                <w:szCs w:val="16"/>
              </w:rPr>
              <w:br/>
              <w:t>(includes carbon component of  4.3530)</w:t>
            </w:r>
          </w:p>
        </w:tc>
      </w:tr>
    </w:tbl>
    <w:p>
      <w:pPr>
        <w:pStyle w:val="yFootnotesection"/>
      </w:pPr>
      <w:r>
        <w:tab/>
        <w:t>[Division 1 inserted in Gazette 27 Jun 2014 p. 2316-18.]</w:t>
      </w:r>
    </w:p>
    <w:p>
      <w:pPr>
        <w:pStyle w:val="yFootnotesection"/>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yHeading3"/>
        <w:spacing w:before="0"/>
      </w:pPr>
      <w:bookmarkStart w:id="32" w:name="_Toc391912298"/>
      <w:r>
        <w:rPr>
          <w:rStyle w:val="CharSDivNo"/>
        </w:rPr>
        <w:t>Division 2</w:t>
      </w:r>
      <w:r>
        <w:rPr>
          <w:b w:val="0"/>
        </w:rPr>
        <w:t> — </w:t>
      </w:r>
      <w:r>
        <w:rPr>
          <w:rStyle w:val="CharSDivText"/>
        </w:rPr>
        <w:t>Miscellaneous</w:t>
      </w:r>
      <w:bookmarkEnd w:id="32"/>
    </w:p>
    <w:p>
      <w:pPr>
        <w:pStyle w:val="yFootnoteheading"/>
        <w:spacing w:after="120"/>
      </w:pPr>
      <w:r>
        <w:tab/>
        <w:t>[Heading inserted in Gazette 30 Aug 2013 p. 4099.]</w:t>
      </w:r>
    </w:p>
    <w:p>
      <w:pPr>
        <w:pStyle w:val="yHeading5"/>
      </w:pPr>
      <w:bookmarkStart w:id="33" w:name="_Toc391912299"/>
      <w:r>
        <w:rPr>
          <w:rStyle w:val="CharSClsNo"/>
        </w:rPr>
        <w:t>1</w:t>
      </w:r>
      <w:r>
        <w:t>.</w:t>
      </w:r>
      <w:r>
        <w:tab/>
        <w:t>Traffic light installation</w:t>
      </w:r>
      <w:bookmarkEnd w:id="33"/>
    </w:p>
    <w:p>
      <w:pPr>
        <w:pStyle w:val="ySubsection"/>
      </w:pPr>
      <w:r>
        <w:tab/>
      </w:r>
      <w:r>
        <w:tab/>
        <w:t>Supply of electricity to traffic light installations comprises a charge of $6.2662 (being $5.6889 plus the carbon component) per day per KW of installed wattage.</w:t>
      </w:r>
    </w:p>
    <w:p>
      <w:pPr>
        <w:pStyle w:val="yFootnotesection"/>
      </w:pPr>
      <w:r>
        <w:tab/>
        <w:t>[Clause 1 inserted in Gazette 30 Aug 2013 p. 4099; amended in Gazette 27 Jun 2014 p. 2318.]</w:t>
      </w:r>
    </w:p>
    <w:p>
      <w:pPr>
        <w:pStyle w:val="yHeading5"/>
      </w:pPr>
      <w:bookmarkStart w:id="34" w:name="_Toc391912300"/>
      <w:r>
        <w:rPr>
          <w:rStyle w:val="CharSClsNo"/>
        </w:rPr>
        <w:t>2</w:t>
      </w:r>
      <w:r>
        <w:t>.</w:t>
      </w:r>
      <w:r>
        <w:tab/>
        <w:t>Public telephone facility</w:t>
      </w:r>
      <w:bookmarkEnd w:id="34"/>
    </w:p>
    <w:p>
      <w:pPr>
        <w:pStyle w:val="ySubsection"/>
      </w:pPr>
      <w:r>
        <w:tab/>
      </w:r>
      <w:r>
        <w:tab/>
        <w:t>Supply of electricity to a standard public telephone facility where supply is not independently metered comprises a charge of 52.5016 cents (being 49.4972 cents plus the carbon component) per day.</w:t>
      </w:r>
    </w:p>
    <w:p>
      <w:pPr>
        <w:pStyle w:val="yFootnotesection"/>
      </w:pPr>
      <w:r>
        <w:tab/>
        <w:t>[Clause 2 inserted in Gazette 30 Aug 2013 p. 4100; amended in Gazette 27 Jun 2014 p. 2318.]</w:t>
      </w:r>
    </w:p>
    <w:p>
      <w:pPr>
        <w:pStyle w:val="yHeading5"/>
      </w:pPr>
      <w:bookmarkStart w:id="35" w:name="_Toc391912301"/>
      <w:r>
        <w:rPr>
          <w:rStyle w:val="CharSClsNo"/>
        </w:rPr>
        <w:t>3</w:t>
      </w:r>
      <w:r>
        <w:t>.</w:t>
      </w:r>
      <w:r>
        <w:tab/>
        <w:t>Railway crossing</w:t>
      </w:r>
      <w:bookmarkEnd w:id="35"/>
    </w:p>
    <w:p>
      <w:pPr>
        <w:pStyle w:val="ySubsection"/>
      </w:pPr>
      <w:r>
        <w:tab/>
      </w:r>
      <w:r>
        <w:tab/>
        <w:t>Supply of electricity to standard railway crossing lights comprises a charge of 64.5866 cents (being 63.2540 cents plus the carbon component) per day.</w:t>
      </w:r>
    </w:p>
    <w:p>
      <w:pPr>
        <w:pStyle w:val="yFootnotesection"/>
      </w:pPr>
      <w:r>
        <w:tab/>
        <w:t>[Clause 3 inserted in Gazette 30 Aug 2013 p. 4100; amended in Gazette 27 Jun 2014 p. 2318.]</w:t>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6" w:name="_Toc391912302"/>
      <w:r>
        <w:rPr>
          <w:rStyle w:val="CharSchNo"/>
        </w:rPr>
        <w:t>Schedule 3</w:t>
      </w:r>
      <w:r>
        <w:rPr>
          <w:rStyle w:val="CharSDivNo"/>
        </w:rPr>
        <w:t> </w:t>
      </w:r>
      <w:r>
        <w:t>—</w:t>
      </w:r>
      <w:r>
        <w:rPr>
          <w:rStyle w:val="CharSDivText"/>
        </w:rPr>
        <w:t> </w:t>
      </w:r>
      <w:r>
        <w:rPr>
          <w:rStyle w:val="CharSchText"/>
        </w:rPr>
        <w:t>Meter rental</w:t>
      </w:r>
      <w:bookmarkEnd w:id="36"/>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7" w:name="_Toc391912303"/>
      <w:r>
        <w:rPr>
          <w:rStyle w:val="CharSchNo"/>
        </w:rPr>
        <w:t>Schedule 4</w:t>
      </w:r>
      <w:r>
        <w:rPr>
          <w:rStyle w:val="CharSDivNo"/>
        </w:rPr>
        <w:t> </w:t>
      </w:r>
      <w:r>
        <w:t>—</w:t>
      </w:r>
      <w:r>
        <w:rPr>
          <w:rStyle w:val="CharSDivText"/>
        </w:rPr>
        <w:t> </w:t>
      </w:r>
      <w:r>
        <w:rPr>
          <w:rStyle w:val="CharSchText"/>
        </w:rPr>
        <w:t>Fees</w:t>
      </w:r>
      <w:bookmarkEnd w:id="37"/>
    </w:p>
    <w:p>
      <w:pPr>
        <w:pStyle w:val="yShoulderClause"/>
        <w:spacing w:before="60"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Pr>
          <w:p>
            <w:pPr>
              <w:pStyle w:val="yTableNAm"/>
              <w:keepNext/>
              <w:ind w:left="556" w:hanging="556"/>
            </w:pPr>
            <w:r>
              <w:t>11.</w:t>
            </w:r>
            <w:r>
              <w:tab/>
              <w:t>Tariff R1 or R3 “time</w:t>
            </w:r>
            <w:r>
              <w:noBreakHyphen/>
              <w:t>of</w:t>
            </w:r>
            <w:r>
              <w:noBreakHyphen/>
              <w:t>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38" w:name="_Toc391912304"/>
      <w:r>
        <w:t>Notes</w:t>
      </w:r>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9" w:name="_Toc391912305"/>
      <w:r>
        <w:t>Compilation table</w:t>
      </w:r>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r>
              <w:rPr>
                <w:i/>
                <w:sz w:val="19"/>
                <w:vertAlign w:val="superscript"/>
              </w:rPr>
              <w:t> </w:t>
            </w:r>
            <w:r>
              <w:rPr>
                <w:sz w:val="19"/>
                <w:vertAlign w:val="superscript"/>
              </w:rPr>
              <w:t>2</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4"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4"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4"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4"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8"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4"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4" w:type="dxa"/>
          </w:tcPr>
          <w:p>
            <w:pPr>
              <w:pStyle w:val="nTable"/>
              <w:spacing w:after="40"/>
              <w:rPr>
                <w:sz w:val="19"/>
              </w:rPr>
            </w:pPr>
            <w:r>
              <w:rPr>
                <w:sz w:val="19"/>
              </w:rPr>
              <w:t>bl. 1 and 2: 24 Jun 2011 (see bl. 2(a));</w:t>
            </w:r>
            <w:r>
              <w:rPr>
                <w:sz w:val="19"/>
              </w:rPr>
              <w:br/>
              <w:t>By-laws other than bl. 1 and 2: 1 Jul 2011 (see bl. 2(b))</w:t>
            </w:r>
          </w:p>
        </w:tc>
      </w:tr>
      <w:tr>
        <w:tc>
          <w:tcPr>
            <w:tcW w:w="7088"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4" w:type="dxa"/>
          </w:tcPr>
          <w:p>
            <w:pPr>
              <w:pStyle w:val="nTable"/>
              <w:spacing w:after="40"/>
              <w:rPr>
                <w:sz w:val="19"/>
              </w:rPr>
            </w:pPr>
            <w:r>
              <w:rPr>
                <w:sz w:val="19"/>
              </w:rPr>
              <w:t>bl. 1 and 2: 29 Jun 2012 (see bl. 2(a));</w:t>
            </w:r>
            <w:r>
              <w:rPr>
                <w:sz w:val="19"/>
              </w:rPr>
              <w:br/>
              <w:t>By-laws other than bl. 1 and 2: 1 Jul 2012 (see bl. 2(b))</w:t>
            </w:r>
          </w:p>
        </w:tc>
      </w:tr>
      <w:tr>
        <w:trPr>
          <w:cantSplit/>
        </w:trP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4"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4"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4" w:type="dxa"/>
          </w:tcPr>
          <w:p>
            <w:pPr>
              <w:pStyle w:val="nTable"/>
              <w:spacing w:after="40"/>
              <w:rPr>
                <w:sz w:val="19"/>
              </w:rPr>
            </w:pPr>
            <w:r>
              <w:rPr>
                <w:sz w:val="19"/>
              </w:rPr>
              <w:t>bl. 1 and 2: 30 Aug 2013 (see bl. 2(a));</w:t>
            </w:r>
            <w:r>
              <w:rPr>
                <w:sz w:val="19"/>
              </w:rPr>
              <w:br/>
              <w:t>By-laws other than bl. 1 and 2: 1 Sep 2013 (see bl. 2(b))</w:t>
            </w:r>
          </w:p>
        </w:tc>
      </w:tr>
      <w:tr>
        <w:tc>
          <w:tcPr>
            <w:tcW w:w="3118" w:type="dxa"/>
            <w:shd w:val="clear" w:color="auto" w:fill="auto"/>
          </w:tcPr>
          <w:p>
            <w:pPr>
              <w:pStyle w:val="nTable"/>
              <w:spacing w:after="40"/>
              <w:rPr>
                <w:i/>
                <w:sz w:val="19"/>
              </w:rPr>
            </w:pPr>
            <w:r>
              <w:rPr>
                <w:i/>
                <w:sz w:val="19"/>
              </w:rPr>
              <w:t>Electricity Corporations (Consequential Amendments) Regulations 2013</w:t>
            </w:r>
            <w:r>
              <w:rPr>
                <w:sz w:val="19"/>
              </w:rPr>
              <w:t xml:space="preserve"> r. 12</w:t>
            </w:r>
          </w:p>
        </w:tc>
        <w:tc>
          <w:tcPr>
            <w:tcW w:w="1276" w:type="dxa"/>
            <w:shd w:val="clear" w:color="auto" w:fill="auto"/>
          </w:tcPr>
          <w:p>
            <w:pPr>
              <w:pStyle w:val="nTable"/>
              <w:spacing w:after="40"/>
              <w:rPr>
                <w:sz w:val="19"/>
              </w:rPr>
            </w:pPr>
            <w:r>
              <w:rPr>
                <w:sz w:val="19"/>
              </w:rPr>
              <w:t>27 Dec 2013 p. 6469-79</w:t>
            </w:r>
          </w:p>
        </w:tc>
        <w:tc>
          <w:tcPr>
            <w:tcW w:w="2694" w:type="dxa"/>
            <w:shd w:val="clear" w:color="auto" w:fill="auto"/>
          </w:tcPr>
          <w:p>
            <w:pPr>
              <w:pStyle w:val="nTable"/>
              <w:spacing w:after="40"/>
              <w:rPr>
                <w:sz w:val="19"/>
              </w:rPr>
            </w:pPr>
            <w:r>
              <w:rPr>
                <w:sz w:val="19"/>
              </w:rPr>
              <w:t xml:space="preserve">1 Jan 2014 (see r. 2(c) and </w:t>
            </w:r>
            <w:r>
              <w:rPr>
                <w:i/>
                <w:sz w:val="19"/>
              </w:rPr>
              <w:t>Gazette</w:t>
            </w:r>
            <w:r>
              <w:rPr>
                <w:sz w:val="19"/>
              </w:rPr>
              <w:t xml:space="preserve"> 27 Dec 2013 p. 6465)</w:t>
            </w:r>
          </w:p>
        </w:tc>
      </w:tr>
      <w:tr>
        <w:tc>
          <w:tcPr>
            <w:tcW w:w="7088" w:type="dxa"/>
            <w:gridSpan w:val="3"/>
            <w:shd w:val="clear" w:color="auto" w:fill="auto"/>
          </w:tcPr>
          <w:p>
            <w:pPr>
              <w:pStyle w:val="nTable"/>
              <w:spacing w:after="40"/>
              <w:rPr>
                <w:sz w:val="19"/>
              </w:rPr>
            </w:pPr>
            <w:r>
              <w:rPr>
                <w:b/>
                <w:bCs/>
                <w:sz w:val="19"/>
              </w:rPr>
              <w:t xml:space="preserve">Reprint 3: </w:t>
            </w:r>
            <w:r>
              <w:rPr>
                <w:b/>
                <w:bCs/>
                <w:sz w:val="19"/>
                <w:szCs w:val="19"/>
              </w:rPr>
              <w:t xml:space="preserve">The </w:t>
            </w:r>
            <w:r>
              <w:rPr>
                <w:b/>
                <w:i/>
                <w:noProof/>
                <w:snapToGrid w:val="0"/>
                <w:sz w:val="19"/>
                <w:szCs w:val="19"/>
              </w:rPr>
              <w:t xml:space="preserve">Energy Operators (Electricity </w:t>
            </w:r>
            <w:r>
              <w:rPr>
                <w:b/>
                <w:i/>
                <w:sz w:val="19"/>
                <w:szCs w:val="19"/>
              </w:rPr>
              <w:t>Generation and</w:t>
            </w:r>
            <w:r>
              <w:rPr>
                <w:b/>
                <w:i/>
                <w:noProof/>
                <w:snapToGrid w:val="0"/>
                <w:sz w:val="19"/>
                <w:szCs w:val="19"/>
              </w:rPr>
              <w:t xml:space="preserve"> Retail Corporation) (Charges) By-laws 2006</w:t>
            </w:r>
            <w:r>
              <w:rPr>
                <w:b/>
                <w:bCs/>
                <w:sz w:val="19"/>
                <w:szCs w:val="19"/>
              </w:rPr>
              <w:t xml:space="preserve"> a</w:t>
            </w:r>
            <w:r>
              <w:rPr>
                <w:b/>
                <w:bCs/>
                <w:sz w:val="19"/>
              </w:rPr>
              <w:t>s at 14 Mar 2014</w:t>
            </w:r>
            <w:r>
              <w:rPr>
                <w:sz w:val="19"/>
              </w:rPr>
              <w:t xml:space="preserve"> (includes amendments listed above)</w:t>
            </w:r>
          </w:p>
        </w:tc>
      </w:tr>
      <w:tr>
        <w:tc>
          <w:tcPr>
            <w:tcW w:w="3118" w:type="dxa"/>
            <w:tcBorders>
              <w:bottom w:val="single" w:sz="4" w:space="0" w:color="auto"/>
            </w:tcBorders>
            <w:shd w:val="clear" w:color="auto" w:fill="auto"/>
          </w:tcPr>
          <w:p>
            <w:pPr>
              <w:pStyle w:val="nTable"/>
              <w:spacing w:after="40"/>
              <w:rPr>
                <w:i/>
                <w:sz w:val="19"/>
              </w:rPr>
            </w:pPr>
            <w:r>
              <w:rPr>
                <w:i/>
                <w:sz w:val="19"/>
              </w:rPr>
              <w:t>Energy Operators (Electricity Generation and Retail Corporation) (Charges) Amendment By-laws 2014</w:t>
            </w:r>
          </w:p>
        </w:tc>
        <w:tc>
          <w:tcPr>
            <w:tcW w:w="1276" w:type="dxa"/>
            <w:tcBorders>
              <w:bottom w:val="single" w:sz="4" w:space="0" w:color="auto"/>
            </w:tcBorders>
            <w:shd w:val="clear" w:color="auto" w:fill="auto"/>
          </w:tcPr>
          <w:p>
            <w:pPr>
              <w:pStyle w:val="nTable"/>
              <w:spacing w:after="40"/>
              <w:rPr>
                <w:sz w:val="19"/>
              </w:rPr>
            </w:pPr>
            <w:r>
              <w:rPr>
                <w:sz w:val="19"/>
              </w:rPr>
              <w:t>27 Jun 2014 p. 2313-19</w:t>
            </w:r>
          </w:p>
        </w:tc>
        <w:tc>
          <w:tcPr>
            <w:tcW w:w="2694" w:type="dxa"/>
            <w:tcBorders>
              <w:bottom w:val="single" w:sz="4" w:space="0" w:color="auto"/>
            </w:tcBorders>
            <w:shd w:val="clear" w:color="auto" w:fill="auto"/>
          </w:tcPr>
          <w:p>
            <w:pPr>
              <w:pStyle w:val="nTable"/>
              <w:spacing w:after="40"/>
              <w:rPr>
                <w:sz w:val="19"/>
              </w:rPr>
            </w:pPr>
            <w:r>
              <w:rPr>
                <w:sz w:val="19"/>
              </w:rPr>
              <w:t>bl. 1 and 2: 27 Jun 2014 (see bl. 2(a));</w:t>
            </w:r>
            <w:r>
              <w:rPr>
                <w:sz w:val="19"/>
              </w:rPr>
              <w:br/>
              <w:t>By-laws other than bl. 1 and 2: 1 Jul 2014 (see bl. 2(b))</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 w:name="_Toc391912306"/>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084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6514</Words>
  <Characters>32507</Characters>
  <Application>Microsoft Office Word</Application>
  <DocSecurity>0</DocSecurity>
  <Lines>1300</Lines>
  <Paragraphs>780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2006 - 03-b0-00</dc:title>
  <dc:subject/>
  <dc:creator/>
  <cp:keywords/>
  <dc:description/>
  <cp:lastModifiedBy>svcMRProcess</cp:lastModifiedBy>
  <cp:revision>4</cp:revision>
  <cp:lastPrinted>2014-03-19T07:03:00Z</cp:lastPrinted>
  <dcterms:created xsi:type="dcterms:W3CDTF">2020-02-24T15:08:00Z</dcterms:created>
  <dcterms:modified xsi:type="dcterms:W3CDTF">2020-02-24T15:08:00Z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20140701</vt:lpwstr>
  </property>
  <property fmtid="{D5CDD505-2E9C-101B-9397-08002B2CF9AE}" pid="4" name="OwlsUID">
    <vt:i4>38407</vt:i4>
  </property>
  <property fmtid="{D5CDD505-2E9C-101B-9397-08002B2CF9AE}" pid="5" name="AsAtDate">
    <vt:lpwstr>01 Jul 2014</vt:lpwstr>
  </property>
  <property fmtid="{D5CDD505-2E9C-101B-9397-08002B2CF9AE}" pid="6" name="Suffix">
    <vt:lpwstr>03-b0-00</vt:lpwstr>
  </property>
  <property fmtid="{D5CDD505-2E9C-101B-9397-08002B2CF9AE}" pid="7" name="ReprintNo">
    <vt:lpwstr>3</vt:lpwstr>
  </property>
  <property fmtid="{D5CDD505-2E9C-101B-9397-08002B2CF9AE}" pid="8" name="ReprintedAsAt">
    <vt:filetime>2014-03-13T16:00:00Z</vt:filetime>
  </property>
  <property fmtid="{D5CDD505-2E9C-101B-9397-08002B2CF9AE}" pid="9" name="DocumentType">
    <vt:lpwstr>Reg</vt:lpwstr>
  </property>
</Properties>
</file>