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Land Tax Assessment Act 2002</w:t>
      </w:r>
      <w:r>
        <w:br/>
        <w:t>Taxation Administration Act 2003</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_Toc391911861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_Toc391911862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 in these regulations</w:t>
      </w:r>
      <w:r>
        <w:tab/>
      </w:r>
      <w:r>
        <w:fldChar w:fldCharType="begin"/>
      </w:r>
      <w:r>
        <w:instrText xml:space="preserve"> PAGEREF _Toc391911863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_Toc391911864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_Toc391911865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_Toc391911866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_Toc391911867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_Toc391911868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_Toc391911869 \h </w:instrText>
      </w:r>
      <w:r>
        <w:fldChar w:fldCharType="separate"/>
      </w:r>
      <w:r>
        <w:t>4</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_Toc391911870 \h </w:instrText>
      </w:r>
      <w:r>
        <w:fldChar w:fldCharType="separate"/>
      </w:r>
      <w:r>
        <w:t>5</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_Toc391911871 \h </w:instrText>
      </w:r>
      <w:r>
        <w:fldChar w:fldCharType="separate"/>
      </w:r>
      <w:r>
        <w:t>5</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_Toc391911872 \h </w:instrText>
      </w:r>
      <w:r>
        <w:fldChar w:fldCharType="separate"/>
      </w:r>
      <w:r>
        <w:t>6</w:t>
      </w:r>
      <w:r>
        <w:fldChar w:fldCharType="end"/>
      </w:r>
    </w:p>
    <w:p>
      <w:pPr>
        <w:pStyle w:val="TOC8"/>
        <w:rPr>
          <w:rFonts w:asciiTheme="minorHAnsi" w:eastAsiaTheme="minorEastAsia" w:hAnsiTheme="minorHAnsi" w:cstheme="minorBidi"/>
          <w:szCs w:val="22"/>
        </w:rPr>
      </w:pPr>
      <w:r>
        <w:t>13A.</w:t>
      </w:r>
      <w:r>
        <w:tab/>
        <w:t>Taxable value — prescribed percentage</w:t>
      </w:r>
      <w:r>
        <w:tab/>
      </w:r>
      <w:r>
        <w:fldChar w:fldCharType="begin"/>
      </w:r>
      <w:r>
        <w:instrText xml:space="preserve"> PAGEREF _Toc391911873 \h </w:instrText>
      </w:r>
      <w:r>
        <w:fldChar w:fldCharType="separate"/>
      </w:r>
      <w:r>
        <w:t>7</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_Toc391911874 \h </w:instrText>
      </w:r>
      <w:r>
        <w:fldChar w:fldCharType="separate"/>
      </w:r>
      <w:r>
        <w:t>7</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_Toc391911875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Schedule 1 — Inner city area</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_Toc391911878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391911861"/>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2" w:name="_Toc391911862"/>
      <w:r>
        <w:rPr>
          <w:rStyle w:val="CharSectno"/>
        </w:rPr>
        <w:t>2</w:t>
      </w:r>
      <w:r>
        <w:rPr>
          <w:spacing w:val="-2"/>
        </w:rPr>
        <w:t>.</w:t>
      </w:r>
      <w:r>
        <w:rPr>
          <w:spacing w:val="-2"/>
        </w:rPr>
        <w:tab/>
      </w:r>
      <w:r>
        <w:t>Commencement</w:t>
      </w:r>
      <w:r>
        <w:rPr>
          <w:spacing w:val="-2"/>
        </w:rPr>
        <w:t xml:space="preserve"> and application</w:t>
      </w:r>
      <w:bookmarkEnd w:id="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3" w:name="_Toc391911863"/>
      <w:r>
        <w:rPr>
          <w:rStyle w:val="CharSectno"/>
        </w:rPr>
        <w:t>3</w:t>
      </w:r>
      <w:r>
        <w:t>.</w:t>
      </w:r>
      <w:r>
        <w:tab/>
        <w:t>Terms and abbreviations used in these regulations</w:t>
      </w:r>
      <w:bookmarkEnd w:id="3"/>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4" w:name="_Toc391911864"/>
      <w:r>
        <w:rPr>
          <w:rStyle w:val="CharSectno"/>
        </w:rPr>
        <w:t>4</w:t>
      </w:r>
      <w:r>
        <w:t>.</w:t>
      </w:r>
      <w:r>
        <w:tab/>
        <w:t>Tax payment arrangements not affected</w:t>
      </w:r>
      <w:bookmarkEnd w:id="4"/>
    </w:p>
    <w:p>
      <w:pPr>
        <w:pStyle w:val="Subsection"/>
        <w:spacing w:before="180"/>
      </w:pPr>
      <w:r>
        <w:tab/>
      </w:r>
      <w:r>
        <w:tab/>
        <w:t>Nothing in these regulations affects the payment of land tax under a tax payment arrangement.</w:t>
      </w:r>
    </w:p>
    <w:p>
      <w:pPr>
        <w:pStyle w:val="Heading5"/>
        <w:spacing w:before="240"/>
      </w:pPr>
      <w:bookmarkStart w:id="5" w:name="_Toc391911865"/>
      <w:r>
        <w:rPr>
          <w:rStyle w:val="CharSectno"/>
        </w:rPr>
        <w:t>5</w:t>
      </w:r>
      <w:r>
        <w:t>.</w:t>
      </w:r>
      <w:r>
        <w:tab/>
        <w:t>Taxpayer’s options in discharging liability to pay assessed amount</w:t>
      </w:r>
      <w:bookmarkEnd w:id="5"/>
    </w:p>
    <w:p>
      <w:pPr>
        <w:pStyle w:val="Subsection"/>
        <w:spacing w:before="180"/>
      </w:pPr>
      <w:r>
        <w:tab/>
      </w:r>
      <w:r>
        <w:tab/>
        <w:t>A taxpayer may discharge a liability to pay an assessed amount by paying in accordance with regulation 6, 7, 8 or 9.</w:t>
      </w:r>
    </w:p>
    <w:p>
      <w:pPr>
        <w:pStyle w:val="Heading5"/>
        <w:spacing w:before="240"/>
      </w:pPr>
      <w:bookmarkStart w:id="6" w:name="_Toc391911866"/>
      <w:r>
        <w:rPr>
          <w:rStyle w:val="CharSectno"/>
        </w:rPr>
        <w:t>6</w:t>
      </w:r>
      <w:r>
        <w:t>.</w:t>
      </w:r>
      <w:r>
        <w:tab/>
        <w:t>Paying assessed amount in one discounted payment (option 1)</w:t>
      </w:r>
      <w:bookmarkEnd w:id="6"/>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20" o:title=""/>
          </v:shape>
          <o:OLEObject Type="Embed" ProgID="Equation.3" ShapeID="_x0000_i1025" DrawAspect="Content" ObjectID="_1644212718" r:id="rId21"/>
        </w:object>
      </w:r>
    </w:p>
    <w:p>
      <w:pPr>
        <w:pStyle w:val="Heading5"/>
        <w:spacing w:before="240"/>
      </w:pPr>
      <w:bookmarkStart w:id="7" w:name="_Toc391911867"/>
      <w:r>
        <w:rPr>
          <w:rStyle w:val="CharSectno"/>
        </w:rPr>
        <w:t>7</w:t>
      </w:r>
      <w:r>
        <w:t>.</w:t>
      </w:r>
      <w:r>
        <w:tab/>
        <w:t>Paying assessed amount in 2 instalments (option 2)</w:t>
      </w:r>
      <w:bookmarkEnd w:id="7"/>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2" o:title=""/>
          </v:shape>
          <o:OLEObject Type="Embed" ProgID="Equation.3" ShapeID="_x0000_i1026" DrawAspect="Content" ObjectID="_1644212719" r:id="rId23"/>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4" o:title=""/>
          </v:shape>
          <o:OLEObject Type="Embed" ProgID="Equation.3" ShapeID="_x0000_i1027" DrawAspect="Content" ObjectID="_1644212720" r:id="rId25"/>
        </w:object>
      </w:r>
    </w:p>
    <w:p>
      <w:pPr>
        <w:pStyle w:val="Footnotesection"/>
      </w:pPr>
      <w:r>
        <w:tab/>
        <w:t>[Regulation 7 amended in Gazette 17 Nov 2009 p. 4633.]</w:t>
      </w:r>
    </w:p>
    <w:p>
      <w:pPr>
        <w:pStyle w:val="Heading5"/>
      </w:pPr>
      <w:bookmarkStart w:id="8" w:name="_Toc391911868"/>
      <w:r>
        <w:rPr>
          <w:rStyle w:val="CharSectno"/>
        </w:rPr>
        <w:t>8</w:t>
      </w:r>
      <w:r>
        <w:t>.</w:t>
      </w:r>
      <w:r>
        <w:tab/>
        <w:t>Paying assessed amount in 3 instalments (option 3)</w:t>
      </w:r>
      <w:bookmarkEnd w:id="8"/>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8.25pt;height:30.75pt" o:ole="">
            <v:imagedata r:id="rId26" o:title=""/>
          </v:shape>
          <o:OLEObject Type="Embed" ProgID="Equation.3" ShapeID="_x0000_i1028" DrawAspect="Content" ObjectID="_1644212721" r:id="rId27"/>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28" o:title=""/>
          </v:shape>
          <o:OLEObject Type="Embed" ProgID="Equation.3" ShapeID="_x0000_i1029" DrawAspect="Content" ObjectID="_1644212722" r:id="rId29"/>
        </w:obje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1.75pt;height:30.75pt" o:ole="">
            <v:imagedata r:id="rId30" o:title=""/>
          </v:shape>
          <o:OLEObject Type="Embed" ProgID="Equation.3" ShapeID="_x0000_i1030" DrawAspect="Content" ObjectID="_1644212723" r:id="rId31"/>
        </w:object>
      </w:r>
    </w:p>
    <w:p>
      <w:pPr>
        <w:pStyle w:val="Footnotesection"/>
      </w:pPr>
      <w:r>
        <w:tab/>
        <w:t>[Regulation 8 amended in Gazette 17 Nov 2009 p. 4633.]</w:t>
      </w:r>
    </w:p>
    <w:p>
      <w:pPr>
        <w:pStyle w:val="Heading5"/>
      </w:pPr>
      <w:bookmarkStart w:id="9" w:name="_Toc391911869"/>
      <w:r>
        <w:rPr>
          <w:rStyle w:val="CharSectno"/>
        </w:rPr>
        <w:t>9</w:t>
      </w:r>
      <w:r>
        <w:t>.</w:t>
      </w:r>
      <w:r>
        <w:tab/>
        <w:t>Other arrangements for paying assessed amount</w:t>
      </w:r>
      <w:bookmarkEnd w:id="9"/>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10" w:name="_Toc391911870"/>
      <w:r>
        <w:rPr>
          <w:rStyle w:val="CharSectno"/>
        </w:rPr>
        <w:t>10</w:t>
      </w:r>
      <w:r>
        <w:t>.</w:t>
      </w:r>
      <w:r>
        <w:tab/>
        <w:t>Instalments to be multiples of 5 cents</w:t>
      </w:r>
      <w:bookmarkEnd w:id="10"/>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1" w:name="_Toc391911871"/>
      <w:r>
        <w:rPr>
          <w:rStyle w:val="CharSectno"/>
        </w:rPr>
        <w:t>11</w:t>
      </w:r>
      <w:r>
        <w:t>.</w:t>
      </w:r>
      <w:r>
        <w:tab/>
        <w:t>When full amount of land tax becomes due and payable</w:t>
      </w:r>
      <w:bookmarkEnd w:id="11"/>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2" w:name="_Toc391911872"/>
      <w:r>
        <w:rPr>
          <w:rStyle w:val="CharSectno"/>
        </w:rPr>
        <w:t>12</w:t>
      </w:r>
      <w:r>
        <w:t>.</w:t>
      </w:r>
      <w:r>
        <w:tab/>
        <w:t>Taxable authorities</w:t>
      </w:r>
      <w:bookmarkEnd w:id="12"/>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rPr>
          <w:snapToGrid w:val="0"/>
        </w:rPr>
      </w:pPr>
      <w:r>
        <w:tab/>
        <w:t>(e)</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rPr>
          <w:snapToGrid w:val="0"/>
        </w:rPr>
        <w:tab/>
        <w:t>(f)</w:t>
      </w:r>
      <w:r>
        <w:rPr>
          <w:snapToGrid w:val="0"/>
        </w:rPr>
        <w:tab/>
        <w:t xml:space="preserve">the Esperance Port Authority established by the </w:t>
      </w:r>
      <w:r>
        <w:rPr>
          <w:i/>
          <w:snapToGrid w:val="0"/>
        </w:rPr>
        <w:t>Port Authorities Act 1999</w:t>
      </w:r>
      <w:r>
        <w:rPr>
          <w:snapToGrid w:val="0"/>
        </w:rPr>
        <w:t xml:space="preserve"> section 4;</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Ednotepara"/>
      </w:pPr>
      <w:r>
        <w:tab/>
        <w:t>[(k)</w:t>
      </w:r>
      <w:r>
        <w:tab/>
        <w:t>deleted]</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w:t>
      </w:r>
    </w:p>
    <w:p>
      <w:pPr>
        <w:pStyle w:val="Heading5"/>
      </w:pPr>
      <w:bookmarkStart w:id="13" w:name="_Toc391911873"/>
      <w:r>
        <w:rPr>
          <w:rStyle w:val="CharSectno"/>
        </w:rPr>
        <w:t>13A</w:t>
      </w:r>
      <w:r>
        <w:t>.</w:t>
      </w:r>
      <w:r>
        <w:tab/>
        <w:t>Taxable value — prescribed percentage</w:t>
      </w:r>
      <w:bookmarkEnd w:id="13"/>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14" w:name="_Toc391911874"/>
      <w:r>
        <w:rPr>
          <w:rStyle w:val="CharSectno"/>
        </w:rPr>
        <w:t>13</w:t>
      </w:r>
      <w:r>
        <w:t>.</w:t>
      </w:r>
      <w:r>
        <w:tab/>
        <w:t>Inner city area</w:t>
      </w:r>
      <w:bookmarkEnd w:id="14"/>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5" w:name="_Toc391911875"/>
      <w:r>
        <w:rPr>
          <w:rStyle w:val="CharSectno"/>
        </w:rPr>
        <w:t>14</w:t>
      </w:r>
      <w:r>
        <w:t>.</w:t>
      </w:r>
      <w:r>
        <w:tab/>
        <w:t>Repeal and savings</w:t>
      </w:r>
      <w:bookmarkEnd w:id="15"/>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 w:name="_Toc391911876"/>
      <w:r>
        <w:rPr>
          <w:rStyle w:val="CharSchNo"/>
        </w:rPr>
        <w:t>Schedule 1</w:t>
      </w:r>
      <w:r>
        <w:t xml:space="preserve"> — </w:t>
      </w:r>
      <w:r>
        <w:rPr>
          <w:rStyle w:val="CharSchText"/>
        </w:rPr>
        <w:t>Inner city area</w:t>
      </w:r>
      <w:bookmarkEnd w:id="16"/>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9"/>
          <w:headerReference w:type="default" r:id="rId40"/>
          <w:headerReference w:type="first" r:id="rId41"/>
          <w:endnotePr>
            <w:numFmt w:val="decimal"/>
          </w:endnotePr>
          <w:pgSz w:w="11906" w:h="16838" w:code="9"/>
          <w:pgMar w:top="2376" w:right="2405" w:bottom="3542" w:left="2405" w:header="706" w:footer="3380" w:gutter="0"/>
          <w:cols w:space="720"/>
          <w:noEndnote/>
          <w:docGrid w:linePitch="326"/>
        </w:sectPr>
      </w:pPr>
    </w:p>
    <w:p>
      <w:pPr>
        <w:pStyle w:val="nHeading2"/>
      </w:pPr>
      <w:bookmarkStart w:id="17" w:name="_Toc391911877"/>
      <w:r>
        <w:t>Notes</w:t>
      </w:r>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18" w:name="_Toc391911878"/>
      <w: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rPr>
              <w:t>r. 1 and 2: 4 Sep 2007 (see r. 2(a));</w:t>
            </w:r>
            <w:r>
              <w:rPr>
                <w:snapToGrid w:val="0"/>
                <w:sz w:val="19"/>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noProof/>
                <w:snapToGrid w:val="0"/>
                <w:sz w:val="19"/>
              </w:rPr>
              <w:t>Land Tax Assessment Regulations 2003</w:t>
            </w:r>
            <w:r>
              <w:rPr>
                <w:b/>
                <w:bCs/>
                <w:snapToGrid w:val="0"/>
                <w:sz w:val="19"/>
              </w:rPr>
              <w:t xml:space="preserve"> as at 5 Sep 2008</w:t>
            </w:r>
            <w:r>
              <w:rPr>
                <w:snapToGrid w:val="0"/>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Land Tax Assessment Amendment Regulations 2009</w:t>
            </w:r>
          </w:p>
        </w:tc>
        <w:tc>
          <w:tcPr>
            <w:tcW w:w="1276" w:type="dxa"/>
          </w:tcPr>
          <w:p>
            <w:pPr>
              <w:pStyle w:val="nTable"/>
              <w:spacing w:after="40"/>
              <w:rPr>
                <w:sz w:val="19"/>
              </w:rPr>
            </w:pPr>
            <w:r>
              <w:rPr>
                <w:sz w:val="19"/>
              </w:rPr>
              <w:t>17 Nov 2009 p. 4632-4</w:t>
            </w:r>
          </w:p>
        </w:tc>
        <w:tc>
          <w:tcPr>
            <w:tcW w:w="2693" w:type="dxa"/>
          </w:tcPr>
          <w:p>
            <w:pPr>
              <w:pStyle w:val="nTable"/>
              <w:spacing w:after="40"/>
              <w:rPr>
                <w:snapToGrid w:val="0"/>
                <w:sz w:val="19"/>
              </w:rPr>
            </w:pPr>
            <w:r>
              <w:rPr>
                <w:snapToGrid w:val="0"/>
                <w:sz w:val="19"/>
              </w:rPr>
              <w:t>r. 7: 1 Jul 2009 (see r. 2(b));</w:t>
            </w:r>
            <w:r>
              <w:rPr>
                <w:snapToGrid w:val="0"/>
                <w:sz w:val="19"/>
              </w:rPr>
              <w:br/>
              <w:t>r. 1 and 2: 17 Nov 2009 (see r. 2(a));</w:t>
            </w:r>
            <w:r>
              <w:rPr>
                <w:snapToGrid w:val="0"/>
                <w:sz w:val="19"/>
              </w:rPr>
              <w:br/>
              <w:t>Regulations other than r. 1, 2 and 7: 18 Nov 2009 (see r. 2(c))</w:t>
            </w:r>
          </w:p>
        </w:tc>
      </w:tr>
      <w:tr>
        <w:tc>
          <w:tcPr>
            <w:tcW w:w="3118" w:type="dxa"/>
          </w:tcPr>
          <w:p>
            <w:pPr>
              <w:pStyle w:val="nTable"/>
              <w:spacing w:after="40"/>
              <w:rPr>
                <w:i/>
                <w:noProof/>
                <w:snapToGrid w:val="0"/>
                <w:sz w:val="19"/>
              </w:rPr>
            </w:pPr>
            <w:r>
              <w:rPr>
                <w:i/>
                <w:sz w:val="19"/>
              </w:rPr>
              <w:t>Electricity Corporations (Consequential Amendments) Regulations 2013</w:t>
            </w:r>
            <w:r>
              <w:rPr>
                <w:sz w:val="19"/>
              </w:rPr>
              <w:t xml:space="preserve"> r. 13</w:t>
            </w:r>
          </w:p>
        </w:tc>
        <w:tc>
          <w:tcPr>
            <w:tcW w:w="1276" w:type="dxa"/>
          </w:tcPr>
          <w:p>
            <w:pPr>
              <w:pStyle w:val="nTable"/>
              <w:spacing w:after="40"/>
              <w:rPr>
                <w:sz w:val="19"/>
              </w:rPr>
            </w:pPr>
            <w:r>
              <w:rPr>
                <w:sz w:val="19"/>
              </w:rPr>
              <w:t>27 Dec 2013 p. 6469-79</w:t>
            </w:r>
          </w:p>
        </w:tc>
        <w:tc>
          <w:tcPr>
            <w:tcW w:w="2693" w:type="dxa"/>
          </w:tcPr>
          <w:p>
            <w:pPr>
              <w:pStyle w:val="nTable"/>
              <w:spacing w:after="40"/>
              <w:rPr>
                <w:snapToGrid w:val="0"/>
                <w:sz w:val="19"/>
              </w:rPr>
            </w:pPr>
            <w:r>
              <w:rPr>
                <w:sz w:val="19"/>
              </w:rPr>
              <w:t xml:space="preserve">1 Jan 2014 (see r. 2(c) and </w:t>
            </w:r>
            <w:r>
              <w:rPr>
                <w:i/>
                <w:sz w:val="19"/>
              </w:rPr>
              <w:t>Gazette</w:t>
            </w:r>
            <w:r>
              <w:rPr>
                <w:sz w:val="19"/>
              </w:rPr>
              <w:t xml:space="preserve"> 27 Dec 2013 p. 6465)</w:t>
            </w:r>
          </w:p>
        </w:tc>
      </w:tr>
      <w:tr>
        <w:tc>
          <w:tcPr>
            <w:tcW w:w="3118" w:type="dxa"/>
            <w:tcBorders>
              <w:bottom w:val="single" w:sz="4" w:space="0" w:color="auto"/>
            </w:tcBorders>
          </w:tcPr>
          <w:p>
            <w:pPr>
              <w:pStyle w:val="nTable"/>
              <w:spacing w:after="40"/>
              <w:rPr>
                <w:i/>
                <w:sz w:val="19"/>
              </w:rPr>
            </w:pPr>
            <w:r>
              <w:rPr>
                <w:i/>
                <w:sz w:val="19"/>
              </w:rPr>
              <w:t>Land Tax Assessment Amendment Regulations 2014</w:t>
            </w:r>
          </w:p>
        </w:tc>
        <w:tc>
          <w:tcPr>
            <w:tcW w:w="1276" w:type="dxa"/>
            <w:tcBorders>
              <w:bottom w:val="single" w:sz="4" w:space="0" w:color="auto"/>
            </w:tcBorders>
          </w:tcPr>
          <w:p>
            <w:pPr>
              <w:pStyle w:val="nTable"/>
              <w:spacing w:after="40"/>
              <w:rPr>
                <w:sz w:val="19"/>
              </w:rPr>
            </w:pPr>
            <w:r>
              <w:rPr>
                <w:sz w:val="19"/>
              </w:rPr>
              <w:t>30 Jun 2014 p. 2425-6</w:t>
            </w:r>
          </w:p>
        </w:tc>
        <w:tc>
          <w:tcPr>
            <w:tcW w:w="2693" w:type="dxa"/>
            <w:tcBorders>
              <w:bottom w:val="single" w:sz="4" w:space="0" w:color="auto"/>
            </w:tcBorders>
          </w:tcPr>
          <w:p>
            <w:pPr>
              <w:pStyle w:val="nTable"/>
              <w:spacing w:after="40"/>
              <w:rPr>
                <w:sz w:val="19"/>
              </w:rPr>
            </w:pPr>
            <w:r>
              <w:rPr>
                <w:snapToGrid w:val="0"/>
                <w:sz w:val="19"/>
              </w:rPr>
              <w:t>r. 1 and 2: 30 Jun 2014 (see r. 2(a));</w:t>
            </w:r>
            <w:r>
              <w:rPr>
                <w:snapToGrid w:val="0"/>
                <w:sz w:val="19"/>
              </w:rPr>
              <w:br/>
              <w:t>Regulations other than r. 1 and 2: 1 Jul 2014 (see r. 2(b)(i))</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 w:name="_Toc391911879"/>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 w:name="DefinedTerms"/>
      <w:bookmarkEnd w:id="20"/>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residual amount</w:t>
      </w:r>
      <w:r>
        <w:tab/>
        <w:t>3(1)</w:t>
      </w:r>
    </w:p>
    <w:p>
      <w:pPr>
        <w:pStyle w:val="DefinedTerms"/>
      </w:pPr>
    </w:p>
    <w:p>
      <w:pPr>
        <w:pStyle w:val="DefinedTerms"/>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sectPr>
      <w:headerReference w:type="even" r:id="rId4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1344"/>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header" Target="header7.xml"/><Relationship Id="rId38" Type="http://schemas.openxmlformats.org/officeDocument/2006/relationships/image" Target="media/image8.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footer" Target="footer8.xml"/><Relationship Id="rId43" Type="http://schemas.openxmlformats.org/officeDocument/2006/relationships/header" Target="header13.xml"/><Relationship Id="rId48" Type="http://schemas.openxmlformats.org/officeDocument/2006/relationships/header" Target="header1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4107</Words>
  <Characters>19841</Characters>
  <Application>Microsoft Office Word</Application>
  <DocSecurity>0</DocSecurity>
  <Lines>583</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23620</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2003 - 01-d0-00</dc:title>
  <dc:subject/>
  <dc:creator/>
  <cp:keywords/>
  <dc:description/>
  <cp:lastModifiedBy>svcMRProcess</cp:lastModifiedBy>
  <cp:revision>4</cp:revision>
  <cp:lastPrinted>2008-09-24T03:49:00Z</cp:lastPrinted>
  <dcterms:created xsi:type="dcterms:W3CDTF">2020-02-26T00:59:00Z</dcterms:created>
  <dcterms:modified xsi:type="dcterms:W3CDTF">2020-02-26T00:59:00Z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15942</vt:i4>
  </property>
  <property fmtid="{D5CDD505-2E9C-101B-9397-08002B2CF9AE}" pid="6" name="AsAtDate">
    <vt:lpwstr>01 Jul 2014</vt:lpwstr>
  </property>
  <property fmtid="{D5CDD505-2E9C-101B-9397-08002B2CF9AE}" pid="7" name="Suffix">
    <vt:lpwstr>01-d0-00</vt:lpwstr>
  </property>
  <property fmtid="{D5CDD505-2E9C-101B-9397-08002B2CF9AE}" pid="8" name="ReprintNo">
    <vt:lpwstr>1</vt:lpwstr>
  </property>
</Properties>
</file>