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Hospitals and Health Services Act 1927</w:t>
      </w:r>
    </w:p>
    <w:p>
      <w:pPr>
        <w:pStyle w:val="NameofActRegPage1"/>
        <w:spacing w:before="1960" w:after="4200"/>
        <w:ind w:left="794" w:right="794"/>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Osborne Park Hospital By-laws 2007</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Osborne Park Hospital By-laws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_Toc391648018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_Toc391648019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tab/>
      </w:r>
      <w:r>
        <w:rPr>
          <w:snapToGrid w:val="0"/>
        </w:rPr>
        <w:t>No entry without cause</w:t>
      </w:r>
      <w:r>
        <w:tab/>
      </w:r>
      <w:r>
        <w:fldChar w:fldCharType="begin"/>
      </w:r>
      <w:r>
        <w:instrText xml:space="preserve"> PAGEREF _Toc391648021 \h </w:instrText>
      </w:r>
      <w:r>
        <w:fldChar w:fldCharType="separate"/>
      </w:r>
      <w:r>
        <w:t>3</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_Toc391648022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snapToGrid w:val="0"/>
        </w:rPr>
        <w:t>Liquor</w:t>
      </w:r>
      <w:r>
        <w:tab/>
      </w:r>
      <w:r>
        <w:fldChar w:fldCharType="begin"/>
      </w:r>
      <w:r>
        <w:instrText xml:space="preserve"> PAGEREF _Toc391648023 \h </w:instrText>
      </w:r>
      <w:r>
        <w:fldChar w:fldCharType="separate"/>
      </w:r>
      <w:r>
        <w:t>3</w:t>
      </w:r>
      <w:r>
        <w:fldChar w:fldCharType="end"/>
      </w:r>
    </w:p>
    <w:p>
      <w:pPr>
        <w:pStyle w:val="TOC8"/>
        <w:rPr>
          <w:rFonts w:asciiTheme="minorHAnsi" w:eastAsiaTheme="minorEastAsia" w:hAnsiTheme="minorHAnsi" w:cstheme="minorBidi"/>
          <w:szCs w:val="22"/>
        </w:rPr>
      </w:pPr>
      <w:r>
        <w:t>6.</w:t>
      </w:r>
      <w:r>
        <w:tab/>
        <w:t>Smoking</w:t>
      </w:r>
      <w:r>
        <w:tab/>
      </w:r>
      <w:r>
        <w:fldChar w:fldCharType="begin"/>
      </w:r>
      <w:r>
        <w:instrText xml:space="preserve"> PAGEREF _Toc391648024 \h </w:instrText>
      </w:r>
      <w:r>
        <w:fldChar w:fldCharType="separate"/>
      </w:r>
      <w:r>
        <w:t>3</w:t>
      </w:r>
      <w:r>
        <w:fldChar w:fldCharType="end"/>
      </w:r>
    </w:p>
    <w:p>
      <w:pPr>
        <w:pStyle w:val="TOC8"/>
        <w:rPr>
          <w:rFonts w:asciiTheme="minorHAnsi" w:eastAsiaTheme="minorEastAsia" w:hAnsiTheme="minorHAnsi" w:cstheme="minorBidi"/>
          <w:szCs w:val="22"/>
        </w:rPr>
      </w:pPr>
      <w:r>
        <w:t>7.</w:t>
      </w:r>
      <w:r>
        <w:tab/>
      </w:r>
      <w:r>
        <w:rPr>
          <w:snapToGrid w:val="0"/>
        </w:rPr>
        <w:t>Disorderly persons may be removed from site</w:t>
      </w:r>
      <w:r>
        <w:tab/>
      </w:r>
      <w:r>
        <w:fldChar w:fldCharType="begin"/>
      </w:r>
      <w:r>
        <w:instrText xml:space="preserve"> PAGEREF _Toc391648025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3 — Traffic control</w:t>
      </w:r>
    </w:p>
    <w:p>
      <w:pPr>
        <w:pStyle w:val="TOC4"/>
        <w:tabs>
          <w:tab w:val="right" w:leader="dot" w:pos="7086"/>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tab/>
      </w:r>
      <w:r>
        <w:rPr>
          <w:snapToGrid w:val="0"/>
        </w:rPr>
        <w:t>Driving of vehicles</w:t>
      </w:r>
      <w:r>
        <w:tab/>
      </w:r>
      <w:r>
        <w:fldChar w:fldCharType="begin"/>
      </w:r>
      <w:r>
        <w:instrText xml:space="preserve"> PAGEREF _Toc391648028 \h </w:instrText>
      </w:r>
      <w:r>
        <w:fldChar w:fldCharType="separate"/>
      </w:r>
      <w:r>
        <w:t>5</w:t>
      </w:r>
      <w:r>
        <w:fldChar w:fldCharType="end"/>
      </w:r>
    </w:p>
    <w:p>
      <w:pPr>
        <w:pStyle w:val="TOC8"/>
        <w:rPr>
          <w:rFonts w:asciiTheme="minorHAnsi" w:eastAsiaTheme="minorEastAsia" w:hAnsiTheme="minorHAnsi" w:cstheme="minorBidi"/>
          <w:szCs w:val="22"/>
        </w:rPr>
      </w:pPr>
      <w:r>
        <w:t>9.</w:t>
      </w:r>
      <w:r>
        <w:tab/>
      </w:r>
      <w:r>
        <w:rPr>
          <w:snapToGrid w:val="0"/>
        </w:rPr>
        <w:t>Driver to obey reasonable direction</w:t>
      </w:r>
      <w:r>
        <w:tab/>
      </w:r>
      <w:r>
        <w:fldChar w:fldCharType="begin"/>
      </w:r>
      <w:r>
        <w:instrText xml:space="preserve"> PAGEREF _Toc391648029 \h </w:instrText>
      </w:r>
      <w:r>
        <w:fldChar w:fldCharType="separate"/>
      </w:r>
      <w:r>
        <w:t>5</w:t>
      </w:r>
      <w:r>
        <w:fldChar w:fldCharType="end"/>
      </w:r>
    </w:p>
    <w:p>
      <w:pPr>
        <w:pStyle w:val="TOC8"/>
        <w:rPr>
          <w:rFonts w:asciiTheme="minorHAnsi" w:eastAsiaTheme="minorEastAsia" w:hAnsiTheme="minorHAnsi" w:cstheme="minorBidi"/>
          <w:szCs w:val="22"/>
        </w:rPr>
      </w:pPr>
      <w:r>
        <w:t>10.</w:t>
      </w:r>
      <w:r>
        <w:tab/>
      </w:r>
      <w:r>
        <w:rPr>
          <w:snapToGrid w:val="0"/>
        </w:rPr>
        <w:t>Speed limits</w:t>
      </w:r>
      <w:r>
        <w:tab/>
      </w:r>
      <w:r>
        <w:fldChar w:fldCharType="begin"/>
      </w:r>
      <w:r>
        <w:instrText xml:space="preserve"> PAGEREF _Toc391648030 \h </w:instrText>
      </w:r>
      <w:r>
        <w:fldChar w:fldCharType="separate"/>
      </w:r>
      <w:r>
        <w:t>5</w:t>
      </w:r>
      <w:r>
        <w:fldChar w:fldCharType="end"/>
      </w:r>
    </w:p>
    <w:p>
      <w:pPr>
        <w:pStyle w:val="TOC8"/>
        <w:rPr>
          <w:rFonts w:asciiTheme="minorHAnsi" w:eastAsiaTheme="minorEastAsia" w:hAnsiTheme="minorHAnsi" w:cstheme="minorBidi"/>
          <w:szCs w:val="22"/>
        </w:rPr>
      </w:pPr>
      <w:r>
        <w:t>11.</w:t>
      </w:r>
      <w:r>
        <w:tab/>
      </w:r>
      <w:r>
        <w:rPr>
          <w:snapToGrid w:val="0"/>
        </w:rPr>
        <w:t>Giving way</w:t>
      </w:r>
      <w:r>
        <w:tab/>
      </w:r>
      <w:r>
        <w:fldChar w:fldCharType="begin"/>
      </w:r>
      <w:r>
        <w:instrText xml:space="preserve"> PAGEREF _Toc391648031 \h </w:instrText>
      </w:r>
      <w:r>
        <w:fldChar w:fldCharType="separate"/>
      </w:r>
      <w:r>
        <w:t>6</w:t>
      </w:r>
      <w:r>
        <w:fldChar w:fldCharType="end"/>
      </w:r>
    </w:p>
    <w:p>
      <w:pPr>
        <w:pStyle w:val="TOC8"/>
        <w:rPr>
          <w:rFonts w:asciiTheme="minorHAnsi" w:eastAsiaTheme="minorEastAsia" w:hAnsiTheme="minorHAnsi" w:cstheme="minorBidi"/>
          <w:szCs w:val="22"/>
        </w:rPr>
      </w:pPr>
      <w:r>
        <w:t>12.</w:t>
      </w:r>
      <w:r>
        <w:tab/>
      </w:r>
      <w:r>
        <w:rPr>
          <w:snapToGrid w:val="0"/>
        </w:rPr>
        <w:t>No instruction or repairs on site</w:t>
      </w:r>
      <w:r>
        <w:tab/>
      </w:r>
      <w:r>
        <w:fldChar w:fldCharType="begin"/>
      </w:r>
      <w:r>
        <w:instrText xml:space="preserve"> PAGEREF _Toc391648032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rPr>
      </w:pPr>
      <w:r>
        <w:t>Division 2 — Parking</w:t>
      </w:r>
    </w:p>
    <w:p>
      <w:pPr>
        <w:pStyle w:val="TOC8"/>
        <w:rPr>
          <w:rFonts w:asciiTheme="minorHAnsi" w:eastAsiaTheme="minorEastAsia" w:hAnsiTheme="minorHAnsi" w:cstheme="minorBidi"/>
          <w:szCs w:val="22"/>
        </w:rPr>
      </w:pPr>
      <w:r>
        <w:t>13.</w:t>
      </w:r>
      <w:r>
        <w:tab/>
      </w:r>
      <w:r>
        <w:rPr>
          <w:snapToGrid w:val="0"/>
        </w:rPr>
        <w:t>Parking to be in parking spaces only</w:t>
      </w:r>
      <w:r>
        <w:tab/>
      </w:r>
      <w:r>
        <w:fldChar w:fldCharType="begin"/>
      </w:r>
      <w:r>
        <w:instrText xml:space="preserve"> PAGEREF _Toc391648034 \h </w:instrText>
      </w:r>
      <w:r>
        <w:fldChar w:fldCharType="separate"/>
      </w:r>
      <w:r>
        <w:t>6</w:t>
      </w:r>
      <w:r>
        <w:fldChar w:fldCharType="end"/>
      </w:r>
    </w:p>
    <w:p>
      <w:pPr>
        <w:pStyle w:val="TOC8"/>
        <w:rPr>
          <w:rFonts w:asciiTheme="minorHAnsi" w:eastAsiaTheme="minorEastAsia" w:hAnsiTheme="minorHAnsi" w:cstheme="minorBidi"/>
          <w:szCs w:val="22"/>
        </w:rPr>
      </w:pPr>
      <w:r>
        <w:t>14.</w:t>
      </w:r>
      <w:r>
        <w:tab/>
      </w:r>
      <w:r>
        <w:rPr>
          <w:snapToGrid w:val="0"/>
        </w:rPr>
        <w:t>Signs to be obeyed</w:t>
      </w:r>
      <w:r>
        <w:tab/>
      </w:r>
      <w:r>
        <w:fldChar w:fldCharType="begin"/>
      </w:r>
      <w:r>
        <w:instrText xml:space="preserve"> PAGEREF _Toc391648035 \h </w:instrText>
      </w:r>
      <w:r>
        <w:fldChar w:fldCharType="separate"/>
      </w:r>
      <w:r>
        <w:t>6</w:t>
      </w:r>
      <w:r>
        <w:fldChar w:fldCharType="end"/>
      </w:r>
    </w:p>
    <w:p>
      <w:pPr>
        <w:pStyle w:val="TOC8"/>
        <w:rPr>
          <w:rFonts w:asciiTheme="minorHAnsi" w:eastAsiaTheme="minorEastAsia" w:hAnsiTheme="minorHAnsi" w:cstheme="minorBidi"/>
          <w:szCs w:val="22"/>
        </w:rPr>
      </w:pPr>
      <w:r>
        <w:t>15.</w:t>
      </w:r>
      <w:r>
        <w:tab/>
      </w:r>
      <w:r>
        <w:rPr>
          <w:snapToGrid w:val="0"/>
        </w:rPr>
        <w:t>Parking in parking spaces</w:t>
      </w:r>
      <w:r>
        <w:tab/>
      </w:r>
      <w:r>
        <w:fldChar w:fldCharType="begin"/>
      </w:r>
      <w:r>
        <w:instrText xml:space="preserve"> PAGEREF _Toc391648036 \h </w:instrText>
      </w:r>
      <w:r>
        <w:fldChar w:fldCharType="separate"/>
      </w:r>
      <w:r>
        <w:t>7</w:t>
      </w:r>
      <w:r>
        <w:fldChar w:fldCharType="end"/>
      </w:r>
    </w:p>
    <w:p>
      <w:pPr>
        <w:pStyle w:val="TOC8"/>
        <w:rPr>
          <w:rFonts w:asciiTheme="minorHAnsi" w:eastAsiaTheme="minorEastAsia" w:hAnsiTheme="minorHAnsi" w:cstheme="minorBidi"/>
          <w:szCs w:val="22"/>
        </w:rPr>
      </w:pPr>
      <w:r>
        <w:t>16.</w:t>
      </w:r>
      <w:r>
        <w:tab/>
      </w:r>
      <w:r>
        <w:rPr>
          <w:snapToGrid w:val="0"/>
        </w:rPr>
        <w:t>Permit</w:t>
      </w:r>
      <w:r>
        <w:tab/>
      </w:r>
      <w:r>
        <w:fldChar w:fldCharType="begin"/>
      </w:r>
      <w:r>
        <w:instrText xml:space="preserve"> PAGEREF _Toc391648037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4 — Infringement notices</w:t>
      </w:r>
    </w:p>
    <w:p>
      <w:pPr>
        <w:pStyle w:val="TOC8"/>
        <w:rPr>
          <w:rFonts w:asciiTheme="minorHAnsi" w:eastAsiaTheme="minorEastAsia" w:hAnsiTheme="minorHAnsi" w:cstheme="minorBidi"/>
          <w:szCs w:val="22"/>
        </w:rPr>
      </w:pPr>
      <w:r>
        <w:t>17.</w:t>
      </w:r>
      <w:r>
        <w:tab/>
      </w:r>
      <w:r>
        <w:rPr>
          <w:snapToGrid w:val="0"/>
        </w:rPr>
        <w:t>Terms used</w:t>
      </w:r>
      <w:r>
        <w:tab/>
      </w:r>
      <w:r>
        <w:fldChar w:fldCharType="begin"/>
      </w:r>
      <w:r>
        <w:instrText xml:space="preserve"> PAGEREF _Toc391648039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Infringement notices</w:t>
      </w:r>
      <w:r>
        <w:tab/>
      </w:r>
      <w:r>
        <w:fldChar w:fldCharType="begin"/>
      </w:r>
      <w:r>
        <w:instrText xml:space="preserve"> PAGEREF _Toc391648040 \h </w:instrText>
      </w:r>
      <w:r>
        <w:fldChar w:fldCharType="separate"/>
      </w:r>
      <w:r>
        <w:t>10</w:t>
      </w:r>
      <w:r>
        <w:fldChar w:fldCharType="end"/>
      </w:r>
    </w:p>
    <w:p>
      <w:pPr>
        <w:pStyle w:val="TOC8"/>
        <w:rPr>
          <w:rFonts w:asciiTheme="minorHAnsi" w:eastAsiaTheme="minorEastAsia" w:hAnsiTheme="minorHAnsi" w:cstheme="minorBidi"/>
          <w:szCs w:val="22"/>
        </w:rPr>
      </w:pPr>
      <w:r>
        <w:t>19.</w:t>
      </w:r>
      <w:r>
        <w:tab/>
      </w:r>
      <w:r>
        <w:rPr>
          <w:snapToGrid w:val="0"/>
        </w:rPr>
        <w:t>Withdrawal of infringement notice</w:t>
      </w:r>
      <w:r>
        <w:tab/>
      </w:r>
      <w:r>
        <w:fldChar w:fldCharType="begin"/>
      </w:r>
      <w:r>
        <w:instrText xml:space="preserve"> PAGEREF _Toc391648041 \h </w:instrText>
      </w:r>
      <w:r>
        <w:fldChar w:fldCharType="separate"/>
      </w:r>
      <w:r>
        <w:t>11</w:t>
      </w:r>
      <w:r>
        <w:fldChar w:fldCharType="end"/>
      </w:r>
    </w:p>
    <w:p>
      <w:pPr>
        <w:pStyle w:val="TOC8"/>
        <w:rPr>
          <w:rFonts w:asciiTheme="minorHAnsi" w:eastAsiaTheme="minorEastAsia" w:hAnsiTheme="minorHAnsi" w:cstheme="minorBidi"/>
          <w:szCs w:val="22"/>
        </w:rPr>
      </w:pPr>
      <w:r>
        <w:t>20.</w:t>
      </w:r>
      <w:r>
        <w:tab/>
      </w:r>
      <w:r>
        <w:rPr>
          <w:snapToGrid w:val="0"/>
        </w:rPr>
        <w:t>Authorised person to have certificate</w:t>
      </w:r>
      <w:r>
        <w:tab/>
      </w:r>
      <w:r>
        <w:fldChar w:fldCharType="begin"/>
      </w:r>
      <w:r>
        <w:instrText xml:space="preserve"> PAGEREF _Toc391648042 \h </w:instrText>
      </w:r>
      <w:r>
        <w:fldChar w:fldCharType="separate"/>
      </w:r>
      <w:r>
        <w:t>11</w:t>
      </w:r>
      <w:r>
        <w:fldChar w:fldCharType="end"/>
      </w:r>
    </w:p>
    <w:p>
      <w:pPr>
        <w:pStyle w:val="TOC8"/>
        <w:rPr>
          <w:rFonts w:asciiTheme="minorHAnsi" w:eastAsiaTheme="minorEastAsia" w:hAnsiTheme="minorHAnsi" w:cstheme="minorBidi"/>
          <w:szCs w:val="22"/>
        </w:rPr>
      </w:pPr>
      <w:r>
        <w:t>21.</w:t>
      </w:r>
      <w:r>
        <w:tab/>
      </w:r>
      <w:r>
        <w:rPr>
          <w:snapToGrid w:val="0"/>
        </w:rPr>
        <w:t>Authorised persons only to endorse and alter infringement notices</w:t>
      </w:r>
      <w:r>
        <w:tab/>
      </w:r>
      <w:r>
        <w:fldChar w:fldCharType="begin"/>
      </w:r>
      <w:r>
        <w:instrText xml:space="preserve"> PAGEREF _Toc391648043 \h </w:instrText>
      </w:r>
      <w:r>
        <w:fldChar w:fldCharType="separate"/>
      </w:r>
      <w:r>
        <w:t>12</w:t>
      </w:r>
      <w:r>
        <w:fldChar w:fldCharType="end"/>
      </w:r>
    </w:p>
    <w:p>
      <w:pPr>
        <w:pStyle w:val="TOC8"/>
        <w:rPr>
          <w:rFonts w:asciiTheme="minorHAnsi" w:eastAsiaTheme="minorEastAsia" w:hAnsiTheme="minorHAnsi" w:cstheme="minorBidi"/>
          <w:szCs w:val="22"/>
        </w:rPr>
      </w:pPr>
      <w:r>
        <w:t>22.</w:t>
      </w:r>
      <w:r>
        <w:tab/>
      </w:r>
      <w:r>
        <w:rPr>
          <w:snapToGrid w:val="0"/>
        </w:rPr>
        <w:t>Restriction on removal of infringement notices</w:t>
      </w:r>
      <w:r>
        <w:tab/>
      </w:r>
      <w:r>
        <w:fldChar w:fldCharType="begin"/>
      </w:r>
      <w:r>
        <w:instrText xml:space="preserve"> PAGEREF _Toc391648044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tab/>
      </w:r>
      <w:r>
        <w:rPr>
          <w:snapToGrid w:val="0"/>
        </w:rPr>
        <w:t>Removal of vehicles</w:t>
      </w:r>
      <w:r>
        <w:tab/>
      </w:r>
      <w:r>
        <w:fldChar w:fldCharType="begin"/>
      </w:r>
      <w:r>
        <w:instrText xml:space="preserve"> PAGEREF _Toc391648046 \h </w:instrText>
      </w:r>
      <w:r>
        <w:fldChar w:fldCharType="separate"/>
      </w:r>
      <w:r>
        <w:t>13</w:t>
      </w:r>
      <w:r>
        <w:fldChar w:fldCharType="end"/>
      </w:r>
    </w:p>
    <w:p>
      <w:pPr>
        <w:pStyle w:val="TOC8"/>
        <w:rPr>
          <w:rFonts w:asciiTheme="minorHAnsi" w:eastAsiaTheme="minorEastAsia" w:hAnsiTheme="minorHAnsi" w:cstheme="minorBidi"/>
          <w:szCs w:val="22"/>
        </w:rPr>
      </w:pPr>
      <w:r>
        <w:t>24.</w:t>
      </w:r>
      <w:r>
        <w:tab/>
      </w:r>
      <w:r>
        <w:rPr>
          <w:snapToGrid w:val="0"/>
        </w:rPr>
        <w:t>Registered owner may be treated as being driver or person in charge of vehicle at time of offence</w:t>
      </w:r>
      <w:r>
        <w:tab/>
      </w:r>
      <w:r>
        <w:fldChar w:fldCharType="begin"/>
      </w:r>
      <w:r>
        <w:instrText xml:space="preserve"> PAGEREF _Toc391648047 \h </w:instrText>
      </w:r>
      <w:r>
        <w:fldChar w:fldCharType="separate"/>
      </w:r>
      <w:r>
        <w:t>14</w:t>
      </w:r>
      <w:r>
        <w:fldChar w:fldCharType="end"/>
      </w:r>
    </w:p>
    <w:p>
      <w:pPr>
        <w:pStyle w:val="TOC8"/>
        <w:rPr>
          <w:rFonts w:asciiTheme="minorHAnsi" w:eastAsiaTheme="minorEastAsia" w:hAnsiTheme="minorHAnsi" w:cstheme="minorBidi"/>
          <w:szCs w:val="22"/>
        </w:rPr>
      </w:pPr>
      <w:r>
        <w:t>25.</w:t>
      </w:r>
      <w:r>
        <w:tab/>
      </w:r>
      <w:r>
        <w:rPr>
          <w:snapToGrid w:val="0"/>
        </w:rPr>
        <w:t>Other offences</w:t>
      </w:r>
      <w:r>
        <w:tab/>
      </w:r>
      <w:r>
        <w:fldChar w:fldCharType="begin"/>
      </w:r>
      <w:r>
        <w:instrText xml:space="preserve"> PAGEREF _Toc391648048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86"/>
        </w:tabs>
        <w:rPr>
          <w:rFonts w:asciiTheme="minorHAnsi" w:eastAsiaTheme="minorEastAsia" w:hAnsiTheme="minorHAnsi" w:cstheme="minorBidi"/>
          <w:b w:val="0"/>
          <w:sz w:val="22"/>
          <w:szCs w:val="22"/>
        </w:rPr>
      </w:pPr>
      <w:r>
        <w:t>Schedule 2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_Toc391648052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By-laws 2007</w:t>
      </w:r>
    </w:p>
    <w:p>
      <w:pPr>
        <w:pStyle w:val="Heading2"/>
        <w:pageBreakBefore w:val="0"/>
        <w:spacing w:before="240" w:after="120"/>
      </w:pPr>
      <w:bookmarkStart w:id="1" w:name="_Toc391648017"/>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91648018"/>
      <w:r>
        <w:rPr>
          <w:rStyle w:val="CharSectno"/>
        </w:rPr>
        <w:t>1</w:t>
      </w:r>
      <w:r>
        <w:t>.</w:t>
      </w:r>
      <w:r>
        <w:tab/>
        <w:t>Citation</w:t>
      </w:r>
      <w:bookmarkEnd w:id="2"/>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3" w:name="_Toc391648019"/>
      <w:r>
        <w:rPr>
          <w:rStyle w:val="CharSectno"/>
        </w:rPr>
        <w:t>2</w:t>
      </w:r>
      <w:r>
        <w:t>.</w:t>
      </w:r>
      <w:r>
        <w:tab/>
        <w:t>Terms used</w:t>
      </w:r>
      <w:bookmarkEnd w:id="3"/>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w:t>
      </w:r>
      <w:r>
        <w:noBreakHyphen/>
        <w:t>to</w:t>
      </w:r>
      <w:r>
        <w:noBreakHyphen/>
        <w:t xml:space="preserve">day management of the affairs of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Heading2"/>
      </w:pPr>
      <w:bookmarkStart w:id="4" w:name="_Toc391648020"/>
      <w:r>
        <w:rPr>
          <w:rStyle w:val="CharPartNo"/>
        </w:rPr>
        <w:t>Part 2</w:t>
      </w:r>
      <w:r>
        <w:rPr>
          <w:rStyle w:val="CharDivNo"/>
        </w:rPr>
        <w:t> </w:t>
      </w:r>
      <w:r>
        <w:t>—</w:t>
      </w:r>
      <w:r>
        <w:rPr>
          <w:rStyle w:val="CharDivText"/>
        </w:rPr>
        <w:t> </w:t>
      </w:r>
      <w:r>
        <w:rPr>
          <w:rStyle w:val="CharPartText"/>
        </w:rPr>
        <w:t>Trespass and order</w:t>
      </w:r>
      <w:bookmarkEnd w:id="4"/>
    </w:p>
    <w:p>
      <w:pPr>
        <w:pStyle w:val="Heading5"/>
        <w:rPr>
          <w:snapToGrid w:val="0"/>
        </w:rPr>
      </w:pPr>
      <w:bookmarkStart w:id="5" w:name="_Toc391648021"/>
      <w:r>
        <w:rPr>
          <w:rStyle w:val="CharSectno"/>
        </w:rPr>
        <w:t>3</w:t>
      </w:r>
      <w:r>
        <w:t>.</w:t>
      </w:r>
      <w:r>
        <w:tab/>
      </w:r>
      <w:r>
        <w:rPr>
          <w:snapToGrid w:val="0"/>
        </w:rPr>
        <w:t>No entry without cause</w:t>
      </w:r>
      <w:bookmarkEnd w:id="5"/>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6" w:name="_Toc391648022"/>
      <w:r>
        <w:rPr>
          <w:rStyle w:val="CharSectno"/>
        </w:rPr>
        <w:t>4</w:t>
      </w:r>
      <w:r>
        <w:t>.</w:t>
      </w:r>
      <w:r>
        <w:tab/>
      </w:r>
      <w:r>
        <w:rPr>
          <w:snapToGrid w:val="0"/>
        </w:rPr>
        <w:t>Directions as to use of certain areas</w:t>
      </w:r>
      <w:bookmarkEnd w:id="6"/>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7" w:name="_Toc391648023"/>
      <w:r>
        <w:rPr>
          <w:rStyle w:val="CharSectno"/>
        </w:rPr>
        <w:t>5</w:t>
      </w:r>
      <w:r>
        <w:t>.</w:t>
      </w:r>
      <w:r>
        <w:tab/>
      </w:r>
      <w:r>
        <w:rPr>
          <w:snapToGrid w:val="0"/>
        </w:rPr>
        <w:t>Liquor</w:t>
      </w:r>
      <w:bookmarkEnd w:id="7"/>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rPr>
          <w:snapToGrid w:val="0"/>
        </w:rPr>
      </w:pPr>
      <w:bookmarkStart w:id="8" w:name="_Toc391648024"/>
      <w:r>
        <w:rPr>
          <w:rStyle w:val="CharSectno"/>
        </w:rPr>
        <w:t>6</w:t>
      </w:r>
      <w:r>
        <w:t>.</w:t>
      </w:r>
      <w:r>
        <w:tab/>
      </w:r>
      <w:r>
        <w:rPr>
          <w:rStyle w:val="CharSectno"/>
        </w:rPr>
        <w:t>Smoking</w:t>
      </w:r>
      <w:bookmarkEnd w:id="8"/>
    </w:p>
    <w:p>
      <w:pPr>
        <w:pStyle w:val="Subsection"/>
      </w:pPr>
      <w:r>
        <w:tab/>
      </w:r>
      <w:r>
        <w:tab/>
        <w:t>A person must not smoke on the site.</w:t>
      </w:r>
    </w:p>
    <w:p>
      <w:pPr>
        <w:pStyle w:val="Penstart"/>
        <w:rPr>
          <w:snapToGrid w:val="0"/>
        </w:rPr>
      </w:pPr>
      <w:r>
        <w:rPr>
          <w:snapToGrid w:val="0"/>
        </w:rPr>
        <w:tab/>
        <w:t>Penalty: a fine of $50.</w:t>
      </w:r>
    </w:p>
    <w:p>
      <w:pPr>
        <w:pStyle w:val="Heading5"/>
        <w:pageBreakBefore/>
        <w:rPr>
          <w:snapToGrid w:val="0"/>
        </w:rPr>
      </w:pPr>
      <w:bookmarkStart w:id="9" w:name="_Toc391648025"/>
      <w:r>
        <w:rPr>
          <w:rStyle w:val="CharSectno"/>
        </w:rPr>
        <w:t>7</w:t>
      </w:r>
      <w:r>
        <w:t>.</w:t>
      </w:r>
      <w:r>
        <w:tab/>
      </w:r>
      <w:r>
        <w:rPr>
          <w:snapToGrid w:val="0"/>
        </w:rPr>
        <w:t>Disorderly persons may be removed from site</w:t>
      </w:r>
      <w:bookmarkEnd w:id="9"/>
    </w:p>
    <w:p>
      <w:pPr>
        <w:pStyle w:val="Subsection"/>
        <w:rPr>
          <w:snapToGrid w:val="0"/>
        </w:rPr>
      </w:pPr>
      <w:r>
        <w:tab/>
      </w:r>
      <w:r>
        <w:tab/>
      </w:r>
      <w:r>
        <w:rPr>
          <w:snapToGrid w:val="0"/>
        </w:rPr>
        <w:t>A person who — </w:t>
      </w:r>
    </w:p>
    <w:p>
      <w:pPr>
        <w:pStyle w:val="Indenta"/>
        <w:rPr>
          <w:snapToGrid w:val="0"/>
        </w:rPr>
      </w:pPr>
      <w:r>
        <w:tab/>
        <w:t>(a)</w:t>
      </w:r>
      <w:r>
        <w:tab/>
      </w:r>
      <w:r>
        <w:rPr>
          <w:snapToGrid w:val="0"/>
        </w:rPr>
        <w:t xml:space="preserve">uses abusive language; or </w:t>
      </w:r>
    </w:p>
    <w:p>
      <w:pPr>
        <w:pStyle w:val="Indenta"/>
        <w:rPr>
          <w:snapToGrid w:val="0"/>
        </w:rPr>
      </w:pPr>
      <w:r>
        <w:tab/>
        <w:t>(b)</w:t>
      </w:r>
      <w:r>
        <w:tab/>
      </w:r>
      <w:r>
        <w:rPr>
          <w:snapToGrid w:val="0"/>
        </w:rPr>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0" w:name="_Toc391648026"/>
      <w:r>
        <w:rPr>
          <w:rStyle w:val="CharPartNo"/>
        </w:rPr>
        <w:t>Part 3</w:t>
      </w:r>
      <w:r>
        <w:t xml:space="preserve"> — </w:t>
      </w:r>
      <w:r>
        <w:rPr>
          <w:rStyle w:val="CharPartText"/>
        </w:rPr>
        <w:t>Traffic control</w:t>
      </w:r>
      <w:bookmarkEnd w:id="10"/>
    </w:p>
    <w:p>
      <w:pPr>
        <w:pStyle w:val="Heading3"/>
      </w:pPr>
      <w:bookmarkStart w:id="11" w:name="_Toc391648027"/>
      <w:r>
        <w:rPr>
          <w:rStyle w:val="CharDivNo"/>
        </w:rPr>
        <w:t>Division 1</w:t>
      </w:r>
      <w:r>
        <w:t> — </w:t>
      </w:r>
      <w:r>
        <w:rPr>
          <w:rStyle w:val="CharDivText"/>
        </w:rPr>
        <w:t>Driving and use of vehicles</w:t>
      </w:r>
      <w:bookmarkEnd w:id="11"/>
    </w:p>
    <w:p>
      <w:pPr>
        <w:pStyle w:val="Heading5"/>
        <w:rPr>
          <w:snapToGrid w:val="0"/>
        </w:rPr>
      </w:pPr>
      <w:bookmarkStart w:id="12" w:name="_Toc391648028"/>
      <w:r>
        <w:rPr>
          <w:rStyle w:val="CharSectno"/>
        </w:rPr>
        <w:t>8</w:t>
      </w:r>
      <w:r>
        <w:t>.</w:t>
      </w:r>
      <w:r>
        <w:tab/>
      </w:r>
      <w:r>
        <w:rPr>
          <w:snapToGrid w:val="0"/>
        </w:rPr>
        <w:t>Driving of vehicles</w:t>
      </w:r>
      <w:bookmarkEnd w:id="12"/>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13" w:name="_Toc391648029"/>
      <w:r>
        <w:rPr>
          <w:rStyle w:val="CharSectno"/>
        </w:rPr>
        <w:t>9</w:t>
      </w:r>
      <w:r>
        <w:t>.</w:t>
      </w:r>
      <w:r>
        <w:tab/>
      </w:r>
      <w:r>
        <w:rPr>
          <w:snapToGrid w:val="0"/>
        </w:rPr>
        <w:t>Driver to obey reasonable direction</w:t>
      </w:r>
      <w:bookmarkEnd w:id="13"/>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14" w:name="_Toc391648030"/>
      <w:r>
        <w:rPr>
          <w:rStyle w:val="CharSectno"/>
        </w:rPr>
        <w:t>10</w:t>
      </w:r>
      <w:r>
        <w:t>.</w:t>
      </w:r>
      <w:r>
        <w:tab/>
      </w:r>
      <w:r>
        <w:rPr>
          <w:snapToGrid w:val="0"/>
        </w:rPr>
        <w:t>Speed limits</w:t>
      </w:r>
      <w:bookmarkEnd w:id="14"/>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15" w:name="_Toc391648031"/>
      <w:r>
        <w:rPr>
          <w:rStyle w:val="CharSectno"/>
        </w:rPr>
        <w:t>11</w:t>
      </w:r>
      <w:r>
        <w:t>.</w:t>
      </w:r>
      <w:r>
        <w:tab/>
      </w:r>
      <w:r>
        <w:rPr>
          <w:snapToGrid w:val="0"/>
        </w:rPr>
        <w:t>Giving way</w:t>
      </w:r>
      <w:bookmarkEnd w:id="15"/>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16" w:name="_Toc391648032"/>
      <w:r>
        <w:rPr>
          <w:rStyle w:val="CharSectno"/>
        </w:rPr>
        <w:t>12</w:t>
      </w:r>
      <w:r>
        <w:t>.</w:t>
      </w:r>
      <w:r>
        <w:tab/>
      </w:r>
      <w:r>
        <w:rPr>
          <w:snapToGrid w:val="0"/>
        </w:rPr>
        <w:t>No instruction or repairs on site</w:t>
      </w:r>
      <w:bookmarkEnd w:id="16"/>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17" w:name="_Toc391648033"/>
      <w:r>
        <w:rPr>
          <w:rStyle w:val="CharDivNo"/>
        </w:rPr>
        <w:t>Division 2</w:t>
      </w:r>
      <w:r>
        <w:t> — </w:t>
      </w:r>
      <w:r>
        <w:rPr>
          <w:rStyle w:val="CharDivText"/>
        </w:rPr>
        <w:t>Parking</w:t>
      </w:r>
      <w:bookmarkEnd w:id="17"/>
    </w:p>
    <w:p>
      <w:pPr>
        <w:pStyle w:val="Heading5"/>
        <w:rPr>
          <w:snapToGrid w:val="0"/>
        </w:rPr>
      </w:pPr>
      <w:bookmarkStart w:id="18" w:name="_Toc391648034"/>
      <w:r>
        <w:rPr>
          <w:rStyle w:val="CharSectno"/>
        </w:rPr>
        <w:t>13</w:t>
      </w:r>
      <w:r>
        <w:t>.</w:t>
      </w:r>
      <w:r>
        <w:tab/>
      </w:r>
      <w:r>
        <w:rPr>
          <w:snapToGrid w:val="0"/>
        </w:rPr>
        <w:t>Parking to be in parking spaces only</w:t>
      </w:r>
      <w:bookmarkEnd w:id="18"/>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19" w:name="_Toc391648035"/>
      <w:r>
        <w:rPr>
          <w:rStyle w:val="CharSectno"/>
        </w:rPr>
        <w:t>14</w:t>
      </w:r>
      <w:r>
        <w:t>.</w:t>
      </w:r>
      <w:r>
        <w:tab/>
      </w:r>
      <w:r>
        <w:rPr>
          <w:snapToGrid w:val="0"/>
        </w:rPr>
        <w:t>Signs to be obeyed</w:t>
      </w:r>
      <w:bookmarkEnd w:id="19"/>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20" w:name="_Toc391648036"/>
      <w:r>
        <w:rPr>
          <w:rStyle w:val="CharSectno"/>
        </w:rPr>
        <w:t>15</w:t>
      </w:r>
      <w:r>
        <w:t>.</w:t>
      </w:r>
      <w:r>
        <w:tab/>
      </w:r>
      <w:r>
        <w:rPr>
          <w:snapToGrid w:val="0"/>
        </w:rPr>
        <w:t>Parking in parking spaces</w:t>
      </w:r>
      <w:bookmarkEnd w:id="20"/>
      <w:r>
        <w:rPr>
          <w:snapToGrid w:val="0"/>
        </w:rPr>
        <w:t xml:space="preserve"> </w:t>
      </w:r>
    </w:p>
    <w:p>
      <w:pPr>
        <w:pStyle w:val="Subsection"/>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21" w:name="_Toc391648037"/>
      <w:r>
        <w:rPr>
          <w:rStyle w:val="CharSectno"/>
        </w:rPr>
        <w:t>16</w:t>
      </w:r>
      <w:r>
        <w:t>.</w:t>
      </w:r>
      <w:r>
        <w:tab/>
      </w:r>
      <w:r>
        <w:rPr>
          <w:snapToGrid w:val="0"/>
        </w:rPr>
        <w:t>Permit</w:t>
      </w:r>
      <w:bookmarkEnd w:id="21"/>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tab/>
        <w:t>(2)</w:t>
      </w:r>
      <w:r>
        <w:tab/>
      </w:r>
      <w:r>
        <w:rPr>
          <w:snapToGrid w:val="0"/>
        </w:rPr>
        <w:t>A person who wishes to obtain a permit to park a vehicle on the site is to apply to the chief executive officer or an authorised person.</w:t>
      </w:r>
    </w:p>
    <w:p>
      <w:pPr>
        <w:pStyle w:val="Subsection"/>
        <w:keepNext/>
      </w:pPr>
      <w:r>
        <w:tab/>
        <w:t>(3)</w:t>
      </w:r>
      <w:r>
        <w:tab/>
        <w:t>An application under sub</w:t>
      </w:r>
      <w:r>
        <w:noBreakHyphen/>
        <w:t>bylaw (2) must be in a form approved by the chief executive officer.</w:t>
      </w:r>
    </w:p>
    <w:p>
      <w:pPr>
        <w:pStyle w:val="Subsection"/>
      </w:pPr>
      <w:r>
        <w:tab/>
        <w:t>(4A)</w:t>
      </w:r>
      <w:r>
        <w:tab/>
        <w:t>No fee is payable for a parking permit.</w:t>
      </w:r>
    </w:p>
    <w:p>
      <w:pPr>
        <w:pStyle w:val="Subsection"/>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keepNext/>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ind w:left="890" w:hanging="890"/>
      </w:pPr>
      <w:r>
        <w:tab/>
        <w:t>[By-law 16 amended in Gazette 28 Nov 2010 p. 5947; 24 Jun 2011 p. 2504; 23 Dec 2011 p. 5439 (disallowed in Gazette 18 Sep 2012 p. 4411); 28 Sep 2012 p. 4648.]</w:t>
      </w:r>
    </w:p>
    <w:p>
      <w:pPr>
        <w:pStyle w:val="Heading2"/>
      </w:pPr>
      <w:bookmarkStart w:id="22" w:name="_Toc391648038"/>
      <w:r>
        <w:rPr>
          <w:rStyle w:val="CharPartNo"/>
        </w:rPr>
        <w:t>Part 4</w:t>
      </w:r>
      <w:r>
        <w:rPr>
          <w:rStyle w:val="CharDivNo"/>
        </w:rPr>
        <w:t> </w:t>
      </w:r>
      <w:r>
        <w:t>—</w:t>
      </w:r>
      <w:r>
        <w:rPr>
          <w:rStyle w:val="CharDivText"/>
        </w:rPr>
        <w:t> </w:t>
      </w:r>
      <w:r>
        <w:rPr>
          <w:rStyle w:val="CharPartText"/>
        </w:rPr>
        <w:t>Infringement notices</w:t>
      </w:r>
      <w:bookmarkEnd w:id="22"/>
    </w:p>
    <w:p>
      <w:pPr>
        <w:pStyle w:val="Heading5"/>
        <w:rPr>
          <w:snapToGrid w:val="0"/>
        </w:rPr>
      </w:pPr>
      <w:bookmarkStart w:id="23" w:name="_Toc391648039"/>
      <w:r>
        <w:rPr>
          <w:rStyle w:val="CharSectno"/>
        </w:rPr>
        <w:t>17</w:t>
      </w:r>
      <w:r>
        <w:t>.</w:t>
      </w:r>
      <w:r>
        <w:tab/>
      </w:r>
      <w:r>
        <w:rPr>
          <w:snapToGrid w:val="0"/>
        </w:rPr>
        <w:t>Terms used</w:t>
      </w:r>
      <w:bookmarkEnd w:id="23"/>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24" w:name="endcomma"/>
      <w:bookmarkEnd w:id="24"/>
      <w:r>
        <w:t xml:space="preserve"> </w:t>
      </w:r>
      <w:bookmarkStart w:id="25" w:name="comma"/>
      <w:bookmarkEnd w:id="25"/>
      <w:r>
        <w:t>means a penalty prescribed in Schedule 1 for an offence under Part 3 or 4.</w:t>
      </w:r>
    </w:p>
    <w:p>
      <w:pPr>
        <w:pStyle w:val="Heading5"/>
        <w:rPr>
          <w:snapToGrid w:val="0"/>
        </w:rPr>
      </w:pPr>
      <w:bookmarkStart w:id="26" w:name="_Toc391648040"/>
      <w:r>
        <w:rPr>
          <w:rStyle w:val="CharSectno"/>
        </w:rPr>
        <w:t>18</w:t>
      </w:r>
      <w:r>
        <w:t>.</w:t>
      </w:r>
      <w:r>
        <w:tab/>
      </w:r>
      <w:r>
        <w:rPr>
          <w:snapToGrid w:val="0"/>
        </w:rPr>
        <w:t>Infringement notices</w:t>
      </w:r>
      <w:bookmarkEnd w:id="26"/>
    </w:p>
    <w:p>
      <w:pPr>
        <w:pStyle w:val="Subsection"/>
        <w:rPr>
          <w:snapToGrid w:val="0"/>
        </w:rPr>
      </w:pPr>
      <w:r>
        <w:tab/>
        <w:t>(1)</w:t>
      </w:r>
      <w:r>
        <w:tab/>
      </w:r>
      <w:r>
        <w:rPr>
          <w:snapToGrid w:val="0"/>
        </w:rPr>
        <w:t>An authorised person who has reason to believe that a person has committed an offence under Part 3 or this Part may, within 28 days after the alleged offence is believed to have been committed, give an infringement notice to the alleged offender.</w:t>
      </w:r>
    </w:p>
    <w:p>
      <w:pPr>
        <w:pStyle w:val="Subsection"/>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may be paid to the cashier of the Osborne Park Hospital or an </w:t>
      </w:r>
      <w:r>
        <w:t>authorised person, other than the authorised person who issued the infringement notice,</w:t>
      </w:r>
      <w:r>
        <w:rPr>
          <w:snapToGrid w:val="0"/>
        </w:rPr>
        <w:t xml:space="preserve">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pPr>
      <w:r>
        <w:tab/>
        <w:t>[By-law 18 amended in Gazette 28 Nov 2010 p. 5948; 23 Dec 2011 p. 5439 (disallowed in Gazette 18 Sep 2012 p. 4411); 28 Sep 2012 p. 4648</w:t>
      </w:r>
      <w:r>
        <w:noBreakHyphen/>
        <w:t>9.]</w:t>
      </w:r>
    </w:p>
    <w:p>
      <w:pPr>
        <w:pStyle w:val="Heading5"/>
        <w:rPr>
          <w:snapToGrid w:val="0"/>
        </w:rPr>
      </w:pPr>
      <w:bookmarkStart w:id="27" w:name="_Toc391648041"/>
      <w:r>
        <w:rPr>
          <w:rStyle w:val="CharSectno"/>
        </w:rPr>
        <w:t>19</w:t>
      </w:r>
      <w:r>
        <w:t>.</w:t>
      </w:r>
      <w:r>
        <w:tab/>
      </w:r>
      <w:r>
        <w:rPr>
          <w:snapToGrid w:val="0"/>
        </w:rPr>
        <w:t>Withdrawal of infringement notice</w:t>
      </w:r>
      <w:bookmarkEnd w:id="27"/>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rPr>
          <w:snapToGrid w:val="0"/>
        </w:rPr>
      </w:pPr>
      <w:bookmarkStart w:id="28" w:name="_Toc391648042"/>
      <w:r>
        <w:rPr>
          <w:rStyle w:val="CharSectno"/>
        </w:rPr>
        <w:t>20</w:t>
      </w:r>
      <w:r>
        <w:t>.</w:t>
      </w:r>
      <w:r>
        <w:tab/>
      </w:r>
      <w:r>
        <w:rPr>
          <w:snapToGrid w:val="0"/>
        </w:rPr>
        <w:t>Authorised person to have certificate</w:t>
      </w:r>
      <w:bookmarkEnd w:id="28"/>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29" w:name="_Toc391648043"/>
      <w:r>
        <w:rPr>
          <w:rStyle w:val="CharSectno"/>
        </w:rPr>
        <w:t>21</w:t>
      </w:r>
      <w:r>
        <w:t>.</w:t>
      </w:r>
      <w:r>
        <w:tab/>
      </w:r>
      <w:r>
        <w:rPr>
          <w:snapToGrid w:val="0"/>
        </w:rPr>
        <w:t>Authorised persons only to endorse and alter infringement notices</w:t>
      </w:r>
      <w:bookmarkEnd w:id="29"/>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30" w:name="_Toc391648044"/>
      <w:r>
        <w:rPr>
          <w:rStyle w:val="CharSectno"/>
        </w:rPr>
        <w:t>22</w:t>
      </w:r>
      <w:r>
        <w:t>.</w:t>
      </w:r>
      <w:r>
        <w:tab/>
      </w:r>
      <w:r>
        <w:rPr>
          <w:snapToGrid w:val="0"/>
        </w:rPr>
        <w:t>Restriction on removal of infringement notices</w:t>
      </w:r>
      <w:bookmarkEnd w:id="30"/>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Heading2"/>
      </w:pPr>
      <w:bookmarkStart w:id="31" w:name="_Toc391648045"/>
      <w:r>
        <w:rPr>
          <w:rStyle w:val="CharPartNo"/>
        </w:rPr>
        <w:t>Part 5</w:t>
      </w:r>
      <w:r>
        <w:rPr>
          <w:rStyle w:val="CharDivNo"/>
        </w:rPr>
        <w:t> </w:t>
      </w:r>
      <w:r>
        <w:t>—</w:t>
      </w:r>
      <w:r>
        <w:rPr>
          <w:rStyle w:val="CharDivText"/>
        </w:rPr>
        <w:t> </w:t>
      </w:r>
      <w:r>
        <w:rPr>
          <w:rStyle w:val="CharPartText"/>
        </w:rPr>
        <w:t>General</w:t>
      </w:r>
      <w:bookmarkEnd w:id="31"/>
    </w:p>
    <w:p>
      <w:pPr>
        <w:pStyle w:val="Heading5"/>
        <w:rPr>
          <w:snapToGrid w:val="0"/>
        </w:rPr>
      </w:pPr>
      <w:bookmarkStart w:id="32" w:name="_Toc391648046"/>
      <w:r>
        <w:rPr>
          <w:rStyle w:val="CharSectno"/>
        </w:rPr>
        <w:t>23</w:t>
      </w:r>
      <w:r>
        <w:t>.</w:t>
      </w:r>
      <w:r>
        <w:tab/>
      </w:r>
      <w:r>
        <w:rPr>
          <w:snapToGrid w:val="0"/>
        </w:rPr>
        <w:t>Removal of vehicles</w:t>
      </w:r>
      <w:bookmarkEnd w:id="32"/>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 xml:space="preserve">is obstructing other vehicles or activities of the </w:t>
      </w:r>
      <w:smartTag w:uri="urn:schemas-microsoft-com:office:smarttags" w:element="place">
        <w:smartTag w:uri="urn:schemas-microsoft-com:office:smarttags" w:element="PlaceName">
          <w:r>
            <w:rPr>
              <w:snapToGrid w:val="0"/>
            </w:rPr>
            <w:t>Osborne</w:t>
          </w:r>
        </w:smartTag>
        <w:r>
          <w:rPr>
            <w:snapToGrid w:val="0"/>
          </w:rPr>
          <w:t xml:space="preserve"> </w:t>
        </w:r>
        <w:smartTag w:uri="urn:schemas-microsoft-com:office:smarttags" w:element="PlaceType">
          <w:r>
            <w:rPr>
              <w:snapToGrid w:val="0"/>
            </w:rPr>
            <w:t>Park</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pPr>
      <w:r>
        <w:tab/>
        <w:t>(b)</w:t>
      </w:r>
      <w:r>
        <w:tab/>
        <w:t xml:space="preserve">in person to the cashier at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Indenta"/>
      </w:pPr>
      <w:r>
        <w:tab/>
        <w:t>(c)</w:t>
      </w:r>
      <w:r>
        <w:tab/>
        <w:t>by cheque or money order payable to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and posted to — </w:t>
      </w:r>
    </w:p>
    <w:p>
      <w:pPr>
        <w:pStyle w:val="Indenta"/>
      </w:pPr>
      <w:r>
        <w:tab/>
      </w:r>
      <w:r>
        <w:tab/>
      </w:r>
      <w:smartTag w:uri="urn:schemas-microsoft-com:office:smarttags" w:element="address">
        <w:smartTag w:uri="urn:schemas-microsoft-com:office:smarttags" w:element="Street">
          <w:r>
            <w:t>Osborne Park Hospital</w:t>
          </w:r>
          <w:r>
            <w:br/>
            <w:t>Osborne Place</w:t>
          </w:r>
        </w:smartTag>
        <w:r>
          <w:br/>
        </w:r>
        <w:smartTag w:uri="urn:schemas-microsoft-com:office:smarttags" w:element="City">
          <w:r>
            <w:t>Stirling</w:t>
          </w:r>
        </w:smartTag>
        <w:r>
          <w:t xml:space="preserve"> </w:t>
        </w:r>
        <w:smartTag w:uri="urn:schemas-microsoft-com:office:smarttags" w:element="State">
          <w:r>
            <w:t>WA</w:t>
          </w:r>
        </w:smartTag>
      </w:smartTag>
      <w:r>
        <w:t xml:space="preserve"> 6021</w:t>
      </w:r>
    </w:p>
    <w:p>
      <w:pPr>
        <w:pStyle w:val="Footnotesection"/>
      </w:pPr>
      <w:r>
        <w:tab/>
        <w:t>[By-law 23 amended in Gazette 23 Dec 2011 p. 5439</w:t>
      </w:r>
      <w:r>
        <w:noBreakHyphen/>
        <w:t>40 (disallowed in Gazette 18 Sep 2012 p. 4411); 28 Sep 2012 p. 4649.]</w:t>
      </w:r>
    </w:p>
    <w:p>
      <w:pPr>
        <w:pStyle w:val="Heading5"/>
        <w:keepNext w:val="0"/>
        <w:keepLines w:val="0"/>
        <w:rPr>
          <w:snapToGrid w:val="0"/>
        </w:rPr>
      </w:pPr>
      <w:bookmarkStart w:id="33" w:name="_Toc391648047"/>
      <w:r>
        <w:rPr>
          <w:rStyle w:val="CharSectno"/>
        </w:rPr>
        <w:t>24</w:t>
      </w:r>
      <w:r>
        <w:t>.</w:t>
      </w:r>
      <w:r>
        <w:tab/>
      </w:r>
      <w:r>
        <w:rPr>
          <w:snapToGrid w:val="0"/>
        </w:rPr>
        <w:t>Registered owner may be treated as being driver or person in charge of vehicle at time of offence</w:t>
      </w:r>
      <w:bookmarkEnd w:id="33"/>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34" w:name="_Toc391648048"/>
      <w:r>
        <w:rPr>
          <w:rStyle w:val="CharSectno"/>
        </w:rPr>
        <w:t>25</w:t>
      </w:r>
      <w:r>
        <w:t>.</w:t>
      </w:r>
      <w:r>
        <w:tab/>
      </w:r>
      <w:r>
        <w:rPr>
          <w:snapToGrid w:val="0"/>
        </w:rPr>
        <w:t>Other offences</w:t>
      </w:r>
      <w:bookmarkEnd w:id="34"/>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5" w:name="_Toc391648049"/>
      <w:r>
        <w:rPr>
          <w:rStyle w:val="CharSchNo"/>
        </w:rPr>
        <w:t>Schedule 1</w:t>
      </w:r>
      <w:r>
        <w:rPr>
          <w:rStyle w:val="CharSDivNo"/>
        </w:rPr>
        <w:t> </w:t>
      </w:r>
      <w:r>
        <w:t>—</w:t>
      </w:r>
      <w:bookmarkStart w:id="36" w:name="AutoSch"/>
      <w:bookmarkEnd w:id="36"/>
      <w:r>
        <w:rPr>
          <w:rStyle w:val="CharSDivText"/>
        </w:rPr>
        <w:t> </w:t>
      </w:r>
      <w:r>
        <w:rPr>
          <w:rStyle w:val="CharSchText"/>
        </w:rPr>
        <w:t>Infringement notices and modified penalties</w:t>
      </w:r>
      <w:bookmarkEnd w:id="35"/>
    </w:p>
    <w:p>
      <w:pPr>
        <w:pStyle w:val="yShoulderClause"/>
        <w:spacing w:after="60"/>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r>
            <w:r>
              <w:rPr>
                <w:szCs w:val="22"/>
              </w:rPr>
              <w:t>40</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rPr>
                <w:szCs w:val="22"/>
              </w:rPr>
              <w:t>40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r>
            <w:r>
              <w:rPr>
                <w:szCs w:val="22"/>
              </w:rPr>
              <w:t>40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Pr>
        <w:pStyle w:val="yFootnotesection"/>
      </w:pPr>
      <w:r>
        <w:tab/>
        <w:t>[Schedule 1 amended in Gazette 23 Dec 2011 p. 5440 (disallowed in Gazette 18 Sep 2012 p. 4411); 28 Sep 2012 p. 4649</w:t>
      </w:r>
      <w:r>
        <w:noBreakHyphen/>
        <w:t>50.]</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ScheduleHeading"/>
      </w:pPr>
      <w:bookmarkStart w:id="37" w:name="_Toc391648050"/>
      <w:r>
        <w:rPr>
          <w:rStyle w:val="CharSchNo"/>
        </w:rPr>
        <w:t>Schedule 2</w:t>
      </w:r>
      <w:r>
        <w:t> — </w:t>
      </w:r>
      <w:r>
        <w:rPr>
          <w:rStyle w:val="CharSchText"/>
        </w:rPr>
        <w:t>Forms</w:t>
      </w:r>
      <w:bookmarkEnd w:id="37"/>
    </w:p>
    <w:p>
      <w:pPr>
        <w:pStyle w:val="yShoulderClause"/>
      </w:pPr>
      <w:r>
        <w:t>[bl. 18 and 19]</w:t>
      </w:r>
    </w:p>
    <w:p>
      <w:pPr>
        <w:pStyle w:val="yFootnoteheading"/>
      </w:pPr>
      <w:r>
        <w:tab/>
        <w:t>[Heading inserted in Gazette 13 Jun 2014 p. 1875.]</w:t>
      </w:r>
    </w:p>
    <w:p>
      <w:pPr>
        <w:pStyle w:val="yMiscellaneousBody"/>
        <w:jc w:val="center"/>
        <w:rPr>
          <w:b/>
        </w:rPr>
      </w:pPr>
      <w:r>
        <w:rPr>
          <w:rStyle w:val="CharSClsNo"/>
          <w:b/>
        </w:rPr>
        <w:t>Form 1</w:t>
      </w:r>
      <w:r>
        <w:rPr>
          <w:b/>
        </w:rPr>
        <w:t>: Infringement Notice (by</w:t>
      </w:r>
      <w:r>
        <w:rPr>
          <w:b/>
        </w:rPr>
        <w:noBreakHyphen/>
        <w:t>law 18)</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rPr>
          <w:b/>
          <w:i/>
          <w:szCs w:val="22"/>
        </w:rPr>
      </w:pPr>
      <w:r>
        <w:rPr>
          <w:b/>
          <w:i/>
          <w:szCs w:val="22"/>
        </w:rPr>
        <w:t>Osborne Park Hospital By</w:t>
      </w:r>
      <w:r>
        <w:rPr>
          <w:b/>
          <w:i/>
          <w:szCs w:val="22"/>
        </w:rPr>
        <w:noBreakHyphen/>
        <w:t>laws 2007</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If you were not driving or the owner of the vehicle at the time of the alleged offence — submit a declaration giving the full name and address of the driver or owner.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1875</w:t>
      </w:r>
      <w:r>
        <w:noBreakHyphen/>
        <w:t>7.]</w:t>
      </w:r>
    </w:p>
    <w:p>
      <w:pPr>
        <w:pStyle w:val="yMiscellaneousHeading"/>
        <w:rPr>
          <w:b/>
        </w:rPr>
      </w:pPr>
      <w:r>
        <w:rPr>
          <w:rStyle w:val="CharSClsNo"/>
          <w:b/>
        </w:rPr>
        <w:t>Form 2</w:t>
      </w:r>
      <w:r>
        <w:rPr>
          <w:b/>
        </w:rPr>
        <w:t>: Withdrawal of Infringement Notice (by</w:t>
      </w:r>
      <w:r>
        <w:rPr>
          <w:b/>
        </w:rPr>
        <w:noBreakHyphen/>
        <w:t>law 19)</w:t>
      </w:r>
    </w:p>
    <w:p>
      <w:pPr>
        <w:pStyle w:val="yMiscellaneousHeading"/>
      </w:pPr>
      <w:r>
        <w:t>Government of Western Australia</w:t>
      </w:r>
    </w:p>
    <w:p>
      <w:pPr>
        <w:pStyle w:val="yMiscellaneousHeading"/>
        <w:rPr>
          <w:szCs w:val="22"/>
        </w:rPr>
      </w:pPr>
      <w:r>
        <w:rPr>
          <w:szCs w:val="22"/>
        </w:rPr>
        <w:t>Department of Health</w:t>
      </w:r>
    </w:p>
    <w:p>
      <w:pPr>
        <w:pStyle w:val="yMiscellaneousHeading"/>
        <w:rPr>
          <w:szCs w:val="22"/>
        </w:rPr>
      </w:pPr>
      <w:r>
        <w:rPr>
          <w:szCs w:val="22"/>
        </w:rP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1877</w:t>
      </w:r>
      <w:r>
        <w:noBreakHyphen/>
        <w:t>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38" w:name="_Toc391648051"/>
      <w:r>
        <w:t>Notes</w:t>
      </w:r>
      <w:bookmarkEnd w:id="38"/>
    </w:p>
    <w:p>
      <w:pPr>
        <w:pStyle w:val="nSubsection"/>
        <w:rPr>
          <w:snapToGrid w:val="0"/>
        </w:rPr>
      </w:pPr>
      <w:r>
        <w:rPr>
          <w:snapToGrid w:val="0"/>
          <w:vertAlign w:val="superscript"/>
        </w:rPr>
        <w:t>1</w:t>
      </w:r>
      <w:r>
        <w:rPr>
          <w:snapToGrid w:val="0"/>
        </w:rPr>
        <w:tab/>
        <w:t>This is a compilation of the</w:t>
      </w:r>
      <w:r>
        <w:rPr>
          <w:i/>
        </w:rPr>
        <w:t xml:space="preserve"> Osborne Park Hospital By-laws 2007</w:t>
      </w:r>
      <w:r>
        <w:rPr>
          <w:snapToGrid w:val="0"/>
        </w:rPr>
        <w:t xml:space="preserve"> and includes the amendments made by the other written laws referred to in the following table.  The table also contains information about any reprint.</w:t>
      </w:r>
    </w:p>
    <w:p>
      <w:pPr>
        <w:pStyle w:val="nHeading3"/>
      </w:pPr>
      <w:bookmarkStart w:id="39" w:name="_Toc391648052"/>
      <w:r>
        <w:t>Compilation table</w:t>
      </w:r>
      <w:bookmarkEnd w:id="3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szCs w:val="19"/>
              </w:rPr>
            </w:pPr>
            <w:r>
              <w:rPr>
                <w:b/>
                <w:sz w:val="19"/>
                <w:szCs w:val="19"/>
              </w:rPr>
              <w:t>Citation</w:t>
            </w:r>
          </w:p>
        </w:tc>
        <w:tc>
          <w:tcPr>
            <w:tcW w:w="1276" w:type="dxa"/>
          </w:tcPr>
          <w:p>
            <w:pPr>
              <w:pStyle w:val="nTable"/>
              <w:spacing w:after="40"/>
              <w:rPr>
                <w:b/>
                <w:sz w:val="19"/>
                <w:szCs w:val="19"/>
              </w:rPr>
            </w:pPr>
            <w:r>
              <w:rPr>
                <w:b/>
                <w:sz w:val="19"/>
                <w:szCs w:val="19"/>
              </w:rPr>
              <w:t>Gazettal</w:t>
            </w:r>
          </w:p>
        </w:tc>
        <w:tc>
          <w:tcPr>
            <w:tcW w:w="2693" w:type="dxa"/>
          </w:tcPr>
          <w:p>
            <w:pPr>
              <w:pStyle w:val="nTable"/>
              <w:spacing w:after="40"/>
              <w:rPr>
                <w:b/>
                <w:sz w:val="19"/>
                <w:szCs w:val="19"/>
              </w:rPr>
            </w:pPr>
            <w:r>
              <w:rPr>
                <w:b/>
                <w:sz w:val="19"/>
                <w:szCs w:val="19"/>
              </w:rPr>
              <w:t>Commencement</w:t>
            </w:r>
          </w:p>
        </w:tc>
      </w:tr>
      <w:tr>
        <w:tc>
          <w:tcPr>
            <w:tcW w:w="3118" w:type="dxa"/>
            <w:tcBorders>
              <w:bottom w:val="nil"/>
            </w:tcBorders>
          </w:tcPr>
          <w:p>
            <w:pPr>
              <w:pStyle w:val="nTable"/>
              <w:spacing w:after="40"/>
              <w:rPr>
                <w:sz w:val="19"/>
                <w:szCs w:val="19"/>
              </w:rPr>
            </w:pPr>
            <w:r>
              <w:rPr>
                <w:i/>
                <w:sz w:val="19"/>
                <w:szCs w:val="19"/>
              </w:rPr>
              <w:t>Osborne Park Hospital By-laws 2007</w:t>
            </w:r>
          </w:p>
        </w:tc>
        <w:tc>
          <w:tcPr>
            <w:tcW w:w="1276" w:type="dxa"/>
            <w:tcBorders>
              <w:bottom w:val="nil"/>
            </w:tcBorders>
          </w:tcPr>
          <w:p>
            <w:pPr>
              <w:pStyle w:val="nTable"/>
              <w:spacing w:after="40"/>
              <w:rPr>
                <w:sz w:val="19"/>
                <w:szCs w:val="19"/>
              </w:rPr>
            </w:pPr>
            <w:r>
              <w:rPr>
                <w:sz w:val="19"/>
                <w:szCs w:val="19"/>
              </w:rPr>
              <w:t>5 Jun 2007 p. 2577-97</w:t>
            </w:r>
          </w:p>
        </w:tc>
        <w:tc>
          <w:tcPr>
            <w:tcW w:w="2693" w:type="dxa"/>
            <w:tcBorders>
              <w:bottom w:val="nil"/>
            </w:tcBorders>
          </w:tcPr>
          <w:p>
            <w:pPr>
              <w:pStyle w:val="nTable"/>
              <w:spacing w:after="40"/>
              <w:rPr>
                <w:sz w:val="19"/>
                <w:szCs w:val="19"/>
              </w:rPr>
            </w:pPr>
            <w:r>
              <w:rPr>
                <w:sz w:val="19"/>
                <w:szCs w:val="19"/>
              </w:rPr>
              <w:t>5 Jun 2007</w:t>
            </w:r>
          </w:p>
        </w:tc>
      </w:tr>
      <w:tr>
        <w:tc>
          <w:tcPr>
            <w:tcW w:w="3118" w:type="dxa"/>
            <w:tcBorders>
              <w:top w:val="nil"/>
              <w:bottom w:val="nil"/>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2010</w:t>
            </w:r>
            <w:r>
              <w:rPr>
                <w:iCs/>
                <w:sz w:val="19"/>
                <w:szCs w:val="19"/>
              </w:rPr>
              <w:t xml:space="preserve"> </w:t>
            </w:r>
          </w:p>
        </w:tc>
        <w:tc>
          <w:tcPr>
            <w:tcW w:w="1276" w:type="dxa"/>
            <w:tcBorders>
              <w:top w:val="nil"/>
              <w:bottom w:val="nil"/>
            </w:tcBorders>
          </w:tcPr>
          <w:p>
            <w:pPr>
              <w:pStyle w:val="nTable"/>
              <w:spacing w:after="40"/>
              <w:rPr>
                <w:sz w:val="19"/>
                <w:szCs w:val="19"/>
              </w:rPr>
            </w:pPr>
            <w:r>
              <w:rPr>
                <w:sz w:val="19"/>
                <w:szCs w:val="19"/>
              </w:rPr>
              <w:t>26 Nov 2010 p. 5947-8</w:t>
            </w:r>
          </w:p>
        </w:tc>
        <w:tc>
          <w:tcPr>
            <w:tcW w:w="2693" w:type="dxa"/>
            <w:tcBorders>
              <w:top w:val="nil"/>
              <w:bottom w:val="nil"/>
            </w:tcBorders>
          </w:tcPr>
          <w:p>
            <w:pPr>
              <w:pStyle w:val="nTable"/>
              <w:spacing w:after="40"/>
              <w:rPr>
                <w:sz w:val="19"/>
                <w:szCs w:val="19"/>
              </w:rPr>
            </w:pPr>
            <w:r>
              <w:rPr>
                <w:snapToGrid w:val="0"/>
                <w:spacing w:val="-2"/>
                <w:sz w:val="19"/>
                <w:szCs w:val="19"/>
              </w:rPr>
              <w:t>bl. 1 and 2: 26 Nov 2010 (see bl. 2(a));</w:t>
            </w:r>
            <w:r>
              <w:rPr>
                <w:snapToGrid w:val="0"/>
                <w:spacing w:val="-2"/>
                <w:sz w:val="19"/>
                <w:szCs w:val="19"/>
              </w:rPr>
              <w:br/>
              <w:t xml:space="preserve">By-laws other than bl. 1 and 2: </w:t>
            </w:r>
            <w:r>
              <w:rPr>
                <w:snapToGrid w:val="0"/>
                <w:sz w:val="19"/>
                <w:szCs w:val="19"/>
              </w:rPr>
              <w:t>1 Jan 2011 (see bl. 2(b))</w:t>
            </w:r>
          </w:p>
        </w:tc>
      </w:tr>
      <w:tr>
        <w:tc>
          <w:tcPr>
            <w:tcW w:w="3118" w:type="dxa"/>
            <w:tcBorders>
              <w:top w:val="nil"/>
              <w:bottom w:val="nil"/>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2011</w:t>
            </w:r>
          </w:p>
        </w:tc>
        <w:tc>
          <w:tcPr>
            <w:tcW w:w="1276" w:type="dxa"/>
            <w:tcBorders>
              <w:top w:val="nil"/>
              <w:bottom w:val="nil"/>
            </w:tcBorders>
          </w:tcPr>
          <w:p>
            <w:pPr>
              <w:pStyle w:val="nTable"/>
              <w:spacing w:after="40"/>
              <w:rPr>
                <w:sz w:val="19"/>
                <w:szCs w:val="19"/>
              </w:rPr>
            </w:pPr>
            <w:r>
              <w:rPr>
                <w:sz w:val="19"/>
                <w:szCs w:val="19"/>
              </w:rPr>
              <w:t>24 Jun 2011 p. 2503-4</w:t>
            </w:r>
          </w:p>
        </w:tc>
        <w:tc>
          <w:tcPr>
            <w:tcW w:w="2693" w:type="dxa"/>
            <w:tcBorders>
              <w:top w:val="nil"/>
              <w:bottom w:val="nil"/>
            </w:tcBorders>
          </w:tcPr>
          <w:p>
            <w:pPr>
              <w:pStyle w:val="nTable"/>
              <w:spacing w:after="40"/>
              <w:rPr>
                <w:snapToGrid w:val="0"/>
                <w:spacing w:val="-2"/>
                <w:sz w:val="19"/>
                <w:szCs w:val="19"/>
              </w:rPr>
            </w:pPr>
            <w:r>
              <w:rPr>
                <w:snapToGrid w:val="0"/>
                <w:spacing w:val="-2"/>
                <w:sz w:val="19"/>
                <w:szCs w:val="19"/>
              </w:rPr>
              <w:t>bl. 1 and 2: 24 Jun 2011 (see bl. 2(a));</w:t>
            </w:r>
            <w:r>
              <w:rPr>
                <w:snapToGrid w:val="0"/>
                <w:spacing w:val="-2"/>
                <w:sz w:val="19"/>
                <w:szCs w:val="19"/>
              </w:rPr>
              <w:br/>
              <w:t xml:space="preserve">By-laws other than bl. 1 and 2: </w:t>
            </w:r>
            <w:r>
              <w:rPr>
                <w:snapToGrid w:val="0"/>
                <w:sz w:val="19"/>
                <w:szCs w:val="19"/>
              </w:rPr>
              <w:t>1 Jul 2011 (see bl. 2(b))</w:t>
            </w:r>
          </w:p>
        </w:tc>
      </w:tr>
      <w:tr>
        <w:tc>
          <w:tcPr>
            <w:tcW w:w="3118" w:type="dxa"/>
            <w:tcBorders>
              <w:top w:val="nil"/>
              <w:bottom w:val="nil"/>
            </w:tcBorders>
          </w:tcPr>
          <w:p>
            <w:pPr>
              <w:pStyle w:val="nTable"/>
              <w:spacing w:after="40"/>
              <w:rPr>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(No. 2) 2011</w:t>
            </w:r>
            <w:r>
              <w:rPr>
                <w:sz w:val="19"/>
                <w:szCs w:val="19"/>
                <w:vertAlign w:val="superscript"/>
              </w:rPr>
              <w:t> 2</w:t>
            </w:r>
          </w:p>
        </w:tc>
        <w:tc>
          <w:tcPr>
            <w:tcW w:w="1276" w:type="dxa"/>
            <w:tcBorders>
              <w:top w:val="nil"/>
              <w:bottom w:val="nil"/>
            </w:tcBorders>
          </w:tcPr>
          <w:p>
            <w:pPr>
              <w:pStyle w:val="nTable"/>
              <w:spacing w:after="40"/>
              <w:rPr>
                <w:sz w:val="19"/>
                <w:szCs w:val="19"/>
              </w:rPr>
            </w:pPr>
            <w:r>
              <w:rPr>
                <w:sz w:val="19"/>
                <w:szCs w:val="19"/>
              </w:rPr>
              <w:t>23 Dec 2011 p. 5438</w:t>
            </w:r>
            <w:r>
              <w:rPr>
                <w:sz w:val="19"/>
                <w:szCs w:val="19"/>
              </w:rPr>
              <w:noBreakHyphen/>
              <w:t>42</w:t>
            </w:r>
          </w:p>
        </w:tc>
        <w:tc>
          <w:tcPr>
            <w:tcW w:w="2693" w:type="dxa"/>
            <w:tcBorders>
              <w:top w:val="nil"/>
              <w:bottom w:val="nil"/>
            </w:tcBorders>
          </w:tcPr>
          <w:p>
            <w:pPr>
              <w:pStyle w:val="nTable"/>
              <w:spacing w:after="40"/>
              <w:rPr>
                <w:snapToGrid w:val="0"/>
                <w:spacing w:val="-2"/>
                <w:sz w:val="19"/>
                <w:szCs w:val="19"/>
              </w:rPr>
            </w:pPr>
            <w:r>
              <w:rPr>
                <w:snapToGrid w:val="0"/>
                <w:spacing w:val="-2"/>
                <w:sz w:val="19"/>
                <w:szCs w:val="19"/>
              </w:rPr>
              <w:t>bl. 1 and 2: 23 Dec 2011 (see bl. 2(a));</w:t>
            </w:r>
            <w:r>
              <w:rPr>
                <w:snapToGrid w:val="0"/>
                <w:spacing w:val="-2"/>
                <w:sz w:val="19"/>
                <w:szCs w:val="19"/>
              </w:rPr>
              <w:br/>
              <w:t xml:space="preserve">By-laws other than bl. 1 and 2: </w:t>
            </w:r>
            <w:r>
              <w:rPr>
                <w:snapToGrid w:val="0"/>
                <w:sz w:val="19"/>
                <w:szCs w:val="19"/>
              </w:rPr>
              <w:t>1 Jan 2012 (see bl. 2(b))</w:t>
            </w:r>
          </w:p>
        </w:tc>
      </w:tr>
      <w:tr>
        <w:tc>
          <w:tcPr>
            <w:tcW w:w="3118" w:type="dxa"/>
            <w:tcBorders>
              <w:top w:val="nil"/>
              <w:bottom w:val="nil"/>
            </w:tcBorders>
          </w:tcPr>
          <w:p>
            <w:pPr>
              <w:pStyle w:val="nTable"/>
              <w:spacing w:after="40"/>
              <w:rPr>
                <w:i/>
                <w:sz w:val="19"/>
                <w:szCs w:val="19"/>
              </w:rPr>
            </w:pPr>
            <w:smartTag w:uri="urn:schemas-microsoft-com:office:smarttags" w:element="place">
              <w:smartTag w:uri="urn:schemas-microsoft-com:office:smarttags" w:element="PlaceName">
                <w:r>
                  <w:rPr>
                    <w:i/>
                    <w:sz w:val="19"/>
                    <w:szCs w:val="19"/>
                  </w:rPr>
                  <w:t>Osborne</w:t>
                </w:r>
              </w:smartTag>
              <w:r>
                <w:rPr>
                  <w:i/>
                  <w:sz w:val="19"/>
                  <w:szCs w:val="19"/>
                </w:rPr>
                <w:t xml:space="preserve"> </w:t>
              </w:r>
              <w:smartTag w:uri="urn:schemas-microsoft-com:office:smarttags" w:element="PlaceType">
                <w:r>
                  <w:rPr>
                    <w:i/>
                    <w:sz w:val="19"/>
                    <w:szCs w:val="19"/>
                  </w:rPr>
                  <w:t>Park</w:t>
                </w:r>
              </w:smartTag>
              <w:r>
                <w:rPr>
                  <w:i/>
                  <w:sz w:val="19"/>
                  <w:szCs w:val="19"/>
                </w:rPr>
                <w:t xml:space="preserve"> </w:t>
              </w:r>
              <w:smartTag w:uri="urn:schemas-microsoft-com:office:smarttags" w:element="PlaceType">
                <w:r>
                  <w:rPr>
                    <w:i/>
                    <w:sz w:val="19"/>
                    <w:szCs w:val="19"/>
                  </w:rPr>
                  <w:t>Hospital</w:t>
                </w:r>
              </w:smartTag>
            </w:smartTag>
            <w:r>
              <w:rPr>
                <w:i/>
                <w:sz w:val="19"/>
                <w:szCs w:val="19"/>
              </w:rPr>
              <w:t xml:space="preserve"> Amendment By</w:t>
            </w:r>
            <w:r>
              <w:rPr>
                <w:i/>
                <w:sz w:val="19"/>
                <w:szCs w:val="19"/>
              </w:rPr>
              <w:noBreakHyphen/>
              <w:t>laws 2012</w:t>
            </w:r>
          </w:p>
        </w:tc>
        <w:tc>
          <w:tcPr>
            <w:tcW w:w="1276" w:type="dxa"/>
            <w:tcBorders>
              <w:top w:val="nil"/>
              <w:bottom w:val="nil"/>
            </w:tcBorders>
          </w:tcPr>
          <w:p>
            <w:pPr>
              <w:pStyle w:val="nTable"/>
              <w:spacing w:after="40"/>
              <w:rPr>
                <w:sz w:val="19"/>
                <w:szCs w:val="19"/>
              </w:rPr>
            </w:pPr>
            <w:r>
              <w:rPr>
                <w:sz w:val="19"/>
                <w:szCs w:val="19"/>
              </w:rPr>
              <w:t>28 Sep 2012 p. 4648</w:t>
            </w:r>
            <w:r>
              <w:rPr>
                <w:sz w:val="19"/>
                <w:szCs w:val="19"/>
              </w:rPr>
              <w:noBreakHyphen/>
              <w:t>50</w:t>
            </w:r>
          </w:p>
        </w:tc>
        <w:tc>
          <w:tcPr>
            <w:tcW w:w="2693" w:type="dxa"/>
            <w:tcBorders>
              <w:top w:val="nil"/>
              <w:bottom w:val="nil"/>
            </w:tcBorders>
          </w:tcPr>
          <w:p>
            <w:pPr>
              <w:pStyle w:val="nTable"/>
              <w:spacing w:after="40"/>
              <w:rPr>
                <w:snapToGrid w:val="0"/>
                <w:spacing w:val="-2"/>
                <w:sz w:val="19"/>
                <w:szCs w:val="19"/>
              </w:rPr>
            </w:pPr>
            <w:r>
              <w:rPr>
                <w:snapToGrid w:val="0"/>
                <w:spacing w:val="-2"/>
                <w:sz w:val="19"/>
                <w:szCs w:val="19"/>
              </w:rPr>
              <w:t>bl. 1 and 2: 28 Sep 2012 (see bl. 2(a));</w:t>
            </w:r>
            <w:r>
              <w:rPr>
                <w:snapToGrid w:val="0"/>
                <w:spacing w:val="-2"/>
                <w:sz w:val="19"/>
                <w:szCs w:val="19"/>
              </w:rPr>
              <w:br/>
              <w:t xml:space="preserve">By-laws other than bl. 1 and 2: </w:t>
            </w:r>
            <w:r>
              <w:rPr>
                <w:snapToGrid w:val="0"/>
                <w:sz w:val="19"/>
                <w:szCs w:val="19"/>
              </w:rPr>
              <w:t>29 Sep 2012 (see bl. 2(b))</w:t>
            </w:r>
          </w:p>
        </w:tc>
      </w:tr>
      <w:tr>
        <w:tc>
          <w:tcPr>
            <w:tcW w:w="7087" w:type="dxa"/>
            <w:gridSpan w:val="3"/>
            <w:tcBorders>
              <w:top w:val="nil"/>
              <w:bottom w:val="nil"/>
            </w:tcBorders>
          </w:tcPr>
          <w:p>
            <w:pPr>
              <w:pStyle w:val="nTable"/>
              <w:spacing w:after="40"/>
              <w:rPr>
                <w:snapToGrid w:val="0"/>
                <w:spacing w:val="-2"/>
                <w:sz w:val="19"/>
                <w:szCs w:val="19"/>
              </w:rPr>
            </w:pPr>
            <w:r>
              <w:rPr>
                <w:b/>
                <w:snapToGrid w:val="0"/>
                <w:spacing w:val="-2"/>
                <w:sz w:val="19"/>
                <w:szCs w:val="19"/>
              </w:rPr>
              <w:t xml:space="preserve">Reprint 1:  The </w:t>
            </w:r>
            <w:r>
              <w:rPr>
                <w:b/>
                <w:i/>
                <w:snapToGrid w:val="0"/>
                <w:spacing w:val="-2"/>
                <w:sz w:val="19"/>
                <w:szCs w:val="19"/>
              </w:rPr>
              <w:t>Osborne Park Hospital By-laws 2007</w:t>
            </w:r>
            <w:r>
              <w:rPr>
                <w:b/>
                <w:snapToGrid w:val="0"/>
                <w:spacing w:val="-2"/>
                <w:sz w:val="19"/>
                <w:szCs w:val="19"/>
              </w:rPr>
              <w:t xml:space="preserve"> as at 7 Jun</w:t>
            </w:r>
            <w:r>
              <w:rPr>
                <w:snapToGrid w:val="0"/>
                <w:spacing w:val="-2"/>
                <w:sz w:val="19"/>
                <w:szCs w:val="19"/>
              </w:rPr>
              <w:t xml:space="preserve"> </w:t>
            </w:r>
            <w:r>
              <w:rPr>
                <w:b/>
                <w:snapToGrid w:val="0"/>
                <w:spacing w:val="-2"/>
                <w:sz w:val="19"/>
                <w:szCs w:val="19"/>
              </w:rPr>
              <w:t>2013</w:t>
            </w:r>
            <w:r>
              <w:rPr>
                <w:snapToGrid w:val="0"/>
                <w:spacing w:val="-2"/>
                <w:sz w:val="19"/>
                <w:szCs w:val="19"/>
              </w:rPr>
              <w:t xml:space="preserve"> (includes amendments listed above)</w:t>
            </w:r>
          </w:p>
        </w:tc>
      </w:tr>
      <w:tr>
        <w:tc>
          <w:tcPr>
            <w:tcW w:w="3118" w:type="dxa"/>
            <w:tcBorders>
              <w:top w:val="nil"/>
              <w:bottom w:val="single" w:sz="4" w:space="0" w:color="auto"/>
            </w:tcBorders>
          </w:tcPr>
          <w:p>
            <w:pPr>
              <w:pStyle w:val="nTable"/>
              <w:spacing w:after="40"/>
              <w:rPr>
                <w:sz w:val="19"/>
                <w:szCs w:val="19"/>
                <w:vertAlign w:val="superscript"/>
              </w:rPr>
            </w:pPr>
            <w:r>
              <w:rPr>
                <w:i/>
                <w:sz w:val="19"/>
                <w:szCs w:val="19"/>
              </w:rPr>
              <w:t>Osborne Park Hospital Amendment By</w:t>
            </w:r>
            <w:r>
              <w:rPr>
                <w:i/>
                <w:sz w:val="19"/>
                <w:szCs w:val="19"/>
              </w:rPr>
              <w:noBreakHyphen/>
              <w:t>laws (No. 2) 2014</w:t>
            </w:r>
            <w:r>
              <w:rPr>
                <w:sz w:val="19"/>
                <w:szCs w:val="19"/>
              </w:rPr>
              <w:t xml:space="preserve"> </w:t>
            </w:r>
          </w:p>
        </w:tc>
        <w:tc>
          <w:tcPr>
            <w:tcW w:w="1276" w:type="dxa"/>
            <w:tcBorders>
              <w:top w:val="nil"/>
              <w:bottom w:val="single" w:sz="4" w:space="0" w:color="auto"/>
            </w:tcBorders>
          </w:tcPr>
          <w:p>
            <w:pPr>
              <w:pStyle w:val="nTable"/>
              <w:spacing w:after="40"/>
              <w:rPr>
                <w:sz w:val="19"/>
                <w:szCs w:val="19"/>
              </w:rPr>
            </w:pPr>
            <w:r>
              <w:rPr>
                <w:sz w:val="19"/>
                <w:szCs w:val="19"/>
              </w:rPr>
              <w:t>13 Jun 2014 p. 1875</w:t>
            </w:r>
            <w:r>
              <w:rPr>
                <w:sz w:val="19"/>
                <w:szCs w:val="19"/>
              </w:rPr>
              <w:noBreakHyphen/>
              <w:t>8</w:t>
            </w:r>
          </w:p>
        </w:tc>
        <w:tc>
          <w:tcPr>
            <w:tcW w:w="2693" w:type="dxa"/>
            <w:tcBorders>
              <w:top w:val="nil"/>
              <w:bottom w:val="single" w:sz="4" w:space="0" w:color="auto"/>
            </w:tcBorders>
          </w:tcPr>
          <w:p>
            <w:pPr>
              <w:pStyle w:val="nTable"/>
              <w:spacing w:after="40"/>
              <w:rPr>
                <w:sz w:val="19"/>
                <w:szCs w:val="19"/>
              </w:rPr>
            </w:pPr>
            <w:r>
              <w:rPr>
                <w:snapToGrid w:val="0"/>
                <w:spacing w:val="-2"/>
                <w:sz w:val="19"/>
                <w:szCs w:val="19"/>
              </w:rPr>
              <w:t>bl</w:t>
            </w:r>
            <w:r>
              <w:rPr>
                <w:rFonts w:ascii="Times" w:hAnsi="Times"/>
                <w:bCs/>
                <w:snapToGrid w:val="0"/>
                <w:spacing w:val="-2"/>
                <w:sz w:val="19"/>
                <w:szCs w:val="19"/>
              </w:rPr>
              <w:t>. 1 and 2: 13 Jun 2014 (see </w:t>
            </w:r>
            <w:r>
              <w:rPr>
                <w:snapToGrid w:val="0"/>
                <w:spacing w:val="-2"/>
                <w:sz w:val="19"/>
                <w:szCs w:val="19"/>
              </w:rPr>
              <w:t>bl</w:t>
            </w:r>
            <w:r>
              <w:rPr>
                <w:rFonts w:ascii="Times" w:hAnsi="Times"/>
                <w:bCs/>
                <w:snapToGrid w:val="0"/>
                <w:spacing w:val="-2"/>
                <w:sz w:val="19"/>
                <w:szCs w:val="19"/>
              </w:rPr>
              <w:t>. 2(a));</w:t>
            </w:r>
            <w:r>
              <w:rPr>
                <w:rFonts w:ascii="Times" w:hAnsi="Times"/>
                <w:bCs/>
                <w:snapToGrid w:val="0"/>
                <w:spacing w:val="-2"/>
                <w:sz w:val="19"/>
                <w:szCs w:val="19"/>
              </w:rPr>
              <w:br/>
              <w:t xml:space="preserve">By-laws other than </w:t>
            </w:r>
            <w:r>
              <w:rPr>
                <w:snapToGrid w:val="0"/>
                <w:spacing w:val="-2"/>
                <w:sz w:val="19"/>
                <w:szCs w:val="19"/>
              </w:rPr>
              <w:t>bl</w:t>
            </w:r>
            <w:r>
              <w:rPr>
                <w:rFonts w:ascii="Times" w:hAnsi="Times"/>
                <w:bCs/>
                <w:snapToGrid w:val="0"/>
                <w:spacing w:val="-2"/>
                <w:sz w:val="19"/>
                <w:szCs w:val="19"/>
              </w:rPr>
              <w:t xml:space="preserve">. 1 and 2: 1 Jul 2014 (see </w:t>
            </w:r>
            <w:r>
              <w:rPr>
                <w:snapToGrid w:val="0"/>
                <w:spacing w:val="-2"/>
                <w:sz w:val="19"/>
                <w:szCs w:val="19"/>
              </w:rPr>
              <w:t>bl</w:t>
            </w:r>
            <w:r>
              <w:rPr>
                <w:rFonts w:ascii="Times" w:hAnsi="Times"/>
                <w:bCs/>
                <w:snapToGrid w:val="0"/>
                <w:spacing w:val="-2"/>
                <w:sz w:val="19"/>
                <w:szCs w:val="19"/>
              </w:rPr>
              <w:t>. 2(b))</w:t>
            </w:r>
            <w:r>
              <w:rPr>
                <w:snapToGrid w:val="0"/>
                <w:spacing w:val="-2"/>
                <w:sz w:val="19"/>
                <w:szCs w:val="19"/>
              </w:rPr>
              <w:t xml:space="preserve"> </w:t>
            </w:r>
          </w:p>
        </w:tc>
      </w:tr>
    </w:tbl>
    <w:p>
      <w:pPr>
        <w:pStyle w:val="nSubsection"/>
        <w:spacing w:before="160"/>
      </w:pPr>
      <w:r>
        <w:rPr>
          <w:vertAlign w:val="superscript"/>
        </w:rPr>
        <w:t>2</w:t>
      </w:r>
      <w:r>
        <w:tab/>
        <w:t xml:space="preserve">Disallowed on 11 Sep 2012, see </w:t>
      </w:r>
      <w:r>
        <w:rPr>
          <w:i/>
        </w:rPr>
        <w:t>Gazette</w:t>
      </w:r>
      <w:r>
        <w:t xml:space="preserve"> 18 Sep 2012 p. 4411.</w:t>
      </w:r>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40" w:name="_Toc391648053"/>
      <w:r>
        <w:rPr>
          <w:sz w:val="28"/>
        </w:rPr>
        <w:t>Defined terms</w:t>
      </w:r>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 w:name="DefinedTerms"/>
      <w:bookmarkEnd w:id="41"/>
      <w:r>
        <w:t>alleged offender</w:t>
      </w:r>
      <w:r>
        <w:tab/>
        <w:t>17</w:t>
      </w:r>
    </w:p>
    <w:p>
      <w:pPr>
        <w:pStyle w:val="DefinedTerms"/>
      </w:pPr>
      <w:r>
        <w:t>authorised person</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4(1), 15(1), 16(1)</w:t>
      </w:r>
    </w:p>
    <w:p>
      <w:pPr>
        <w:pStyle w:val="DefinedTerms"/>
      </w:pPr>
      <w:r>
        <w:t>speed restriction sign</w:t>
      </w:r>
      <w:r>
        <w:tab/>
        <w:t>2(1)</w:t>
      </w:r>
    </w:p>
    <w:p>
      <w:pPr>
        <w:pStyle w:val="DefinedTerms"/>
      </w:pPr>
      <w:r>
        <w:t>vehicle</w:t>
      </w:r>
      <w:r>
        <w:tab/>
        <w:t>2(1)</w:t>
      </w: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84E48F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4"/>
  </w:num>
  <w:num w:numId="14">
    <w:abstractNumId w:val="15"/>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24122039"/>
    <w:docVar w:name="WAFER_20140115162059" w:val="RemoveTocBookmarks,RemoveUnusedBookmarks,RemoveLanguageTags,UsedStyles,ResetPageSize,UpdateArrangement"/>
    <w:docVar w:name="WAFER_20140115162059_GUID" w:val="82cbcca2-3753-492b-8b0f-58796cc99790"/>
    <w:docVar w:name="WAFER_20140115162442" w:val="RemoveTocBookmarks,RunningHeaders"/>
    <w:docVar w:name="WAFER_20140115162442_GUID" w:val="1fcc693e-3c24-43d9-9857-e8f59d38751a"/>
    <w:docVar w:name="WAFER_20140613141609" w:val="RemoveTocBookmarks,RunningHeaders"/>
    <w:docVar w:name="WAFER_20140613141609_GUID" w:val="18758341-103a-4bfc-9a78-e4689158d2ca"/>
    <w:docVar w:name="WAFER_20140624122039" w:val="RemoveTocBookmarks,RemoveUnusedBookmarks,RemoveLanguageTags,UsedStyles,ResetPageSize,UpdateArrangement"/>
    <w:docVar w:name="WAFER_20140624122039_GUID" w:val="9d432238-d963-468f-8e3d-0e71f3d10b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68122-02C5-42B1-AAF4-90813FDAB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4458</Words>
  <Characters>22290</Characters>
  <Application>Microsoft Office Word</Application>
  <DocSecurity>0</DocSecurity>
  <Lines>743</Lines>
  <Paragraphs>514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26234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2007 - 01-c0-00</dc:title>
  <dc:subject/>
  <dc:creator/>
  <cp:keywords/>
  <dc:description/>
  <cp:lastModifiedBy>svcMRProcess</cp:lastModifiedBy>
  <cp:revision>4</cp:revision>
  <cp:lastPrinted>2013-06-21T02:29:00Z</cp:lastPrinted>
  <dcterms:created xsi:type="dcterms:W3CDTF">2018-09-13T08:22:00Z</dcterms:created>
  <dcterms:modified xsi:type="dcterms:W3CDTF">2018-09-13T08:22:00Z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CommencementDate">
    <vt:lpwstr>20140701</vt:lpwstr>
  </property>
  <property fmtid="{D5CDD505-2E9C-101B-9397-08002B2CF9AE}" pid="4" name="OwlsUID">
    <vt:i4>38833</vt:i4>
  </property>
  <property fmtid="{D5CDD505-2E9C-101B-9397-08002B2CF9AE}" pid="5" name="AsAtDate">
    <vt:lpwstr>01 Jul 2014</vt:lpwstr>
  </property>
  <property fmtid="{D5CDD505-2E9C-101B-9397-08002B2CF9AE}" pid="6" name="Suffix">
    <vt:lpwstr>01-c0-00</vt:lpwstr>
  </property>
  <property fmtid="{D5CDD505-2E9C-101B-9397-08002B2CF9AE}" pid="7" name="ReprintNo">
    <vt:lpwstr>1</vt:lpwstr>
  </property>
  <property fmtid="{D5CDD505-2E9C-101B-9397-08002B2CF9AE}" pid="8" name="ReprintedAsAt">
    <vt:filetime>2013-06-06T16:00:00Z</vt:filetime>
  </property>
  <property fmtid="{D5CDD505-2E9C-101B-9397-08002B2CF9AE}" pid="9" name="DocumentType">
    <vt:lpwstr>Reg</vt:lpwstr>
  </property>
</Properties>
</file>