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0.xml" ContentType="application/vnd.openxmlformats-officedocument.wordprocessingml.header+xml"/>
  <Override PartName="/word/footer12.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Act 1999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_Toc524061269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_Toc524061270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_Toc524061271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Port authorities: establishment and administration</w:t>
      </w:r>
    </w:p>
    <w:p>
      <w:pPr>
        <w:pStyle w:val="TOC4"/>
        <w:tabs>
          <w:tab w:val="right" w:leader="dot" w:pos="7086"/>
        </w:tabs>
        <w:rPr>
          <w:rFonts w:asciiTheme="minorHAnsi" w:eastAsiaTheme="minorEastAsia" w:hAnsiTheme="minorHAnsi" w:cstheme="minorBidi"/>
          <w:b w:val="0"/>
          <w:szCs w:val="22"/>
        </w:rPr>
      </w:pPr>
      <w:r>
        <w:t>Division 1 — Establishment of port authorities</w:t>
      </w:r>
    </w:p>
    <w:p>
      <w:pPr>
        <w:pStyle w:val="TOC8"/>
        <w:rPr>
          <w:rFonts w:asciiTheme="minorHAnsi" w:eastAsiaTheme="minorEastAsia" w:hAnsiTheme="minorHAnsi" w:cstheme="minorBidi"/>
          <w:szCs w:val="22"/>
        </w:rPr>
      </w:pPr>
      <w:r>
        <w:t>4</w:t>
      </w:r>
      <w:r>
        <w:rPr>
          <w:snapToGrid w:val="0"/>
        </w:rPr>
        <w:t>.</w:t>
      </w:r>
      <w:r>
        <w:rPr>
          <w:snapToGrid w:val="0"/>
        </w:rPr>
        <w:tab/>
        <w:t>Port authorities, establishment, nature and trading names of</w:t>
      </w:r>
      <w:r>
        <w:tab/>
      </w:r>
      <w:r>
        <w:fldChar w:fldCharType="begin"/>
      </w:r>
      <w:r>
        <w:instrText xml:space="preserve"> PAGEREF _Toc524061274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Port authorities not to be regarded as agents of Crown for purposes of State laws</w:t>
      </w:r>
      <w:r>
        <w:tab/>
      </w:r>
      <w:r>
        <w:fldChar w:fldCharType="begin"/>
      </w:r>
      <w:r>
        <w:instrText xml:space="preserve"> PAGEREF _Toc524061275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Port authorities and officers not part of public sector</w:t>
      </w:r>
      <w:r>
        <w:tab/>
      </w:r>
      <w:r>
        <w:fldChar w:fldCharType="begin"/>
      </w:r>
      <w:r>
        <w:instrText xml:space="preserve"> PAGEREF _Toc524061276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7</w:t>
      </w:r>
      <w:r>
        <w:rPr>
          <w:snapToGrid w:val="0"/>
        </w:rPr>
        <w:t>.</w:t>
      </w:r>
      <w:r>
        <w:rPr>
          <w:snapToGrid w:val="0"/>
        </w:rPr>
        <w:tab/>
        <w:t>Port authorities to have board of directors</w:t>
      </w:r>
      <w:r>
        <w:tab/>
      </w:r>
      <w:r>
        <w:fldChar w:fldCharType="begin"/>
      </w:r>
      <w:r>
        <w:instrText xml:space="preserve"> PAGEREF _Toc524061278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Boards, role of</w:t>
      </w:r>
      <w:r>
        <w:tab/>
      </w:r>
      <w:r>
        <w:fldChar w:fldCharType="begin"/>
      </w:r>
      <w:r>
        <w:instrText xml:space="preserve"> PAGEREF _Toc524061279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Boards, constitution and proceedings of (Sch. 2)</w:t>
      </w:r>
      <w:r>
        <w:tab/>
      </w:r>
      <w:r>
        <w:fldChar w:fldCharType="begin"/>
      </w:r>
      <w:r>
        <w:instrText xml:space="preserve"> PAGEREF _Toc524061280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Directors, remuneration of</w:t>
      </w:r>
      <w:r>
        <w:tab/>
      </w:r>
      <w:r>
        <w:fldChar w:fldCharType="begin"/>
      </w:r>
      <w:r>
        <w:instrText xml:space="preserve"> PAGEREF _Toc524061281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Conflict of duties</w:t>
      </w:r>
      <w:r>
        <w:tab/>
      </w:r>
      <w:r>
        <w:fldChar w:fldCharType="begin"/>
      </w:r>
      <w:r>
        <w:instrText xml:space="preserve"> PAGEREF _Toc524061282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Notifiable interests, disclosing</w:t>
      </w:r>
      <w:r>
        <w:tab/>
      </w:r>
      <w:r>
        <w:fldChar w:fldCharType="begin"/>
      </w:r>
      <w:r>
        <w:instrText xml:space="preserve"> PAGEREF _Toc524061283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_Toc524061284 \h </w:instrText>
      </w:r>
      <w:r>
        <w:fldChar w:fldCharType="separate"/>
      </w:r>
      <w:r>
        <w:t>11</w:t>
      </w:r>
      <w:r>
        <w:fldChar w:fldCharType="end"/>
      </w:r>
    </w:p>
    <w:p>
      <w:pPr>
        <w:pStyle w:val="TOC8"/>
        <w:rPr>
          <w:rFonts w:asciiTheme="minorHAnsi" w:eastAsiaTheme="minorEastAsia" w:hAnsiTheme="minorHAnsi" w:cstheme="minorBidi"/>
          <w:szCs w:val="22"/>
        </w:rPr>
      </w:pPr>
      <w:r>
        <w:t>14A.</w:t>
      </w:r>
      <w:r>
        <w:tab/>
        <w:t>Community consultation committees</w:t>
      </w:r>
      <w:r>
        <w:tab/>
      </w:r>
      <w:r>
        <w:fldChar w:fldCharType="begin"/>
      </w:r>
      <w:r>
        <w:instrText xml:space="preserve"> PAGEREF _Toc524061285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Staff</w:t>
      </w:r>
    </w:p>
    <w:p>
      <w:pPr>
        <w:pStyle w:val="TOC8"/>
        <w:rPr>
          <w:rFonts w:asciiTheme="minorHAnsi" w:eastAsiaTheme="minorEastAsia" w:hAnsiTheme="minorHAnsi" w:cstheme="minorBidi"/>
          <w:szCs w:val="22"/>
        </w:rPr>
      </w:pPr>
      <w:r>
        <w:t>14</w:t>
      </w:r>
      <w:r>
        <w:rPr>
          <w:snapToGrid w:val="0"/>
        </w:rPr>
        <w:t>.</w:t>
      </w:r>
      <w:r>
        <w:rPr>
          <w:snapToGrid w:val="0"/>
        </w:rPr>
        <w:tab/>
        <w:t>Chief executive officer</w:t>
      </w:r>
      <w:r>
        <w:tab/>
      </w:r>
      <w:r>
        <w:fldChar w:fldCharType="begin"/>
      </w:r>
      <w:r>
        <w:instrText xml:space="preserve"> PAGEREF _Toc524061287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CEO’s functions</w:t>
      </w:r>
      <w:r>
        <w:tab/>
      </w:r>
      <w:r>
        <w:fldChar w:fldCharType="begin"/>
      </w:r>
      <w:r>
        <w:instrText xml:space="preserve"> PAGEREF _Toc524061288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Staff</w:t>
      </w:r>
      <w:r>
        <w:tab/>
      </w:r>
      <w:r>
        <w:fldChar w:fldCharType="begin"/>
      </w:r>
      <w:r>
        <w:instrText xml:space="preserve"> PAGEREF _Toc524061289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Minimum standards for staff management</w:t>
      </w:r>
      <w:r>
        <w:tab/>
      </w:r>
      <w:r>
        <w:fldChar w:fldCharType="begin"/>
      </w:r>
      <w:r>
        <w:instrText xml:space="preserve"> PAGEREF _Toc524061290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Reports to Public Sector Commissioner as to s. 17 standards</w:t>
      </w:r>
      <w:r>
        <w:tab/>
      </w:r>
      <w:r>
        <w:fldChar w:fldCharType="begin"/>
      </w:r>
      <w:r>
        <w:instrText xml:space="preserve"> PAGEREF _Toc524061291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Superannuation</w:t>
      </w:r>
      <w:r>
        <w:tab/>
      </w:r>
      <w:r>
        <w:fldChar w:fldCharType="begin"/>
      </w:r>
      <w:r>
        <w:instrText xml:space="preserve"> PAGEREF _Toc524061292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Conduct and integrity of staff</w:t>
      </w:r>
    </w:p>
    <w:p>
      <w:pPr>
        <w:pStyle w:val="TOC8"/>
        <w:rPr>
          <w:rFonts w:asciiTheme="minorHAnsi" w:eastAsiaTheme="minorEastAsia" w:hAnsiTheme="minorHAnsi" w:cstheme="minorBidi"/>
          <w:szCs w:val="22"/>
        </w:rPr>
      </w:pPr>
      <w:r>
        <w:t>20</w:t>
      </w:r>
      <w:r>
        <w:rPr>
          <w:snapToGrid w:val="0"/>
        </w:rPr>
        <w:t>.</w:t>
      </w:r>
      <w:r>
        <w:rPr>
          <w:snapToGrid w:val="0"/>
        </w:rPr>
        <w:tab/>
        <w:t>CEO and staff, duties of (Sch. 3) etc.</w:t>
      </w:r>
      <w:r>
        <w:tab/>
      </w:r>
      <w:r>
        <w:fldChar w:fldCharType="begin"/>
      </w:r>
      <w:r>
        <w:instrText xml:space="preserve"> PAGEREF _Toc524061294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Codes of conduct</w:t>
      </w:r>
      <w:r>
        <w:tab/>
      </w:r>
      <w:r>
        <w:fldChar w:fldCharType="begin"/>
      </w:r>
      <w:r>
        <w:instrText xml:space="preserve"> PAGEREF _Toc524061295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 as to s. 21 codes</w:t>
      </w:r>
      <w:r>
        <w:tab/>
      </w:r>
      <w:r>
        <w:fldChar w:fldCharType="begin"/>
      </w:r>
      <w:r>
        <w:instrText xml:space="preserve"> PAGEREF _Toc524061296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Reports to Minister as to s. 21 codes</w:t>
      </w:r>
      <w:r>
        <w:tab/>
      </w:r>
      <w:r>
        <w:fldChar w:fldCharType="begin"/>
      </w:r>
      <w:r>
        <w:instrText xml:space="preserve"> PAGEREF _Toc524061297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3 — Port areas and property of port authorities</w:t>
      </w:r>
    </w:p>
    <w:p>
      <w:pPr>
        <w:pStyle w:val="TOC8"/>
        <w:rPr>
          <w:rFonts w:asciiTheme="minorHAnsi" w:eastAsiaTheme="minorEastAsia" w:hAnsiTheme="minorHAnsi" w:cstheme="minorBidi"/>
          <w:szCs w:val="22"/>
        </w:rPr>
      </w:pPr>
      <w:r>
        <w:t>24</w:t>
      </w:r>
      <w:r>
        <w:rPr>
          <w:snapToGrid w:val="0"/>
        </w:rPr>
        <w:t>.</w:t>
      </w:r>
      <w:r>
        <w:rPr>
          <w:snapToGrid w:val="0"/>
        </w:rPr>
        <w:tab/>
        <w:t>Port areas defined</w:t>
      </w:r>
      <w:r>
        <w:tab/>
      </w:r>
      <w:r>
        <w:fldChar w:fldCharType="begin"/>
      </w:r>
      <w:r>
        <w:instrText xml:space="preserve"> PAGEREF _Toc524061299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Port authority, property vested in</w:t>
      </w:r>
      <w:r>
        <w:tab/>
      </w:r>
      <w:r>
        <w:fldChar w:fldCharType="begin"/>
      </w:r>
      <w:r>
        <w:instrText xml:space="preserve"> PAGEREF _Toc524061300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Port property may be taken back by Crown</w:t>
      </w:r>
      <w:r>
        <w:tab/>
      </w:r>
      <w:r>
        <w:fldChar w:fldCharType="begin"/>
      </w:r>
      <w:r>
        <w:instrText xml:space="preserve"> PAGEREF _Toc524061301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sell land, restrictions on</w:t>
      </w:r>
      <w:r>
        <w:tab/>
      </w:r>
      <w:r>
        <w:fldChar w:fldCharType="begin"/>
      </w:r>
      <w:r>
        <w:instrText xml:space="preserve"> PAGEREF _Toc524061302 \h </w:instrText>
      </w:r>
      <w:r>
        <w:fldChar w:fldCharType="separate"/>
      </w:r>
      <w:r>
        <w:t>20</w:t>
      </w:r>
      <w:r>
        <w:fldChar w:fldCharType="end"/>
      </w:r>
    </w:p>
    <w:p>
      <w:pPr>
        <w:pStyle w:val="TOC8"/>
        <w:rPr>
          <w:rFonts w:asciiTheme="minorHAnsi" w:eastAsiaTheme="minorEastAsia" w:hAnsiTheme="minorHAnsi" w:cstheme="minorBidi"/>
          <w:szCs w:val="22"/>
        </w:rPr>
      </w:pPr>
      <w:r>
        <w:t>27A.</w:t>
      </w:r>
      <w:r>
        <w:tab/>
        <w:t>Land, creating interests in</w:t>
      </w:r>
      <w:r>
        <w:tab/>
      </w:r>
      <w:r>
        <w:fldChar w:fldCharType="begin"/>
      </w:r>
      <w:r>
        <w:instrText xml:space="preserve"> PAGEREF _Toc524061303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Vested land, creating and dealing with interests in</w:t>
      </w:r>
      <w:r>
        <w:tab/>
      </w:r>
      <w:r>
        <w:fldChar w:fldCharType="begin"/>
      </w:r>
      <w:r>
        <w:instrText xml:space="preserve"> PAGEREF _Toc524061304 \h </w:instrText>
      </w:r>
      <w:r>
        <w:fldChar w:fldCharType="separate"/>
      </w:r>
      <w:r>
        <w:t>21</w:t>
      </w:r>
      <w:r>
        <w:fldChar w:fldCharType="end"/>
      </w:r>
    </w:p>
    <w:p>
      <w:pPr>
        <w:pStyle w:val="TOC8"/>
        <w:rPr>
          <w:rFonts w:asciiTheme="minorHAnsi" w:eastAsiaTheme="minorEastAsia" w:hAnsiTheme="minorHAnsi" w:cstheme="minorBidi"/>
          <w:szCs w:val="22"/>
        </w:rPr>
      </w:pPr>
      <w:r>
        <w:t>29A.</w:t>
      </w:r>
      <w:r>
        <w:tab/>
        <w:t xml:space="preserve">Operation of </w:t>
      </w:r>
      <w:r>
        <w:rPr>
          <w:i/>
        </w:rPr>
        <w:t>Planning and Development Act 2005</w:t>
      </w:r>
      <w:r>
        <w:t xml:space="preserve"> section 136 modified</w:t>
      </w:r>
      <w:r>
        <w:tab/>
      </w:r>
      <w:r>
        <w:fldChar w:fldCharType="begin"/>
      </w:r>
      <w:r>
        <w:instrText xml:space="preserve"> PAGEREF _Toc524061305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Disputes between port authority and Crown</w:t>
      </w:r>
      <w:r>
        <w:tab/>
      </w:r>
      <w:r>
        <w:fldChar w:fldCharType="begin"/>
      </w:r>
      <w:r>
        <w:instrText xml:space="preserve"> PAGEREF _Toc524061306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4 — Functions and powers</w:t>
      </w:r>
    </w:p>
    <w:p>
      <w:pPr>
        <w:pStyle w:val="TOC4"/>
        <w:tabs>
          <w:tab w:val="right" w:leader="dot" w:pos="7086"/>
        </w:tabs>
        <w:rPr>
          <w:rFonts w:asciiTheme="minorHAnsi" w:eastAsiaTheme="minorEastAsia" w:hAnsiTheme="minorHAnsi" w:cstheme="minorBidi"/>
          <w:b w:val="0"/>
          <w:szCs w:val="22"/>
        </w:rPr>
      </w:pPr>
      <w:r>
        <w:t>Division 1 — Functions, powers and related provisions</w:t>
      </w:r>
    </w:p>
    <w:p>
      <w:pPr>
        <w:pStyle w:val="TOC8"/>
        <w:rPr>
          <w:rFonts w:asciiTheme="minorHAnsi" w:eastAsiaTheme="minorEastAsia" w:hAnsiTheme="minorHAnsi" w:cstheme="minorBidi"/>
          <w:szCs w:val="22"/>
        </w:rPr>
      </w:pPr>
      <w:r>
        <w:t>30</w:t>
      </w:r>
      <w:r>
        <w:rPr>
          <w:snapToGrid w:val="0"/>
        </w:rPr>
        <w:t>.</w:t>
      </w:r>
      <w:r>
        <w:rPr>
          <w:snapToGrid w:val="0"/>
        </w:rPr>
        <w:tab/>
        <w:t>Functions</w:t>
      </w:r>
      <w:r>
        <w:tab/>
      </w:r>
      <w:r>
        <w:fldChar w:fldCharType="begin"/>
      </w:r>
      <w:r>
        <w:instrText xml:space="preserve"> PAGEREF _Toc524061309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Port authorities can act at their discretion</w:t>
      </w:r>
      <w:r>
        <w:tab/>
      </w:r>
      <w:r>
        <w:fldChar w:fldCharType="begin"/>
      </w:r>
      <w:r>
        <w:instrText xml:space="preserve"> PAGEREF _Toc524061310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port, port authority has</w:t>
      </w:r>
      <w:r>
        <w:tab/>
      </w:r>
      <w:r>
        <w:fldChar w:fldCharType="begin"/>
      </w:r>
      <w:r>
        <w:instrText xml:space="preserve"> PAGEREF _Toc524061311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act in accordance with policy instruments</w:t>
      </w:r>
      <w:r>
        <w:tab/>
      </w:r>
      <w:r>
        <w:fldChar w:fldCharType="begin"/>
      </w:r>
      <w:r>
        <w:instrText xml:space="preserve"> PAGEREF _Toc524061312 \h </w:instrText>
      </w:r>
      <w:r>
        <w:fldChar w:fldCharType="separate"/>
      </w:r>
      <w:r>
        <w:t>23</w:t>
      </w:r>
      <w:r>
        <w:fldChar w:fldCharType="end"/>
      </w:r>
    </w:p>
    <w:p>
      <w:pPr>
        <w:pStyle w:val="TOC8"/>
        <w:rPr>
          <w:rFonts w:asciiTheme="minorHAnsi" w:eastAsiaTheme="minorEastAsia" w:hAnsiTheme="minorHAnsi" w:cstheme="minorBidi"/>
          <w:szCs w:val="22"/>
        </w:rPr>
      </w:pPr>
      <w:r>
        <w:t>34A.</w:t>
      </w:r>
      <w:r>
        <w:tab/>
        <w:t>Duty to comply with State budgetary requirements</w:t>
      </w:r>
      <w:r>
        <w:tab/>
      </w:r>
      <w:r>
        <w:fldChar w:fldCharType="begin"/>
      </w:r>
      <w:r>
        <w:instrText xml:space="preserve"> PAGEREF _Toc524061313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Duty to act on commercial principles</w:t>
      </w:r>
      <w:r>
        <w:tab/>
      </w:r>
      <w:r>
        <w:fldChar w:fldCharType="begin"/>
      </w:r>
      <w:r>
        <w:instrText xml:space="preserve"> PAGEREF _Toc524061314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generally</w:t>
      </w:r>
      <w:r>
        <w:tab/>
      </w:r>
      <w:r>
        <w:fldChar w:fldCharType="begin"/>
      </w:r>
      <w:r>
        <w:instrText xml:space="preserve"> PAGEREF _Toc524061315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Port facilities and services, extended powers as to</w:t>
      </w:r>
      <w:r>
        <w:tab/>
      </w:r>
      <w:r>
        <w:fldChar w:fldCharType="begin"/>
      </w:r>
      <w:r>
        <w:instrText xml:space="preserve"> PAGEREF _Toc524061316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Fees and charges, power to levy</w:t>
      </w:r>
      <w:r>
        <w:tab/>
      </w:r>
      <w:r>
        <w:fldChar w:fldCharType="begin"/>
      </w:r>
      <w:r>
        <w:instrText xml:space="preserve"> PAGEREF _Toc524061317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Planning laws, application of to port authorities</w:t>
      </w:r>
      <w:r>
        <w:tab/>
      </w:r>
      <w:r>
        <w:fldChar w:fldCharType="begin"/>
      </w:r>
      <w:r>
        <w:instrText xml:space="preserve"> PAGEREF _Toc524061318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Subsidiaries of port authorities, acquisition of etc.</w:t>
      </w:r>
      <w:r>
        <w:tab/>
      </w:r>
      <w:r>
        <w:fldChar w:fldCharType="begin"/>
      </w:r>
      <w:r>
        <w:instrText xml:space="preserve"> PAGEREF _Toc524061319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Ministerial approval, transactions requiring</w:t>
      </w:r>
      <w:r>
        <w:tab/>
      </w:r>
      <w:r>
        <w:fldChar w:fldCharType="begin"/>
      </w:r>
      <w:r>
        <w:instrText xml:space="preserve"> PAGEREF _Toc524061320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Exemptions from s. 40</w:t>
      </w:r>
      <w:r>
        <w:tab/>
      </w:r>
      <w:r>
        <w:fldChar w:fldCharType="begin"/>
      </w:r>
      <w:r>
        <w:instrText xml:space="preserve"> PAGEREF _Toc524061321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Term used: transaction</w:t>
      </w:r>
      <w:r>
        <w:tab/>
      </w:r>
      <w:r>
        <w:fldChar w:fldCharType="begin"/>
      </w:r>
      <w:r>
        <w:instrText xml:space="preserve"> PAGEREF _Toc524061322 \h </w:instrText>
      </w:r>
      <w:r>
        <w:fldChar w:fldCharType="separate"/>
      </w:r>
      <w:r>
        <w:t>31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Major initiatives etc., Minister to be consulted on</w:t>
      </w:r>
      <w:r>
        <w:tab/>
      </w:r>
      <w:r>
        <w:fldChar w:fldCharType="begin"/>
      </w:r>
      <w:r>
        <w:instrText xml:space="preserve"> PAGEREF _Toc524061323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Delegation by port authority</w:t>
      </w:r>
      <w:r>
        <w:tab/>
      </w:r>
      <w:r>
        <w:fldChar w:fldCharType="begin"/>
      </w:r>
      <w:r>
        <w:instrText xml:space="preserve"> PAGEREF _Toc524061324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Protection of people dealing with port authorities</w:t>
      </w:r>
    </w:p>
    <w:p>
      <w:pPr>
        <w:pStyle w:val="TOC8"/>
        <w:rPr>
          <w:rFonts w:asciiTheme="minorHAnsi" w:eastAsiaTheme="minorEastAsia" w:hAnsiTheme="minorHAnsi" w:cstheme="minorBidi"/>
          <w:szCs w:val="22"/>
        </w:rPr>
      </w:pPr>
      <w:r>
        <w:t>45</w:t>
      </w:r>
      <w:r>
        <w:rPr>
          <w:snapToGrid w:val="0"/>
        </w:rPr>
        <w:t>.</w:t>
      </w:r>
      <w:r>
        <w:rPr>
          <w:snapToGrid w:val="0"/>
        </w:rPr>
        <w:tab/>
        <w:t>People dealing with port authorities may make assumptions</w:t>
      </w:r>
      <w:r>
        <w:tab/>
      </w:r>
      <w:r>
        <w:fldChar w:fldCharType="begin"/>
      </w:r>
      <w:r>
        <w:instrText xml:space="preserve"> PAGEREF _Toc524061326 \h </w:instrText>
      </w:r>
      <w:r>
        <w:fldChar w:fldCharType="separate"/>
      </w:r>
      <w:r>
        <w:t>33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Third parties may make assumptions</w:t>
      </w:r>
      <w:r>
        <w:tab/>
      </w:r>
      <w:r>
        <w:fldChar w:fldCharType="begin"/>
      </w:r>
      <w:r>
        <w:instrText xml:space="preserve"> PAGEREF _Toc524061327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Assumptions that may be made under s. 45 and 46</w:t>
      </w:r>
      <w:r>
        <w:tab/>
      </w:r>
      <w:r>
        <w:fldChar w:fldCharType="begin"/>
      </w:r>
      <w:r>
        <w:instrText xml:space="preserve"> PAGEREF _Toc524061328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Exception to s. 45 and 46</w:t>
      </w:r>
      <w:r>
        <w:tab/>
      </w:r>
      <w:r>
        <w:fldChar w:fldCharType="begin"/>
      </w:r>
      <w:r>
        <w:instrText xml:space="preserve"> PAGEREF _Toc524061329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Provisions about accountability</w:t>
      </w:r>
    </w:p>
    <w:p>
      <w:pPr>
        <w:pStyle w:val="TOC4"/>
        <w:tabs>
          <w:tab w:val="right" w:leader="dot" w:pos="7086"/>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49</w:t>
      </w:r>
      <w:r>
        <w:rPr>
          <w:snapToGrid w:val="0"/>
        </w:rPr>
        <w:t>.</w:t>
      </w:r>
      <w:r>
        <w:rPr>
          <w:snapToGrid w:val="0"/>
        </w:rPr>
        <w:tab/>
        <w:t>Draft strategic development plan to be submitted to Minister</w:t>
      </w:r>
      <w:r>
        <w:tab/>
      </w:r>
      <w:r>
        <w:fldChar w:fldCharType="begin"/>
      </w:r>
      <w:r>
        <w:instrText xml:space="preserve"> PAGEREF _Toc524061332 \h </w:instrText>
      </w:r>
      <w:r>
        <w:fldChar w:fldCharType="separate"/>
      </w:r>
      <w:r>
        <w:t>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Period to which strategic development plan relates</w:t>
      </w:r>
      <w:r>
        <w:tab/>
      </w:r>
      <w:r>
        <w:fldChar w:fldCharType="begin"/>
      </w:r>
      <w:r>
        <w:instrText xml:space="preserve"> PAGEREF _Toc524061333 \h </w:instrText>
      </w:r>
      <w:r>
        <w:fldChar w:fldCharType="separate"/>
      </w:r>
      <w:r>
        <w:t>36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Matters to be included in strategic development plan</w:t>
      </w:r>
      <w:r>
        <w:tab/>
      </w:r>
      <w:r>
        <w:fldChar w:fldCharType="begin"/>
      </w:r>
      <w:r>
        <w:instrText xml:space="preserve"> PAGEREF _Toc524061334 \h </w:instrText>
      </w:r>
      <w:r>
        <w:fldChar w:fldCharType="separate"/>
      </w:r>
      <w:r>
        <w:t>36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Strategic development plan to be agreed if possible</w:t>
      </w:r>
      <w:r>
        <w:tab/>
      </w:r>
      <w:r>
        <w:fldChar w:fldCharType="begin"/>
      </w:r>
      <w:r>
        <w:instrText xml:space="preserve"> PAGEREF _Toc524061335 \h </w:instrText>
      </w:r>
      <w:r>
        <w:fldChar w:fldCharType="separate"/>
      </w:r>
      <w:r>
        <w:t>37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Minister’s powers in relation to draft strategic development plan</w:t>
      </w:r>
      <w:r>
        <w:tab/>
      </w:r>
      <w:r>
        <w:fldChar w:fldCharType="begin"/>
      </w:r>
      <w:r>
        <w:instrText xml:space="preserve"> PAGEREF _Toc524061336 \h </w:instrText>
      </w:r>
      <w:r>
        <w:fldChar w:fldCharType="separate"/>
      </w:r>
      <w:r>
        <w:t>37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Strategic development plan pending agreement</w:t>
      </w:r>
      <w:r>
        <w:tab/>
      </w:r>
      <w:r>
        <w:fldChar w:fldCharType="begin"/>
      </w:r>
      <w:r>
        <w:instrText xml:space="preserve"> PAGEREF _Toc524061337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Agreed draft becomes strategic development plan</w:t>
      </w:r>
      <w:r>
        <w:tab/>
      </w:r>
      <w:r>
        <w:fldChar w:fldCharType="begin"/>
      </w:r>
      <w:r>
        <w:instrText xml:space="preserve"> PAGEREF _Toc524061338 \h </w:instrText>
      </w:r>
      <w:r>
        <w:fldChar w:fldCharType="separate"/>
      </w:r>
      <w:r>
        <w:t>38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Modifying strategic development plan</w:t>
      </w:r>
      <w:r>
        <w:tab/>
      </w:r>
      <w:r>
        <w:fldChar w:fldCharType="begin"/>
      </w:r>
      <w:r>
        <w:instrText xml:space="preserve"> PAGEREF _Toc524061339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Treasurer’s concurrence needed by Minister for s. 55 or 56</w:t>
      </w:r>
      <w:r>
        <w:tab/>
      </w:r>
      <w:r>
        <w:fldChar w:fldCharType="begin"/>
      </w:r>
      <w:r>
        <w:instrText xml:space="preserve"> PAGEREF _Toc524061340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58</w:t>
      </w:r>
      <w:r>
        <w:rPr>
          <w:snapToGrid w:val="0"/>
        </w:rPr>
        <w:t>.</w:t>
      </w:r>
      <w:r>
        <w:rPr>
          <w:snapToGrid w:val="0"/>
        </w:rPr>
        <w:tab/>
        <w:t>Draft statement of corporate intent to be submitted to Minister</w:t>
      </w:r>
      <w:r>
        <w:tab/>
      </w:r>
      <w:r>
        <w:fldChar w:fldCharType="begin"/>
      </w:r>
      <w:r>
        <w:instrText xml:space="preserve"> PAGEREF _Toc524061342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Period to which statement of corporate intent relates</w:t>
      </w:r>
      <w:r>
        <w:tab/>
      </w:r>
      <w:r>
        <w:fldChar w:fldCharType="begin"/>
      </w:r>
      <w:r>
        <w:instrText xml:space="preserve"> PAGEREF _Toc524061343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Matters to be included in statement of corporate intent</w:t>
      </w:r>
      <w:r>
        <w:tab/>
      </w:r>
      <w:r>
        <w:fldChar w:fldCharType="begin"/>
      </w:r>
      <w:r>
        <w:instrText xml:space="preserve"> PAGEREF _Toc524061344 \h </w:instrText>
      </w:r>
      <w:r>
        <w:fldChar w:fldCharType="separate"/>
      </w:r>
      <w:r>
        <w:t>40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Statement of corporate intent to be agreed if possible</w:t>
      </w:r>
      <w:r>
        <w:tab/>
      </w:r>
      <w:r>
        <w:fldChar w:fldCharType="begin"/>
      </w:r>
      <w:r>
        <w:instrText xml:space="preserve"> PAGEREF _Toc524061345 \h </w:instrText>
      </w:r>
      <w:r>
        <w:fldChar w:fldCharType="separate"/>
      </w:r>
      <w:r>
        <w:t>42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Minister’s powers in relation to draft statement of corporate intent</w:t>
      </w:r>
      <w:r>
        <w:tab/>
      </w:r>
      <w:r>
        <w:fldChar w:fldCharType="begin"/>
      </w:r>
      <w:r>
        <w:instrText xml:space="preserve"> PAGEREF _Toc524061346 \h </w:instrText>
      </w:r>
      <w:r>
        <w:fldChar w:fldCharType="separate"/>
      </w:r>
      <w:r>
        <w:t>42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Statement of corporate intent pending agreement</w:t>
      </w:r>
      <w:r>
        <w:tab/>
      </w:r>
      <w:r>
        <w:fldChar w:fldCharType="begin"/>
      </w:r>
      <w:r>
        <w:instrText xml:space="preserve"> PAGEREF _Toc524061347 \h </w:instrText>
      </w:r>
      <w:r>
        <w:fldChar w:fldCharType="separate"/>
      </w:r>
      <w:r>
        <w:t>43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Agreed draft becomes statement of corporate intent</w:t>
      </w:r>
      <w:r>
        <w:tab/>
      </w:r>
      <w:r>
        <w:fldChar w:fldCharType="begin"/>
      </w:r>
      <w:r>
        <w:instrText xml:space="preserve"> PAGEREF _Toc524061348 \h </w:instrText>
      </w:r>
      <w:r>
        <w:fldChar w:fldCharType="separate"/>
      </w:r>
      <w:r>
        <w:t>43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Modifying statement of corporate intent</w:t>
      </w:r>
      <w:r>
        <w:tab/>
      </w:r>
      <w:r>
        <w:fldChar w:fldCharType="begin"/>
      </w:r>
      <w:r>
        <w:instrText xml:space="preserve"> PAGEREF _Toc524061349 \h </w:instrText>
      </w:r>
      <w:r>
        <w:fldChar w:fldCharType="separate"/>
      </w:r>
      <w:r>
        <w:t>44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Treasurer’s concurrence needed by Minister for s. 64 and 65</w:t>
      </w:r>
      <w:r>
        <w:tab/>
      </w:r>
      <w:r>
        <w:fldChar w:fldCharType="begin"/>
      </w:r>
      <w:r>
        <w:instrText xml:space="preserve"> PAGEREF _Toc524061350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3 — Reporting requirements</w:t>
      </w:r>
    </w:p>
    <w:p>
      <w:pPr>
        <w:pStyle w:val="TOC8"/>
        <w:rPr>
          <w:rFonts w:asciiTheme="minorHAnsi" w:eastAsiaTheme="minorEastAsia" w:hAnsiTheme="minorHAnsi" w:cstheme="minorBidi"/>
          <w:szCs w:val="22"/>
        </w:rPr>
      </w:pPr>
      <w:r>
        <w:t>67</w:t>
      </w:r>
      <w:r>
        <w:rPr>
          <w:snapToGrid w:val="0"/>
        </w:rPr>
        <w:t>.</w:t>
      </w:r>
      <w:r>
        <w:rPr>
          <w:snapToGrid w:val="0"/>
        </w:rPr>
        <w:tab/>
        <w:t>Half</w:t>
      </w:r>
      <w:r>
        <w:rPr>
          <w:snapToGrid w:val="0"/>
        </w:rPr>
        <w:noBreakHyphen/>
        <w:t>yearly reports</w:t>
      </w:r>
      <w:r>
        <w:tab/>
      </w:r>
      <w:r>
        <w:fldChar w:fldCharType="begin"/>
      </w:r>
      <w:r>
        <w:instrText xml:space="preserve"> PAGEREF _Toc524061352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Annual reports</w:t>
      </w:r>
      <w:r>
        <w:tab/>
      </w:r>
      <w:r>
        <w:fldChar w:fldCharType="begin"/>
      </w:r>
      <w:r>
        <w:instrText xml:space="preserve"> PAGEREF _Toc524061353 \h </w:instrText>
      </w:r>
      <w:r>
        <w:fldChar w:fldCharType="separate"/>
      </w:r>
      <w:r>
        <w:t>45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Annual reports, contents of</w:t>
      </w:r>
      <w:r>
        <w:tab/>
      </w:r>
      <w:r>
        <w:fldChar w:fldCharType="begin"/>
      </w:r>
      <w:r>
        <w:instrText xml:space="preserve"> PAGEREF _Toc524061354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Commercially sensitive matters, deletion of from reports</w:t>
      </w:r>
      <w:r>
        <w:tab/>
      </w:r>
      <w:r>
        <w:fldChar w:fldCharType="begin"/>
      </w:r>
      <w:r>
        <w:instrText xml:space="preserve"> PAGEREF _Toc524061355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Ministerial directions, general provisions</w:t>
      </w:r>
    </w:p>
    <w:p>
      <w:pPr>
        <w:pStyle w:val="TOC8"/>
        <w:rPr>
          <w:rFonts w:asciiTheme="minorHAnsi" w:eastAsiaTheme="minorEastAsia" w:hAnsiTheme="minorHAnsi" w:cstheme="minorBidi"/>
          <w:szCs w:val="22"/>
        </w:rPr>
      </w:pPr>
      <w:r>
        <w:t>71</w:t>
      </w:r>
      <w:r>
        <w:rPr>
          <w:snapToGrid w:val="0"/>
        </w:rPr>
        <w:t>.</w:t>
      </w:r>
      <w:r>
        <w:rPr>
          <w:snapToGrid w:val="0"/>
        </w:rPr>
        <w:tab/>
        <w:t>Which directions port authority obliged to obey</w:t>
      </w:r>
      <w:r>
        <w:tab/>
      </w:r>
      <w:r>
        <w:fldChar w:fldCharType="begin"/>
      </w:r>
      <w:r>
        <w:instrText xml:space="preserve"> PAGEREF _Toc524061357 \h </w:instrText>
      </w:r>
      <w:r>
        <w:fldChar w:fldCharType="separate"/>
      </w:r>
      <w:r>
        <w:t>47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Minister may give directions</w:t>
      </w:r>
      <w:r>
        <w:tab/>
      </w:r>
      <w:r>
        <w:fldChar w:fldCharType="begin"/>
      </w:r>
      <w:r>
        <w:instrText xml:space="preserve"> PAGEREF _Toc524061358 \h </w:instrText>
      </w:r>
      <w:r>
        <w:fldChar w:fldCharType="separate"/>
      </w:r>
      <w:r>
        <w:t>47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When s. 72(1) direction takes effect</w:t>
      </w:r>
      <w:r>
        <w:tab/>
      </w:r>
      <w:r>
        <w:fldChar w:fldCharType="begin"/>
      </w:r>
      <w:r>
        <w:instrText xml:space="preserve"> PAGEREF _Toc524061359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Consultation and provision of information</w:t>
      </w:r>
    </w:p>
    <w:p>
      <w:pPr>
        <w:pStyle w:val="TOC8"/>
        <w:rPr>
          <w:rFonts w:asciiTheme="minorHAnsi" w:eastAsiaTheme="minorEastAsia" w:hAnsiTheme="minorHAnsi" w:cstheme="minorBidi"/>
          <w:szCs w:val="22"/>
        </w:rPr>
      </w:pPr>
      <w:r>
        <w:t>74</w:t>
      </w:r>
      <w:r>
        <w:rPr>
          <w:snapToGrid w:val="0"/>
        </w:rPr>
        <w:t>.</w:t>
      </w:r>
      <w:r>
        <w:rPr>
          <w:snapToGrid w:val="0"/>
        </w:rPr>
        <w:tab/>
        <w:t>Consultation between board and Minister</w:t>
      </w:r>
      <w:r>
        <w:tab/>
      </w:r>
      <w:r>
        <w:fldChar w:fldCharType="begin"/>
      </w:r>
      <w:r>
        <w:instrText xml:space="preserve"> PAGEREF _Toc524061361 \h </w:instrText>
      </w:r>
      <w:r>
        <w:fldChar w:fldCharType="separate"/>
      </w:r>
      <w:r>
        <w:t>48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Minister to have access to information</w:t>
      </w:r>
      <w:r>
        <w:tab/>
      </w:r>
      <w:r>
        <w:fldChar w:fldCharType="begin"/>
      </w:r>
      <w:r>
        <w:instrText xml:space="preserve"> PAGEREF _Toc524061362 \h </w:instrText>
      </w:r>
      <w:r>
        <w:fldChar w:fldCharType="separate"/>
      </w:r>
      <w:r>
        <w:t>49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Minister to be kept informed</w:t>
      </w:r>
      <w:r>
        <w:tab/>
      </w:r>
      <w:r>
        <w:fldChar w:fldCharType="begin"/>
      </w:r>
      <w:r>
        <w:instrText xml:space="preserve"> PAGEREF _Toc524061363 \h </w:instrText>
      </w:r>
      <w:r>
        <w:fldChar w:fldCharType="separate"/>
      </w:r>
      <w:r>
        <w:t>50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Financial difficulty, board to notify Minister of etc.</w:t>
      </w:r>
      <w:r>
        <w:tab/>
      </w:r>
      <w:r>
        <w:fldChar w:fldCharType="begin"/>
      </w:r>
      <w:r>
        <w:instrText xml:space="preserve"> PAGEREF _Toc524061364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xml:space="preserve"> — </w:t>
      </w:r>
      <w:r>
        <w:t>Protection from liability</w:t>
      </w:r>
    </w:p>
    <w:p>
      <w:pPr>
        <w:pStyle w:val="TOC8"/>
        <w:rPr>
          <w:rFonts w:asciiTheme="minorHAnsi" w:eastAsiaTheme="minorEastAsia" w:hAnsiTheme="minorHAnsi" w:cstheme="minorBidi"/>
          <w:szCs w:val="22"/>
        </w:rPr>
      </w:pPr>
      <w:r>
        <w:t>78</w:t>
      </w:r>
      <w:r>
        <w:rPr>
          <w:snapToGrid w:val="0"/>
        </w:rPr>
        <w:t>.</w:t>
      </w:r>
      <w:r>
        <w:rPr>
          <w:snapToGrid w:val="0"/>
        </w:rPr>
        <w:tab/>
        <w:t>No liability for things done under this Part</w:t>
      </w:r>
      <w:r>
        <w:tab/>
      </w:r>
      <w:r>
        <w:fldChar w:fldCharType="begin"/>
      </w:r>
      <w:r>
        <w:instrText xml:space="preserve"> PAGEREF _Toc524061366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6 — Financial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79</w:t>
      </w:r>
      <w:r>
        <w:rPr>
          <w:snapToGrid w:val="0"/>
        </w:rPr>
        <w:t>.</w:t>
      </w:r>
      <w:r>
        <w:rPr>
          <w:snapToGrid w:val="0"/>
        </w:rPr>
        <w:tab/>
        <w:t>Bank account</w:t>
      </w:r>
      <w:r>
        <w:tab/>
      </w:r>
      <w:r>
        <w:fldChar w:fldCharType="begin"/>
      </w:r>
      <w:r>
        <w:instrText xml:space="preserve"> PAGEREF _Toc524061369 \h </w:instrText>
      </w:r>
      <w:r>
        <w:fldChar w:fldCharType="separate"/>
      </w:r>
      <w:r>
        <w:t>52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Investing funds</w:t>
      </w:r>
      <w:r>
        <w:tab/>
      </w:r>
      <w:r>
        <w:fldChar w:fldCharType="begin"/>
      </w:r>
      <w:r>
        <w:instrText xml:space="preserve"> PAGEREF _Toc524061370 \h </w:instrText>
      </w:r>
      <w:r>
        <w:fldChar w:fldCharType="separate"/>
      </w:r>
      <w:r>
        <w:t>52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Exemption from rates</w:t>
      </w:r>
      <w:r>
        <w:tab/>
      </w:r>
      <w:r>
        <w:fldChar w:fldCharType="begin"/>
      </w:r>
      <w:r>
        <w:instrText xml:space="preserve"> PAGEREF _Toc524061371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Payments to State</w:t>
      </w:r>
    </w:p>
    <w:p>
      <w:pPr>
        <w:pStyle w:val="TOC8"/>
        <w:rPr>
          <w:rFonts w:asciiTheme="minorHAnsi" w:eastAsiaTheme="minorEastAsia" w:hAnsiTheme="minorHAnsi" w:cstheme="minorBidi"/>
          <w:szCs w:val="22"/>
        </w:rPr>
      </w:pPr>
      <w:r>
        <w:t>82</w:t>
      </w:r>
      <w:r>
        <w:rPr>
          <w:snapToGrid w:val="0"/>
        </w:rPr>
        <w:t>.</w:t>
      </w:r>
      <w:r>
        <w:rPr>
          <w:snapToGrid w:val="0"/>
        </w:rPr>
        <w:tab/>
        <w:t>Payment of amount in lieu of rates</w:t>
      </w:r>
      <w:r>
        <w:tab/>
      </w:r>
      <w:r>
        <w:fldChar w:fldCharType="begin"/>
      </w:r>
      <w:r>
        <w:instrText xml:space="preserve"> PAGEREF _Toc524061373 \h </w:instrText>
      </w:r>
      <w:r>
        <w:fldChar w:fldCharType="separate"/>
      </w:r>
      <w:r>
        <w:t>53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Determining amounts under s. 82</w:t>
      </w:r>
      <w:r>
        <w:tab/>
      </w:r>
      <w:r>
        <w:fldChar w:fldCharType="begin"/>
      </w:r>
      <w:r>
        <w:instrText xml:space="preserve"> PAGEREF _Toc524061374 \h </w:instrText>
      </w:r>
      <w:r>
        <w:fldChar w:fldCharType="separate"/>
      </w:r>
      <w:r>
        <w:t>53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Dividends</w:t>
      </w:r>
      <w:r>
        <w:tab/>
      </w:r>
      <w:r>
        <w:fldChar w:fldCharType="begin"/>
      </w:r>
      <w:r>
        <w:instrText xml:space="preserve"> PAGEREF _Toc524061375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Borrowing</w:t>
      </w:r>
    </w:p>
    <w:p>
      <w:pPr>
        <w:pStyle w:val="TOC8"/>
        <w:rPr>
          <w:rFonts w:asciiTheme="minorHAnsi" w:eastAsiaTheme="minorEastAsia" w:hAnsiTheme="minorHAnsi" w:cstheme="minorBidi"/>
          <w:szCs w:val="22"/>
        </w:rPr>
      </w:pPr>
      <w:r>
        <w:t>85</w:t>
      </w:r>
      <w:r>
        <w:rPr>
          <w:snapToGrid w:val="0"/>
        </w:rPr>
        <w:t>.</w:t>
      </w:r>
      <w:r>
        <w:rPr>
          <w:snapToGrid w:val="0"/>
        </w:rPr>
        <w:tab/>
        <w:t>Borrowing powers</w:t>
      </w:r>
      <w:r>
        <w:tab/>
      </w:r>
      <w:r>
        <w:fldChar w:fldCharType="begin"/>
      </w:r>
      <w:r>
        <w:instrText xml:space="preserve"> PAGEREF _Toc524061377 \h </w:instrText>
      </w:r>
      <w:r>
        <w:fldChar w:fldCharType="separate"/>
      </w:r>
      <w:r>
        <w:t>56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Borrowing limits</w:t>
      </w:r>
      <w:r>
        <w:tab/>
      </w:r>
      <w:r>
        <w:fldChar w:fldCharType="begin"/>
      </w:r>
      <w:r>
        <w:instrText xml:space="preserve"> PAGEREF _Toc524061378 \h </w:instrText>
      </w:r>
      <w:r>
        <w:fldChar w:fldCharType="separate"/>
      </w:r>
      <w:r>
        <w:t>56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Hedging transactions</w:t>
      </w:r>
      <w:r>
        <w:tab/>
      </w:r>
      <w:r>
        <w:fldChar w:fldCharType="begin"/>
      </w:r>
      <w:r>
        <w:instrText xml:space="preserve"> PAGEREF _Toc524061379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88</w:t>
      </w:r>
      <w:r>
        <w:rPr>
          <w:snapToGrid w:val="0"/>
        </w:rPr>
        <w:t>.</w:t>
      </w:r>
      <w:r>
        <w:rPr>
          <w:snapToGrid w:val="0"/>
        </w:rPr>
        <w:tab/>
        <w:t>Guarantees by Treasurer</w:t>
      </w:r>
      <w:r>
        <w:tab/>
      </w:r>
      <w:r>
        <w:fldChar w:fldCharType="begin"/>
      </w:r>
      <w:r>
        <w:instrText xml:space="preserve"> PAGEREF _Toc524061381 \h </w:instrText>
      </w:r>
      <w:r>
        <w:fldChar w:fldCharType="separate"/>
      </w:r>
      <w:r>
        <w:t>59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Charges for Treasurer’s guarantee</w:t>
      </w:r>
      <w:r>
        <w:tab/>
      </w:r>
      <w:r>
        <w:fldChar w:fldCharType="begin"/>
      </w:r>
      <w:r>
        <w:instrText xml:space="preserve"> PAGEREF _Toc524061382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Financial administration and audit</w:t>
      </w:r>
    </w:p>
    <w:p>
      <w:pPr>
        <w:pStyle w:val="TOC8"/>
        <w:rPr>
          <w:rFonts w:asciiTheme="minorHAnsi" w:eastAsiaTheme="minorEastAsia" w:hAnsiTheme="minorHAnsi" w:cstheme="minorBidi"/>
          <w:szCs w:val="22"/>
        </w:rPr>
      </w:pPr>
      <w:r>
        <w:t>90</w:t>
      </w:r>
      <w:r>
        <w:rPr>
          <w:snapToGrid w:val="0"/>
        </w:rPr>
        <w:t>.</w:t>
      </w:r>
      <w:r>
        <w:rPr>
          <w:snapToGrid w:val="0"/>
        </w:rPr>
        <w:tab/>
      </w:r>
      <w:r>
        <w:rPr>
          <w:i/>
        </w:rPr>
        <w:t>Financial Management Act 2006</w:t>
      </w:r>
      <w:r>
        <w:t xml:space="preserve"> and </w:t>
      </w:r>
      <w:r>
        <w:rPr>
          <w:i/>
        </w:rPr>
        <w:t>Auditor General Act 2006</w:t>
      </w:r>
      <w:r>
        <w:t>, limited application of</w:t>
      </w:r>
      <w:r>
        <w:tab/>
      </w:r>
      <w:r>
        <w:fldChar w:fldCharType="begin"/>
      </w:r>
      <w:r>
        <w:instrText xml:space="preserve"> PAGEREF _Toc524061384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Financial administration and audit (Sch. 5)</w:t>
      </w:r>
      <w:r>
        <w:tab/>
      </w:r>
      <w:r>
        <w:fldChar w:fldCharType="begin"/>
      </w:r>
      <w:r>
        <w:instrText xml:space="preserve"> PAGEREF _Toc524061385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xml:space="preserve"> — </w:t>
      </w:r>
      <w:r>
        <w:t>Financial targets</w:t>
      </w:r>
    </w:p>
    <w:p>
      <w:pPr>
        <w:pStyle w:val="TOC8"/>
        <w:rPr>
          <w:rFonts w:asciiTheme="minorHAnsi" w:eastAsiaTheme="minorEastAsia" w:hAnsiTheme="minorHAnsi" w:cstheme="minorBidi"/>
          <w:szCs w:val="22"/>
        </w:rPr>
      </w:pPr>
      <w:r>
        <w:t>92</w:t>
      </w:r>
      <w:r>
        <w:rPr>
          <w:snapToGrid w:val="0"/>
        </w:rPr>
        <w:t>.</w:t>
      </w:r>
      <w:r>
        <w:rPr>
          <w:snapToGrid w:val="0"/>
        </w:rPr>
        <w:tab/>
        <w:t>Annual financial targets, Minister may set</w:t>
      </w:r>
      <w:r>
        <w:tab/>
      </w:r>
      <w:r>
        <w:fldChar w:fldCharType="begin"/>
      </w:r>
      <w:r>
        <w:instrText xml:space="preserve"> PAGEREF _Toc524061387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7 — Navigation and port matters</w:t>
      </w:r>
    </w:p>
    <w:p>
      <w:pPr>
        <w:pStyle w:val="TOC4"/>
        <w:tabs>
          <w:tab w:val="right" w:leader="dot" w:pos="7086"/>
        </w:tabs>
        <w:rPr>
          <w:rFonts w:asciiTheme="minorHAnsi" w:eastAsiaTheme="minorEastAsia" w:hAnsiTheme="minorHAnsi" w:cstheme="minorBidi"/>
          <w:b w:val="0"/>
          <w:szCs w:val="22"/>
        </w:rPr>
      </w:pPr>
      <w:r>
        <w:t>Division 1 — Navigational aids</w:t>
      </w:r>
    </w:p>
    <w:p>
      <w:pPr>
        <w:pStyle w:val="TOC8"/>
        <w:rPr>
          <w:rFonts w:asciiTheme="minorHAnsi" w:eastAsiaTheme="minorEastAsia" w:hAnsiTheme="minorHAnsi" w:cstheme="minorBidi"/>
          <w:szCs w:val="22"/>
        </w:rPr>
      </w:pPr>
      <w:r>
        <w:t>93</w:t>
      </w:r>
      <w:r>
        <w:rPr>
          <w:snapToGrid w:val="0"/>
        </w:rPr>
        <w:t>.</w:t>
      </w:r>
      <w:r>
        <w:rPr>
          <w:snapToGrid w:val="0"/>
        </w:rPr>
        <w:tab/>
        <w:t>Port authority may provide etc. navigational aids etc.</w:t>
      </w:r>
      <w:r>
        <w:tab/>
      </w:r>
      <w:r>
        <w:fldChar w:fldCharType="begin"/>
      </w:r>
      <w:r>
        <w:instrText xml:space="preserve"> PAGEREF _Toc524061390 \h </w:instrText>
      </w:r>
      <w:r>
        <w:fldChar w:fldCharType="separate"/>
      </w:r>
      <w:r>
        <w:t>63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Interference with navigational aids, offence</w:t>
      </w:r>
      <w:r>
        <w:tab/>
      </w:r>
      <w:r>
        <w:fldChar w:fldCharType="begin"/>
      </w:r>
      <w:r>
        <w:instrText xml:space="preserve"> PAGEREF _Toc524061391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Pilotage</w:t>
      </w:r>
    </w:p>
    <w:p>
      <w:pPr>
        <w:pStyle w:val="TOC8"/>
        <w:rPr>
          <w:rFonts w:asciiTheme="minorHAnsi" w:eastAsiaTheme="minorEastAsia" w:hAnsiTheme="minorHAnsi" w:cstheme="minorBidi"/>
          <w:szCs w:val="22"/>
        </w:rPr>
      </w:pPr>
      <w:r>
        <w:t>95</w:t>
      </w:r>
      <w:r>
        <w:rPr>
          <w:snapToGrid w:val="0"/>
        </w:rPr>
        <w:t>.</w:t>
      </w:r>
      <w:r>
        <w:rPr>
          <w:snapToGrid w:val="0"/>
        </w:rPr>
        <w:tab/>
        <w:t>Terms used in, and application of, this Division</w:t>
      </w:r>
      <w:r>
        <w:tab/>
      </w:r>
      <w:r>
        <w:fldChar w:fldCharType="begin"/>
      </w:r>
      <w:r>
        <w:instrText xml:space="preserve"> PAGEREF _Toc524061393 \h </w:instrText>
      </w:r>
      <w:r>
        <w:fldChar w:fldCharType="separate"/>
      </w:r>
      <w:r>
        <w:t>64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Port authority to approve pilots and ensure pilotage services are provided</w:t>
      </w:r>
      <w:r>
        <w:tab/>
      </w:r>
      <w:r>
        <w:fldChar w:fldCharType="begin"/>
      </w:r>
      <w:r>
        <w:instrText xml:space="preserve"> PAGEREF _Toc524061394 \h </w:instrText>
      </w:r>
      <w:r>
        <w:fldChar w:fldCharType="separate"/>
      </w:r>
      <w:r>
        <w:t>65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Pilotage compulsory in ports</w:t>
      </w:r>
      <w:r>
        <w:tab/>
      </w:r>
      <w:r>
        <w:fldChar w:fldCharType="begin"/>
      </w:r>
      <w:r>
        <w:instrText xml:space="preserve"> PAGEREF _Toc524061395 \h </w:instrText>
      </w:r>
      <w:r>
        <w:fldChar w:fldCharType="separate"/>
      </w:r>
      <w:r>
        <w:t>66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Pilot under authority of master</w:t>
      </w:r>
      <w:r>
        <w:tab/>
      </w:r>
      <w:r>
        <w:fldChar w:fldCharType="begin"/>
      </w:r>
      <w:r>
        <w:instrText xml:space="preserve"> PAGEREF _Toc524061396 \h </w:instrText>
      </w:r>
      <w:r>
        <w:fldChar w:fldCharType="separate"/>
      </w:r>
      <w:r>
        <w:t>67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owner or master of piloted vessel</w:t>
      </w:r>
      <w:r>
        <w:tab/>
      </w:r>
      <w:r>
        <w:fldChar w:fldCharType="begin"/>
      </w:r>
      <w:r>
        <w:instrText xml:space="preserve"> PAGEREF _Toc524061397 \h </w:instrText>
      </w:r>
      <w:r>
        <w:fldChar w:fldCharType="separate"/>
      </w:r>
      <w:r>
        <w:t>67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Immunity from liability for negligent provision of pilotage services</w:t>
      </w:r>
      <w:r>
        <w:tab/>
      </w:r>
      <w:r>
        <w:fldChar w:fldCharType="begin"/>
      </w:r>
      <w:r>
        <w:instrText xml:space="preserve"> PAGEREF _Toc524061398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Harbour masters</w:t>
      </w:r>
    </w:p>
    <w:p>
      <w:pPr>
        <w:pStyle w:val="TOC8"/>
        <w:rPr>
          <w:rFonts w:asciiTheme="minorHAnsi" w:eastAsiaTheme="minorEastAsia" w:hAnsiTheme="minorHAnsi" w:cstheme="minorBidi"/>
          <w:szCs w:val="22"/>
        </w:rPr>
      </w:pPr>
      <w:r>
        <w:t>101</w:t>
      </w:r>
      <w:r>
        <w:rPr>
          <w:snapToGrid w:val="0"/>
        </w:rPr>
        <w:t>.</w:t>
      </w:r>
      <w:r>
        <w:rPr>
          <w:snapToGrid w:val="0"/>
        </w:rPr>
        <w:tab/>
        <w:t>Port includes other declared areas</w:t>
      </w:r>
      <w:r>
        <w:tab/>
      </w:r>
      <w:r>
        <w:fldChar w:fldCharType="begin"/>
      </w:r>
      <w:r>
        <w:instrText xml:space="preserve"> PAGEREF _Toc524061400 \h </w:instrText>
      </w:r>
      <w:r>
        <w:fldChar w:fldCharType="separate"/>
      </w:r>
      <w:r>
        <w:t>68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Appointment of harbour master and deputy harbour master etc.</w:t>
      </w:r>
      <w:r>
        <w:tab/>
      </w:r>
      <w:r>
        <w:fldChar w:fldCharType="begin"/>
      </w:r>
      <w:r>
        <w:instrText xml:space="preserve"> PAGEREF _Toc524061401 \h </w:instrText>
      </w:r>
      <w:r>
        <w:fldChar w:fldCharType="separate"/>
      </w:r>
      <w:r>
        <w:t>68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Functions of harbour master</w:t>
      </w:r>
      <w:r>
        <w:tab/>
      </w:r>
      <w:r>
        <w:fldChar w:fldCharType="begin"/>
      </w:r>
      <w:r>
        <w:instrText xml:space="preserve"> PAGEREF _Toc524061402 \h </w:instrText>
      </w:r>
      <w:r>
        <w:fldChar w:fldCharType="separate"/>
      </w:r>
      <w:r>
        <w:t>69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Directions to masters etc.</w:t>
      </w:r>
      <w:r>
        <w:tab/>
      </w:r>
      <w:r>
        <w:fldChar w:fldCharType="begin"/>
      </w:r>
      <w:r>
        <w:instrText xml:space="preserve"> PAGEREF _Toc524061403 \h </w:instrText>
      </w:r>
      <w:r>
        <w:fldChar w:fldCharType="separate"/>
      </w:r>
      <w:r>
        <w:t>69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Directions as to dangerous things</w:t>
      </w:r>
      <w:r>
        <w:tab/>
      </w:r>
      <w:r>
        <w:fldChar w:fldCharType="begin"/>
      </w:r>
      <w:r>
        <w:instrText xml:space="preserve"> PAGEREF _Toc524061404 \h </w:instrText>
      </w:r>
      <w:r>
        <w:fldChar w:fldCharType="separate"/>
      </w:r>
      <w:r>
        <w:t>70</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Limit on power to order removal of vessels or dangerous things</w:t>
      </w:r>
      <w:r>
        <w:tab/>
      </w:r>
      <w:r>
        <w:fldChar w:fldCharType="begin"/>
      </w:r>
      <w:r>
        <w:instrText xml:space="preserve"> PAGEREF _Toc524061405 \h </w:instrText>
      </w:r>
      <w:r>
        <w:fldChar w:fldCharType="separate"/>
      </w:r>
      <w:r>
        <w:t>71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Ownerless vessels and dangerous things, removal of</w:t>
      </w:r>
      <w:r>
        <w:tab/>
      </w:r>
      <w:r>
        <w:fldChar w:fldCharType="begin"/>
      </w:r>
      <w:r>
        <w:instrText xml:space="preserve"> PAGEREF _Toc524061406 \h </w:instrText>
      </w:r>
      <w:r>
        <w:fldChar w:fldCharType="separate"/>
      </w:r>
      <w:r>
        <w:t>71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Not obeying s. 104 or 106 direction, offence</w:t>
      </w:r>
      <w:r>
        <w:tab/>
      </w:r>
      <w:r>
        <w:fldChar w:fldCharType="begin"/>
      </w:r>
      <w:r>
        <w:instrText xml:space="preserve"> PAGEREF _Toc524061407 \h </w:instrText>
      </w:r>
      <w:r>
        <w:fldChar w:fldCharType="separate"/>
      </w:r>
      <w:r>
        <w:t>71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Powers if direction not obeyed</w:t>
      </w:r>
      <w:r>
        <w:tab/>
      </w:r>
      <w:r>
        <w:fldChar w:fldCharType="begin"/>
      </w:r>
      <w:r>
        <w:instrText xml:space="preserve"> PAGEREF _Toc524061408 \h </w:instrText>
      </w:r>
      <w:r>
        <w:fldChar w:fldCharType="separate"/>
      </w:r>
      <w:r>
        <w:t>71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Recovering port authority’s s. 107 costs</w:t>
      </w:r>
      <w:r>
        <w:tab/>
      </w:r>
      <w:r>
        <w:fldChar w:fldCharType="begin"/>
      </w:r>
      <w:r>
        <w:instrText xml:space="preserve"> PAGEREF _Toc524061409 \h </w:instrText>
      </w:r>
      <w:r>
        <w:fldChar w:fldCharType="separate"/>
      </w:r>
      <w:r>
        <w:t>72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Immunity from liability for acts under this Division</w:t>
      </w:r>
      <w:r>
        <w:tab/>
      </w:r>
      <w:r>
        <w:fldChar w:fldCharType="begin"/>
      </w:r>
      <w:r>
        <w:instrText xml:space="preserve"> PAGEREF _Toc524061410 \h </w:instrText>
      </w:r>
      <w:r>
        <w:fldChar w:fldCharType="separate"/>
      </w:r>
      <w:r>
        <w:t>72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Hindering harbour master etc., offence</w:t>
      </w:r>
      <w:r>
        <w:tab/>
      </w:r>
      <w:r>
        <w:fldChar w:fldCharType="begin"/>
      </w:r>
      <w:r>
        <w:instrText xml:space="preserve"> PAGEREF _Toc524061411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Damage in a port caused by vessels etc.</w:t>
      </w:r>
    </w:p>
    <w:p>
      <w:pPr>
        <w:pStyle w:val="TOC8"/>
        <w:rPr>
          <w:rFonts w:asciiTheme="minorHAnsi" w:eastAsiaTheme="minorEastAsia" w:hAnsiTheme="minorHAnsi" w:cstheme="minorBidi"/>
          <w:szCs w:val="22"/>
        </w:rPr>
      </w:pPr>
      <w:r>
        <w:t>113</w:t>
      </w:r>
      <w:r>
        <w:rPr>
          <w:snapToGrid w:val="0"/>
        </w:rPr>
        <w:t>.</w:t>
      </w:r>
      <w:r>
        <w:rPr>
          <w:snapToGrid w:val="0"/>
        </w:rPr>
        <w:tab/>
        <w:t>Responsibility for damage to port facilities or property</w:t>
      </w:r>
      <w:r>
        <w:tab/>
      </w:r>
      <w:r>
        <w:fldChar w:fldCharType="begin"/>
      </w:r>
      <w:r>
        <w:instrText xml:space="preserve"> PAGEREF _Toc524061413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Port safety</w:t>
      </w:r>
    </w:p>
    <w:p>
      <w:pPr>
        <w:pStyle w:val="TOC8"/>
        <w:rPr>
          <w:rFonts w:asciiTheme="minorHAnsi" w:eastAsiaTheme="minorEastAsia" w:hAnsiTheme="minorHAnsi" w:cstheme="minorBidi"/>
          <w:szCs w:val="22"/>
        </w:rPr>
      </w:pPr>
      <w:r>
        <w:t>114.</w:t>
      </w:r>
      <w:r>
        <w:tab/>
        <w:t>Marine safety plan, port authority to have</w:t>
      </w:r>
      <w:r>
        <w:tab/>
      </w:r>
      <w:r>
        <w:fldChar w:fldCharType="begin"/>
      </w:r>
      <w:r>
        <w:instrText xml:space="preserve"> PAGEREF _Toc524061415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6 — Powers of police officers and others</w:t>
      </w:r>
    </w:p>
    <w:p>
      <w:pPr>
        <w:pStyle w:val="TOC8"/>
        <w:rPr>
          <w:rFonts w:asciiTheme="minorHAnsi" w:eastAsiaTheme="minorEastAsia" w:hAnsiTheme="minorHAnsi" w:cstheme="minorBidi"/>
          <w:szCs w:val="22"/>
        </w:rPr>
      </w:pPr>
      <w:r>
        <w:t>114A.</w:t>
      </w:r>
      <w:r>
        <w:tab/>
        <w:t>Police officers and others may enter vessels and conduct examinations and enquiries</w:t>
      </w:r>
      <w:r>
        <w:tab/>
      </w:r>
      <w:r>
        <w:fldChar w:fldCharType="begin"/>
      </w:r>
      <w:r>
        <w:instrText xml:space="preserve"> PAGEREF _Toc524061417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7 — Protection from liability</w:t>
      </w:r>
    </w:p>
    <w:p>
      <w:pPr>
        <w:pStyle w:val="TOC8"/>
        <w:rPr>
          <w:rFonts w:asciiTheme="minorHAnsi" w:eastAsiaTheme="minorEastAsia" w:hAnsiTheme="minorHAnsi" w:cstheme="minorBidi"/>
          <w:szCs w:val="22"/>
        </w:rPr>
      </w:pPr>
      <w:r>
        <w:t>114B.</w:t>
      </w:r>
      <w:r>
        <w:tab/>
        <w:t>Immunity from liability for damage to vessels</w:t>
      </w:r>
      <w:r>
        <w:tab/>
      </w:r>
      <w:r>
        <w:fldChar w:fldCharType="begin"/>
      </w:r>
      <w:r>
        <w:instrText xml:space="preserve"> PAGEREF _Toc524061419 \h </w:instrText>
      </w:r>
      <w:r>
        <w:fldChar w:fldCharType="separate"/>
      </w:r>
      <w:r>
        <w:t>76</w:t>
      </w:r>
      <w:r>
        <w:fldChar w:fldCharType="end"/>
      </w:r>
    </w:p>
    <w:p>
      <w:pPr>
        <w:pStyle w:val="TOC8"/>
        <w:rPr>
          <w:rFonts w:asciiTheme="minorHAnsi" w:eastAsiaTheme="minorEastAsia" w:hAnsiTheme="minorHAnsi" w:cstheme="minorBidi"/>
          <w:szCs w:val="22"/>
        </w:rPr>
      </w:pPr>
      <w:r>
        <w:t>114C.</w:t>
      </w:r>
      <w:r>
        <w:tab/>
        <w:t>Immunity from liability for damaged goods</w:t>
      </w:r>
      <w:r>
        <w:tab/>
      </w:r>
      <w:r>
        <w:fldChar w:fldCharType="begin"/>
      </w:r>
      <w:r>
        <w:instrText xml:space="preserve"> PAGEREF _Toc524061420 \h </w:instrText>
      </w:r>
      <w:r>
        <w:fldChar w:fldCharType="separate"/>
      </w:r>
      <w:r>
        <w:t>76</w:t>
      </w:r>
      <w:r>
        <w:fldChar w:fldCharType="end"/>
      </w:r>
    </w:p>
    <w:p>
      <w:pPr>
        <w:pStyle w:val="TOC8"/>
        <w:rPr>
          <w:rFonts w:asciiTheme="minorHAnsi" w:eastAsiaTheme="minorEastAsia" w:hAnsiTheme="minorHAnsi" w:cstheme="minorBidi"/>
          <w:szCs w:val="22"/>
        </w:rPr>
      </w:pPr>
      <w:r>
        <w:t>114D.</w:t>
      </w:r>
      <w:r>
        <w:tab/>
        <w:t>Immunity from liability for delay in delivery of goods</w:t>
      </w:r>
      <w:r>
        <w:tab/>
      </w:r>
      <w:r>
        <w:fldChar w:fldCharType="begin"/>
      </w:r>
      <w:r>
        <w:instrText xml:space="preserve"> PAGEREF _Toc524061421 \h </w:instrText>
      </w:r>
      <w:r>
        <w:fldChar w:fldCharType="separate"/>
      </w:r>
      <w:r>
        <w:t>77</w:t>
      </w:r>
      <w:r>
        <w:fldChar w:fldCharType="end"/>
      </w:r>
    </w:p>
    <w:p>
      <w:pPr>
        <w:pStyle w:val="TOC8"/>
        <w:rPr>
          <w:rFonts w:asciiTheme="minorHAnsi" w:eastAsiaTheme="minorEastAsia" w:hAnsiTheme="minorHAnsi" w:cstheme="minorBidi"/>
          <w:szCs w:val="22"/>
        </w:rPr>
      </w:pPr>
      <w:r>
        <w:t>114EA.</w:t>
      </w:r>
      <w:r>
        <w:tab/>
        <w:t>Immunity from liability for acts or omissions of port users</w:t>
      </w:r>
      <w:r>
        <w:tab/>
      </w:r>
      <w:r>
        <w:fldChar w:fldCharType="begin"/>
      </w:r>
      <w:r>
        <w:instrText xml:space="preserve"> PAGEREF _Toc524061422 \h </w:instrText>
      </w:r>
      <w:r>
        <w:fldChar w:fldCharType="separate"/>
      </w:r>
      <w:r>
        <w:t>77</w:t>
      </w:r>
      <w:r>
        <w:fldChar w:fldCharType="end"/>
      </w:r>
    </w:p>
    <w:p>
      <w:pPr>
        <w:pStyle w:val="TOC8"/>
        <w:rPr>
          <w:rFonts w:asciiTheme="minorHAnsi" w:eastAsiaTheme="minorEastAsia" w:hAnsiTheme="minorHAnsi" w:cstheme="minorBidi"/>
          <w:szCs w:val="22"/>
        </w:rPr>
      </w:pPr>
      <w:r>
        <w:t>114E.</w:t>
      </w:r>
      <w:r>
        <w:tab/>
        <w:t>Immunity from liability for certain events and actions</w:t>
      </w:r>
      <w:r>
        <w:tab/>
      </w:r>
      <w:r>
        <w:fldChar w:fldCharType="begin"/>
      </w:r>
      <w:r>
        <w:instrText xml:space="preserve"> PAGEREF _Toc524061423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8 — Port charges</w:t>
      </w:r>
    </w:p>
    <w:p>
      <w:pPr>
        <w:pStyle w:val="TOC8"/>
        <w:rPr>
          <w:rFonts w:asciiTheme="minorHAnsi" w:eastAsiaTheme="minorEastAsia" w:hAnsiTheme="minorHAnsi" w:cstheme="minorBidi"/>
          <w:szCs w:val="22"/>
        </w:rPr>
      </w:pPr>
      <w:r>
        <w:t>115</w:t>
      </w:r>
      <w:r>
        <w:rPr>
          <w:snapToGrid w:val="0"/>
        </w:rPr>
        <w:t>.</w:t>
      </w:r>
      <w:r>
        <w:rPr>
          <w:snapToGrid w:val="0"/>
        </w:rPr>
        <w:tab/>
        <w:t>Term used: port charges; application of this Part</w:t>
      </w:r>
      <w:r>
        <w:tab/>
      </w:r>
      <w:r>
        <w:fldChar w:fldCharType="begin"/>
      </w:r>
      <w:r>
        <w:instrText xml:space="preserve"> PAGEREF _Toc524061425 \h </w:instrText>
      </w:r>
      <w:r>
        <w:fldChar w:fldCharType="separate"/>
      </w:r>
      <w:r>
        <w:t>79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Liability to pay port charges in respect of vessels</w:t>
      </w:r>
      <w:r>
        <w:tab/>
      </w:r>
      <w:r>
        <w:fldChar w:fldCharType="begin"/>
      </w:r>
      <w:r>
        <w:instrText xml:space="preserve"> PAGEREF _Toc524061426 \h </w:instrText>
      </w:r>
      <w:r>
        <w:fldChar w:fldCharType="separate"/>
      </w:r>
      <w:r>
        <w:t>79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Liability to pay port charges in respect of goods</w:t>
      </w:r>
      <w:r>
        <w:tab/>
      </w:r>
      <w:r>
        <w:fldChar w:fldCharType="begin"/>
      </w:r>
      <w:r>
        <w:instrText xml:space="preserve"> PAGEREF _Toc524061427 \h </w:instrText>
      </w:r>
      <w:r>
        <w:fldChar w:fldCharType="separate"/>
      </w:r>
      <w:r>
        <w:t>79</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Recovery of port charges by port authority</w:t>
      </w:r>
      <w:r>
        <w:tab/>
      </w:r>
      <w:r>
        <w:fldChar w:fldCharType="begin"/>
      </w:r>
      <w:r>
        <w:instrText xml:space="preserve"> PAGEREF _Toc524061428 \h </w:instrText>
      </w:r>
      <w:r>
        <w:fldChar w:fldCharType="separate"/>
      </w:r>
      <w:r>
        <w:t>80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Collectors of port charges</w:t>
      </w:r>
      <w:r>
        <w:tab/>
      </w:r>
      <w:r>
        <w:fldChar w:fldCharType="begin"/>
      </w:r>
      <w:r>
        <w:instrText xml:space="preserve"> PAGEREF _Toc524061429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Part 9 — Proceedings for offences</w:t>
      </w:r>
    </w:p>
    <w:p>
      <w:pPr>
        <w:pStyle w:val="TOC4"/>
        <w:tabs>
          <w:tab w:val="right" w:leader="dot" w:pos="7086"/>
        </w:tabs>
        <w:rPr>
          <w:rFonts w:asciiTheme="minorHAnsi" w:eastAsiaTheme="minorEastAsia" w:hAnsiTheme="minorHAnsi" w:cstheme="minorBidi"/>
          <w:b w:val="0"/>
          <w:szCs w:val="22"/>
        </w:rPr>
      </w:pPr>
      <w:r>
        <w:t xml:space="preserve">Division 1 </w:t>
      </w:r>
      <w:r>
        <w:rPr>
          <w:snapToGrid w:val="0"/>
        </w:rPr>
        <w:t>— </w:t>
      </w:r>
      <w:r>
        <w:t>General</w:t>
      </w:r>
    </w:p>
    <w:p>
      <w:pPr>
        <w:pStyle w:val="TOC8"/>
        <w:rPr>
          <w:rFonts w:asciiTheme="minorHAnsi" w:eastAsiaTheme="minorEastAsia" w:hAnsiTheme="minorHAnsi" w:cstheme="minorBidi"/>
          <w:szCs w:val="22"/>
        </w:rPr>
      </w:pPr>
      <w:r>
        <w:t>120</w:t>
      </w:r>
      <w:r>
        <w:rPr>
          <w:snapToGrid w:val="0"/>
        </w:rPr>
        <w:t>.</w:t>
      </w:r>
      <w:r>
        <w:rPr>
          <w:snapToGrid w:val="0"/>
        </w:rPr>
        <w:tab/>
        <w:t>Who can commence prosecutions</w:t>
      </w:r>
      <w:r>
        <w:tab/>
      </w:r>
      <w:r>
        <w:fldChar w:fldCharType="begin"/>
      </w:r>
      <w:r>
        <w:instrText xml:space="preserve"> PAGEREF _Toc524061432 \h </w:instrText>
      </w:r>
      <w:r>
        <w:fldChar w:fldCharType="separate"/>
      </w:r>
      <w:r>
        <w:t>81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Time limit for prosecutions</w:t>
      </w:r>
      <w:r>
        <w:tab/>
      </w:r>
      <w:r>
        <w:fldChar w:fldCharType="begin"/>
      </w:r>
      <w:r>
        <w:instrText xml:space="preserve"> PAGEREF _Toc524061433 \h </w:instrText>
      </w:r>
      <w:r>
        <w:fldChar w:fldCharType="separate"/>
      </w:r>
      <w:r>
        <w:t>81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Averment as to place of offence</w:t>
      </w:r>
      <w:r>
        <w:tab/>
      </w:r>
      <w:r>
        <w:fldChar w:fldCharType="begin"/>
      </w:r>
      <w:r>
        <w:instrText xml:space="preserve"> PAGEREF _Toc524061434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Infringement notices</w:t>
      </w:r>
    </w:p>
    <w:p>
      <w:pPr>
        <w:pStyle w:val="TOC8"/>
        <w:rPr>
          <w:rFonts w:asciiTheme="minorHAnsi" w:eastAsiaTheme="minorEastAsia" w:hAnsiTheme="minorHAnsi" w:cstheme="minorBidi"/>
          <w:szCs w:val="22"/>
        </w:rPr>
      </w:pPr>
      <w:r>
        <w:t>123</w:t>
      </w:r>
      <w:r>
        <w:rPr>
          <w:snapToGrid w:val="0"/>
        </w:rPr>
        <w:t>.</w:t>
      </w:r>
      <w:r>
        <w:rPr>
          <w:snapToGrid w:val="0"/>
        </w:rPr>
        <w:tab/>
        <w:t>Terms used</w:t>
      </w:r>
      <w:r>
        <w:tab/>
      </w:r>
      <w:r>
        <w:fldChar w:fldCharType="begin"/>
      </w:r>
      <w:r>
        <w:instrText xml:space="preserve"> PAGEREF _Toc524061436 \h </w:instrText>
      </w:r>
      <w:r>
        <w:fldChar w:fldCharType="separate"/>
      </w:r>
      <w:r>
        <w:t>82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Giving of notice</w:t>
      </w:r>
      <w:r>
        <w:tab/>
      </w:r>
      <w:r>
        <w:fldChar w:fldCharType="begin"/>
      </w:r>
      <w:r>
        <w:instrText xml:space="preserve"> PAGEREF _Toc524061437 \h </w:instrText>
      </w:r>
      <w:r>
        <w:fldChar w:fldCharType="separate"/>
      </w:r>
      <w:r>
        <w:t>82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Content of notice</w:t>
      </w:r>
      <w:r>
        <w:tab/>
      </w:r>
      <w:r>
        <w:fldChar w:fldCharType="begin"/>
      </w:r>
      <w:r>
        <w:instrText xml:space="preserve"> PAGEREF _Toc524061438 \h </w:instrText>
      </w:r>
      <w:r>
        <w:fldChar w:fldCharType="separate"/>
      </w:r>
      <w:r>
        <w:t>82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Extending time for paying modified penalty</w:t>
      </w:r>
      <w:r>
        <w:tab/>
      </w:r>
      <w:r>
        <w:fldChar w:fldCharType="begin"/>
      </w:r>
      <w:r>
        <w:instrText xml:space="preserve"> PAGEREF _Toc524061439 \h </w:instrText>
      </w:r>
      <w:r>
        <w:fldChar w:fldCharType="separate"/>
      </w:r>
      <w:r>
        <w:t>83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Withdrawing notice</w:t>
      </w:r>
      <w:r>
        <w:tab/>
      </w:r>
      <w:r>
        <w:fldChar w:fldCharType="begin"/>
      </w:r>
      <w:r>
        <w:instrText xml:space="preserve"> PAGEREF _Toc524061440 \h </w:instrText>
      </w:r>
      <w:r>
        <w:fldChar w:fldCharType="separate"/>
      </w:r>
      <w:r>
        <w:t>83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Benefit of paying modified penalty</w:t>
      </w:r>
      <w:r>
        <w:tab/>
      </w:r>
      <w:r>
        <w:fldChar w:fldCharType="begin"/>
      </w:r>
      <w:r>
        <w:instrText xml:space="preserve"> PAGEREF _Toc524061441 \h </w:instrText>
      </w:r>
      <w:r>
        <w:fldChar w:fldCharType="separate"/>
      </w:r>
      <w:r>
        <w:t>83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Application of penalties collected</w:t>
      </w:r>
      <w:r>
        <w:tab/>
      </w:r>
      <w:r>
        <w:fldChar w:fldCharType="begin"/>
      </w:r>
      <w:r>
        <w:instrText xml:space="preserve"> PAGEREF _Toc524061442 \h </w:instrText>
      </w:r>
      <w:r>
        <w:fldChar w:fldCharType="separate"/>
      </w:r>
      <w:r>
        <w:t>84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Authorised persons, appointment of</w:t>
      </w:r>
      <w:r>
        <w:tab/>
      </w:r>
      <w:r>
        <w:fldChar w:fldCharType="begin"/>
      </w:r>
      <w:r>
        <w:instrText xml:space="preserve"> PAGEREF _Toc524061443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131</w:t>
      </w:r>
      <w:r>
        <w:rPr>
          <w:snapToGrid w:val="0"/>
        </w:rPr>
        <w:t>.</w:t>
      </w:r>
      <w:r>
        <w:rPr>
          <w:snapToGrid w:val="0"/>
        </w:rPr>
        <w:tab/>
        <w:t>Hindering, offence</w:t>
      </w:r>
      <w:r>
        <w:tab/>
      </w:r>
      <w:r>
        <w:fldChar w:fldCharType="begin"/>
      </w:r>
      <w:r>
        <w:instrText xml:space="preserve"> PAGEREF _Toc524061445 \h </w:instrText>
      </w:r>
      <w:r>
        <w:fldChar w:fldCharType="separate"/>
      </w:r>
      <w:r>
        <w:t>85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Individual port authorities, provisions for (Sch. 6)</w:t>
      </w:r>
      <w:r>
        <w:tab/>
      </w:r>
      <w:r>
        <w:fldChar w:fldCharType="begin"/>
      </w:r>
      <w:r>
        <w:instrText xml:space="preserve"> PAGEREF _Toc524061446 \h </w:instrText>
      </w:r>
      <w:r>
        <w:fldChar w:fldCharType="separate"/>
      </w:r>
      <w:r>
        <w:t>85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Supplementary provision about laying documents before Parliament</w:t>
      </w:r>
      <w:r>
        <w:tab/>
      </w:r>
      <w:r>
        <w:fldChar w:fldCharType="begin"/>
      </w:r>
      <w:r>
        <w:instrText xml:space="preserve"> PAGEREF _Toc524061447 \h </w:instrText>
      </w:r>
      <w:r>
        <w:fldChar w:fldCharType="separate"/>
      </w:r>
      <w:r>
        <w:t>86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Execution of documents by port authority</w:t>
      </w:r>
      <w:r>
        <w:tab/>
      </w:r>
      <w:r>
        <w:fldChar w:fldCharType="begin"/>
      </w:r>
      <w:r>
        <w:instrText xml:space="preserve"> PAGEREF _Toc524061448 \h </w:instrText>
      </w:r>
      <w:r>
        <w:fldChar w:fldCharType="separate"/>
      </w:r>
      <w:r>
        <w:t>86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Contracts with port authority, formalities of</w:t>
      </w:r>
      <w:r>
        <w:tab/>
      </w:r>
      <w:r>
        <w:fldChar w:fldCharType="begin"/>
      </w:r>
      <w:r>
        <w:instrText xml:space="preserve"> PAGEREF _Toc524061449 \h </w:instrText>
      </w:r>
      <w:r>
        <w:fldChar w:fldCharType="separate"/>
      </w:r>
      <w:r>
        <w:t>87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Overdue amounts, interest on</w:t>
      </w:r>
      <w:r>
        <w:tab/>
      </w:r>
      <w:r>
        <w:fldChar w:fldCharType="begin"/>
      </w:r>
      <w:r>
        <w:instrText xml:space="preserve"> PAGEREF _Toc524061450 \h </w:instrText>
      </w:r>
      <w:r>
        <w:fldChar w:fldCharType="separate"/>
      </w:r>
      <w:r>
        <w:t>88</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Recovery of expenses due to offence</w:t>
      </w:r>
      <w:r>
        <w:tab/>
      </w:r>
      <w:r>
        <w:fldChar w:fldCharType="begin"/>
      </w:r>
      <w:r>
        <w:instrText xml:space="preserve"> PAGEREF _Toc524061451 \h </w:instrText>
      </w:r>
      <w:r>
        <w:fldChar w:fldCharType="separate"/>
      </w:r>
      <w:r>
        <w:t>88</w:t>
      </w:r>
      <w:r>
        <w:fldChar w:fldCharType="end"/>
      </w:r>
    </w:p>
    <w:p>
      <w:pPr>
        <w:pStyle w:val="TOC8"/>
        <w:rPr>
          <w:rFonts w:asciiTheme="minorHAnsi" w:eastAsiaTheme="minorEastAsia" w:hAnsiTheme="minorHAnsi" w:cstheme="minorBidi"/>
          <w:szCs w:val="22"/>
        </w:rPr>
      </w:pPr>
      <w:r>
        <w:t>138.</w:t>
      </w:r>
      <w:r>
        <w:tab/>
      </w:r>
      <w:r>
        <w:rPr>
          <w:i/>
        </w:rPr>
        <w:t>Government Agreements Act 1979</w:t>
      </w:r>
      <w:r>
        <w:t xml:space="preserve"> not affected</w:t>
      </w:r>
      <w:r>
        <w:tab/>
      </w:r>
      <w:r>
        <w:fldChar w:fldCharType="begin"/>
      </w:r>
      <w:r>
        <w:instrText xml:space="preserve"> PAGEREF _Toc524061452 \h </w:instrText>
      </w:r>
      <w:r>
        <w:fldChar w:fldCharType="separate"/>
      </w:r>
      <w:r>
        <w:t>88</w:t>
      </w:r>
      <w:r>
        <w:fldChar w:fldCharType="end"/>
      </w:r>
    </w:p>
    <w:p>
      <w:pPr>
        <w:pStyle w:val="TOC8"/>
        <w:rPr>
          <w:rFonts w:asciiTheme="minorHAnsi" w:eastAsiaTheme="minorEastAsia" w:hAnsiTheme="minorHAnsi" w:cstheme="minorBidi"/>
          <w:szCs w:val="22"/>
        </w:rPr>
      </w:pPr>
      <w:r>
        <w:t>139A.</w:t>
      </w:r>
      <w:r>
        <w:tab/>
        <w:t>Transitional provisions</w:t>
      </w:r>
      <w:r>
        <w:tab/>
      </w:r>
      <w:r>
        <w:fldChar w:fldCharType="begin"/>
      </w:r>
      <w:r>
        <w:instrText xml:space="preserve"> PAGEREF _Toc524061453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Part 11 — Regulations</w:t>
      </w:r>
    </w:p>
    <w:p>
      <w:pPr>
        <w:pStyle w:val="TOC8"/>
        <w:rPr>
          <w:rFonts w:asciiTheme="minorHAnsi" w:eastAsiaTheme="minorEastAsia" w:hAnsiTheme="minorHAnsi" w:cstheme="minorBidi"/>
          <w:szCs w:val="22"/>
        </w:rPr>
      </w:pPr>
      <w:r>
        <w:t>139</w:t>
      </w:r>
      <w:r>
        <w:rPr>
          <w:snapToGrid w:val="0"/>
        </w:rPr>
        <w:t>.</w:t>
      </w:r>
      <w:r>
        <w:rPr>
          <w:snapToGrid w:val="0"/>
        </w:rPr>
        <w:tab/>
        <w:t>General power to make regulations</w:t>
      </w:r>
      <w:r>
        <w:tab/>
      </w:r>
      <w:r>
        <w:fldChar w:fldCharType="begin"/>
      </w:r>
      <w:r>
        <w:instrText xml:space="preserve"> PAGEREF _Toc524061455 \h </w:instrText>
      </w:r>
      <w:r>
        <w:fldChar w:fldCharType="separate"/>
      </w:r>
      <w:r>
        <w:t>90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Offences against regulations</w:t>
      </w:r>
      <w:r>
        <w:tab/>
      </w:r>
      <w:r>
        <w:fldChar w:fldCharType="begin"/>
      </w:r>
      <w:r>
        <w:instrText xml:space="preserve"> PAGEREF _Toc524061456 \h </w:instrText>
      </w:r>
      <w:r>
        <w:fldChar w:fldCharType="separate"/>
      </w:r>
      <w:r>
        <w:t>90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Adoption of other laws, codes etc.</w:t>
      </w:r>
      <w:r>
        <w:tab/>
      </w:r>
      <w:r>
        <w:fldChar w:fldCharType="begin"/>
      </w:r>
      <w:r>
        <w:instrText xml:space="preserve"> PAGEREF _Toc524061457 \h </w:instrText>
      </w:r>
      <w:r>
        <w:fldChar w:fldCharType="separate"/>
      </w:r>
      <w:r>
        <w:t>90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References to other approvals or decisions</w:t>
      </w:r>
      <w:r>
        <w:tab/>
      </w:r>
      <w:r>
        <w:fldChar w:fldCharType="begin"/>
      </w:r>
      <w:r>
        <w:instrText xml:space="preserve"> PAGEREF _Toc524061458 \h </w:instrText>
      </w:r>
      <w:r>
        <w:fldChar w:fldCharType="separate"/>
      </w:r>
      <w:r>
        <w:t>91</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Licensing, provisions as to</w:t>
      </w:r>
      <w:r>
        <w:tab/>
      </w:r>
      <w:r>
        <w:fldChar w:fldCharType="begin"/>
      </w:r>
      <w:r>
        <w:instrText xml:space="preserve"> PAGEREF _Toc524061459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Part 12 — Review of Act</w:t>
      </w:r>
    </w:p>
    <w:p>
      <w:pPr>
        <w:pStyle w:val="TOC8"/>
        <w:rPr>
          <w:rFonts w:asciiTheme="minorHAnsi" w:eastAsiaTheme="minorEastAsia" w:hAnsiTheme="minorHAnsi" w:cstheme="minorBidi"/>
          <w:szCs w:val="22"/>
        </w:rPr>
      </w:pPr>
      <w:r>
        <w:t>144.</w:t>
      </w:r>
      <w:r>
        <w:tab/>
        <w:t>Minister to review and report on Act</w:t>
      </w:r>
      <w:r>
        <w:tab/>
      </w:r>
      <w:r>
        <w:fldChar w:fldCharType="begin"/>
      </w:r>
      <w:r>
        <w:instrText xml:space="preserve"> PAGEREF _Toc524061461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rPr>
      </w:pPr>
      <w:r>
        <w:t>Schedule 1 — Port authorities and ports</w:t>
      </w:r>
    </w:p>
    <w:p>
      <w:pPr>
        <w:pStyle w:val="TOC2"/>
        <w:tabs>
          <w:tab w:val="right" w:leader="dot" w:pos="7086"/>
        </w:tabs>
        <w:rPr>
          <w:rFonts w:asciiTheme="minorHAnsi" w:eastAsiaTheme="minorEastAsia" w:hAnsiTheme="minorHAnsi" w:cstheme="minorBidi"/>
          <w:b w:val="0"/>
          <w:sz w:val="22"/>
          <w:szCs w:val="22"/>
        </w:rPr>
      </w:pPr>
      <w:r>
        <w:t>Schedule 2 — Provisions about the constitution and proceedings of boards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_Toc524061464 \h </w:instrText>
      </w:r>
      <w:r>
        <w:fldChar w:fldCharType="separate"/>
      </w:r>
      <w:r>
        <w:t>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and removal</w:t>
      </w:r>
      <w:r>
        <w:tab/>
      </w:r>
      <w:r>
        <w:fldChar w:fldCharType="begin"/>
      </w:r>
      <w:r>
        <w:instrText xml:space="preserve"> PAGEREF _Toc524061465 \h </w:instrText>
      </w:r>
      <w:r>
        <w:fldChar w:fldCharType="separate"/>
      </w:r>
      <w:r>
        <w:t>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 and deputy chairperson</w:t>
      </w:r>
      <w:r>
        <w:tab/>
      </w:r>
      <w:r>
        <w:fldChar w:fldCharType="begin"/>
      </w:r>
      <w:r>
        <w:instrText xml:space="preserve"> PAGEREF _Toc524061466 \h </w:instrText>
      </w:r>
      <w:r>
        <w:fldChar w:fldCharType="separate"/>
      </w:r>
      <w:r>
        <w:t>95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Alternate directors</w:t>
      </w:r>
      <w:r>
        <w:tab/>
      </w:r>
      <w:r>
        <w:fldChar w:fldCharType="begin"/>
      </w:r>
      <w:r>
        <w:instrText xml:space="preserve"> PAGEREF _Toc524061467 \h </w:instrText>
      </w:r>
      <w:r>
        <w:fldChar w:fldCharType="separate"/>
      </w:r>
      <w:r>
        <w:t>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_Toc524061468 \h </w:instrText>
      </w:r>
      <w:r>
        <w:fldChar w:fldCharType="separate"/>
      </w:r>
      <w:r>
        <w:t>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Telephone and video meetings</w:t>
      </w:r>
      <w:r>
        <w:tab/>
      </w:r>
      <w:r>
        <w:fldChar w:fldCharType="begin"/>
      </w:r>
      <w:r>
        <w:instrText xml:space="preserve"> PAGEREF _Toc524061469 \h </w:instrText>
      </w:r>
      <w:r>
        <w:fldChar w:fldCharType="separate"/>
      </w:r>
      <w:r>
        <w:t>96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Resolution may be passed without meeting</w:t>
      </w:r>
      <w:r>
        <w:tab/>
      </w:r>
      <w:r>
        <w:fldChar w:fldCharType="begin"/>
      </w:r>
      <w:r>
        <w:instrText xml:space="preserve"> PAGEREF _Toc524061470 \h </w:instrText>
      </w:r>
      <w:r>
        <w:fldChar w:fldCharType="separate"/>
      </w:r>
      <w:r>
        <w:t>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Directors with material personal interests, voting by etc.</w:t>
      </w:r>
      <w:r>
        <w:tab/>
      </w:r>
      <w:r>
        <w:fldChar w:fldCharType="begin"/>
      </w:r>
      <w:r>
        <w:instrText xml:space="preserve"> PAGEREF _Toc524061471 \h </w:instrText>
      </w:r>
      <w:r>
        <w:fldChar w:fldCharType="separate"/>
      </w:r>
      <w:r>
        <w:t>97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 of meetings etc.</w:t>
      </w:r>
      <w:r>
        <w:tab/>
      </w:r>
      <w:r>
        <w:fldChar w:fldCharType="begin"/>
      </w:r>
      <w:r>
        <w:instrText xml:space="preserve"> PAGEREF _Toc524061472 \h </w:instrText>
      </w:r>
      <w:r>
        <w:fldChar w:fldCharType="separate"/>
      </w:r>
      <w:r>
        <w:t>98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Leave of absence</w:t>
      </w:r>
      <w:r>
        <w:tab/>
      </w:r>
      <w:r>
        <w:fldChar w:fldCharType="begin"/>
      </w:r>
      <w:r>
        <w:instrText xml:space="preserve"> PAGEREF _Toc524061473 \h </w:instrText>
      </w:r>
      <w:r>
        <w:fldChar w:fldCharType="separate"/>
      </w:r>
      <w:r>
        <w:t>98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to determine own procedures</w:t>
      </w:r>
      <w:r>
        <w:tab/>
      </w:r>
      <w:r>
        <w:fldChar w:fldCharType="begin"/>
      </w:r>
      <w:r>
        <w:instrText xml:space="preserve"> PAGEREF _Toc524061474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rPr>
      </w:pPr>
      <w:r>
        <w:t>Schedule 3 — Provisions about duties of CEO and staff</w:t>
      </w:r>
    </w:p>
    <w:p>
      <w:pPr>
        <w:pStyle w:val="TOC4"/>
        <w:tabs>
          <w:tab w:val="right" w:leader="dot" w:pos="7086"/>
        </w:tabs>
        <w:rPr>
          <w:rFonts w:asciiTheme="minorHAnsi" w:eastAsiaTheme="minorEastAsia" w:hAnsiTheme="minorHAnsi" w:cstheme="minorBidi"/>
          <w:b w:val="0"/>
          <w:szCs w:val="22"/>
        </w:rPr>
      </w:pPr>
      <w:r>
        <w:t>Division 1 — General duties of CEO</w:t>
      </w:r>
    </w:p>
    <w:p>
      <w:pPr>
        <w:pStyle w:val="TOC8"/>
        <w:rPr>
          <w:rFonts w:asciiTheme="minorHAnsi" w:eastAsiaTheme="minorEastAsia" w:hAnsiTheme="minorHAnsi" w:cstheme="minorBidi"/>
          <w:szCs w:val="22"/>
        </w:rPr>
      </w:pPr>
      <w:r>
        <w:t>1</w:t>
      </w:r>
      <w:r>
        <w:rPr>
          <w:snapToGrid w:val="0"/>
        </w:rPr>
        <w:t>.</w:t>
      </w:r>
      <w:r>
        <w:rPr>
          <w:snapToGrid w:val="0"/>
        </w:rPr>
        <w:tab/>
        <w:t>Duties of CEO</w:t>
      </w:r>
      <w:r>
        <w:tab/>
      </w:r>
      <w:r>
        <w:fldChar w:fldCharType="begin"/>
      </w:r>
      <w:r>
        <w:instrText xml:space="preserve"> PAGEREF _Toc524061477 \h </w:instrText>
      </w:r>
      <w:r>
        <w:fldChar w:fldCharType="separate"/>
      </w:r>
      <w:r>
        <w:t>99</w:t>
      </w:r>
      <w:r>
        <w:fldChar w:fldCharType="end"/>
      </w:r>
    </w:p>
    <w:p>
      <w:pPr>
        <w:pStyle w:val="TOC4"/>
        <w:tabs>
          <w:tab w:val="right" w:leader="dot" w:pos="7086"/>
        </w:tabs>
        <w:rPr>
          <w:rFonts w:asciiTheme="minorHAnsi" w:eastAsiaTheme="minorEastAsia" w:hAnsiTheme="minorHAnsi" w:cstheme="minorBidi"/>
          <w:b w:val="0"/>
          <w:szCs w:val="22"/>
        </w:rPr>
      </w:pPr>
      <w:r>
        <w:t>Division 2 — Particular duties stated</w:t>
      </w:r>
    </w:p>
    <w:p>
      <w:pPr>
        <w:pStyle w:val="TOC8"/>
        <w:rPr>
          <w:rFonts w:asciiTheme="minorHAnsi" w:eastAsiaTheme="minorEastAsia" w:hAnsiTheme="minorHAnsi" w:cstheme="minorBidi"/>
          <w:szCs w:val="22"/>
        </w:rPr>
      </w:pPr>
      <w:r>
        <w:t>2</w:t>
      </w:r>
      <w:r>
        <w:rPr>
          <w:snapToGrid w:val="0"/>
        </w:rPr>
        <w:t>.</w:t>
      </w:r>
      <w:r>
        <w:rPr>
          <w:snapToGrid w:val="0"/>
        </w:rPr>
        <w:tab/>
        <w:t>Term used: officer and interpretation</w:t>
      </w:r>
      <w:r>
        <w:tab/>
      </w:r>
      <w:r>
        <w:fldChar w:fldCharType="begin"/>
      </w:r>
      <w:r>
        <w:instrText xml:space="preserve"> PAGEREF _Toc524061479 \h </w:instrText>
      </w:r>
      <w:r>
        <w:fldChar w:fldCharType="separate"/>
      </w:r>
      <w:r>
        <w:t>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Duty to act honestly</w:t>
      </w:r>
      <w:r>
        <w:tab/>
      </w:r>
      <w:r>
        <w:fldChar w:fldCharType="begin"/>
      </w:r>
      <w:r>
        <w:instrText xml:space="preserve"> PAGEREF _Toc524061480 \h </w:instrText>
      </w:r>
      <w:r>
        <w:fldChar w:fldCharType="separate"/>
      </w:r>
      <w:r>
        <w:t>100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Duty to exercise reasonable care and diligence</w:t>
      </w:r>
      <w:r>
        <w:tab/>
      </w:r>
      <w:r>
        <w:fldChar w:fldCharType="begin"/>
      </w:r>
      <w:r>
        <w:instrText xml:space="preserve"> PAGEREF _Toc524061481 \h </w:instrText>
      </w:r>
      <w:r>
        <w:fldChar w:fldCharType="separate"/>
      </w:r>
      <w:r>
        <w:t>100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Duty not to make improper use of information</w:t>
      </w:r>
      <w:r>
        <w:tab/>
      </w:r>
      <w:r>
        <w:fldChar w:fldCharType="begin"/>
      </w:r>
      <w:r>
        <w:instrText xml:space="preserve"> PAGEREF _Toc524061482 \h </w:instrText>
      </w:r>
      <w:r>
        <w:fldChar w:fldCharType="separate"/>
      </w:r>
      <w:r>
        <w:t>100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Duty not to make improper use of position</w:t>
      </w:r>
      <w:r>
        <w:tab/>
      </w:r>
      <w:r>
        <w:fldChar w:fldCharType="begin"/>
      </w:r>
      <w:r>
        <w:instrText xml:space="preserve"> PAGEREF _Toc524061483 \h </w:instrText>
      </w:r>
      <w:r>
        <w:fldChar w:fldCharType="separate"/>
      </w:r>
      <w:r>
        <w:t>101</w:t>
      </w:r>
      <w:r>
        <w:fldChar w:fldCharType="end"/>
      </w:r>
    </w:p>
    <w:p>
      <w:pPr>
        <w:pStyle w:val="TOC4"/>
        <w:tabs>
          <w:tab w:val="right" w:leader="dot" w:pos="7086"/>
        </w:tabs>
        <w:rPr>
          <w:rFonts w:asciiTheme="minorHAnsi" w:eastAsiaTheme="minorEastAsia" w:hAnsiTheme="minorHAnsi" w:cstheme="minorBidi"/>
          <w:b w:val="0"/>
          <w:szCs w:val="22"/>
        </w:rPr>
      </w:pPr>
      <w:r>
        <w:t>Division 3 — Compensation</w:t>
      </w:r>
    </w:p>
    <w:p>
      <w:pPr>
        <w:pStyle w:val="TOC8"/>
        <w:rPr>
          <w:rFonts w:asciiTheme="minorHAnsi" w:eastAsiaTheme="minorEastAsia" w:hAnsiTheme="minorHAnsi" w:cstheme="minorBidi"/>
          <w:szCs w:val="22"/>
        </w:rPr>
      </w:pPr>
      <w:r>
        <w:t>7</w:t>
      </w:r>
      <w:r>
        <w:rPr>
          <w:snapToGrid w:val="0"/>
        </w:rPr>
        <w:t>.</w:t>
      </w:r>
      <w:r>
        <w:rPr>
          <w:snapToGrid w:val="0"/>
        </w:rPr>
        <w:tab/>
        <w:t>Compensation may be ordered if cl. 3, 4, 5 or 6 offence</w:t>
      </w:r>
      <w:r>
        <w:tab/>
      </w:r>
      <w:r>
        <w:fldChar w:fldCharType="begin"/>
      </w:r>
      <w:r>
        <w:instrText xml:space="preserve"> PAGEREF _Toc524061485 \h </w:instrText>
      </w:r>
      <w:r>
        <w:fldChar w:fldCharType="separate"/>
      </w:r>
      <w:r>
        <w:t>101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Civil recovery if cl. 3, 4, 5 or 6 offence</w:t>
      </w:r>
      <w:r>
        <w:tab/>
      </w:r>
      <w:r>
        <w:fldChar w:fldCharType="begin"/>
      </w:r>
      <w:r>
        <w:instrText xml:space="preserve"> PAGEREF _Toc524061486 \h </w:instrText>
      </w:r>
      <w:r>
        <w:fldChar w:fldCharType="separate"/>
      </w:r>
      <w:r>
        <w:t>101</w:t>
      </w:r>
      <w:r>
        <w:fldChar w:fldCharType="end"/>
      </w:r>
    </w:p>
    <w:p>
      <w:pPr>
        <w:pStyle w:val="TOC4"/>
        <w:tabs>
          <w:tab w:val="right" w:leader="dot" w:pos="7086"/>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rPr>
          <w:snapToGrid w:val="0"/>
        </w:rPr>
        <w:t>.</w:t>
      </w:r>
      <w:r>
        <w:rPr>
          <w:snapToGrid w:val="0"/>
        </w:rPr>
        <w:tab/>
        <w:t>Relief from liability under cl. 1, 7 and 8</w:t>
      </w:r>
      <w:r>
        <w:tab/>
      </w:r>
      <w:r>
        <w:fldChar w:fldCharType="begin"/>
      </w:r>
      <w:r>
        <w:instrText xml:space="preserve"> PAGEREF _Toc524061488 \h </w:instrText>
      </w:r>
      <w:r>
        <w:fldChar w:fldCharType="separate"/>
      </w:r>
      <w:r>
        <w:t>102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relief from liability under cl. 1, 7 or 8</w:t>
      </w:r>
      <w:r>
        <w:tab/>
      </w:r>
      <w:r>
        <w:fldChar w:fldCharType="begin"/>
      </w:r>
      <w:r>
        <w:instrText xml:space="preserve"> PAGEREF _Toc524061489 \h </w:instrText>
      </w:r>
      <w:r>
        <w:fldChar w:fldCharType="separate"/>
      </w:r>
      <w:r>
        <w:t>102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Case as to cl. 9 may be withdrawn from jury</w:t>
      </w:r>
      <w:r>
        <w:tab/>
      </w:r>
      <w:r>
        <w:fldChar w:fldCharType="begin"/>
      </w:r>
      <w:r>
        <w:instrText xml:space="preserve"> PAGEREF _Toc524061490 \h </w:instrText>
      </w:r>
      <w:r>
        <w:fldChar w:fldCharType="separate"/>
      </w:r>
      <w:r>
        <w:t>102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Compliance with directions is not contravention of cl. 1, 3 or 4</w:t>
      </w:r>
      <w:r>
        <w:tab/>
      </w:r>
      <w:r>
        <w:fldChar w:fldCharType="begin"/>
      </w:r>
      <w:r>
        <w:instrText xml:space="preserve"> PAGEREF _Toc524061491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indemnities and exemptions</w:t>
      </w:r>
    </w:p>
    <w:p>
      <w:pPr>
        <w:pStyle w:val="TOC8"/>
        <w:rPr>
          <w:rFonts w:asciiTheme="minorHAnsi" w:eastAsiaTheme="minorEastAsia" w:hAnsiTheme="minorHAnsi" w:cstheme="minorBidi"/>
          <w:szCs w:val="22"/>
        </w:rPr>
      </w:pPr>
      <w:r>
        <w:t>13.</w:t>
      </w:r>
      <w:r>
        <w:tab/>
        <w:t>CEO and executive officers not to be exempted or indemnified for some liability</w:t>
      </w:r>
      <w:r>
        <w:tab/>
      </w:r>
      <w:r>
        <w:fldChar w:fldCharType="begin"/>
      </w:r>
      <w:r>
        <w:instrText xml:space="preserve"> PAGEREF _Toc524061493 \h </w:instrText>
      </w:r>
      <w:r>
        <w:fldChar w:fldCharType="separate"/>
      </w:r>
      <w:r>
        <w:t>103</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_Toc524061494 \h </w:instrText>
      </w:r>
      <w:r>
        <w:fldChar w:fldCharType="separate"/>
      </w:r>
      <w:r>
        <w:t>104</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_Toc524061495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Schedule 4 — Provisions to be included in articles of association of subsidiaries</w:t>
      </w:r>
    </w:p>
    <w:p>
      <w:pPr>
        <w:pStyle w:val="TOC8"/>
        <w:rPr>
          <w:rFonts w:asciiTheme="minorHAnsi" w:eastAsiaTheme="minorEastAsia" w:hAnsiTheme="minorHAnsi" w:cstheme="minorBidi"/>
          <w:szCs w:val="22"/>
        </w:rPr>
      </w:pPr>
      <w:r>
        <w:t>1</w:t>
      </w:r>
      <w:r>
        <w:rPr>
          <w:snapToGrid w:val="0"/>
        </w:rPr>
        <w:t>.</w:t>
      </w:r>
      <w:r>
        <w:rPr>
          <w:snapToGrid w:val="0"/>
        </w:rPr>
        <w:tab/>
        <w:t>Disposal of shares</w:t>
      </w:r>
      <w:r>
        <w:tab/>
      </w:r>
      <w:r>
        <w:fldChar w:fldCharType="begin"/>
      </w:r>
      <w:r>
        <w:instrText xml:space="preserve"> PAGEREF _Toc524061497 \h </w:instrText>
      </w:r>
      <w:r>
        <w:fldChar w:fldCharType="separate"/>
      </w:r>
      <w:r>
        <w:t>105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Directors</w:t>
      </w:r>
      <w:r>
        <w:tab/>
      </w:r>
      <w:r>
        <w:fldChar w:fldCharType="begin"/>
      </w:r>
      <w:r>
        <w:instrText xml:space="preserve"> PAGEREF _Toc524061498 \h </w:instrText>
      </w:r>
      <w:r>
        <w:fldChar w:fldCharType="separate"/>
      </w:r>
      <w:r>
        <w:t>105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Further shares</w:t>
      </w:r>
      <w:r>
        <w:tab/>
      </w:r>
      <w:r>
        <w:fldChar w:fldCharType="begin"/>
      </w:r>
      <w:r>
        <w:instrText xml:space="preserve"> PAGEREF _Toc524061499 \h </w:instrText>
      </w:r>
      <w:r>
        <w:fldChar w:fldCharType="separate"/>
      </w:r>
      <w:r>
        <w:t>105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Subsidiaries of subsidiary</w:t>
      </w:r>
      <w:r>
        <w:tab/>
      </w:r>
      <w:r>
        <w:fldChar w:fldCharType="begin"/>
      </w:r>
      <w:r>
        <w:instrText xml:space="preserve"> PAGEREF _Toc524061500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Schedule 5 — Financial administration and audit</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_Toc524061503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_Toc524061505 \h </w:instrText>
      </w:r>
      <w:r>
        <w:fldChar w:fldCharType="separate"/>
      </w:r>
      <w:r>
        <w:t>107</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_Toc524061506 \h </w:instrText>
      </w:r>
      <w:r>
        <w:fldChar w:fldCharType="separate"/>
      </w:r>
      <w:r>
        <w:t>108</w:t>
      </w:r>
      <w:r>
        <w:fldChar w:fldCharType="end"/>
      </w:r>
    </w:p>
    <w:p>
      <w:pPr>
        <w:pStyle w:val="TOC8"/>
        <w:rPr>
          <w:rFonts w:asciiTheme="minorHAnsi" w:eastAsiaTheme="minorEastAsia" w:hAnsiTheme="minorHAnsi" w:cstheme="minorBidi"/>
          <w:szCs w:val="22"/>
        </w:rPr>
      </w:pPr>
      <w:r>
        <w:t>4.</w:t>
      </w:r>
      <w:r>
        <w:tab/>
        <w:t xml:space="preserve">Place where records are kept </w:t>
      </w:r>
      <w:r>
        <w:rPr>
          <w:i/>
        </w:rPr>
        <w:t>(cf. Corporations Act s. 289)</w:t>
      </w:r>
      <w:r>
        <w:tab/>
      </w:r>
      <w:r>
        <w:fldChar w:fldCharType="begin"/>
      </w:r>
      <w:r>
        <w:instrText xml:space="preserve"> PAGEREF _Toc524061507 \h </w:instrText>
      </w:r>
      <w:r>
        <w:fldChar w:fldCharType="separate"/>
      </w:r>
      <w:r>
        <w:t>108</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_Toc524061508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rPr>
      </w:pPr>
      <w:r>
        <w:t>Division 3 — Financial reporting</w:t>
      </w:r>
    </w:p>
    <w:p>
      <w:pPr>
        <w:pStyle w:val="TOC6"/>
        <w:tabs>
          <w:tab w:val="right" w:leader="dot" w:pos="7086"/>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 and directors’ report </w:t>
      </w:r>
      <w:r>
        <w:rPr>
          <w:i/>
        </w:rPr>
        <w:t>(cf. Corporations Act s. 292)</w:t>
      </w:r>
      <w:r>
        <w:tab/>
      </w:r>
      <w:r>
        <w:fldChar w:fldCharType="begin"/>
      </w:r>
      <w:r>
        <w:instrText xml:space="preserve"> PAGEREF _Toc524061511 \h </w:instrText>
      </w:r>
      <w:r>
        <w:fldChar w:fldCharType="separate"/>
      </w:r>
      <w:r>
        <w:t>109</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_Toc524061512 \h </w:instrText>
      </w:r>
      <w:r>
        <w:fldChar w:fldCharType="separate"/>
      </w:r>
      <w:r>
        <w:t>109</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_Toc524061513 \h </w:instrText>
      </w:r>
      <w:r>
        <w:fldChar w:fldCharType="separate"/>
      </w:r>
      <w:r>
        <w:t>110</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_Toc524061514 \h </w:instrText>
      </w:r>
      <w:r>
        <w:fldChar w:fldCharType="separate"/>
      </w:r>
      <w:r>
        <w:t>111</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_Toc524061515 \h </w:instrText>
      </w:r>
      <w:r>
        <w:fldChar w:fldCharType="separate"/>
      </w:r>
      <w:r>
        <w:t>111</w:t>
      </w:r>
      <w:r>
        <w:fldChar w:fldCharType="end"/>
      </w:r>
    </w:p>
    <w:p>
      <w:pPr>
        <w:pStyle w:val="TOC8"/>
        <w:rPr>
          <w:rFonts w:asciiTheme="minorHAnsi" w:eastAsiaTheme="minorEastAsia" w:hAnsiTheme="minorHAnsi" w:cstheme="minorBidi"/>
          <w:szCs w:val="22"/>
        </w:rPr>
      </w:pPr>
      <w:r>
        <w:t>11.</w:t>
      </w:r>
      <w:r>
        <w:tab/>
        <w:t xml:space="preserve">Annual directors’ report, general information in </w:t>
      </w:r>
      <w:r>
        <w:rPr>
          <w:i/>
        </w:rPr>
        <w:t>(cf. Corporations Act s. 299)</w:t>
      </w:r>
      <w:r>
        <w:tab/>
      </w:r>
      <w:r>
        <w:fldChar w:fldCharType="begin"/>
      </w:r>
      <w:r>
        <w:instrText xml:space="preserve"> PAGEREF _Toc524061516 \h </w:instrText>
      </w:r>
      <w:r>
        <w:fldChar w:fldCharType="separate"/>
      </w:r>
      <w:r>
        <w:t>111</w:t>
      </w:r>
      <w:r>
        <w:fldChar w:fldCharType="end"/>
      </w:r>
    </w:p>
    <w:p>
      <w:pPr>
        <w:pStyle w:val="TOC8"/>
        <w:rPr>
          <w:rFonts w:asciiTheme="minorHAnsi" w:eastAsiaTheme="minorEastAsia" w:hAnsiTheme="minorHAnsi" w:cstheme="minorBidi"/>
          <w:szCs w:val="22"/>
        </w:rPr>
      </w:pPr>
      <w:r>
        <w:t>12.</w:t>
      </w:r>
      <w:r>
        <w:tab/>
        <w:t xml:space="preserve">Annual directors’ report, specific information in </w:t>
      </w:r>
      <w:r>
        <w:rPr>
          <w:i/>
        </w:rPr>
        <w:t>(cf. Corporations Act s. 300)</w:t>
      </w:r>
      <w:r>
        <w:tab/>
      </w:r>
      <w:r>
        <w:fldChar w:fldCharType="begin"/>
      </w:r>
      <w:r>
        <w:instrText xml:space="preserve"> PAGEREF _Toc524061517 \h </w:instrText>
      </w:r>
      <w:r>
        <w:fldChar w:fldCharType="separate"/>
      </w:r>
      <w:r>
        <w:t>113</w:t>
      </w:r>
      <w:r>
        <w:fldChar w:fldCharType="end"/>
      </w:r>
    </w:p>
    <w:p>
      <w:pPr>
        <w:pStyle w:val="TOC8"/>
        <w:rPr>
          <w:rFonts w:asciiTheme="minorHAnsi" w:eastAsiaTheme="minorEastAsia" w:hAnsiTheme="minorHAnsi" w:cstheme="minorBidi"/>
          <w:szCs w:val="22"/>
        </w:rPr>
      </w:pPr>
      <w:r>
        <w:t>13.</w:t>
      </w:r>
      <w:r>
        <w:tab/>
        <w:t xml:space="preserve">Annual directors’ report, other specific information in </w:t>
      </w:r>
      <w:r>
        <w:rPr>
          <w:i/>
        </w:rPr>
        <w:t>(cf. Corporations Act s. 300A)</w:t>
      </w:r>
      <w:r>
        <w:tab/>
      </w:r>
      <w:r>
        <w:fldChar w:fldCharType="begin"/>
      </w:r>
      <w:r>
        <w:instrText xml:space="preserve"> PAGEREF _Toc524061518 \h </w:instrText>
      </w:r>
      <w:r>
        <w:fldChar w:fldCharType="separate"/>
      </w:r>
      <w:r>
        <w:t>113</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_Toc524061519 \h </w:instrText>
      </w:r>
      <w:r>
        <w:fldChar w:fldCharType="separate"/>
      </w:r>
      <w:r>
        <w:t>114</w:t>
      </w:r>
      <w:r>
        <w:fldChar w:fldCharType="end"/>
      </w:r>
    </w:p>
    <w:p>
      <w:pPr>
        <w:pStyle w:val="TOC6"/>
        <w:tabs>
          <w:tab w:val="right" w:leader="dot" w:pos="7086"/>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_Toc524061521 \h </w:instrText>
      </w:r>
      <w:r>
        <w:fldChar w:fldCharType="separate"/>
      </w:r>
      <w:r>
        <w:t>114</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_Toc524061522 \h </w:instrText>
      </w:r>
      <w:r>
        <w:fldChar w:fldCharType="separate"/>
      </w:r>
      <w:r>
        <w:t>114</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_Toc524061523 \h </w:instrText>
      </w:r>
      <w:r>
        <w:fldChar w:fldCharType="separate"/>
      </w:r>
      <w:r>
        <w:t>115</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_Toc524061524 \h </w:instrText>
      </w:r>
      <w:r>
        <w:fldChar w:fldCharType="separate"/>
      </w:r>
      <w:r>
        <w:t>115</w:t>
      </w:r>
      <w:r>
        <w:fldChar w:fldCharType="end"/>
      </w:r>
    </w:p>
    <w:p>
      <w:pPr>
        <w:pStyle w:val="TOC6"/>
        <w:tabs>
          <w:tab w:val="right" w:leader="dot" w:pos="7086"/>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_Toc524061526 \h </w:instrText>
      </w:r>
      <w:r>
        <w:fldChar w:fldCharType="separate"/>
      </w:r>
      <w:r>
        <w:t>116</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_Toc524061527 \h </w:instrText>
      </w:r>
      <w:r>
        <w:fldChar w:fldCharType="separate"/>
      </w:r>
      <w:r>
        <w:t>116</w:t>
      </w:r>
      <w:r>
        <w:fldChar w:fldCharType="end"/>
      </w:r>
    </w:p>
    <w:p>
      <w:pPr>
        <w:pStyle w:val="TOC8"/>
        <w:rPr>
          <w:rFonts w:asciiTheme="minorHAnsi" w:eastAsiaTheme="minorEastAsia" w:hAnsiTheme="minorHAnsi" w:cstheme="minorBidi"/>
          <w:szCs w:val="22"/>
        </w:rPr>
      </w:pPr>
      <w:r>
        <w:t>21.</w:t>
      </w:r>
      <w:r>
        <w:tab/>
        <w:t xml:space="preserve">Controlled entity to assist the Auditor General </w:t>
      </w:r>
      <w:r>
        <w:rPr>
          <w:i/>
        </w:rPr>
        <w:t>(cf. Corporations Act s. 323B)</w:t>
      </w:r>
      <w:r>
        <w:tab/>
      </w:r>
      <w:r>
        <w:fldChar w:fldCharType="begin"/>
      </w:r>
      <w:r>
        <w:instrText xml:space="preserve"> PAGEREF _Toc524061528 \h </w:instrText>
      </w:r>
      <w:r>
        <w:fldChar w:fldCharType="separate"/>
      </w:r>
      <w:r>
        <w:t>116</w:t>
      </w:r>
      <w:r>
        <w:fldChar w:fldCharType="end"/>
      </w:r>
    </w:p>
    <w:p>
      <w:pPr>
        <w:pStyle w:val="TOC8"/>
        <w:rPr>
          <w:rFonts w:asciiTheme="minorHAnsi" w:eastAsiaTheme="minorEastAsia" w:hAnsiTheme="minorHAnsi" w:cstheme="minorBidi"/>
          <w:szCs w:val="22"/>
        </w:rPr>
      </w:pPr>
      <w:r>
        <w:t>22.</w:t>
      </w:r>
      <w:r>
        <w:tab/>
        <w:t xml:space="preserve">Application of cl. 19 to 21 to entity that has ceased to be controlled </w:t>
      </w:r>
      <w:r>
        <w:rPr>
          <w:i/>
        </w:rPr>
        <w:t>(cf. Corporations Act s. 323C)</w:t>
      </w:r>
      <w:r>
        <w:tab/>
      </w:r>
      <w:r>
        <w:fldChar w:fldCharType="begin"/>
      </w:r>
      <w:r>
        <w:instrText xml:space="preserve"> PAGEREF _Toc524061529 \h </w:instrText>
      </w:r>
      <w:r>
        <w:fldChar w:fldCharType="separate"/>
      </w:r>
      <w:r>
        <w:t>117</w:t>
      </w:r>
      <w:r>
        <w:fldChar w:fldCharType="end"/>
      </w:r>
    </w:p>
    <w:p>
      <w:pPr>
        <w:pStyle w:val="TOC6"/>
        <w:tabs>
          <w:tab w:val="right" w:leader="dot" w:pos="7086"/>
        </w:tabs>
        <w:rPr>
          <w:rFonts w:asciiTheme="minorHAnsi" w:eastAsiaTheme="minorEastAsia" w:hAnsiTheme="minorHAnsi" w:cstheme="minorBidi"/>
          <w:b w:val="0"/>
          <w:sz w:val="22"/>
          <w:szCs w:val="22"/>
        </w:rPr>
      </w:pPr>
      <w:r>
        <w:t>Subdivision 4 — Financial years of a port authority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_Toc524061531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_Toc524061533 \h </w:instrText>
      </w:r>
      <w:r>
        <w:fldChar w:fldCharType="separate"/>
      </w:r>
      <w:r>
        <w:t>117</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_Toc524061534 \h </w:instrText>
      </w:r>
      <w:r>
        <w:fldChar w:fldCharType="separate"/>
      </w:r>
      <w:r>
        <w:t>118</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_Toc524061535 \h </w:instrText>
      </w:r>
      <w:r>
        <w:fldChar w:fldCharType="separate"/>
      </w:r>
      <w:r>
        <w:t>118</w:t>
      </w:r>
      <w:r>
        <w:fldChar w:fldCharType="end"/>
      </w:r>
    </w:p>
    <w:p>
      <w:pPr>
        <w:pStyle w:val="TOC8"/>
        <w:rPr>
          <w:rFonts w:asciiTheme="minorHAnsi" w:eastAsiaTheme="minorEastAsia" w:hAnsiTheme="minorHAnsi" w:cstheme="minorBidi"/>
          <w:szCs w:val="22"/>
        </w:rPr>
      </w:pPr>
      <w:r>
        <w:t>27.</w:t>
      </w:r>
      <w:r>
        <w:tab/>
        <w:t>Evidence of text of accounting standard</w:t>
      </w:r>
      <w:r>
        <w:tab/>
      </w:r>
      <w:r>
        <w:fldChar w:fldCharType="begin"/>
      </w:r>
      <w:r>
        <w:instrText xml:space="preserve"> PAGEREF _Toc524061536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5 — Extension of time</w:t>
      </w:r>
    </w:p>
    <w:p>
      <w:pPr>
        <w:pStyle w:val="TOC8"/>
        <w:rPr>
          <w:rFonts w:asciiTheme="minorHAnsi" w:eastAsiaTheme="minorEastAsia" w:hAnsiTheme="minorHAnsi" w:cstheme="minorBidi"/>
          <w:szCs w:val="22"/>
        </w:rPr>
      </w:pPr>
      <w:r>
        <w:t>28.</w:t>
      </w:r>
      <w:r>
        <w:tab/>
        <w:t>Extension of time</w:t>
      </w:r>
      <w:r>
        <w:tab/>
      </w:r>
      <w:r>
        <w:fldChar w:fldCharType="begin"/>
      </w:r>
      <w:r>
        <w:instrText xml:space="preserve"> PAGEREF _Toc524061538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29.</w:t>
      </w:r>
      <w:r>
        <w:tab/>
        <w:t xml:space="preserve">Contravention of Div. 2 and 3 </w:t>
      </w:r>
      <w:r>
        <w:rPr>
          <w:i/>
        </w:rPr>
        <w:t>(cf. Corporations Act s. 344)</w:t>
      </w:r>
      <w:r>
        <w:tab/>
      </w:r>
      <w:r>
        <w:fldChar w:fldCharType="begin"/>
      </w:r>
      <w:r>
        <w:instrText xml:space="preserve"> PAGEREF _Toc524061540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33.</w:t>
      </w:r>
      <w:r>
        <w:tab/>
        <w:t xml:space="preserve">Treasurer’s power to make specific exemption orders </w:t>
      </w:r>
      <w:r>
        <w:rPr>
          <w:i/>
        </w:rPr>
        <w:t>(cf. Corporations Act s. 340)</w:t>
      </w:r>
      <w:r>
        <w:tab/>
      </w:r>
      <w:r>
        <w:fldChar w:fldCharType="begin"/>
      </w:r>
      <w:r>
        <w:instrText xml:space="preserve"> PAGEREF _Toc524061542 \h </w:instrText>
      </w:r>
      <w:r>
        <w:fldChar w:fldCharType="separate"/>
      </w:r>
      <w:r>
        <w:t>120</w:t>
      </w:r>
      <w:r>
        <w:fldChar w:fldCharType="end"/>
      </w:r>
    </w:p>
    <w:p>
      <w:pPr>
        <w:pStyle w:val="TOC8"/>
        <w:rPr>
          <w:rFonts w:asciiTheme="minorHAnsi" w:eastAsiaTheme="minorEastAsia" w:hAnsiTheme="minorHAnsi" w:cstheme="minorBidi"/>
          <w:szCs w:val="22"/>
        </w:rPr>
      </w:pPr>
      <w:r>
        <w:t>33A.</w:t>
      </w:r>
      <w:r>
        <w:tab/>
        <w:t xml:space="preserve">Criteria for specific exemption orders and class orders   </w:t>
      </w:r>
      <w:r>
        <w:rPr>
          <w:i/>
        </w:rPr>
        <w:t>(cf. Corporations Act s. 342)</w:t>
      </w:r>
      <w:r>
        <w:tab/>
      </w:r>
      <w:r>
        <w:fldChar w:fldCharType="begin"/>
      </w:r>
      <w:r>
        <w:instrText xml:space="preserve"> PAGEREF _Toc524061543 \h </w:instrText>
      </w:r>
      <w:r>
        <w:fldChar w:fldCharType="separate"/>
      </w:r>
      <w:r>
        <w:t>121</w:t>
      </w:r>
      <w:r>
        <w:fldChar w:fldCharType="end"/>
      </w:r>
    </w:p>
    <w:p>
      <w:pPr>
        <w:pStyle w:val="TOC8"/>
        <w:rPr>
          <w:rFonts w:asciiTheme="minorHAnsi" w:eastAsiaTheme="minorEastAsia" w:hAnsiTheme="minorHAnsi" w:cstheme="minorBidi"/>
          <w:szCs w:val="22"/>
        </w:rPr>
      </w:pPr>
      <w:r>
        <w:t>34.</w:t>
      </w:r>
      <w:r>
        <w:tab/>
        <w:t xml:space="preserve">Deadline for reporting to Minister </w:t>
      </w:r>
      <w:r>
        <w:rPr>
          <w:i/>
        </w:rPr>
        <w:t>(cf. Corporations Act s. 315)</w:t>
      </w:r>
      <w:r>
        <w:tab/>
      </w:r>
      <w:r>
        <w:fldChar w:fldCharType="begin"/>
      </w:r>
      <w:r>
        <w:instrText xml:space="preserve"> PAGEREF _Toc524061544 \h </w:instrText>
      </w:r>
      <w:r>
        <w:fldChar w:fldCharType="separate"/>
      </w:r>
      <w:r>
        <w:t>121</w:t>
      </w:r>
      <w:r>
        <w:fldChar w:fldCharType="end"/>
      </w:r>
    </w:p>
    <w:p>
      <w:pPr>
        <w:pStyle w:val="TOC8"/>
        <w:rPr>
          <w:rFonts w:asciiTheme="minorHAnsi" w:eastAsiaTheme="minorEastAsia" w:hAnsiTheme="minorHAnsi" w:cstheme="minorBidi"/>
          <w:szCs w:val="22"/>
        </w:rPr>
      </w:pPr>
      <w:r>
        <w:t>35.</w:t>
      </w:r>
      <w:r>
        <w:tab/>
        <w:t xml:space="preserve">Annual report to Minister, content of </w:t>
      </w:r>
      <w:r>
        <w:rPr>
          <w:i/>
        </w:rPr>
        <w:t>(cf. Corporations Act s. 314)</w:t>
      </w:r>
      <w:r>
        <w:tab/>
      </w:r>
      <w:r>
        <w:fldChar w:fldCharType="begin"/>
      </w:r>
      <w:r>
        <w:instrText xml:space="preserve"> PAGEREF _Toc524061545 \h </w:instrText>
      </w:r>
      <w:r>
        <w:fldChar w:fldCharType="separate"/>
      </w:r>
      <w:r>
        <w:t>121</w:t>
      </w:r>
      <w:r>
        <w:fldChar w:fldCharType="end"/>
      </w:r>
    </w:p>
    <w:p>
      <w:pPr>
        <w:pStyle w:val="TOC8"/>
        <w:rPr>
          <w:rFonts w:asciiTheme="minorHAnsi" w:eastAsiaTheme="minorEastAsia" w:hAnsiTheme="minorHAnsi" w:cstheme="minorBidi"/>
          <w:szCs w:val="22"/>
        </w:rPr>
      </w:pPr>
      <w:r>
        <w:t>37.</w:t>
      </w:r>
      <w:r>
        <w:tab/>
        <w:t>Audit, deadline for; interim report</w:t>
      </w:r>
      <w:r>
        <w:tab/>
      </w:r>
      <w:r>
        <w:fldChar w:fldCharType="begin"/>
      </w:r>
      <w:r>
        <w:instrText xml:space="preserve"> PAGEREF _Toc524061546 \h </w:instrText>
      </w:r>
      <w:r>
        <w:fldChar w:fldCharType="separate"/>
      </w:r>
      <w:r>
        <w:t>121</w:t>
      </w:r>
      <w:r>
        <w:fldChar w:fldCharType="end"/>
      </w:r>
    </w:p>
    <w:p>
      <w:pPr>
        <w:pStyle w:val="TOC8"/>
        <w:rPr>
          <w:rFonts w:asciiTheme="minorHAnsi" w:eastAsiaTheme="minorEastAsia" w:hAnsiTheme="minorHAnsi" w:cstheme="minorBidi"/>
          <w:szCs w:val="22"/>
        </w:rPr>
      </w:pPr>
      <w:r>
        <w:t>44.</w:t>
      </w:r>
      <w:r>
        <w:tab/>
        <w:t>Auditor General, duties and powers of</w:t>
      </w:r>
      <w:r>
        <w:tab/>
      </w:r>
      <w:r>
        <w:fldChar w:fldCharType="begin"/>
      </w:r>
      <w:r>
        <w:instrText xml:space="preserve"> PAGEREF _Toc524061547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rPr>
      </w:pPr>
      <w:r>
        <w:t>Schedule 6 — Provisions for Pilbara Ports Authority</w:t>
      </w:r>
    </w:p>
    <w:p>
      <w:pPr>
        <w:pStyle w:val="TOC4"/>
        <w:tabs>
          <w:tab w:val="right" w:leader="dot" w:pos="7086"/>
        </w:tabs>
        <w:rPr>
          <w:rFonts w:asciiTheme="minorHAnsi" w:eastAsiaTheme="minorEastAsia" w:hAnsiTheme="minorHAnsi" w:cstheme="minorBidi"/>
          <w:b w:val="0"/>
          <w:szCs w:val="22"/>
        </w:rPr>
      </w:pPr>
      <w:r>
        <w:t>Division 1 — Port of Dampier</w:t>
      </w:r>
    </w:p>
    <w:p>
      <w:pPr>
        <w:pStyle w:val="TOC8"/>
        <w:rPr>
          <w:rFonts w:asciiTheme="minorHAnsi" w:eastAsiaTheme="minorEastAsia" w:hAnsiTheme="minorHAnsi" w:cstheme="minorBidi"/>
          <w:szCs w:val="22"/>
        </w:rPr>
      </w:pPr>
      <w:r>
        <w:t>1.1</w:t>
      </w:r>
      <w:r>
        <w:rPr>
          <w:snapToGrid w:val="0"/>
        </w:rPr>
        <w:t>.</w:t>
      </w:r>
      <w:r>
        <w:rPr>
          <w:snapToGrid w:val="0"/>
        </w:rPr>
        <w:tab/>
        <w:t>Application of Division</w:t>
      </w:r>
      <w:r>
        <w:tab/>
      </w:r>
      <w:r>
        <w:fldChar w:fldCharType="begin"/>
      </w:r>
      <w:r>
        <w:instrText xml:space="preserve"> PAGEREF _Toc524061550 \h </w:instrText>
      </w:r>
      <w:r>
        <w:fldChar w:fldCharType="separate"/>
      </w:r>
      <w:r>
        <w:t>123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Terms used</w:t>
      </w:r>
      <w:r>
        <w:tab/>
      </w:r>
      <w:r>
        <w:fldChar w:fldCharType="begin"/>
      </w:r>
      <w:r>
        <w:instrText xml:space="preserve"> PAGEREF _Toc524061551 \h </w:instrText>
      </w:r>
      <w:r>
        <w:fldChar w:fldCharType="separate"/>
      </w:r>
      <w:r>
        <w:t>123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does not affect State agreements</w:t>
      </w:r>
      <w:r>
        <w:tab/>
      </w:r>
      <w:r>
        <w:fldChar w:fldCharType="begin"/>
      </w:r>
      <w:r>
        <w:instrText xml:space="preserve"> PAGEREF _Toc524061552 \h </w:instrText>
      </w:r>
      <w:r>
        <w:fldChar w:fldCharType="separate"/>
      </w:r>
      <w:r>
        <w:t>124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Some property excepted from s. 26(1)</w:t>
      </w:r>
      <w:r>
        <w:tab/>
      </w:r>
      <w:r>
        <w:fldChar w:fldCharType="begin"/>
      </w:r>
      <w:r>
        <w:instrText xml:space="preserve"> PAGEREF _Toc524061553 \h </w:instrText>
      </w:r>
      <w:r>
        <w:fldChar w:fldCharType="separate"/>
      </w:r>
      <w:r>
        <w:t>124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Recovery of costs from users, functions include</w:t>
      </w:r>
      <w:r>
        <w:tab/>
      </w:r>
      <w:r>
        <w:fldChar w:fldCharType="begin"/>
      </w:r>
      <w:r>
        <w:instrText xml:space="preserve"> PAGEREF _Toc524061554 \h </w:instrText>
      </w:r>
      <w:r>
        <w:fldChar w:fldCharType="separate"/>
      </w:r>
      <w:r>
        <w:t>124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Companies, Joint Venturers and Salt Company, duties of</w:t>
      </w:r>
      <w:r>
        <w:tab/>
      </w:r>
      <w:r>
        <w:fldChar w:fldCharType="begin"/>
      </w:r>
      <w:r>
        <w:instrText xml:space="preserve"> PAGEREF _Toc524061555 \h </w:instrText>
      </w:r>
      <w:r>
        <w:fldChar w:fldCharType="separate"/>
      </w:r>
      <w:r>
        <w:t>124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Pilotage services, agreements with Companies etc. as to</w:t>
      </w:r>
      <w:r>
        <w:tab/>
      </w:r>
      <w:r>
        <w:fldChar w:fldCharType="begin"/>
      </w:r>
      <w:r>
        <w:instrText xml:space="preserve"> PAGEREF _Toc524061556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rPr>
      </w:pPr>
      <w:r>
        <w:t>Division 2 — Port of Port Hedland</w:t>
      </w:r>
    </w:p>
    <w:p>
      <w:pPr>
        <w:pStyle w:val="TOC8"/>
        <w:rPr>
          <w:rFonts w:asciiTheme="minorHAnsi" w:eastAsiaTheme="minorEastAsia" w:hAnsiTheme="minorHAnsi" w:cstheme="minorBidi"/>
          <w:szCs w:val="22"/>
        </w:rPr>
      </w:pPr>
      <w:r>
        <w:t>2.1</w:t>
      </w:r>
      <w:r>
        <w:rPr>
          <w:snapToGrid w:val="0"/>
        </w:rPr>
        <w:t>.</w:t>
      </w:r>
      <w:r>
        <w:rPr>
          <w:snapToGrid w:val="0"/>
        </w:rPr>
        <w:tab/>
        <w:t>Application of Division</w:t>
      </w:r>
      <w:r>
        <w:tab/>
      </w:r>
      <w:r>
        <w:fldChar w:fldCharType="begin"/>
      </w:r>
      <w:r>
        <w:instrText xml:space="preserve"> PAGEREF _Toc524061558 \h </w:instrText>
      </w:r>
      <w:r>
        <w:fldChar w:fldCharType="separate"/>
      </w:r>
      <w:r>
        <w:t>126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Act does not affect State agreements</w:t>
      </w:r>
      <w:r>
        <w:tab/>
      </w:r>
      <w:r>
        <w:fldChar w:fldCharType="begin"/>
      </w:r>
      <w:r>
        <w:instrText xml:space="preserve"> PAGEREF _Toc524061559 \h </w:instrText>
      </w:r>
      <w:r>
        <w:fldChar w:fldCharType="separate"/>
      </w:r>
      <w:r>
        <w:t>126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Port includes pilotage area for some purposes</w:t>
      </w:r>
      <w:r>
        <w:tab/>
      </w:r>
      <w:r>
        <w:fldChar w:fldCharType="begin"/>
      </w:r>
      <w:r>
        <w:instrText xml:space="preserve"> PAGEREF _Toc524061560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Schedule 7 — Purposes for which, or matters about which, regulations may be made</w:t>
      </w:r>
    </w:p>
    <w:p>
      <w:pPr>
        <w:pStyle w:val="TOC2"/>
        <w:tabs>
          <w:tab w:val="right" w:leader="dot" w:pos="7086"/>
        </w:tabs>
        <w:rPr>
          <w:rFonts w:asciiTheme="minorHAnsi" w:eastAsiaTheme="minorEastAsia" w:hAnsiTheme="minorHAnsi" w:cstheme="minorBidi"/>
          <w:b w:val="0"/>
          <w:sz w:val="22"/>
          <w:szCs w:val="22"/>
        </w:rPr>
      </w:pPr>
      <w:r>
        <w:t>Schedule 8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 xml:space="preserve">Provisions for </w:t>
      </w:r>
      <w:r>
        <w:rPr>
          <w:i/>
        </w:rPr>
        <w:t>Ports Legislation Amendment Act 2014</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_Toc524061565 \h </w:instrText>
      </w:r>
      <w:r>
        <w:fldChar w:fldCharType="separate"/>
      </w:r>
      <w:r>
        <w:t>132</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Provisions for the Southern Ports Authority</w:t>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_Toc524061567 \h </w:instrText>
      </w:r>
      <w:r>
        <w:fldChar w:fldCharType="separate"/>
      </w:r>
      <w:r>
        <w:t>132</w:t>
      </w:r>
      <w:r>
        <w:fldChar w:fldCharType="end"/>
      </w:r>
    </w:p>
    <w:p>
      <w:pPr>
        <w:pStyle w:val="TOC8"/>
        <w:rPr>
          <w:rFonts w:asciiTheme="minorHAnsi" w:eastAsiaTheme="minorEastAsia" w:hAnsiTheme="minorHAnsi" w:cstheme="minorBidi"/>
          <w:szCs w:val="22"/>
        </w:rPr>
      </w:pPr>
      <w:r>
        <w:t>3.</w:t>
      </w:r>
      <w:r>
        <w:tab/>
        <w:t>Merger of Albany Port Authority and Esperance Port Authority into Southern Ports Authority</w:t>
      </w:r>
      <w:r>
        <w:tab/>
      </w:r>
      <w:r>
        <w:fldChar w:fldCharType="begin"/>
      </w:r>
      <w:r>
        <w:instrText xml:space="preserve"> PAGEREF _Toc524061568 \h </w:instrText>
      </w:r>
      <w:r>
        <w:fldChar w:fldCharType="separate"/>
      </w:r>
      <w:r>
        <w:t>133</w:t>
      </w:r>
      <w:r>
        <w:fldChar w:fldCharType="end"/>
      </w:r>
    </w:p>
    <w:p>
      <w:pPr>
        <w:pStyle w:val="TOC8"/>
        <w:rPr>
          <w:rFonts w:asciiTheme="minorHAnsi" w:eastAsiaTheme="minorEastAsia" w:hAnsiTheme="minorHAnsi" w:cstheme="minorBidi"/>
          <w:szCs w:val="22"/>
        </w:rPr>
      </w:pPr>
      <w:r>
        <w:t>4.</w:t>
      </w:r>
      <w:r>
        <w:tab/>
        <w:t>Directors and former directors</w:t>
      </w:r>
      <w:r>
        <w:tab/>
      </w:r>
      <w:r>
        <w:fldChar w:fldCharType="begin"/>
      </w:r>
      <w:r>
        <w:instrText xml:space="preserve"> PAGEREF _Toc524061569 \h </w:instrText>
      </w:r>
      <w:r>
        <w:fldChar w:fldCharType="separate"/>
      </w:r>
      <w:r>
        <w:t>133</w:t>
      </w:r>
      <w:r>
        <w:fldChar w:fldCharType="end"/>
      </w:r>
    </w:p>
    <w:p>
      <w:pPr>
        <w:pStyle w:val="TOC8"/>
        <w:rPr>
          <w:rFonts w:asciiTheme="minorHAnsi" w:eastAsiaTheme="minorEastAsia" w:hAnsiTheme="minorHAnsi" w:cstheme="minorBidi"/>
          <w:szCs w:val="22"/>
        </w:rPr>
      </w:pPr>
      <w:r>
        <w:t>5.</w:t>
      </w:r>
      <w:r>
        <w:tab/>
        <w:t>Powers of new board in anticipation of merger</w:t>
      </w:r>
      <w:r>
        <w:tab/>
      </w:r>
      <w:r>
        <w:fldChar w:fldCharType="begin"/>
      </w:r>
      <w:r>
        <w:instrText xml:space="preserve"> PAGEREF _Toc524061570 \h </w:instrText>
      </w:r>
      <w:r>
        <w:fldChar w:fldCharType="separate"/>
      </w:r>
      <w:r>
        <w:t>134</w:t>
      </w:r>
      <w:r>
        <w:fldChar w:fldCharType="end"/>
      </w:r>
    </w:p>
    <w:p>
      <w:pPr>
        <w:pStyle w:val="TOC8"/>
        <w:rPr>
          <w:rFonts w:asciiTheme="minorHAnsi" w:eastAsiaTheme="minorEastAsia" w:hAnsiTheme="minorHAnsi" w:cstheme="minorBidi"/>
          <w:szCs w:val="22"/>
        </w:rPr>
      </w:pPr>
      <w:r>
        <w:t>6.</w:t>
      </w:r>
      <w:r>
        <w:tab/>
        <w:t>CEOs and members of staff</w:t>
      </w:r>
      <w:r>
        <w:tab/>
      </w:r>
      <w:r>
        <w:fldChar w:fldCharType="begin"/>
      </w:r>
      <w:r>
        <w:instrText xml:space="preserve"> PAGEREF _Toc524061571 \h </w:instrText>
      </w:r>
      <w:r>
        <w:fldChar w:fldCharType="separate"/>
      </w:r>
      <w:r>
        <w:t>134</w:t>
      </w:r>
      <w:r>
        <w:fldChar w:fldCharType="end"/>
      </w:r>
    </w:p>
    <w:p>
      <w:pPr>
        <w:pStyle w:val="TOC8"/>
        <w:rPr>
          <w:rFonts w:asciiTheme="minorHAnsi" w:eastAsiaTheme="minorEastAsia" w:hAnsiTheme="minorHAnsi" w:cstheme="minorBidi"/>
          <w:szCs w:val="22"/>
        </w:rPr>
      </w:pPr>
      <w:r>
        <w:t>7.</w:t>
      </w:r>
      <w:r>
        <w:tab/>
        <w:t>Preservation of rights</w:t>
      </w:r>
      <w:r>
        <w:tab/>
      </w:r>
      <w:r>
        <w:fldChar w:fldCharType="begin"/>
      </w:r>
      <w:r>
        <w:instrText xml:space="preserve"> PAGEREF _Toc524061572 \h </w:instrText>
      </w:r>
      <w:r>
        <w:fldChar w:fldCharType="separate"/>
      </w:r>
      <w:r>
        <w:t>135</w:t>
      </w:r>
      <w:r>
        <w:fldChar w:fldCharType="end"/>
      </w:r>
    </w:p>
    <w:p>
      <w:pPr>
        <w:pStyle w:val="TOC8"/>
        <w:rPr>
          <w:rFonts w:asciiTheme="minorHAnsi" w:eastAsiaTheme="minorEastAsia" w:hAnsiTheme="minorHAnsi" w:cstheme="minorBidi"/>
          <w:szCs w:val="22"/>
        </w:rPr>
      </w:pPr>
      <w:r>
        <w:t>8.</w:t>
      </w:r>
      <w:r>
        <w:tab/>
        <w:t>Devolution of assets, liabilities, proceedings, remedies and immunities</w:t>
      </w:r>
      <w:r>
        <w:tab/>
      </w:r>
      <w:r>
        <w:fldChar w:fldCharType="begin"/>
      </w:r>
      <w:r>
        <w:instrText xml:space="preserve"> PAGEREF _Toc524061573 \h </w:instrText>
      </w:r>
      <w:r>
        <w:fldChar w:fldCharType="separate"/>
      </w:r>
      <w:r>
        <w:t>136</w:t>
      </w:r>
      <w:r>
        <w:fldChar w:fldCharType="end"/>
      </w:r>
    </w:p>
    <w:p>
      <w:pPr>
        <w:pStyle w:val="TOC8"/>
        <w:rPr>
          <w:rFonts w:asciiTheme="minorHAnsi" w:eastAsiaTheme="minorEastAsia" w:hAnsiTheme="minorHAnsi" w:cstheme="minorBidi"/>
          <w:szCs w:val="22"/>
        </w:rPr>
      </w:pPr>
      <w:r>
        <w:t>9.</w:t>
      </w:r>
      <w:r>
        <w:tab/>
        <w:t>Completion of things commenced</w:t>
      </w:r>
      <w:r>
        <w:tab/>
      </w:r>
      <w:r>
        <w:fldChar w:fldCharType="begin"/>
      </w:r>
      <w:r>
        <w:instrText xml:space="preserve"> PAGEREF _Toc524061574 \h </w:instrText>
      </w:r>
      <w:r>
        <w:fldChar w:fldCharType="separate"/>
      </w:r>
      <w:r>
        <w:t>137</w:t>
      </w:r>
      <w:r>
        <w:fldChar w:fldCharType="end"/>
      </w:r>
    </w:p>
    <w:p>
      <w:pPr>
        <w:pStyle w:val="TOC8"/>
        <w:rPr>
          <w:rFonts w:asciiTheme="minorHAnsi" w:eastAsiaTheme="minorEastAsia" w:hAnsiTheme="minorHAnsi" w:cstheme="minorBidi"/>
          <w:szCs w:val="22"/>
        </w:rPr>
      </w:pPr>
      <w:r>
        <w:t>10.</w:t>
      </w:r>
      <w:r>
        <w:tab/>
        <w:t>Continuing effect of things done</w:t>
      </w:r>
      <w:r>
        <w:tab/>
      </w:r>
      <w:r>
        <w:fldChar w:fldCharType="begin"/>
      </w:r>
      <w:r>
        <w:instrText xml:space="preserve"> PAGEREF _Toc524061575 \h </w:instrText>
      </w:r>
      <w:r>
        <w:fldChar w:fldCharType="separate"/>
      </w:r>
      <w:r>
        <w:t>137</w:t>
      </w:r>
      <w:r>
        <w:fldChar w:fldCharType="end"/>
      </w:r>
    </w:p>
    <w:p>
      <w:pPr>
        <w:pStyle w:val="TOC8"/>
        <w:rPr>
          <w:rFonts w:asciiTheme="minorHAnsi" w:eastAsiaTheme="minorEastAsia" w:hAnsiTheme="minorHAnsi" w:cstheme="minorBidi"/>
          <w:szCs w:val="22"/>
        </w:rPr>
      </w:pPr>
      <w:r>
        <w:t>11.</w:t>
      </w:r>
      <w:r>
        <w:tab/>
        <w:t>Agreements, instruments and documents</w:t>
      </w:r>
      <w:r>
        <w:tab/>
      </w:r>
      <w:r>
        <w:fldChar w:fldCharType="begin"/>
      </w:r>
      <w:r>
        <w:instrText xml:space="preserve"> PAGEREF _Toc524061576 \h </w:instrText>
      </w:r>
      <w:r>
        <w:fldChar w:fldCharType="separate"/>
      </w:r>
      <w:r>
        <w:t>137</w:t>
      </w:r>
      <w:r>
        <w:fldChar w:fldCharType="end"/>
      </w:r>
    </w:p>
    <w:p>
      <w:pPr>
        <w:pStyle w:val="TOC8"/>
        <w:rPr>
          <w:rFonts w:asciiTheme="minorHAnsi" w:eastAsiaTheme="minorEastAsia" w:hAnsiTheme="minorHAnsi" w:cstheme="minorBidi"/>
          <w:szCs w:val="22"/>
        </w:rPr>
      </w:pPr>
      <w:r>
        <w:t>12.</w:t>
      </w:r>
      <w:r>
        <w:tab/>
        <w:t>Port authorities to implement or facilitate merger and share costs</w:t>
      </w:r>
      <w:r>
        <w:tab/>
      </w:r>
      <w:r>
        <w:fldChar w:fldCharType="begin"/>
      </w:r>
      <w:r>
        <w:instrText xml:space="preserve"> PAGEREF _Toc524061577 \h </w:instrText>
      </w:r>
      <w:r>
        <w:fldChar w:fldCharType="separate"/>
      </w:r>
      <w:r>
        <w:t>138</w:t>
      </w:r>
      <w:r>
        <w:fldChar w:fldCharType="end"/>
      </w:r>
    </w:p>
    <w:p>
      <w:pPr>
        <w:pStyle w:val="TOC8"/>
        <w:rPr>
          <w:rFonts w:asciiTheme="minorHAnsi" w:eastAsiaTheme="minorEastAsia" w:hAnsiTheme="minorHAnsi" w:cstheme="minorBidi"/>
          <w:szCs w:val="22"/>
        </w:rPr>
      </w:pPr>
      <w:r>
        <w:t>13.</w:t>
      </w:r>
      <w:r>
        <w:tab/>
        <w:t>Financial reporting</w:t>
      </w:r>
      <w:r>
        <w:tab/>
      </w:r>
      <w:r>
        <w:fldChar w:fldCharType="begin"/>
      </w:r>
      <w:r>
        <w:instrText xml:space="preserve"> PAGEREF _Toc524061578 \h </w:instrText>
      </w:r>
      <w:r>
        <w:fldChar w:fldCharType="separate"/>
      </w:r>
      <w:r>
        <w:t>140</w:t>
      </w:r>
      <w:r>
        <w:fldChar w:fldCharType="end"/>
      </w:r>
    </w:p>
    <w:p>
      <w:pPr>
        <w:pStyle w:val="TOC8"/>
        <w:rPr>
          <w:rFonts w:asciiTheme="minorHAnsi" w:eastAsiaTheme="minorEastAsia" w:hAnsiTheme="minorHAnsi" w:cstheme="minorBidi"/>
          <w:szCs w:val="22"/>
        </w:rPr>
      </w:pPr>
      <w:r>
        <w:t>14.</w:t>
      </w:r>
      <w:r>
        <w:tab/>
        <w:t>Dividends</w:t>
      </w:r>
      <w:r>
        <w:tab/>
      </w:r>
      <w:r>
        <w:fldChar w:fldCharType="begin"/>
      </w:r>
      <w:r>
        <w:instrText xml:space="preserve"> PAGEREF _Toc524061579 \h </w:instrText>
      </w:r>
      <w:r>
        <w:fldChar w:fldCharType="separate"/>
      </w:r>
      <w:r>
        <w:t>142</w:t>
      </w:r>
      <w:r>
        <w:fldChar w:fldCharType="end"/>
      </w:r>
    </w:p>
    <w:p>
      <w:pPr>
        <w:pStyle w:val="TOC8"/>
        <w:rPr>
          <w:rFonts w:asciiTheme="minorHAnsi" w:eastAsiaTheme="minorEastAsia" w:hAnsiTheme="minorHAnsi" w:cstheme="minorBidi"/>
          <w:szCs w:val="22"/>
        </w:rPr>
      </w:pPr>
      <w:r>
        <w:t>15.</w:t>
      </w:r>
      <w:r>
        <w:tab/>
        <w:t>Transitional regulations</w:t>
      </w:r>
      <w:r>
        <w:tab/>
      </w:r>
      <w:r>
        <w:fldChar w:fldCharType="begin"/>
      </w:r>
      <w:r>
        <w:instrText xml:space="preserve"> PAGEREF _Toc524061580 \h </w:instrText>
      </w:r>
      <w:r>
        <w:fldChar w:fldCharType="separate"/>
      </w:r>
      <w:r>
        <w:t>142</w:t>
      </w:r>
      <w:r>
        <w:fldChar w:fldCharType="end"/>
      </w:r>
    </w:p>
    <w:p>
      <w:pPr>
        <w:pStyle w:val="TOC6"/>
        <w:tabs>
          <w:tab w:val="right" w:leader="dot" w:pos="7086"/>
        </w:tabs>
        <w:rPr>
          <w:rFonts w:asciiTheme="minorHAnsi" w:eastAsiaTheme="minorEastAsia" w:hAnsiTheme="minorHAnsi" w:cstheme="minorBidi"/>
          <w:b w:val="0"/>
          <w:sz w:val="22"/>
          <w:szCs w:val="22"/>
        </w:rPr>
      </w:pPr>
      <w:r>
        <w:t>Subdivision 3</w:t>
      </w:r>
      <w:r>
        <w:rPr>
          <w:b w:val="0"/>
        </w:rPr>
        <w:t> — </w:t>
      </w:r>
      <w:r>
        <w:t>Provisions for the Mid West Ports Authority</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_Toc524061582 \h </w:instrText>
      </w:r>
      <w:r>
        <w:fldChar w:fldCharType="separate"/>
      </w:r>
      <w:r>
        <w:t>143</w:t>
      </w:r>
      <w:r>
        <w:fldChar w:fldCharType="end"/>
      </w:r>
    </w:p>
    <w:p>
      <w:pPr>
        <w:pStyle w:val="TOC8"/>
        <w:rPr>
          <w:rFonts w:asciiTheme="minorHAnsi" w:eastAsiaTheme="minorEastAsia" w:hAnsiTheme="minorHAnsi" w:cstheme="minorBidi"/>
          <w:szCs w:val="22"/>
        </w:rPr>
      </w:pPr>
      <w:r>
        <w:t>17.</w:t>
      </w:r>
      <w:r>
        <w:tab/>
        <w:t>Directors and former directors</w:t>
      </w:r>
      <w:r>
        <w:tab/>
      </w:r>
      <w:r>
        <w:fldChar w:fldCharType="begin"/>
      </w:r>
      <w:r>
        <w:instrText xml:space="preserve"> PAGEREF _Toc524061583 \h </w:instrText>
      </w:r>
      <w:r>
        <w:fldChar w:fldCharType="separate"/>
      </w:r>
      <w:r>
        <w:t>143</w:t>
      </w:r>
      <w:r>
        <w:fldChar w:fldCharType="end"/>
      </w:r>
    </w:p>
    <w:p>
      <w:pPr>
        <w:pStyle w:val="TOC8"/>
        <w:rPr>
          <w:rFonts w:asciiTheme="minorHAnsi" w:eastAsiaTheme="minorEastAsia" w:hAnsiTheme="minorHAnsi" w:cstheme="minorBidi"/>
          <w:szCs w:val="22"/>
        </w:rPr>
      </w:pPr>
      <w:r>
        <w:t>18.</w:t>
      </w:r>
      <w:r>
        <w:tab/>
        <w:t>Powers of new board in anticipation of renaming</w:t>
      </w:r>
      <w:r>
        <w:tab/>
      </w:r>
      <w:r>
        <w:fldChar w:fldCharType="begin"/>
      </w:r>
      <w:r>
        <w:instrText xml:space="preserve"> PAGEREF _Toc524061584 \h </w:instrText>
      </w:r>
      <w:r>
        <w:fldChar w:fldCharType="separate"/>
      </w:r>
      <w:r>
        <w:t>144</w:t>
      </w:r>
      <w:r>
        <w:fldChar w:fldCharType="end"/>
      </w:r>
    </w:p>
    <w:p>
      <w:pPr>
        <w:pStyle w:val="TOC8"/>
        <w:rPr>
          <w:rFonts w:asciiTheme="minorHAnsi" w:eastAsiaTheme="minorEastAsia" w:hAnsiTheme="minorHAnsi" w:cstheme="minorBidi"/>
          <w:szCs w:val="22"/>
        </w:rPr>
      </w:pPr>
      <w:r>
        <w:t>19.</w:t>
      </w:r>
      <w:r>
        <w:tab/>
        <w:t>CEO and staff</w:t>
      </w:r>
      <w:r>
        <w:tab/>
      </w:r>
      <w:r>
        <w:fldChar w:fldCharType="begin"/>
      </w:r>
      <w:r>
        <w:instrText xml:space="preserve"> PAGEREF _Toc524061585 \h </w:instrText>
      </w:r>
      <w:r>
        <w:fldChar w:fldCharType="separate"/>
      </w:r>
      <w:r>
        <w:t>144</w:t>
      </w:r>
      <w:r>
        <w:fldChar w:fldCharType="end"/>
      </w:r>
    </w:p>
    <w:p>
      <w:pPr>
        <w:pStyle w:val="TOC8"/>
        <w:rPr>
          <w:rFonts w:asciiTheme="minorHAnsi" w:eastAsiaTheme="minorEastAsia" w:hAnsiTheme="minorHAnsi" w:cstheme="minorBidi"/>
          <w:szCs w:val="22"/>
        </w:rPr>
      </w:pPr>
      <w:r>
        <w:t>20.</w:t>
      </w:r>
      <w:r>
        <w:tab/>
        <w:t>Agreements, instruments and documents</w:t>
      </w:r>
      <w:r>
        <w:tab/>
      </w:r>
      <w:r>
        <w:fldChar w:fldCharType="begin"/>
      </w:r>
      <w:r>
        <w:instrText xml:space="preserve"> PAGEREF _Toc524061586 \h </w:instrText>
      </w:r>
      <w:r>
        <w:fldChar w:fldCharType="separate"/>
      </w:r>
      <w:r>
        <w:t>145</w:t>
      </w:r>
      <w:r>
        <w:fldChar w:fldCharType="end"/>
      </w:r>
    </w:p>
    <w:p>
      <w:pPr>
        <w:pStyle w:val="TOC8"/>
        <w:rPr>
          <w:rFonts w:asciiTheme="minorHAnsi" w:eastAsiaTheme="minorEastAsia" w:hAnsiTheme="minorHAnsi" w:cstheme="minorBidi"/>
          <w:szCs w:val="22"/>
        </w:rPr>
      </w:pPr>
      <w:r>
        <w:t>21.</w:t>
      </w:r>
      <w:r>
        <w:tab/>
        <w:t>Port authority to implement or facilitate renaming</w:t>
      </w:r>
      <w:r>
        <w:tab/>
      </w:r>
      <w:r>
        <w:fldChar w:fldCharType="begin"/>
      </w:r>
      <w:r>
        <w:instrText xml:space="preserve"> PAGEREF _Toc524061587 \h </w:instrText>
      </w:r>
      <w:r>
        <w:fldChar w:fldCharType="separate"/>
      </w:r>
      <w:r>
        <w:t>146</w:t>
      </w:r>
      <w:r>
        <w:fldChar w:fldCharType="end"/>
      </w:r>
    </w:p>
    <w:p>
      <w:pPr>
        <w:pStyle w:val="TOC8"/>
        <w:rPr>
          <w:rFonts w:asciiTheme="minorHAnsi" w:eastAsiaTheme="minorEastAsia" w:hAnsiTheme="minorHAnsi" w:cstheme="minorBidi"/>
          <w:szCs w:val="22"/>
        </w:rPr>
      </w:pPr>
      <w:r>
        <w:t>22.</w:t>
      </w:r>
      <w:r>
        <w:tab/>
        <w:t>Transitional regulations</w:t>
      </w:r>
      <w:r>
        <w:tab/>
      </w:r>
      <w:r>
        <w:fldChar w:fldCharType="begin"/>
      </w:r>
      <w:r>
        <w:instrText xml:space="preserve"> PAGEREF _Toc524061588 \h </w:instrText>
      </w:r>
      <w:r>
        <w:fldChar w:fldCharType="separate"/>
      </w:r>
      <w:r>
        <w:t>146</w:t>
      </w:r>
      <w:r>
        <w:fldChar w:fldCharType="end"/>
      </w:r>
    </w:p>
    <w:p>
      <w:pPr>
        <w:pStyle w:val="TOC6"/>
        <w:tabs>
          <w:tab w:val="right" w:leader="dot" w:pos="7086"/>
        </w:tabs>
        <w:rPr>
          <w:rFonts w:asciiTheme="minorHAnsi" w:eastAsiaTheme="minorEastAsia" w:hAnsiTheme="minorHAnsi" w:cstheme="minorBidi"/>
          <w:b w:val="0"/>
          <w:sz w:val="22"/>
          <w:szCs w:val="22"/>
        </w:rPr>
      </w:pPr>
      <w:r>
        <w:t>Subdivision 4</w:t>
      </w:r>
      <w:r>
        <w:rPr>
          <w:b w:val="0"/>
        </w:rPr>
        <w:t> — </w:t>
      </w:r>
      <w:r>
        <w:t>Provisions for the Pilbara Ports Authority</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_Toc524061590 \h </w:instrText>
      </w:r>
      <w:r>
        <w:fldChar w:fldCharType="separate"/>
      </w:r>
      <w:r>
        <w:t>147</w:t>
      </w:r>
      <w:r>
        <w:fldChar w:fldCharType="end"/>
      </w:r>
    </w:p>
    <w:p>
      <w:pPr>
        <w:pStyle w:val="TOC8"/>
        <w:rPr>
          <w:rFonts w:asciiTheme="minorHAnsi" w:eastAsiaTheme="minorEastAsia" w:hAnsiTheme="minorHAnsi" w:cstheme="minorBidi"/>
          <w:szCs w:val="22"/>
        </w:rPr>
      </w:pPr>
      <w:r>
        <w:t>24.</w:t>
      </w:r>
      <w:r>
        <w:tab/>
        <w:t>Merger of Dampier Port Authority into Pilbara Ports Authority</w:t>
      </w:r>
      <w:r>
        <w:tab/>
      </w:r>
      <w:r>
        <w:fldChar w:fldCharType="begin"/>
      </w:r>
      <w:r>
        <w:instrText xml:space="preserve"> PAGEREF _Toc524061591 \h </w:instrText>
      </w:r>
      <w:r>
        <w:fldChar w:fldCharType="separate"/>
      </w:r>
      <w:r>
        <w:t>147</w:t>
      </w:r>
      <w:r>
        <w:fldChar w:fldCharType="end"/>
      </w:r>
    </w:p>
    <w:p>
      <w:pPr>
        <w:pStyle w:val="TOC8"/>
        <w:rPr>
          <w:rFonts w:asciiTheme="minorHAnsi" w:eastAsiaTheme="minorEastAsia" w:hAnsiTheme="minorHAnsi" w:cstheme="minorBidi"/>
          <w:szCs w:val="22"/>
        </w:rPr>
      </w:pPr>
      <w:r>
        <w:t>25.</w:t>
      </w:r>
      <w:r>
        <w:tab/>
        <w:t>Directors and former directors</w:t>
      </w:r>
      <w:r>
        <w:tab/>
      </w:r>
      <w:r>
        <w:fldChar w:fldCharType="begin"/>
      </w:r>
      <w:r>
        <w:instrText xml:space="preserve"> PAGEREF _Toc524061592 \h </w:instrText>
      </w:r>
      <w:r>
        <w:fldChar w:fldCharType="separate"/>
      </w:r>
      <w:r>
        <w:t>148</w:t>
      </w:r>
      <w:r>
        <w:fldChar w:fldCharType="end"/>
      </w:r>
    </w:p>
    <w:p>
      <w:pPr>
        <w:pStyle w:val="TOC8"/>
        <w:rPr>
          <w:rFonts w:asciiTheme="minorHAnsi" w:eastAsiaTheme="minorEastAsia" w:hAnsiTheme="minorHAnsi" w:cstheme="minorBidi"/>
          <w:szCs w:val="22"/>
        </w:rPr>
      </w:pPr>
      <w:r>
        <w:t>26.</w:t>
      </w:r>
      <w:r>
        <w:tab/>
        <w:t>Powers of new board in anticipation of merger</w:t>
      </w:r>
      <w:r>
        <w:tab/>
      </w:r>
      <w:r>
        <w:fldChar w:fldCharType="begin"/>
      </w:r>
      <w:r>
        <w:instrText xml:space="preserve"> PAGEREF _Toc524061593 \h </w:instrText>
      </w:r>
      <w:r>
        <w:fldChar w:fldCharType="separate"/>
      </w:r>
      <w:r>
        <w:t>148</w:t>
      </w:r>
      <w:r>
        <w:fldChar w:fldCharType="end"/>
      </w:r>
    </w:p>
    <w:p>
      <w:pPr>
        <w:pStyle w:val="TOC8"/>
        <w:rPr>
          <w:rFonts w:asciiTheme="minorHAnsi" w:eastAsiaTheme="minorEastAsia" w:hAnsiTheme="minorHAnsi" w:cstheme="minorBidi"/>
          <w:szCs w:val="22"/>
        </w:rPr>
      </w:pPr>
      <w:r>
        <w:t>27.</w:t>
      </w:r>
      <w:r>
        <w:tab/>
        <w:t>CEOs and members of staff</w:t>
      </w:r>
      <w:r>
        <w:tab/>
      </w:r>
      <w:r>
        <w:fldChar w:fldCharType="begin"/>
      </w:r>
      <w:r>
        <w:instrText xml:space="preserve"> PAGEREF _Toc524061594 \h </w:instrText>
      </w:r>
      <w:r>
        <w:fldChar w:fldCharType="separate"/>
      </w:r>
      <w:r>
        <w:t>149</w:t>
      </w:r>
      <w:r>
        <w:fldChar w:fldCharType="end"/>
      </w:r>
    </w:p>
    <w:p>
      <w:pPr>
        <w:pStyle w:val="TOC8"/>
        <w:rPr>
          <w:rFonts w:asciiTheme="minorHAnsi" w:eastAsiaTheme="minorEastAsia" w:hAnsiTheme="minorHAnsi" w:cstheme="minorBidi"/>
          <w:szCs w:val="22"/>
        </w:rPr>
      </w:pPr>
      <w:r>
        <w:t>28.</w:t>
      </w:r>
      <w:r>
        <w:tab/>
        <w:t>Preservation of rights</w:t>
      </w:r>
      <w:r>
        <w:tab/>
      </w:r>
      <w:r>
        <w:fldChar w:fldCharType="begin"/>
      </w:r>
      <w:r>
        <w:instrText xml:space="preserve"> PAGEREF _Toc524061595 \h </w:instrText>
      </w:r>
      <w:r>
        <w:fldChar w:fldCharType="separate"/>
      </w:r>
      <w:r>
        <w:t>149</w:t>
      </w:r>
      <w:r>
        <w:fldChar w:fldCharType="end"/>
      </w:r>
    </w:p>
    <w:p>
      <w:pPr>
        <w:pStyle w:val="TOC8"/>
        <w:rPr>
          <w:rFonts w:asciiTheme="minorHAnsi" w:eastAsiaTheme="minorEastAsia" w:hAnsiTheme="minorHAnsi" w:cstheme="minorBidi"/>
          <w:szCs w:val="22"/>
        </w:rPr>
      </w:pPr>
      <w:r>
        <w:t>29.</w:t>
      </w:r>
      <w:r>
        <w:tab/>
        <w:t>Devolution of assets, liabilities, proceedings, remedies and immunities</w:t>
      </w:r>
      <w:r>
        <w:tab/>
      </w:r>
      <w:r>
        <w:fldChar w:fldCharType="begin"/>
      </w:r>
      <w:r>
        <w:instrText xml:space="preserve"> PAGEREF _Toc524061596 \h </w:instrText>
      </w:r>
      <w:r>
        <w:fldChar w:fldCharType="separate"/>
      </w:r>
      <w:r>
        <w:t>150</w:t>
      </w:r>
      <w:r>
        <w:fldChar w:fldCharType="end"/>
      </w:r>
    </w:p>
    <w:p>
      <w:pPr>
        <w:pStyle w:val="TOC8"/>
        <w:rPr>
          <w:rFonts w:asciiTheme="minorHAnsi" w:eastAsiaTheme="minorEastAsia" w:hAnsiTheme="minorHAnsi" w:cstheme="minorBidi"/>
          <w:szCs w:val="22"/>
        </w:rPr>
      </w:pPr>
      <w:r>
        <w:t>30.</w:t>
      </w:r>
      <w:r>
        <w:tab/>
        <w:t>Completion of things commenced</w:t>
      </w:r>
      <w:r>
        <w:tab/>
      </w:r>
      <w:r>
        <w:fldChar w:fldCharType="begin"/>
      </w:r>
      <w:r>
        <w:instrText xml:space="preserve"> PAGEREF _Toc524061597 \h </w:instrText>
      </w:r>
      <w:r>
        <w:fldChar w:fldCharType="separate"/>
      </w:r>
      <w:r>
        <w:t>151</w:t>
      </w:r>
      <w:r>
        <w:fldChar w:fldCharType="end"/>
      </w:r>
    </w:p>
    <w:p>
      <w:pPr>
        <w:pStyle w:val="TOC8"/>
        <w:rPr>
          <w:rFonts w:asciiTheme="minorHAnsi" w:eastAsiaTheme="minorEastAsia" w:hAnsiTheme="minorHAnsi" w:cstheme="minorBidi"/>
          <w:szCs w:val="22"/>
        </w:rPr>
      </w:pPr>
      <w:r>
        <w:t>31.</w:t>
      </w:r>
      <w:r>
        <w:tab/>
        <w:t>Continuing effect of things done</w:t>
      </w:r>
      <w:r>
        <w:tab/>
      </w:r>
      <w:r>
        <w:fldChar w:fldCharType="begin"/>
      </w:r>
      <w:r>
        <w:instrText xml:space="preserve"> PAGEREF _Toc524061598 \h </w:instrText>
      </w:r>
      <w:r>
        <w:fldChar w:fldCharType="separate"/>
      </w:r>
      <w:r>
        <w:t>151</w:t>
      </w:r>
      <w:r>
        <w:fldChar w:fldCharType="end"/>
      </w:r>
    </w:p>
    <w:p>
      <w:pPr>
        <w:pStyle w:val="TOC8"/>
        <w:rPr>
          <w:rFonts w:asciiTheme="minorHAnsi" w:eastAsiaTheme="minorEastAsia" w:hAnsiTheme="minorHAnsi" w:cstheme="minorBidi"/>
          <w:szCs w:val="22"/>
        </w:rPr>
      </w:pPr>
      <w:r>
        <w:t>32.</w:t>
      </w:r>
      <w:r>
        <w:tab/>
        <w:t>Agreements, instruments and documents</w:t>
      </w:r>
      <w:r>
        <w:tab/>
      </w:r>
      <w:r>
        <w:fldChar w:fldCharType="begin"/>
      </w:r>
      <w:r>
        <w:instrText xml:space="preserve"> PAGEREF _Toc524061599 \h </w:instrText>
      </w:r>
      <w:r>
        <w:fldChar w:fldCharType="separate"/>
      </w:r>
      <w:r>
        <w:t>152</w:t>
      </w:r>
      <w:r>
        <w:fldChar w:fldCharType="end"/>
      </w:r>
    </w:p>
    <w:p>
      <w:pPr>
        <w:pStyle w:val="TOC8"/>
        <w:rPr>
          <w:rFonts w:asciiTheme="minorHAnsi" w:eastAsiaTheme="minorEastAsia" w:hAnsiTheme="minorHAnsi" w:cstheme="minorBidi"/>
          <w:szCs w:val="22"/>
        </w:rPr>
      </w:pPr>
      <w:r>
        <w:t>33.</w:t>
      </w:r>
      <w:r>
        <w:tab/>
        <w:t>Port authorities to implement or facilitate merger and share costs</w:t>
      </w:r>
      <w:r>
        <w:tab/>
      </w:r>
      <w:r>
        <w:fldChar w:fldCharType="begin"/>
      </w:r>
      <w:r>
        <w:instrText xml:space="preserve"> PAGEREF _Toc524061600 \h </w:instrText>
      </w:r>
      <w:r>
        <w:fldChar w:fldCharType="separate"/>
      </w:r>
      <w:r>
        <w:t>153</w:t>
      </w:r>
      <w:r>
        <w:fldChar w:fldCharType="end"/>
      </w:r>
    </w:p>
    <w:p>
      <w:pPr>
        <w:pStyle w:val="TOC8"/>
        <w:rPr>
          <w:rFonts w:asciiTheme="minorHAnsi" w:eastAsiaTheme="minorEastAsia" w:hAnsiTheme="minorHAnsi" w:cstheme="minorBidi"/>
          <w:szCs w:val="22"/>
        </w:rPr>
      </w:pPr>
      <w:r>
        <w:t>34.</w:t>
      </w:r>
      <w:r>
        <w:tab/>
        <w:t>Financial reporting</w:t>
      </w:r>
      <w:r>
        <w:tab/>
      </w:r>
      <w:r>
        <w:fldChar w:fldCharType="begin"/>
      </w:r>
      <w:r>
        <w:instrText xml:space="preserve"> PAGEREF _Toc524061601 \h </w:instrText>
      </w:r>
      <w:r>
        <w:fldChar w:fldCharType="separate"/>
      </w:r>
      <w:r>
        <w:t>154</w:t>
      </w:r>
      <w:r>
        <w:fldChar w:fldCharType="end"/>
      </w:r>
    </w:p>
    <w:p>
      <w:pPr>
        <w:pStyle w:val="TOC8"/>
        <w:rPr>
          <w:rFonts w:asciiTheme="minorHAnsi" w:eastAsiaTheme="minorEastAsia" w:hAnsiTheme="minorHAnsi" w:cstheme="minorBidi"/>
          <w:szCs w:val="22"/>
        </w:rPr>
      </w:pPr>
      <w:r>
        <w:t>35.</w:t>
      </w:r>
      <w:r>
        <w:tab/>
        <w:t>Dividends</w:t>
      </w:r>
      <w:r>
        <w:tab/>
      </w:r>
      <w:r>
        <w:fldChar w:fldCharType="begin"/>
      </w:r>
      <w:r>
        <w:instrText xml:space="preserve"> PAGEREF _Toc524061602 \h </w:instrText>
      </w:r>
      <w:r>
        <w:fldChar w:fldCharType="separate"/>
      </w:r>
      <w:r>
        <w:t>156</w:t>
      </w:r>
      <w:r>
        <w:fldChar w:fldCharType="end"/>
      </w:r>
    </w:p>
    <w:p>
      <w:pPr>
        <w:pStyle w:val="TOC8"/>
        <w:rPr>
          <w:rFonts w:asciiTheme="minorHAnsi" w:eastAsiaTheme="minorEastAsia" w:hAnsiTheme="minorHAnsi" w:cstheme="minorBidi"/>
          <w:szCs w:val="22"/>
        </w:rPr>
      </w:pPr>
      <w:r>
        <w:t>36.</w:t>
      </w:r>
      <w:r>
        <w:tab/>
        <w:t>Transitional regulations</w:t>
      </w:r>
      <w:r>
        <w:tab/>
      </w:r>
      <w:r>
        <w:fldChar w:fldCharType="begin"/>
      </w:r>
      <w:r>
        <w:instrText xml:space="preserve"> PAGEREF _Toc524061603 \h </w:instrText>
      </w:r>
      <w:r>
        <w:fldChar w:fldCharType="separate"/>
      </w:r>
      <w:r>
        <w:t>156</w:t>
      </w:r>
      <w:r>
        <w:fldChar w:fldCharType="end"/>
      </w:r>
    </w:p>
    <w:p>
      <w:pPr>
        <w:pStyle w:val="TOC6"/>
        <w:tabs>
          <w:tab w:val="right" w:leader="dot" w:pos="7086"/>
        </w:tabs>
        <w:rPr>
          <w:rFonts w:asciiTheme="minorHAnsi" w:eastAsiaTheme="minorEastAsia" w:hAnsiTheme="minorHAnsi" w:cstheme="minorBidi"/>
          <w:b w:val="0"/>
          <w:sz w:val="22"/>
          <w:szCs w:val="22"/>
        </w:rPr>
      </w:pPr>
      <w:r>
        <w:t>Subdivision 5</w:t>
      </w:r>
      <w:r>
        <w:rPr>
          <w:b w:val="0"/>
        </w:rPr>
        <w:t> — </w:t>
      </w:r>
      <w:r>
        <w:t>Provisions for the Kimberley Ports Authority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_Toc524061605 \h </w:instrText>
      </w:r>
      <w:r>
        <w:fldChar w:fldCharType="separate"/>
      </w:r>
      <w:r>
        <w:t>157</w:t>
      </w:r>
      <w:r>
        <w:fldChar w:fldCharType="end"/>
      </w:r>
    </w:p>
    <w:p>
      <w:pPr>
        <w:pStyle w:val="TOC8"/>
        <w:rPr>
          <w:rFonts w:asciiTheme="minorHAnsi" w:eastAsiaTheme="minorEastAsia" w:hAnsiTheme="minorHAnsi" w:cstheme="minorBidi"/>
          <w:szCs w:val="22"/>
        </w:rPr>
      </w:pPr>
      <w:r>
        <w:t>38.</w:t>
      </w:r>
      <w:r>
        <w:tab/>
        <w:t>Directors and former directors</w:t>
      </w:r>
      <w:r>
        <w:tab/>
      </w:r>
      <w:r>
        <w:fldChar w:fldCharType="begin"/>
      </w:r>
      <w:r>
        <w:instrText xml:space="preserve"> PAGEREF _Toc524061606 \h </w:instrText>
      </w:r>
      <w:r>
        <w:fldChar w:fldCharType="separate"/>
      </w:r>
      <w:r>
        <w:t>157</w:t>
      </w:r>
      <w:r>
        <w:fldChar w:fldCharType="end"/>
      </w:r>
    </w:p>
    <w:p>
      <w:pPr>
        <w:pStyle w:val="TOC8"/>
        <w:rPr>
          <w:rFonts w:asciiTheme="minorHAnsi" w:eastAsiaTheme="minorEastAsia" w:hAnsiTheme="minorHAnsi" w:cstheme="minorBidi"/>
          <w:szCs w:val="22"/>
        </w:rPr>
      </w:pPr>
      <w:r>
        <w:t>39.</w:t>
      </w:r>
      <w:r>
        <w:tab/>
        <w:t>Powers of new board in anticipation of renaming</w:t>
      </w:r>
      <w:r>
        <w:tab/>
      </w:r>
      <w:r>
        <w:fldChar w:fldCharType="begin"/>
      </w:r>
      <w:r>
        <w:instrText xml:space="preserve"> PAGEREF _Toc524061607 \h </w:instrText>
      </w:r>
      <w:r>
        <w:fldChar w:fldCharType="separate"/>
      </w:r>
      <w:r>
        <w:t>158</w:t>
      </w:r>
      <w:r>
        <w:fldChar w:fldCharType="end"/>
      </w:r>
    </w:p>
    <w:p>
      <w:pPr>
        <w:pStyle w:val="TOC8"/>
        <w:rPr>
          <w:rFonts w:asciiTheme="minorHAnsi" w:eastAsiaTheme="minorEastAsia" w:hAnsiTheme="minorHAnsi" w:cstheme="minorBidi"/>
          <w:szCs w:val="22"/>
        </w:rPr>
      </w:pPr>
      <w:r>
        <w:t>40.</w:t>
      </w:r>
      <w:r>
        <w:tab/>
        <w:t>CEO and staff</w:t>
      </w:r>
      <w:r>
        <w:tab/>
      </w:r>
      <w:r>
        <w:fldChar w:fldCharType="begin"/>
      </w:r>
      <w:r>
        <w:instrText xml:space="preserve"> PAGEREF _Toc524061608 \h </w:instrText>
      </w:r>
      <w:r>
        <w:fldChar w:fldCharType="separate"/>
      </w:r>
      <w:r>
        <w:t>158</w:t>
      </w:r>
      <w:r>
        <w:fldChar w:fldCharType="end"/>
      </w:r>
    </w:p>
    <w:p>
      <w:pPr>
        <w:pStyle w:val="TOC8"/>
        <w:rPr>
          <w:rFonts w:asciiTheme="minorHAnsi" w:eastAsiaTheme="minorEastAsia" w:hAnsiTheme="minorHAnsi" w:cstheme="minorBidi"/>
          <w:szCs w:val="22"/>
        </w:rPr>
      </w:pPr>
      <w:r>
        <w:t>41.</w:t>
      </w:r>
      <w:r>
        <w:tab/>
        <w:t>Agreements, instruments and documents</w:t>
      </w:r>
      <w:r>
        <w:tab/>
      </w:r>
      <w:r>
        <w:fldChar w:fldCharType="begin"/>
      </w:r>
      <w:r>
        <w:instrText xml:space="preserve"> PAGEREF _Toc524061609 \h </w:instrText>
      </w:r>
      <w:r>
        <w:fldChar w:fldCharType="separate"/>
      </w:r>
      <w:r>
        <w:t>159</w:t>
      </w:r>
      <w:r>
        <w:fldChar w:fldCharType="end"/>
      </w:r>
    </w:p>
    <w:p>
      <w:pPr>
        <w:pStyle w:val="TOC8"/>
        <w:rPr>
          <w:rFonts w:asciiTheme="minorHAnsi" w:eastAsiaTheme="minorEastAsia" w:hAnsiTheme="minorHAnsi" w:cstheme="minorBidi"/>
          <w:szCs w:val="22"/>
        </w:rPr>
      </w:pPr>
      <w:r>
        <w:t>42.</w:t>
      </w:r>
      <w:r>
        <w:tab/>
        <w:t>Port authority to implement or facilitate renaming</w:t>
      </w:r>
      <w:r>
        <w:tab/>
      </w:r>
      <w:r>
        <w:fldChar w:fldCharType="begin"/>
      </w:r>
      <w:r>
        <w:instrText xml:space="preserve"> PAGEREF _Toc524061610 \h </w:instrText>
      </w:r>
      <w:r>
        <w:fldChar w:fldCharType="separate"/>
      </w:r>
      <w:r>
        <w:t>160</w:t>
      </w:r>
      <w:r>
        <w:fldChar w:fldCharType="end"/>
      </w:r>
    </w:p>
    <w:p>
      <w:pPr>
        <w:pStyle w:val="TOC8"/>
        <w:rPr>
          <w:rFonts w:asciiTheme="minorHAnsi" w:eastAsiaTheme="minorEastAsia" w:hAnsiTheme="minorHAnsi" w:cstheme="minorBidi"/>
          <w:szCs w:val="22"/>
        </w:rPr>
      </w:pPr>
      <w:r>
        <w:t>43.</w:t>
      </w:r>
      <w:r>
        <w:tab/>
        <w:t>Transitional regulations</w:t>
      </w:r>
      <w:r>
        <w:tab/>
      </w:r>
      <w:r>
        <w:fldChar w:fldCharType="begin"/>
      </w:r>
      <w:r>
        <w:instrText xml:space="preserve"> PAGEREF _Toc524061611 \h </w:instrText>
      </w:r>
      <w:r>
        <w:fldChar w:fldCharType="separate"/>
      </w:r>
      <w:r>
        <w:t>160</w:t>
      </w:r>
      <w:r>
        <w:fldChar w:fldCharType="end"/>
      </w:r>
    </w:p>
    <w:p>
      <w:pPr>
        <w:pStyle w:val="TOC6"/>
        <w:tabs>
          <w:tab w:val="right" w:leader="dot" w:pos="7086"/>
        </w:tabs>
        <w:rPr>
          <w:rFonts w:asciiTheme="minorHAnsi" w:eastAsiaTheme="minorEastAsia" w:hAnsiTheme="minorHAnsi" w:cstheme="minorBidi"/>
          <w:b w:val="0"/>
          <w:sz w:val="22"/>
          <w:szCs w:val="22"/>
        </w:rPr>
      </w:pPr>
      <w:r>
        <w:t>Subdivision 6</w:t>
      </w:r>
      <w:r>
        <w:rPr>
          <w:b w:val="0"/>
        </w:rPr>
        <w:t> — </w:t>
      </w:r>
      <w:r>
        <w:t>Provisions for certain directors</w:t>
      </w:r>
    </w:p>
    <w:p>
      <w:pPr>
        <w:pStyle w:val="TOC8"/>
        <w:rPr>
          <w:rFonts w:asciiTheme="minorHAnsi" w:eastAsiaTheme="minorEastAsia" w:hAnsiTheme="minorHAnsi" w:cstheme="minorBidi"/>
          <w:szCs w:val="22"/>
        </w:rPr>
      </w:pPr>
      <w:r>
        <w:t>44.</w:t>
      </w:r>
      <w:r>
        <w:tab/>
        <w:t>Certain directors to cease to hold office</w:t>
      </w:r>
      <w:r>
        <w:tab/>
      </w:r>
      <w:r>
        <w:fldChar w:fldCharType="begin"/>
      </w:r>
      <w:r>
        <w:instrText xml:space="preserve"> PAGEREF _Toc524061613 \h </w:instrText>
      </w:r>
      <w:r>
        <w:fldChar w:fldCharType="separate"/>
      </w:r>
      <w:r>
        <w:t>161</w:t>
      </w:r>
      <w:r>
        <w:fldChar w:fldCharType="end"/>
      </w:r>
    </w:p>
    <w:p>
      <w:pPr>
        <w:pStyle w:val="TOC6"/>
        <w:tabs>
          <w:tab w:val="right" w:leader="dot" w:pos="7086"/>
        </w:tabs>
        <w:rPr>
          <w:rFonts w:asciiTheme="minorHAnsi" w:eastAsiaTheme="minorEastAsia" w:hAnsiTheme="minorHAnsi" w:cstheme="minorBidi"/>
          <w:b w:val="0"/>
          <w:sz w:val="22"/>
          <w:szCs w:val="22"/>
        </w:rPr>
      </w:pPr>
      <w:r>
        <w:t>Subdivision 7</w:t>
      </w:r>
      <w:r>
        <w:rPr>
          <w:b w:val="0"/>
        </w:rPr>
        <w:t> — </w:t>
      </w:r>
      <w:r>
        <w:t>General provisions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_Toc524061615 \h </w:instrText>
      </w:r>
      <w:r>
        <w:fldChar w:fldCharType="separate"/>
      </w:r>
      <w:r>
        <w:t>162</w:t>
      </w:r>
      <w:r>
        <w:fldChar w:fldCharType="end"/>
      </w:r>
    </w:p>
    <w:p>
      <w:pPr>
        <w:pStyle w:val="TOC8"/>
        <w:rPr>
          <w:rFonts w:asciiTheme="minorHAnsi" w:eastAsiaTheme="minorEastAsia" w:hAnsiTheme="minorHAnsi" w:cstheme="minorBidi"/>
          <w:szCs w:val="22"/>
        </w:rPr>
      </w:pPr>
      <w:r>
        <w:t>46.</w:t>
      </w:r>
      <w:r>
        <w:tab/>
        <w:t>Exemption from State taxes</w:t>
      </w:r>
      <w:r>
        <w:tab/>
      </w:r>
      <w:r>
        <w:fldChar w:fldCharType="begin"/>
      </w:r>
      <w:r>
        <w:instrText xml:space="preserve"> PAGEREF _Toc524061616 \h </w:instrText>
      </w:r>
      <w:r>
        <w:fldChar w:fldCharType="separate"/>
      </w:r>
      <w:r>
        <w:t>162</w:t>
      </w:r>
      <w:r>
        <w:fldChar w:fldCharType="end"/>
      </w:r>
    </w:p>
    <w:p>
      <w:pPr>
        <w:pStyle w:val="TOC8"/>
        <w:rPr>
          <w:rFonts w:asciiTheme="minorHAnsi" w:eastAsiaTheme="minorEastAsia" w:hAnsiTheme="minorHAnsi" w:cstheme="minorBidi"/>
          <w:szCs w:val="22"/>
        </w:rPr>
      </w:pPr>
      <w:r>
        <w:t>47.</w:t>
      </w:r>
      <w:r>
        <w:tab/>
        <w:t>Registration of documents</w:t>
      </w:r>
      <w:r>
        <w:tab/>
      </w:r>
      <w:r>
        <w:fldChar w:fldCharType="begin"/>
      </w:r>
      <w:r>
        <w:instrText xml:space="preserve"> PAGEREF _Toc524061617 \h </w:instrText>
      </w:r>
      <w:r>
        <w:fldChar w:fldCharType="separate"/>
      </w:r>
      <w:r>
        <w:t>163</w:t>
      </w:r>
      <w:r>
        <w:fldChar w:fldCharType="end"/>
      </w:r>
    </w:p>
    <w:p>
      <w:pPr>
        <w:pStyle w:val="TOC8"/>
        <w:rPr>
          <w:rFonts w:asciiTheme="minorHAnsi" w:eastAsiaTheme="minorEastAsia" w:hAnsiTheme="minorHAnsi" w:cstheme="minorBidi"/>
          <w:szCs w:val="22"/>
        </w:rPr>
      </w:pPr>
      <w:r>
        <w:t>48.</w:t>
      </w:r>
      <w:r>
        <w:tab/>
        <w:t>Matters that a new board can deal with</w:t>
      </w:r>
      <w:r>
        <w:tab/>
      </w:r>
      <w:r>
        <w:fldChar w:fldCharType="begin"/>
      </w:r>
      <w:r>
        <w:instrText xml:space="preserve"> PAGEREF _Toc524061618 \h </w:instrText>
      </w:r>
      <w:r>
        <w:fldChar w:fldCharType="separate"/>
      </w:r>
      <w:r>
        <w:t>163</w:t>
      </w:r>
      <w:r>
        <w:fldChar w:fldCharType="end"/>
      </w:r>
    </w:p>
    <w:p>
      <w:pPr>
        <w:pStyle w:val="TOC8"/>
        <w:rPr>
          <w:rFonts w:asciiTheme="minorHAnsi" w:eastAsiaTheme="minorEastAsia" w:hAnsiTheme="minorHAnsi" w:cstheme="minorBidi"/>
          <w:szCs w:val="22"/>
        </w:rPr>
      </w:pPr>
      <w:r>
        <w:t>49.</w:t>
      </w:r>
      <w:r>
        <w:tab/>
        <w:t>Operation of transitional regulations</w:t>
      </w:r>
      <w:r>
        <w:tab/>
      </w:r>
      <w:r>
        <w:fldChar w:fldCharType="begin"/>
      </w:r>
      <w:r>
        <w:instrText xml:space="preserve"> PAGEREF _Toc524061619 \h </w:instrText>
      </w:r>
      <w:r>
        <w:fldChar w:fldCharType="separate"/>
      </w:r>
      <w:r>
        <w:t>164</w:t>
      </w:r>
      <w:r>
        <w:fldChar w:fldCharType="end"/>
      </w:r>
    </w:p>
    <w:p>
      <w:pPr>
        <w:pStyle w:val="TOC8"/>
        <w:rPr>
          <w:rFonts w:asciiTheme="minorHAnsi" w:eastAsiaTheme="minorEastAsia" w:hAnsiTheme="minorHAnsi" w:cstheme="minorBidi"/>
          <w:szCs w:val="22"/>
        </w:rPr>
      </w:pPr>
      <w:r>
        <w:t>50.</w:t>
      </w:r>
      <w:r>
        <w:tab/>
        <w:t>Saving</w:t>
      </w:r>
      <w:r>
        <w:tab/>
      </w:r>
      <w:r>
        <w:fldChar w:fldCharType="begin"/>
      </w:r>
      <w:r>
        <w:instrText xml:space="preserve"> PAGEREF _Toc524061620 \h </w:instrText>
      </w:r>
      <w:r>
        <w:fldChar w:fldCharType="separate"/>
      </w:r>
      <w:r>
        <w:t>165</w:t>
      </w:r>
      <w:r>
        <w:fldChar w:fldCharType="end"/>
      </w:r>
    </w:p>
    <w:p>
      <w:pPr>
        <w:pStyle w:val="TOC8"/>
        <w:rPr>
          <w:rFonts w:asciiTheme="minorHAnsi" w:eastAsiaTheme="minorEastAsia" w:hAnsiTheme="minorHAnsi" w:cstheme="minorBidi"/>
          <w:szCs w:val="22"/>
        </w:rPr>
      </w:pPr>
      <w:r>
        <w:t>51.</w:t>
      </w:r>
      <w:r>
        <w:tab/>
        <w:t>Government agreements not affected</w:t>
      </w:r>
      <w:r>
        <w:tab/>
      </w:r>
      <w:r>
        <w:fldChar w:fldCharType="begin"/>
      </w:r>
      <w:r>
        <w:instrText xml:space="preserve"> PAGEREF _Toc524061621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Schedule 9 — Placing additional ports under a port authority’s control and management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_Toc524061623 \h </w:instrText>
      </w:r>
      <w:r>
        <w:fldChar w:fldCharType="separate"/>
      </w:r>
      <w:r>
        <w:t>166</w:t>
      </w:r>
      <w:r>
        <w:fldChar w:fldCharType="end"/>
      </w:r>
    </w:p>
    <w:p>
      <w:pPr>
        <w:pStyle w:val="TOC8"/>
        <w:rPr>
          <w:rFonts w:asciiTheme="minorHAnsi" w:eastAsiaTheme="minorEastAsia" w:hAnsiTheme="minorHAnsi" w:cstheme="minorBidi"/>
          <w:szCs w:val="22"/>
        </w:rPr>
      </w:pPr>
      <w:r>
        <w:t>2.</w:t>
      </w:r>
      <w:r>
        <w:tab/>
        <w:t>Regulations may place a port under the control and management of a port authority</w:t>
      </w:r>
      <w:r>
        <w:tab/>
      </w:r>
      <w:r>
        <w:fldChar w:fldCharType="begin"/>
      </w:r>
      <w:r>
        <w:instrText xml:space="preserve"> PAGEREF _Toc524061624 \h </w:instrText>
      </w:r>
      <w:r>
        <w:fldChar w:fldCharType="separate"/>
      </w:r>
      <w:r>
        <w:t>166</w:t>
      </w:r>
      <w:r>
        <w:fldChar w:fldCharType="end"/>
      </w:r>
    </w:p>
    <w:p>
      <w:pPr>
        <w:pStyle w:val="TOC8"/>
        <w:rPr>
          <w:rFonts w:asciiTheme="minorHAnsi" w:eastAsiaTheme="minorEastAsia" w:hAnsiTheme="minorHAnsi" w:cstheme="minorBidi"/>
          <w:szCs w:val="22"/>
        </w:rPr>
      </w:pPr>
      <w:r>
        <w:t>3.</w:t>
      </w:r>
      <w:r>
        <w:tab/>
        <w:t>Port authority to implement or facilitate port addition</w:t>
      </w:r>
      <w:r>
        <w:tab/>
      </w:r>
      <w:r>
        <w:fldChar w:fldCharType="begin"/>
      </w:r>
      <w:r>
        <w:instrText xml:space="preserve"> PAGEREF _Toc524061625 \h </w:instrText>
      </w:r>
      <w:r>
        <w:fldChar w:fldCharType="separate"/>
      </w:r>
      <w:r>
        <w:t>166</w:t>
      </w:r>
      <w:r>
        <w:fldChar w:fldCharType="end"/>
      </w:r>
    </w:p>
    <w:p>
      <w:pPr>
        <w:pStyle w:val="TOC8"/>
        <w:rPr>
          <w:rFonts w:asciiTheme="minorHAnsi" w:eastAsiaTheme="minorEastAsia" w:hAnsiTheme="minorHAnsi" w:cstheme="minorBidi"/>
          <w:szCs w:val="22"/>
        </w:rPr>
      </w:pPr>
      <w:r>
        <w:t>4.</w:t>
      </w:r>
      <w:r>
        <w:tab/>
        <w:t>Government agreements not affected</w:t>
      </w:r>
      <w:r>
        <w:tab/>
      </w:r>
      <w:r>
        <w:fldChar w:fldCharType="begin"/>
      </w:r>
      <w:r>
        <w:instrText xml:space="preserve"> PAGEREF _Toc524061626 \h </w:instrText>
      </w:r>
      <w:r>
        <w:fldChar w:fldCharType="separate"/>
      </w:r>
      <w:r>
        <w:t>167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_Toc524061628 \h </w:instrText>
      </w:r>
      <w:r>
        <w:fldChar w:fldCharType="separate"/>
      </w:r>
      <w:r>
        <w:t>168</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_Toc524061629 \h </w:instrText>
      </w:r>
      <w:r>
        <w:fldChar w:fldCharType="separate"/>
      </w:r>
      <w:r>
        <w:t>170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1" w:name="_Toc524061268"/>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524061269"/>
      <w:r>
        <w:rPr>
          <w:rStyle w:val="CharSectno"/>
        </w:rPr>
        <w:t>1</w:t>
      </w:r>
      <w:r>
        <w:rPr>
          <w:snapToGrid w:val="0"/>
        </w:rPr>
        <w:t>.</w:t>
      </w:r>
      <w:r>
        <w:rPr>
          <w:snapToGrid w:val="0"/>
        </w:rPr>
        <w:tab/>
        <w:t>Short title</w:t>
      </w:r>
      <w:bookmarkEnd w:id="2"/>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3" w:name="_Toc524061270"/>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4" w:name="_Toc524061271"/>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 or</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 and</w:t>
      </w:r>
    </w:p>
    <w:p>
      <w:pPr>
        <w:pStyle w:val="Defpara"/>
      </w:pPr>
      <w:r>
        <w:tab/>
        <w:t>(b)</w:t>
      </w:r>
      <w:r>
        <w:tab/>
        <w:t>minerals and mineral products; and</w:t>
      </w:r>
    </w:p>
    <w:p>
      <w:pPr>
        <w:pStyle w:val="Defpara"/>
      </w:pPr>
      <w:r>
        <w:tab/>
        <w:t>(c)</w:t>
      </w:r>
      <w:r>
        <w:tab/>
        <w:t>petroleum and hydrocarbon products; and</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 or</w:t>
      </w:r>
    </w:p>
    <w:p>
      <w:pPr>
        <w:pStyle w:val="Defpara"/>
      </w:pPr>
      <w:r>
        <w:tab/>
        <w:t>(b)</w:t>
      </w:r>
      <w:r>
        <w:tab/>
        <w:t>a breakwater, groyne or seawall; or</w:t>
      </w:r>
    </w:p>
    <w:p>
      <w:pPr>
        <w:pStyle w:val="Defpara"/>
      </w:pPr>
      <w:r>
        <w:tab/>
        <w:t>(c)</w:t>
      </w:r>
      <w:r>
        <w:tab/>
        <w:t>a dredged channel; or</w:t>
      </w:r>
    </w:p>
    <w:p>
      <w:pPr>
        <w:pStyle w:val="Defpara"/>
      </w:pPr>
      <w:r>
        <w:tab/>
        <w:t>(d)</w:t>
      </w:r>
      <w:r>
        <w:tab/>
        <w:t>a boat pen or vessel mooring; or</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 or who becomes a member of staff by operation of this Act;</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means a port named in Schedule 1 or placed under the control and management of a port authority by regulations in accordance with Schedule 9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pPr>
        <w:pStyle w:val="Defpara"/>
      </w:pPr>
      <w:r>
        <w:tab/>
        <w:t>(a)</w:t>
      </w:r>
      <w:r>
        <w:tab/>
        <w:t>the port that the port authority controls and manages; or</w:t>
      </w:r>
    </w:p>
    <w:p>
      <w:pPr>
        <w:pStyle w:val="Defpara"/>
      </w:pPr>
      <w:r>
        <w:tab/>
        <w:t>(b)</w:t>
      </w:r>
      <w:r>
        <w:tab/>
        <w:t>if the port authority controls and manages more than one port — each of those ports;</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 and</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tab/>
      </w:r>
      <w:r>
        <w:rPr>
          <w:rStyle w:val="CharDefText"/>
        </w:rPr>
        <w:t>port operations</w:t>
      </w:r>
      <w:r>
        <w:t xml:space="preserve"> means — </w:t>
      </w:r>
    </w:p>
    <w:p>
      <w:pPr>
        <w:pStyle w:val="Defpara"/>
      </w:pPr>
      <w:r>
        <w:tab/>
        <w:t>(a)</w:t>
      </w:r>
      <w:r>
        <w:tab/>
        <w:t>the carrying out of port activities or port works; or</w:t>
      </w:r>
    </w:p>
    <w:p>
      <w:pPr>
        <w:pStyle w:val="Defpara"/>
      </w:pPr>
      <w:r>
        <w:tab/>
        <w:t>(b)</w:t>
      </w:r>
      <w:r>
        <w:tab/>
        <w:t>the provision of port services; or</w:t>
      </w:r>
    </w:p>
    <w:p>
      <w:pPr>
        <w:pStyle w:val="Defpara"/>
      </w:pPr>
      <w:r>
        <w:tab/>
        <w:t>(c)</w:t>
      </w:r>
      <w:r>
        <w:tab/>
        <w:t>the provision, management or operation of port facilities;</w:t>
      </w:r>
    </w:p>
    <w:p>
      <w:pPr>
        <w:pStyle w:val="Defstart"/>
      </w:pPr>
      <w:r>
        <w:tab/>
      </w:r>
      <w:r>
        <w:rPr>
          <w:rStyle w:val="CharDefText"/>
        </w:rPr>
        <w:t>port property</w:t>
      </w:r>
      <w:r>
        <w:t xml:space="preserve">, in relation to a port authority, means — </w:t>
      </w:r>
    </w:p>
    <w:p>
      <w:pPr>
        <w:pStyle w:val="Defpara"/>
      </w:pPr>
      <w:r>
        <w:tab/>
        <w:t>(a)</w:t>
      </w:r>
      <w:r>
        <w:tab/>
        <w:t>port facilities; or</w:t>
      </w:r>
    </w:p>
    <w:p>
      <w:pPr>
        <w:pStyle w:val="Defpara"/>
      </w:pPr>
      <w:r>
        <w:tab/>
        <w:t>(b)</w:t>
      </w:r>
      <w:r>
        <w:tab/>
        <w:t>vested property; or</w:t>
      </w:r>
    </w:p>
    <w:p>
      <w:pPr>
        <w:pStyle w:val="Defpara"/>
      </w:pPr>
      <w:r>
        <w:tab/>
        <w:t>(c)</w:t>
      </w:r>
      <w:r>
        <w:tab/>
        <w:t>other property held by the port authority;</w:t>
      </w:r>
    </w:p>
    <w:p>
      <w:pPr>
        <w:pStyle w:val="Defstart"/>
      </w:pPr>
      <w:r>
        <w:tab/>
      </w:r>
      <w:r>
        <w:rPr>
          <w:rStyle w:val="CharDefText"/>
        </w:rPr>
        <w:t>port security</w:t>
      </w:r>
      <w:r>
        <w:t xml:space="preserve"> means all matters relating to — </w:t>
      </w:r>
    </w:p>
    <w:p>
      <w:pPr>
        <w:pStyle w:val="Defpara"/>
      </w:pPr>
      <w:r>
        <w:tab/>
        <w:t>(a)</w:t>
      </w:r>
      <w:r>
        <w:tab/>
        <w:t xml:space="preserve">the preservation and protection of — </w:t>
      </w:r>
    </w:p>
    <w:p>
      <w:pPr>
        <w:pStyle w:val="Defsubpara"/>
      </w:pPr>
      <w:r>
        <w:tab/>
        <w:t>(i)</w:t>
      </w:r>
      <w:r>
        <w:tab/>
        <w:t>port property; or</w:t>
      </w:r>
    </w:p>
    <w:p>
      <w:pPr>
        <w:pStyle w:val="Defsubpara"/>
      </w:pPr>
      <w:r>
        <w:tab/>
        <w:t>(ii)</w:t>
      </w:r>
      <w:r>
        <w:tab/>
        <w:t>any other vessel, vehicle or other property within the port,</w:t>
      </w:r>
    </w:p>
    <w:p>
      <w:pPr>
        <w:pStyle w:val="Defpara"/>
      </w:pPr>
      <w:r>
        <w:tab/>
      </w:r>
      <w:r>
        <w:tab/>
        <w:t>from damage, destruction or unlawful activity; and</w:t>
      </w:r>
    </w:p>
    <w:p>
      <w:pPr>
        <w:pStyle w:val="Defpara"/>
      </w:pPr>
      <w:r>
        <w:tab/>
        <w:t>(b)</w:t>
      </w:r>
      <w:r>
        <w:tab/>
        <w:t>the protection of people within the port from injury or unlawful activity;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keepNext/>
      </w:pPr>
      <w:r>
        <w:tab/>
      </w:r>
      <w:r>
        <w:rPr>
          <w:rStyle w:val="CharDefText"/>
        </w:rPr>
        <w:t>potential supplier</w:t>
      </w:r>
      <w:r>
        <w:t xml:space="preserve"> means — </w:t>
      </w:r>
    </w:p>
    <w:p>
      <w:pPr>
        <w:pStyle w:val="Defpara"/>
      </w:pPr>
      <w:r>
        <w:tab/>
        <w:t>(a)</w:t>
      </w:r>
      <w:r>
        <w:tab/>
        <w:t>a person who might become a supplier of port services; or</w:t>
      </w:r>
    </w:p>
    <w:p>
      <w:pPr>
        <w:pStyle w:val="Defpara"/>
      </w:pPr>
      <w:r>
        <w:tab/>
        <w:t>(b)</w:t>
      </w:r>
      <w:r>
        <w:tab/>
        <w:t>a person who might become a supplier of port services and, for that purpose, provide related port facilities;</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 or</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 No. 9 of 2014 s. 4.]</w:t>
      </w:r>
    </w:p>
    <w:p>
      <w:pPr>
        <w:pStyle w:val="Heading2"/>
      </w:pPr>
      <w:bookmarkStart w:id="5" w:name="_Toc524061272"/>
      <w:r>
        <w:rPr>
          <w:rStyle w:val="CharPartNo"/>
        </w:rPr>
        <w:t>Part 2</w:t>
      </w:r>
      <w:r>
        <w:t xml:space="preserve"> — </w:t>
      </w:r>
      <w:r>
        <w:rPr>
          <w:rStyle w:val="CharPartText"/>
        </w:rPr>
        <w:t>Port authorities: establishment and administration</w:t>
      </w:r>
      <w:bookmarkEnd w:id="5"/>
      <w:r>
        <w:rPr>
          <w:rStyle w:val="CharPartText"/>
        </w:rPr>
        <w:t xml:space="preserve"> </w:t>
      </w:r>
    </w:p>
    <w:p>
      <w:pPr>
        <w:pStyle w:val="Heading3"/>
      </w:pPr>
      <w:bookmarkStart w:id="6" w:name="_Toc524061273"/>
      <w:r>
        <w:rPr>
          <w:rStyle w:val="CharDivNo"/>
        </w:rPr>
        <w:t>Division 1</w:t>
      </w:r>
      <w:r>
        <w:t xml:space="preserve"> — </w:t>
      </w:r>
      <w:r>
        <w:rPr>
          <w:rStyle w:val="CharDivText"/>
        </w:rPr>
        <w:t>Establishment of port authorities</w:t>
      </w:r>
      <w:bookmarkEnd w:id="6"/>
      <w:r>
        <w:rPr>
          <w:rStyle w:val="CharDivText"/>
        </w:rPr>
        <w:t xml:space="preserve"> </w:t>
      </w:r>
    </w:p>
    <w:p>
      <w:pPr>
        <w:pStyle w:val="Heading5"/>
        <w:rPr>
          <w:snapToGrid w:val="0"/>
        </w:rPr>
      </w:pPr>
      <w:bookmarkStart w:id="7" w:name="_Toc524061274"/>
      <w:r>
        <w:rPr>
          <w:rStyle w:val="CharSectno"/>
        </w:rPr>
        <w:t>4</w:t>
      </w:r>
      <w:r>
        <w:rPr>
          <w:snapToGrid w:val="0"/>
        </w:rPr>
        <w:t>.</w:t>
      </w:r>
      <w:r>
        <w:rPr>
          <w:snapToGrid w:val="0"/>
        </w:rPr>
        <w:tab/>
        <w:t>Port authorities, establishment, nature and trading names of</w:t>
      </w:r>
      <w:bookmarkEnd w:id="7"/>
    </w:p>
    <w:p>
      <w:pPr>
        <w:pStyle w:val="Subsection"/>
      </w:pPr>
      <w:r>
        <w:tab/>
        <w:t>(1)</w:t>
      </w:r>
      <w:r>
        <w:tab/>
        <w:t>There are to be the port authorities named in column 2 of Schedule 1.</w:t>
      </w:r>
    </w:p>
    <w:p>
      <w:pPr>
        <w:pStyle w:val="Subsection"/>
      </w:pPr>
      <w:r>
        <w:tab/>
        <w:t>(2A)</w:t>
      </w:r>
      <w:r>
        <w:tab/>
        <w:t xml:space="preserve">A port authority named in column 2 of an item in Schedule 1 is to control and manage — </w:t>
      </w:r>
    </w:p>
    <w:p>
      <w:pPr>
        <w:pStyle w:val="Indenta"/>
      </w:pPr>
      <w:r>
        <w:tab/>
        <w:t>(a)</w:t>
      </w:r>
      <w:r>
        <w:tab/>
        <w:t>any port named in column 3 of that item</w:t>
      </w:r>
      <w:r>
        <w:rPr>
          <w:snapToGrid w:val="0"/>
        </w:rPr>
        <w:t>; and</w:t>
      </w:r>
    </w:p>
    <w:p>
      <w:pPr>
        <w:pStyle w:val="Indenta"/>
      </w:pPr>
      <w:r>
        <w:tab/>
        <w:t>(b)</w:t>
      </w:r>
      <w:r>
        <w:tab/>
        <w:t xml:space="preserve">any port placed under the control and management of the port authority </w:t>
      </w:r>
      <w:r>
        <w:rPr>
          <w:snapToGrid w:val="0"/>
        </w:rPr>
        <w:t>by regulations in accordance with Schedule 9.</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Footnotesection"/>
      </w:pPr>
      <w:r>
        <w:tab/>
        <w:t>[Section 4 amended by No. 9 of 2014 s. 5.]</w:t>
      </w:r>
    </w:p>
    <w:p>
      <w:pPr>
        <w:pStyle w:val="Heading5"/>
        <w:rPr>
          <w:snapToGrid w:val="0"/>
        </w:rPr>
      </w:pPr>
      <w:bookmarkStart w:id="8" w:name="_Toc524061275"/>
      <w:r>
        <w:rPr>
          <w:rStyle w:val="CharSectno"/>
        </w:rPr>
        <w:t>5</w:t>
      </w:r>
      <w:r>
        <w:rPr>
          <w:snapToGrid w:val="0"/>
        </w:rPr>
        <w:t>.</w:t>
      </w:r>
      <w:r>
        <w:rPr>
          <w:snapToGrid w:val="0"/>
        </w:rPr>
        <w:tab/>
        <w:t>Port authorities not to be regarded as agents of Crown for purposes of State laws</w:t>
      </w:r>
      <w:bookmarkEnd w:id="8"/>
    </w:p>
    <w:p>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pPr>
        <w:pStyle w:val="Footnotesection"/>
      </w:pPr>
      <w:r>
        <w:tab/>
        <w:t>[Section 5 amended by No. 9 of 2014 s. 6.]</w:t>
      </w:r>
    </w:p>
    <w:p>
      <w:pPr>
        <w:pStyle w:val="Heading5"/>
        <w:rPr>
          <w:snapToGrid w:val="0"/>
        </w:rPr>
      </w:pPr>
      <w:bookmarkStart w:id="9" w:name="_Toc524061276"/>
      <w:r>
        <w:rPr>
          <w:rStyle w:val="CharSectno"/>
        </w:rPr>
        <w:t>6</w:t>
      </w:r>
      <w:r>
        <w:rPr>
          <w:snapToGrid w:val="0"/>
        </w:rPr>
        <w:t>.</w:t>
      </w:r>
      <w:r>
        <w:rPr>
          <w:snapToGrid w:val="0"/>
        </w:rPr>
        <w:tab/>
        <w:t>Port authorities and officers not part of public sector</w:t>
      </w:r>
      <w:bookmarkEnd w:id="9"/>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10" w:name="_Toc524061277"/>
      <w:r>
        <w:rPr>
          <w:rStyle w:val="CharDivNo"/>
        </w:rPr>
        <w:t>Division 2</w:t>
      </w:r>
      <w:r>
        <w:t xml:space="preserve"> — </w:t>
      </w:r>
      <w:r>
        <w:rPr>
          <w:rStyle w:val="CharDivText"/>
        </w:rPr>
        <w:t>Boards of directors</w:t>
      </w:r>
      <w:bookmarkEnd w:id="10"/>
      <w:r>
        <w:rPr>
          <w:rStyle w:val="CharDivText"/>
        </w:rPr>
        <w:t xml:space="preserve"> </w:t>
      </w:r>
    </w:p>
    <w:p>
      <w:pPr>
        <w:pStyle w:val="Heading5"/>
        <w:rPr>
          <w:snapToGrid w:val="0"/>
        </w:rPr>
      </w:pPr>
      <w:bookmarkStart w:id="11" w:name="_Toc524061278"/>
      <w:r>
        <w:rPr>
          <w:rStyle w:val="CharSectno"/>
        </w:rPr>
        <w:t>7</w:t>
      </w:r>
      <w:r>
        <w:rPr>
          <w:snapToGrid w:val="0"/>
        </w:rPr>
        <w:t>.</w:t>
      </w:r>
      <w:r>
        <w:rPr>
          <w:snapToGrid w:val="0"/>
        </w:rPr>
        <w:tab/>
        <w:t>Port authorities to have board of directors</w:t>
      </w:r>
      <w:bookmarkEnd w:id="11"/>
      <w:r>
        <w:rPr>
          <w:snapToGrid w:val="0"/>
        </w:rPr>
        <w:t xml:space="preserve"> </w:t>
      </w:r>
    </w:p>
    <w:p>
      <w:pPr>
        <w:pStyle w:val="Subsection"/>
        <w:rPr>
          <w:snapToGrid w:val="0"/>
        </w:rPr>
      </w:pPr>
      <w:r>
        <w:rPr>
          <w:snapToGrid w:val="0"/>
        </w:rPr>
        <w:tab/>
        <w:t>(1)</w:t>
      </w:r>
      <w:r>
        <w:rPr>
          <w:snapToGrid w:val="0"/>
        </w:rPr>
        <w:tab/>
        <w:t xml:space="preserve">A port authority is to have a board of directors comprising </w:t>
      </w:r>
      <w:r>
        <w:t>not less than 5 or more than 7</w:t>
      </w:r>
      <w:r>
        <w:rPr>
          <w:snapToGrid w:val="0"/>
        </w:rPr>
        <w:t>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Ednotesubsection"/>
      </w:pPr>
      <w:r>
        <w:tab/>
        <w:t>[(4)</w:t>
      </w:r>
      <w:r>
        <w:tab/>
        <w:t>deleted]</w:t>
      </w:r>
    </w:p>
    <w:p>
      <w:pPr>
        <w:pStyle w:val="Footnotesection"/>
      </w:pPr>
      <w:r>
        <w:tab/>
        <w:t>[Section 7 amended by No. 39 of 2010 s. 89; No. 9 of 2014 s. 7.]</w:t>
      </w:r>
    </w:p>
    <w:p>
      <w:pPr>
        <w:pStyle w:val="Heading5"/>
        <w:rPr>
          <w:snapToGrid w:val="0"/>
        </w:rPr>
      </w:pPr>
      <w:bookmarkStart w:id="12" w:name="_Toc524061279"/>
      <w:r>
        <w:rPr>
          <w:rStyle w:val="CharSectno"/>
        </w:rPr>
        <w:t>8</w:t>
      </w:r>
      <w:r>
        <w:rPr>
          <w:snapToGrid w:val="0"/>
        </w:rPr>
        <w:t>.</w:t>
      </w:r>
      <w:r>
        <w:rPr>
          <w:snapToGrid w:val="0"/>
        </w:rPr>
        <w:tab/>
        <w:t>Boards, role of</w:t>
      </w:r>
      <w:bookmarkEnd w:id="12"/>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spacing w:before="180"/>
        <w:rPr>
          <w:snapToGrid w:val="0"/>
        </w:rPr>
      </w:pPr>
      <w:bookmarkStart w:id="13" w:name="_Toc524061280"/>
      <w:r>
        <w:rPr>
          <w:rStyle w:val="CharSectno"/>
        </w:rPr>
        <w:t>9</w:t>
      </w:r>
      <w:r>
        <w:rPr>
          <w:snapToGrid w:val="0"/>
        </w:rPr>
        <w:t>.</w:t>
      </w:r>
      <w:r>
        <w:rPr>
          <w:snapToGrid w:val="0"/>
        </w:rPr>
        <w:tab/>
        <w:t>Boards, constitution and proceedings of (Sch. 2)</w:t>
      </w:r>
      <w:bookmarkEnd w:id="13"/>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spacing w:before="180"/>
        <w:rPr>
          <w:snapToGrid w:val="0"/>
        </w:rPr>
      </w:pPr>
      <w:bookmarkStart w:id="14" w:name="_Toc524061281"/>
      <w:r>
        <w:rPr>
          <w:rStyle w:val="CharSectno"/>
        </w:rPr>
        <w:t>10</w:t>
      </w:r>
      <w:r>
        <w:rPr>
          <w:snapToGrid w:val="0"/>
        </w:rPr>
        <w:t>.</w:t>
      </w:r>
      <w:r>
        <w:rPr>
          <w:snapToGrid w:val="0"/>
        </w:rPr>
        <w:tab/>
        <w:t>Directors, remuneration of</w:t>
      </w:r>
      <w:bookmarkEnd w:id="14"/>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spacing w:before="120"/>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15" w:name="_Toc524061282"/>
      <w:r>
        <w:rPr>
          <w:rStyle w:val="CharSectno"/>
        </w:rPr>
        <w:t>11</w:t>
      </w:r>
      <w:r>
        <w:rPr>
          <w:snapToGrid w:val="0"/>
        </w:rPr>
        <w:t>.</w:t>
      </w:r>
      <w:r>
        <w:rPr>
          <w:snapToGrid w:val="0"/>
        </w:rPr>
        <w:tab/>
        <w:t>Conflict of duties</w:t>
      </w:r>
      <w:bookmarkEnd w:id="15"/>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16" w:name="_Toc524061283"/>
      <w:r>
        <w:rPr>
          <w:rStyle w:val="CharSectno"/>
        </w:rPr>
        <w:t>12</w:t>
      </w:r>
      <w:r>
        <w:rPr>
          <w:snapToGrid w:val="0"/>
        </w:rPr>
        <w:t>.</w:t>
      </w:r>
      <w:r>
        <w:rPr>
          <w:snapToGrid w:val="0"/>
        </w:rPr>
        <w:tab/>
        <w:t>Notifiable interests, disclosing</w:t>
      </w:r>
      <w:bookmarkEnd w:id="16"/>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17" w:name="_Toc524061284"/>
      <w:r>
        <w:rPr>
          <w:rStyle w:val="CharSectno"/>
        </w:rPr>
        <w:t>13</w:t>
      </w:r>
      <w:r>
        <w:rPr>
          <w:snapToGrid w:val="0"/>
        </w:rPr>
        <w:t>.</w:t>
      </w:r>
      <w:r>
        <w:rPr>
          <w:snapToGrid w:val="0"/>
        </w:rPr>
        <w:tab/>
        <w:t>Committees</w:t>
      </w:r>
      <w:bookmarkEnd w:id="17"/>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w:t>
      </w:r>
    </w:p>
    <w:p>
      <w:pPr>
        <w:pStyle w:val="Subsection"/>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rPr>
          <w:snapToGrid w:val="0"/>
        </w:rPr>
      </w:pPr>
      <w:r>
        <w:rPr>
          <w:snapToGrid w:val="0"/>
        </w:rPr>
        <w:tab/>
        <w:t>(4)</w:t>
      </w:r>
      <w:r>
        <w:rPr>
          <w:snapToGrid w:val="0"/>
        </w:rPr>
        <w:tab/>
        <w:t>Subject to subsection (2), a committee may determine its own procedures.</w:t>
      </w:r>
    </w:p>
    <w:p>
      <w:pPr>
        <w:pStyle w:val="Subsection"/>
      </w:pPr>
      <w:r>
        <w:tab/>
        <w:t>(5)</w:t>
      </w:r>
      <w:r>
        <w:tab/>
        <w:t xml:space="preserve">The port authority is to provide a committee with such — </w:t>
      </w:r>
    </w:p>
    <w:p>
      <w:pPr>
        <w:pStyle w:val="Indenta"/>
      </w:pPr>
      <w:r>
        <w:tab/>
        <w:t>(a)</w:t>
      </w:r>
      <w:r>
        <w:tab/>
        <w:t>administrative support; and</w:t>
      </w:r>
    </w:p>
    <w:p>
      <w:pPr>
        <w:pStyle w:val="Indenta"/>
      </w:pPr>
      <w:r>
        <w:tab/>
        <w:t>(b)</w:t>
      </w:r>
      <w:r>
        <w:tab/>
        <w:t>facilities,</w:t>
      </w:r>
    </w:p>
    <w:p>
      <w:pPr>
        <w:pStyle w:val="Subsection"/>
      </w:pPr>
      <w:r>
        <w:tab/>
      </w:r>
      <w:r>
        <w:tab/>
        <w:t>as the committee may reasonably require for the performance of its functions.</w:t>
      </w:r>
    </w:p>
    <w:p>
      <w:pPr>
        <w:pStyle w:val="Footnotesection"/>
      </w:pPr>
      <w:r>
        <w:tab/>
        <w:t>[Section 13 amended by No. 9 of 2014 s. 8.]</w:t>
      </w:r>
    </w:p>
    <w:p>
      <w:pPr>
        <w:pStyle w:val="Heading5"/>
      </w:pPr>
      <w:bookmarkStart w:id="18" w:name="_Toc524061285"/>
      <w:r>
        <w:rPr>
          <w:rStyle w:val="CharSectno"/>
        </w:rPr>
        <w:t>14A</w:t>
      </w:r>
      <w:r>
        <w:t>.</w:t>
      </w:r>
      <w:r>
        <w:tab/>
        <w:t>Community consultation committees</w:t>
      </w:r>
      <w:bookmarkEnd w:id="18"/>
    </w:p>
    <w:p>
      <w:pPr>
        <w:pStyle w:val="Subsection"/>
      </w:pPr>
      <w:r>
        <w:tab/>
        <w:t>(1)</w:t>
      </w:r>
      <w:r>
        <w:tab/>
        <w:t xml:space="preserve">In this section — </w:t>
      </w:r>
    </w:p>
    <w:p>
      <w:pPr>
        <w:pStyle w:val="Defstart"/>
      </w:pPr>
      <w:r>
        <w:tab/>
      </w:r>
      <w:r>
        <w:rPr>
          <w:rStyle w:val="CharDefText"/>
        </w:rPr>
        <w:t>consultation committee</w:t>
      </w:r>
      <w:r>
        <w:t xml:space="preserve"> means the committee established as required by subsection (2).</w:t>
      </w:r>
    </w:p>
    <w:p>
      <w:pPr>
        <w:pStyle w:val="Subsection"/>
      </w:pPr>
      <w:r>
        <w:tab/>
        <w:t>(2)</w:t>
      </w:r>
      <w:r>
        <w:tab/>
        <w:t>Without limiting section 13, a port authority must, under that section, establish a committee for the port for the purpose of promoting and facilitating communication, information sharing and consultation between the port authority and members of the public who are or may be affected by port operations.</w:t>
      </w:r>
    </w:p>
    <w:p>
      <w:pPr>
        <w:pStyle w:val="Subsection"/>
      </w:pPr>
      <w:r>
        <w:tab/>
        <w:t>(3)</w:t>
      </w:r>
      <w:r>
        <w:tab/>
        <w:t>A local government that has electors who are or may be affected by port operations at the port is to be represented on the consultation committee.</w:t>
      </w:r>
    </w:p>
    <w:p>
      <w:pPr>
        <w:pStyle w:val="Subsection"/>
      </w:pPr>
      <w:r>
        <w:tab/>
        <w:t>(4)</w:t>
      </w:r>
      <w:r>
        <w:tab/>
        <w:t>Minutes of the proceedings of the consultation committee are to be made available on the port authority’s website or in a prescribed manner.</w:t>
      </w:r>
    </w:p>
    <w:p>
      <w:pPr>
        <w:pStyle w:val="Subsection"/>
      </w:pPr>
      <w:r>
        <w:tab/>
        <w:t>(5)</w:t>
      </w:r>
      <w:r>
        <w:tab/>
        <w:t>Subsection (2) does not apply if the regulations exempt the port from the operation of this section.</w:t>
      </w:r>
    </w:p>
    <w:p>
      <w:pPr>
        <w:pStyle w:val="Footnotesection"/>
      </w:pPr>
      <w:r>
        <w:tab/>
        <w:t>[Section 14A inserted by No. 9 of 2014 s. 9.]</w:t>
      </w:r>
    </w:p>
    <w:p>
      <w:pPr>
        <w:pStyle w:val="Heading3"/>
      </w:pPr>
      <w:bookmarkStart w:id="19" w:name="_Toc524061286"/>
      <w:r>
        <w:rPr>
          <w:rStyle w:val="CharDivNo"/>
        </w:rPr>
        <w:t>Division 3</w:t>
      </w:r>
      <w:r>
        <w:rPr>
          <w:snapToGrid w:val="0"/>
        </w:rPr>
        <w:t xml:space="preserve"> — </w:t>
      </w:r>
      <w:r>
        <w:rPr>
          <w:rStyle w:val="CharDivText"/>
        </w:rPr>
        <w:t>Staff</w:t>
      </w:r>
      <w:bookmarkEnd w:id="19"/>
      <w:r>
        <w:rPr>
          <w:rStyle w:val="CharDivText"/>
        </w:rPr>
        <w:t xml:space="preserve"> </w:t>
      </w:r>
    </w:p>
    <w:p>
      <w:pPr>
        <w:pStyle w:val="Heading5"/>
        <w:rPr>
          <w:snapToGrid w:val="0"/>
        </w:rPr>
      </w:pPr>
      <w:bookmarkStart w:id="20" w:name="_Toc524061287"/>
      <w:r>
        <w:rPr>
          <w:rStyle w:val="CharSectno"/>
        </w:rPr>
        <w:t>14</w:t>
      </w:r>
      <w:r>
        <w:rPr>
          <w:snapToGrid w:val="0"/>
        </w:rPr>
        <w:t>.</w:t>
      </w:r>
      <w:r>
        <w:rPr>
          <w:snapToGrid w:val="0"/>
        </w:rPr>
        <w:tab/>
        <w:t>Chief executive officer</w:t>
      </w:r>
      <w:bookmarkEnd w:id="20"/>
      <w:r>
        <w:rPr>
          <w:snapToGrid w:val="0"/>
        </w:rPr>
        <w:t xml:space="preserve"> </w:t>
      </w:r>
    </w:p>
    <w:p>
      <w:pPr>
        <w:pStyle w:val="Subsection"/>
        <w:rPr>
          <w:snapToGrid w:val="0"/>
        </w:rPr>
      </w:pPr>
      <w:r>
        <w:rPr>
          <w:snapToGrid w:val="0"/>
        </w:rPr>
        <w:tab/>
        <w:t>(1)</w:t>
      </w:r>
      <w:r>
        <w:rPr>
          <w:snapToGrid w:val="0"/>
        </w:rPr>
        <w:tab/>
        <w:t>A port authority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keepLines/>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21" w:name="_Toc524061288"/>
      <w:r>
        <w:rPr>
          <w:rStyle w:val="CharSectno"/>
        </w:rPr>
        <w:t>15</w:t>
      </w:r>
      <w:r>
        <w:rPr>
          <w:snapToGrid w:val="0"/>
        </w:rPr>
        <w:t>.</w:t>
      </w:r>
      <w:r>
        <w:rPr>
          <w:snapToGrid w:val="0"/>
        </w:rPr>
        <w:tab/>
        <w:t>CEO’s functions</w:t>
      </w:r>
      <w:bookmarkEnd w:id="21"/>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22" w:name="_Toc524061289"/>
      <w:r>
        <w:rPr>
          <w:rStyle w:val="CharSectno"/>
        </w:rPr>
        <w:t>16</w:t>
      </w:r>
      <w:r>
        <w:rPr>
          <w:snapToGrid w:val="0"/>
        </w:rPr>
        <w:t>.</w:t>
      </w:r>
      <w:r>
        <w:rPr>
          <w:snapToGrid w:val="0"/>
        </w:rPr>
        <w:tab/>
        <w:t>Staff</w:t>
      </w:r>
      <w:bookmarkEnd w:id="22"/>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keepNext/>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 and</w:t>
      </w:r>
    </w:p>
    <w:p>
      <w:pPr>
        <w:pStyle w:val="Indenti"/>
        <w:rPr>
          <w:snapToGrid w:val="0"/>
        </w:rPr>
      </w:pPr>
      <w:r>
        <w:rPr>
          <w:snapToGrid w:val="0"/>
        </w:rPr>
        <w:tab/>
        <w:t>(ii)</w:t>
      </w:r>
      <w:r>
        <w:rPr>
          <w:snapToGrid w:val="0"/>
        </w:rPr>
        <w:tab/>
        <w:t>leave; and</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80"/>
      </w:pPr>
      <w:r>
        <w:tab/>
        <w:t>[(5)</w:t>
      </w:r>
      <w:r>
        <w:tab/>
        <w:t>deleted]</w:t>
      </w:r>
    </w:p>
    <w:p>
      <w:pPr>
        <w:pStyle w:val="Subsection"/>
        <w:spacing w:before="18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spacing w:before="240"/>
        <w:rPr>
          <w:snapToGrid w:val="0"/>
        </w:rPr>
      </w:pPr>
      <w:bookmarkStart w:id="23" w:name="_Toc524061290"/>
      <w:r>
        <w:rPr>
          <w:rStyle w:val="CharSectno"/>
        </w:rPr>
        <w:t>17</w:t>
      </w:r>
      <w:r>
        <w:rPr>
          <w:snapToGrid w:val="0"/>
        </w:rPr>
        <w:t>.</w:t>
      </w:r>
      <w:r>
        <w:rPr>
          <w:snapToGrid w:val="0"/>
        </w:rPr>
        <w:tab/>
        <w:t>Minimum standards for staff management</w:t>
      </w:r>
      <w:bookmarkEnd w:id="23"/>
      <w:r>
        <w:rPr>
          <w:snapToGrid w:val="0"/>
        </w:rPr>
        <w:t xml:space="preserve"> </w:t>
      </w:r>
    </w:p>
    <w:p>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(3)</w:t>
      </w:r>
      <w:r>
        <w:rPr>
          <w:snapToGrid w:val="0"/>
        </w:rPr>
        <w:tab/>
        <w:t>Section 14(3) is not affected by the requirements of subsection (2).</w:t>
      </w:r>
    </w:p>
    <w:p>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24" w:name="_Toc524061291"/>
      <w:r>
        <w:rPr>
          <w:rStyle w:val="CharSectno"/>
        </w:rPr>
        <w:t>18</w:t>
      </w:r>
      <w:r>
        <w:rPr>
          <w:snapToGrid w:val="0"/>
        </w:rPr>
        <w:t>.</w:t>
      </w:r>
      <w:r>
        <w:rPr>
          <w:snapToGrid w:val="0"/>
        </w:rPr>
        <w:tab/>
        <w:t>Reports to Public Sector Commissioner as to s. 17 standards</w:t>
      </w:r>
      <w:bookmarkEnd w:id="2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25" w:name="_Toc524061292"/>
      <w:r>
        <w:rPr>
          <w:rStyle w:val="CharSectno"/>
        </w:rPr>
        <w:t>19</w:t>
      </w:r>
      <w:r>
        <w:rPr>
          <w:snapToGrid w:val="0"/>
        </w:rPr>
        <w:t>.</w:t>
      </w:r>
      <w:r>
        <w:rPr>
          <w:snapToGrid w:val="0"/>
        </w:rPr>
        <w:tab/>
        <w:t>Superannuation</w:t>
      </w:r>
      <w:bookmarkEnd w:id="25"/>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26" w:name="_Toc524061293"/>
      <w:r>
        <w:rPr>
          <w:rStyle w:val="CharDivNo"/>
        </w:rPr>
        <w:t>Division 4</w:t>
      </w:r>
      <w:r>
        <w:rPr>
          <w:snapToGrid w:val="0"/>
        </w:rPr>
        <w:t xml:space="preserve"> — </w:t>
      </w:r>
      <w:r>
        <w:rPr>
          <w:rStyle w:val="CharDivText"/>
        </w:rPr>
        <w:t>Conduct and integrity of staff</w:t>
      </w:r>
      <w:bookmarkEnd w:id="26"/>
    </w:p>
    <w:p>
      <w:pPr>
        <w:pStyle w:val="Heading5"/>
        <w:rPr>
          <w:snapToGrid w:val="0"/>
        </w:rPr>
      </w:pPr>
      <w:bookmarkStart w:id="27" w:name="_Toc524061294"/>
      <w:r>
        <w:rPr>
          <w:rStyle w:val="CharSectno"/>
        </w:rPr>
        <w:t>20</w:t>
      </w:r>
      <w:r>
        <w:rPr>
          <w:snapToGrid w:val="0"/>
        </w:rPr>
        <w:t>.</w:t>
      </w:r>
      <w:r>
        <w:rPr>
          <w:snapToGrid w:val="0"/>
        </w:rPr>
        <w:tab/>
        <w:t>CEO and staff, duties of (Sch. 3) etc.</w:t>
      </w:r>
      <w:bookmarkEnd w:id="27"/>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28" w:name="_Toc524061295"/>
      <w:r>
        <w:rPr>
          <w:rStyle w:val="CharSectno"/>
        </w:rPr>
        <w:t>21</w:t>
      </w:r>
      <w:r>
        <w:rPr>
          <w:snapToGrid w:val="0"/>
        </w:rPr>
        <w:t>.</w:t>
      </w:r>
      <w:r>
        <w:rPr>
          <w:snapToGrid w:val="0"/>
        </w:rPr>
        <w:tab/>
        <w:t>Codes of conduct</w:t>
      </w:r>
      <w:bookmarkEnd w:id="28"/>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spacing w:before="180"/>
        <w:rPr>
          <w:snapToGrid w:val="0"/>
        </w:rPr>
      </w:pPr>
      <w:bookmarkStart w:id="29" w:name="_Toc524061296"/>
      <w:r>
        <w:rPr>
          <w:rStyle w:val="CharSectno"/>
        </w:rPr>
        <w:t>22</w:t>
      </w:r>
      <w:r>
        <w:rPr>
          <w:snapToGrid w:val="0"/>
        </w:rPr>
        <w:t>.</w:t>
      </w:r>
      <w:r>
        <w:rPr>
          <w:snapToGrid w:val="0"/>
        </w:rPr>
        <w:tab/>
        <w:t>Reports to Public Sector Commissioner as to s. 21 codes</w:t>
      </w:r>
      <w:bookmarkEnd w:id="29"/>
    </w:p>
    <w:p>
      <w:pPr>
        <w:pStyle w:val="Subsection"/>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40"/>
        <w:rPr>
          <w:snapToGrid w:val="0"/>
        </w:rPr>
      </w:pPr>
      <w:r>
        <w:rPr>
          <w:snapToGrid w:val="0"/>
        </w:rPr>
        <w:tab/>
      </w:r>
      <w:r>
        <w:rPr>
          <w:snapToGrid w:val="0"/>
        </w:rPr>
        <w:tab/>
        <w:t>as the Commissioner may specify.</w:t>
      </w:r>
    </w:p>
    <w:p>
      <w:pPr>
        <w:pStyle w:val="Subsection"/>
        <w:spacing w:before="140"/>
        <w:rPr>
          <w:snapToGrid w:val="0"/>
        </w:rPr>
      </w:pPr>
      <w:r>
        <w:rPr>
          <w:snapToGrid w:val="0"/>
        </w:rPr>
        <w:tab/>
        <w:t>(2)</w:t>
      </w:r>
      <w:r>
        <w:rPr>
          <w:snapToGrid w:val="0"/>
        </w:rPr>
        <w:tab/>
        <w:t>A board must comply with a direction given to it under subsection (1).</w:t>
      </w:r>
    </w:p>
    <w:p>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spacing w:before="80"/>
        <w:ind w:left="890" w:hanging="890"/>
      </w:pPr>
      <w:r>
        <w:tab/>
        <w:t>[Section 22 amended by No. 39 of 2010 s. 81(3).]</w:t>
      </w:r>
    </w:p>
    <w:p>
      <w:pPr>
        <w:pStyle w:val="Heading5"/>
        <w:rPr>
          <w:snapToGrid w:val="0"/>
        </w:rPr>
      </w:pPr>
      <w:bookmarkStart w:id="30" w:name="_Toc524061297"/>
      <w:r>
        <w:rPr>
          <w:rStyle w:val="CharSectno"/>
        </w:rPr>
        <w:t>23</w:t>
      </w:r>
      <w:r>
        <w:rPr>
          <w:snapToGrid w:val="0"/>
        </w:rPr>
        <w:t>.</w:t>
      </w:r>
      <w:r>
        <w:rPr>
          <w:snapToGrid w:val="0"/>
        </w:rPr>
        <w:tab/>
        <w:t>Reports to Minister as to s. 21 codes</w:t>
      </w:r>
      <w:bookmarkEnd w:id="30"/>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31" w:name="_Toc524061298"/>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31"/>
      <w:r>
        <w:rPr>
          <w:rStyle w:val="CharPartText"/>
        </w:rPr>
        <w:t xml:space="preserve"> </w:t>
      </w:r>
    </w:p>
    <w:p>
      <w:pPr>
        <w:pStyle w:val="Heading5"/>
        <w:rPr>
          <w:snapToGrid w:val="0"/>
        </w:rPr>
      </w:pPr>
      <w:bookmarkStart w:id="32" w:name="_Toc524061299"/>
      <w:r>
        <w:rPr>
          <w:rStyle w:val="CharSectno"/>
        </w:rPr>
        <w:t>24</w:t>
      </w:r>
      <w:r>
        <w:rPr>
          <w:snapToGrid w:val="0"/>
        </w:rPr>
        <w:t>.</w:t>
      </w:r>
      <w:r>
        <w:rPr>
          <w:snapToGrid w:val="0"/>
        </w:rPr>
        <w:tab/>
        <w:t>Port areas defined</w:t>
      </w:r>
      <w:bookmarkEnd w:id="32"/>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33" w:name="_Toc524061300"/>
      <w:r>
        <w:rPr>
          <w:rStyle w:val="CharSectno"/>
        </w:rPr>
        <w:t>25</w:t>
      </w:r>
      <w:r>
        <w:rPr>
          <w:snapToGrid w:val="0"/>
        </w:rPr>
        <w:t>.</w:t>
      </w:r>
      <w:r>
        <w:rPr>
          <w:snapToGrid w:val="0"/>
        </w:rPr>
        <w:tab/>
        <w:t>Port authority, property vested in</w:t>
      </w:r>
      <w:bookmarkEnd w:id="33"/>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rPr>
          <w:vertAlign w:val="superscript"/>
        </w:rPr>
        <w:t> 1</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34" w:name="_Toc524061301"/>
      <w:r>
        <w:rPr>
          <w:rStyle w:val="CharSectno"/>
        </w:rPr>
        <w:t>26</w:t>
      </w:r>
      <w:r>
        <w:rPr>
          <w:snapToGrid w:val="0"/>
        </w:rPr>
        <w:t>.</w:t>
      </w:r>
      <w:r>
        <w:rPr>
          <w:snapToGrid w:val="0"/>
        </w:rPr>
        <w:tab/>
        <w:t>Port property may be taken back by Crown</w:t>
      </w:r>
      <w:bookmarkEnd w:id="34"/>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35" w:name="_Toc524061302"/>
      <w:r>
        <w:rPr>
          <w:rStyle w:val="CharSectno"/>
        </w:rPr>
        <w:t>27</w:t>
      </w:r>
      <w:r>
        <w:rPr>
          <w:snapToGrid w:val="0"/>
        </w:rPr>
        <w:t>.</w:t>
      </w:r>
      <w:r>
        <w:rPr>
          <w:snapToGrid w:val="0"/>
        </w:rPr>
        <w:tab/>
        <w:t>Power to sell land, restrictions on</w:t>
      </w:r>
      <w:bookmarkEnd w:id="35"/>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 xml:space="preserve">In this </w:t>
      </w:r>
      <w:r>
        <w:t>section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Footnotesection"/>
      </w:pPr>
      <w:r>
        <w:tab/>
        <w:t>[Section 27 amended by No. 9 of 2014 s. 10.]</w:t>
      </w:r>
    </w:p>
    <w:p>
      <w:pPr>
        <w:pStyle w:val="Heading5"/>
      </w:pPr>
      <w:bookmarkStart w:id="36" w:name="_Toc524061303"/>
      <w:r>
        <w:rPr>
          <w:rStyle w:val="CharSectno"/>
        </w:rPr>
        <w:t>27A</w:t>
      </w:r>
      <w:r>
        <w:t>.</w:t>
      </w:r>
      <w:r>
        <w:tab/>
        <w:t>Land, creating interests in</w:t>
      </w:r>
      <w:bookmarkEnd w:id="36"/>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37" w:name="_Toc524061304"/>
      <w:r>
        <w:rPr>
          <w:rStyle w:val="CharSectno"/>
        </w:rPr>
        <w:t>28</w:t>
      </w:r>
      <w:r>
        <w:rPr>
          <w:snapToGrid w:val="0"/>
        </w:rPr>
        <w:t>.</w:t>
      </w:r>
      <w:r>
        <w:rPr>
          <w:snapToGrid w:val="0"/>
        </w:rPr>
        <w:tab/>
        <w:t>Vested land, creating and dealing with interests in</w:t>
      </w:r>
      <w:bookmarkEnd w:id="37"/>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pPr>
      <w:bookmarkStart w:id="38" w:name="_Toc524061305"/>
      <w:r>
        <w:rPr>
          <w:rStyle w:val="CharSectno"/>
        </w:rPr>
        <w:t>29A</w:t>
      </w:r>
      <w:r>
        <w:t>.</w:t>
      </w:r>
      <w:r>
        <w:tab/>
        <w:t xml:space="preserve">Operation of </w:t>
      </w:r>
      <w:r>
        <w:rPr>
          <w:i/>
        </w:rPr>
        <w:t>Planning and Development Act 2005</w:t>
      </w:r>
      <w:r>
        <w:t xml:space="preserve"> section 136 modified</w:t>
      </w:r>
      <w:bookmarkEnd w:id="38"/>
    </w:p>
    <w:p>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pPr>
        <w:pStyle w:val="Footnotesection"/>
      </w:pPr>
      <w:r>
        <w:tab/>
        <w:t>[Section 29A inserted by No. 9 of 2014 s. 11.]</w:t>
      </w:r>
    </w:p>
    <w:p>
      <w:pPr>
        <w:pStyle w:val="Heading5"/>
        <w:rPr>
          <w:snapToGrid w:val="0"/>
        </w:rPr>
      </w:pPr>
      <w:bookmarkStart w:id="39" w:name="_Toc524061306"/>
      <w:r>
        <w:rPr>
          <w:rStyle w:val="CharSectno"/>
        </w:rPr>
        <w:t>29</w:t>
      </w:r>
      <w:r>
        <w:rPr>
          <w:snapToGrid w:val="0"/>
        </w:rPr>
        <w:t>.</w:t>
      </w:r>
      <w:r>
        <w:rPr>
          <w:snapToGrid w:val="0"/>
        </w:rPr>
        <w:tab/>
        <w:t>Disputes between port authority and Crown</w:t>
      </w:r>
      <w:bookmarkEnd w:id="39"/>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40" w:name="_Toc524061307"/>
      <w:r>
        <w:rPr>
          <w:rStyle w:val="CharPartNo"/>
        </w:rPr>
        <w:t>Part 4</w:t>
      </w:r>
      <w:r>
        <w:t xml:space="preserve"> — </w:t>
      </w:r>
      <w:r>
        <w:rPr>
          <w:rStyle w:val="CharPartText"/>
        </w:rPr>
        <w:t>Functions and powers</w:t>
      </w:r>
      <w:bookmarkEnd w:id="40"/>
      <w:r>
        <w:t xml:space="preserve"> </w:t>
      </w:r>
    </w:p>
    <w:p>
      <w:pPr>
        <w:pStyle w:val="Heading3"/>
      </w:pPr>
      <w:bookmarkStart w:id="41" w:name="_Toc524061308"/>
      <w:r>
        <w:rPr>
          <w:rStyle w:val="CharDivNo"/>
        </w:rPr>
        <w:t>Division 1</w:t>
      </w:r>
      <w:r>
        <w:t xml:space="preserve"> — </w:t>
      </w:r>
      <w:r>
        <w:rPr>
          <w:rStyle w:val="CharDivText"/>
        </w:rPr>
        <w:t>Functions, powers and related provisions</w:t>
      </w:r>
      <w:bookmarkEnd w:id="41"/>
      <w:r>
        <w:rPr>
          <w:rStyle w:val="CharDivText"/>
        </w:rPr>
        <w:t xml:space="preserve"> </w:t>
      </w:r>
    </w:p>
    <w:p>
      <w:pPr>
        <w:pStyle w:val="Heading5"/>
        <w:rPr>
          <w:snapToGrid w:val="0"/>
        </w:rPr>
      </w:pPr>
      <w:bookmarkStart w:id="42" w:name="_Toc524061309"/>
      <w:r>
        <w:rPr>
          <w:rStyle w:val="CharSectno"/>
        </w:rPr>
        <w:t>30</w:t>
      </w:r>
      <w:r>
        <w:rPr>
          <w:snapToGrid w:val="0"/>
        </w:rPr>
        <w:t>.</w:t>
      </w:r>
      <w:r>
        <w:rPr>
          <w:snapToGrid w:val="0"/>
        </w:rPr>
        <w:tab/>
        <w:t>Functions</w:t>
      </w:r>
      <w:bookmarkEnd w:id="42"/>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 and</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pPr>
        <w:pStyle w:val="Indenta"/>
        <w:rPr>
          <w:snapToGrid w:val="0"/>
        </w:rPr>
      </w:pPr>
      <w:r>
        <w:rPr>
          <w:snapToGrid w:val="0"/>
        </w:rPr>
        <w:tab/>
        <w:t>(c)</w:t>
      </w:r>
      <w:r>
        <w:rPr>
          <w:snapToGrid w:val="0"/>
        </w:rPr>
        <w:tab/>
        <w:t>to control business and other activities in the port or in connection with the operation of the port; and</w:t>
      </w:r>
    </w:p>
    <w:p>
      <w:pPr>
        <w:pStyle w:val="Indenta"/>
        <w:rPr>
          <w:snapToGrid w:val="0"/>
        </w:rPr>
      </w:pPr>
      <w:r>
        <w:rPr>
          <w:snapToGrid w:val="0"/>
        </w:rPr>
        <w:tab/>
        <w:t>(d)</w:t>
      </w:r>
      <w:r>
        <w:rPr>
          <w:snapToGrid w:val="0"/>
        </w:rPr>
        <w:tab/>
        <w:t>to be responsible for the safe and efficient operation of the port; and</w:t>
      </w:r>
    </w:p>
    <w:p>
      <w:pPr>
        <w:pStyle w:val="Indenta"/>
      </w:pPr>
      <w:r>
        <w:tab/>
        <w:t>(e)</w:t>
      </w:r>
      <w:r>
        <w:tab/>
        <w:t>to be responsible for maintaining port property; and</w:t>
      </w:r>
    </w:p>
    <w:p>
      <w:pPr>
        <w:pStyle w:val="Indenta"/>
      </w:pPr>
      <w:r>
        <w:tab/>
        <w:t>(fa)</w:t>
      </w:r>
      <w:r>
        <w:tab/>
        <w:t>to be responsible for port security; and</w:t>
      </w:r>
    </w:p>
    <w:p>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 No. 9 of 2014 s. 12.]</w:t>
      </w:r>
    </w:p>
    <w:p>
      <w:pPr>
        <w:pStyle w:val="Heading5"/>
        <w:rPr>
          <w:snapToGrid w:val="0"/>
        </w:rPr>
      </w:pPr>
      <w:bookmarkStart w:id="43" w:name="_Toc524061310"/>
      <w:r>
        <w:rPr>
          <w:rStyle w:val="CharSectno"/>
        </w:rPr>
        <w:t>31</w:t>
      </w:r>
      <w:r>
        <w:rPr>
          <w:snapToGrid w:val="0"/>
        </w:rPr>
        <w:t>.</w:t>
      </w:r>
      <w:r>
        <w:rPr>
          <w:snapToGrid w:val="0"/>
        </w:rPr>
        <w:tab/>
        <w:t>Port authorities can act at their discretion</w:t>
      </w:r>
      <w:bookmarkEnd w:id="43"/>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w:t>
      </w:r>
      <w:r>
        <w:t xml:space="preserve"> operations.</w:t>
      </w:r>
    </w:p>
    <w:p>
      <w:pPr>
        <w:pStyle w:val="Footnotesection"/>
      </w:pPr>
      <w:r>
        <w:tab/>
        <w:t>[Section 31 amended by No. 9 of 2014 s. 13.]</w:t>
      </w:r>
    </w:p>
    <w:p>
      <w:pPr>
        <w:pStyle w:val="Heading5"/>
        <w:rPr>
          <w:snapToGrid w:val="0"/>
        </w:rPr>
      </w:pPr>
      <w:bookmarkStart w:id="44" w:name="_Toc524061311"/>
      <w:r>
        <w:rPr>
          <w:rStyle w:val="CharSectno"/>
        </w:rPr>
        <w:t>32</w:t>
      </w:r>
      <w:r>
        <w:rPr>
          <w:snapToGrid w:val="0"/>
        </w:rPr>
        <w:t>.</w:t>
      </w:r>
      <w:r>
        <w:rPr>
          <w:snapToGrid w:val="0"/>
        </w:rPr>
        <w:tab/>
        <w:t>Control of port, port authority has</w:t>
      </w:r>
      <w:bookmarkEnd w:id="44"/>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45" w:name="_Toc524061312"/>
      <w:r>
        <w:rPr>
          <w:rStyle w:val="CharSectno"/>
        </w:rPr>
        <w:t>33</w:t>
      </w:r>
      <w:r>
        <w:rPr>
          <w:snapToGrid w:val="0"/>
        </w:rPr>
        <w:t>.</w:t>
      </w:r>
      <w:r>
        <w:rPr>
          <w:snapToGrid w:val="0"/>
        </w:rPr>
        <w:tab/>
        <w:t>Duty to act in accordance with policy instruments</w:t>
      </w:r>
      <w:bookmarkEnd w:id="45"/>
      <w:r>
        <w:rPr>
          <w:snapToGrid w:val="0"/>
        </w:rPr>
        <w:t xml:space="preserve"> </w:t>
      </w:r>
    </w:p>
    <w:p>
      <w:pPr>
        <w:pStyle w:val="Subsection"/>
        <w:rPr>
          <w:snapToGrid w:val="0"/>
        </w:rPr>
      </w:pPr>
      <w:r>
        <w:rPr>
          <w:snapToGrid w:val="0"/>
        </w:rPr>
        <w:tab/>
      </w:r>
      <w:r>
        <w:rPr>
          <w:snapToGrid w:val="0"/>
        </w:rPr>
        <w:tab/>
      </w:r>
      <w:r>
        <w:t>Subject to section 34A, a</w:t>
      </w:r>
      <w:r>
        <w:rPr>
          <w:snapToGrid w:val="0"/>
        </w:rPr>
        <w:t xml:space="preserve"> port authority is to perform its functions in accordance with its strategic development plan and its statement of corporate intent as existing from time to time.</w:t>
      </w:r>
    </w:p>
    <w:p>
      <w:pPr>
        <w:pStyle w:val="Footnotesection"/>
      </w:pPr>
      <w:r>
        <w:tab/>
        <w:t>[Section 33 amended by No. 9 of 2014 s. 14.]</w:t>
      </w:r>
    </w:p>
    <w:p>
      <w:pPr>
        <w:pStyle w:val="Heading5"/>
      </w:pPr>
      <w:bookmarkStart w:id="46" w:name="_Toc524061313"/>
      <w:r>
        <w:rPr>
          <w:rStyle w:val="CharSectno"/>
        </w:rPr>
        <w:t>34A</w:t>
      </w:r>
      <w:r>
        <w:t>.</w:t>
      </w:r>
      <w:r>
        <w:tab/>
        <w:t>Duty to comply with State budgetary requirements</w:t>
      </w:r>
      <w:bookmarkEnd w:id="46"/>
    </w:p>
    <w:p>
      <w:pPr>
        <w:pStyle w:val="Subsection"/>
      </w:pPr>
      <w:r>
        <w:tab/>
        <w:t>(1)</w:t>
      </w:r>
      <w:r>
        <w:tab/>
        <w:t xml:space="preserve">In this section — </w:t>
      </w:r>
    </w:p>
    <w:p>
      <w:pPr>
        <w:pStyle w:val="Defstart"/>
      </w:pPr>
      <w:r>
        <w:tab/>
      </w:r>
      <w:r>
        <w:rPr>
          <w:rStyle w:val="CharDefText"/>
        </w:rPr>
        <w:t>approved</w:t>
      </w:r>
      <w:r>
        <w:t xml:space="preserve"> means approved from time to time by the Government for the port authority and communicated in writing by the Treasurer to the port authority;</w:t>
      </w:r>
    </w:p>
    <w:p>
      <w:pPr>
        <w:pStyle w:val="Defstart"/>
      </w:pPr>
      <w:r>
        <w:tab/>
      </w:r>
      <w:r>
        <w:rPr>
          <w:rStyle w:val="CharDefText"/>
        </w:rPr>
        <w:t>Government</w:t>
      </w:r>
      <w:r>
        <w:t xml:space="preserve"> includes — </w:t>
      </w:r>
    </w:p>
    <w:p>
      <w:pPr>
        <w:pStyle w:val="Defpara"/>
      </w:pPr>
      <w:r>
        <w:tab/>
        <w:t>(a)</w:t>
      </w:r>
      <w:r>
        <w:tab/>
        <w:t>Cabinet; and</w:t>
      </w:r>
    </w:p>
    <w:p>
      <w:pPr>
        <w:pStyle w:val="Defpara"/>
      </w:pPr>
      <w:r>
        <w:tab/>
        <w:t>(b)</w:t>
      </w:r>
      <w:r>
        <w:tab/>
        <w:t>a committee of Cabinet; and</w:t>
      </w:r>
    </w:p>
    <w:p>
      <w:pPr>
        <w:pStyle w:val="Defpara"/>
      </w:pPr>
      <w:r>
        <w:tab/>
        <w:t>(c)</w:t>
      </w:r>
      <w:r>
        <w:tab/>
        <w:t>a subcommittee of a committee of Cabinet; and</w:t>
      </w:r>
    </w:p>
    <w:p>
      <w:pPr>
        <w:pStyle w:val="Defpara"/>
      </w:pPr>
      <w:r>
        <w:tab/>
        <w:t>(d)</w:t>
      </w:r>
      <w:r>
        <w:tab/>
        <w:t>the Treasurer.</w:t>
      </w:r>
    </w:p>
    <w:p>
      <w:pPr>
        <w:pStyle w:val="Subsection"/>
      </w:pPr>
      <w:r>
        <w:tab/>
        <w:t>(2)</w:t>
      </w:r>
      <w:r>
        <w:tab/>
      </w:r>
      <w:r>
        <w:rPr>
          <w:snapToGrid w:val="0"/>
        </w:rPr>
        <w:t xml:space="preserve">A port authority in performing its functions </w:t>
      </w:r>
      <w:r>
        <w:t xml:space="preserve">must — </w:t>
      </w:r>
    </w:p>
    <w:p>
      <w:pPr>
        <w:pStyle w:val="Indenta"/>
      </w:pPr>
      <w:r>
        <w:tab/>
        <w:t>(a)</w:t>
      </w:r>
      <w:r>
        <w:tab/>
        <w:t>comply with approved requirements as to capital works expenditure limits and associated funding; and</w:t>
      </w:r>
    </w:p>
    <w:p>
      <w:pPr>
        <w:pStyle w:val="Indenta"/>
      </w:pPr>
      <w:r>
        <w:tab/>
        <w:t>(b)</w:t>
      </w:r>
      <w:r>
        <w:tab/>
        <w:t>endeavour to achieve financial outcomes that are consistent with forecasts contained in approved income and cash flow statements and approved statements of financial position.</w:t>
      </w:r>
    </w:p>
    <w:p>
      <w:pPr>
        <w:pStyle w:val="Subsection"/>
        <w:rPr>
          <w:snapToGrid w:val="0"/>
        </w:rPr>
      </w:pPr>
      <w:r>
        <w:rPr>
          <w:snapToGrid w:val="0"/>
        </w:rPr>
        <w:tab/>
        <w:t>(3)</w:t>
      </w:r>
      <w:r>
        <w:rPr>
          <w:snapToGrid w:val="0"/>
        </w:rPr>
        <w:tab/>
        <w:t>If there is any conflict or inconsistency between the duty imposed by subsection (2) and the duty imposed by section 33, the duty imposed by subsection (2) prevails. </w:t>
      </w:r>
    </w:p>
    <w:p>
      <w:pPr>
        <w:pStyle w:val="Footnotesection"/>
      </w:pPr>
      <w:r>
        <w:tab/>
        <w:t>[Section 34A inserted by No. 9 of 2014 s. 15.]</w:t>
      </w:r>
    </w:p>
    <w:p>
      <w:pPr>
        <w:pStyle w:val="Heading5"/>
        <w:rPr>
          <w:snapToGrid w:val="0"/>
        </w:rPr>
      </w:pPr>
      <w:bookmarkStart w:id="47" w:name="_Toc524061314"/>
      <w:r>
        <w:rPr>
          <w:rStyle w:val="CharSectno"/>
        </w:rPr>
        <w:t>34</w:t>
      </w:r>
      <w:r>
        <w:rPr>
          <w:snapToGrid w:val="0"/>
        </w:rPr>
        <w:t>.</w:t>
      </w:r>
      <w:r>
        <w:rPr>
          <w:snapToGrid w:val="0"/>
        </w:rPr>
        <w:tab/>
        <w:t>Duty to act on commercial principles</w:t>
      </w:r>
      <w:bookmarkEnd w:id="47"/>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48" w:name="_Toc524061315"/>
      <w:r>
        <w:rPr>
          <w:rStyle w:val="CharSectno"/>
        </w:rPr>
        <w:t>35</w:t>
      </w:r>
      <w:r>
        <w:rPr>
          <w:snapToGrid w:val="0"/>
        </w:rPr>
        <w:t>.</w:t>
      </w:r>
      <w:r>
        <w:rPr>
          <w:snapToGrid w:val="0"/>
        </w:rPr>
        <w:tab/>
        <w:t>Powers generally</w:t>
      </w:r>
      <w:bookmarkEnd w:id="48"/>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 and</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pPr>
        <w:pStyle w:val="Indenta"/>
        <w:rPr>
          <w:snapToGrid w:val="0"/>
        </w:rPr>
      </w:pPr>
      <w:r>
        <w:rPr>
          <w:snapToGrid w:val="0"/>
        </w:rPr>
        <w:tab/>
        <w:t>(c)</w:t>
      </w:r>
      <w:r>
        <w:rPr>
          <w:snapToGrid w:val="0"/>
        </w:rPr>
        <w:tab/>
        <w:t>carry out port works or arrange for port works to be carried out; and</w:t>
      </w:r>
    </w:p>
    <w:p>
      <w:pPr>
        <w:pStyle w:val="Indenta"/>
        <w:rPr>
          <w:snapToGrid w:val="0"/>
        </w:rPr>
      </w:pPr>
      <w:r>
        <w:rPr>
          <w:snapToGrid w:val="0"/>
        </w:rPr>
        <w:tab/>
        <w:t>(d)</w:t>
      </w:r>
      <w:r>
        <w:rPr>
          <w:snapToGrid w:val="0"/>
        </w:rPr>
        <w:tab/>
        <w:t>provide, manage and operate port facilities or arrange for port facilities to be provided, managed and operated; and</w:t>
      </w:r>
    </w:p>
    <w:p>
      <w:pPr>
        <w:pStyle w:val="Indenta"/>
        <w:rPr>
          <w:snapToGrid w:val="0"/>
        </w:rPr>
      </w:pPr>
      <w:r>
        <w:rPr>
          <w:snapToGrid w:val="0"/>
        </w:rPr>
        <w:tab/>
        <w:t>(e)</w:t>
      </w:r>
      <w:r>
        <w:rPr>
          <w:snapToGrid w:val="0"/>
        </w:rPr>
        <w:tab/>
        <w:t>provide port services or arrange for port services to be provided; and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pPr>
        <w:pStyle w:val="Indenta"/>
        <w:rPr>
          <w:snapToGrid w:val="0"/>
        </w:rPr>
      </w:pPr>
      <w:r>
        <w:rPr>
          <w:snapToGrid w:val="0"/>
        </w:rPr>
        <w:tab/>
        <w:t>(g)</w:t>
      </w:r>
      <w:r>
        <w:rPr>
          <w:snapToGrid w:val="0"/>
        </w:rPr>
        <w:tab/>
        <w:t>apply for the grant of any licence or other authority required by the port authority; and</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produce and deal in any equipment, facilities or system associated with, the performance of the function; and</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pPr>
        <w:pStyle w:val="Indenta"/>
        <w:keepLines/>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 and</w:t>
      </w:r>
    </w:p>
    <w:p>
      <w:pPr>
        <w:pStyle w:val="Indenta"/>
        <w:rPr>
          <w:snapToGrid w:val="0"/>
        </w:rPr>
      </w:pPr>
      <w:r>
        <w:rPr>
          <w:snapToGrid w:val="0"/>
        </w:rPr>
        <w:tab/>
        <w:t>(l)</w:t>
      </w:r>
      <w:r>
        <w:rPr>
          <w:snapToGrid w:val="0"/>
        </w:rPr>
        <w:tab/>
        <w:t>carry out any investigation, survey, exploration or feasibility study; and</w:t>
      </w:r>
    </w:p>
    <w:p>
      <w:pPr>
        <w:pStyle w:val="Indenta"/>
        <w:rPr>
          <w:snapToGrid w:val="0"/>
        </w:rPr>
      </w:pPr>
      <w:r>
        <w:rPr>
          <w:snapToGrid w:val="0"/>
        </w:rPr>
        <w:tab/>
        <w:t>(m)</w:t>
      </w:r>
      <w:r>
        <w:rPr>
          <w:snapToGrid w:val="0"/>
        </w:rPr>
        <w:tab/>
        <w:t>collaborate in, carry out, or procure the carrying out of, research and publish information that results from the research; and</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keepNext/>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pPr>
      <w:r>
        <w:tab/>
        <w:t>(9A)</w:t>
      </w:r>
      <w:r>
        <w:tab/>
        <w:t xml:space="preserve">Subject to the </w:t>
      </w:r>
      <w:r>
        <w:rPr>
          <w:i/>
        </w:rPr>
        <w:t>Environmental Protection Act 1986</w:t>
      </w:r>
      <w:r>
        <w:t>, port operations may take place on any day and at any time.</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 and</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 and</w:t>
      </w:r>
    </w:p>
    <w:p>
      <w:pPr>
        <w:pStyle w:val="Defpara"/>
      </w:pPr>
      <w:r>
        <w:tab/>
        <w:t>(b)</w:t>
      </w:r>
      <w:r>
        <w:tab/>
        <w:t>dredging, engineering, marine civil construction, pollution management, security, pilotage, towage, vessel movement control, emergency response, shore stabilization and waste management services; and</w:t>
      </w:r>
    </w:p>
    <w:p>
      <w:pPr>
        <w:pStyle w:val="Defpara"/>
      </w:pPr>
      <w:r>
        <w:tab/>
        <w:t>(c)</w:t>
      </w:r>
      <w:r>
        <w:tab/>
        <w:t>supplying provisions or equipment to vessels; and</w:t>
      </w:r>
    </w:p>
    <w:p>
      <w:pPr>
        <w:pStyle w:val="Defpara"/>
      </w:pPr>
      <w:r>
        <w:tab/>
        <w:t>(d)</w:t>
      </w:r>
      <w:r>
        <w:tab/>
        <w:t>supplying water, fuel or electricity; and</w:t>
      </w:r>
    </w:p>
    <w:p>
      <w:pPr>
        <w:pStyle w:val="Defpara"/>
      </w:pPr>
      <w:r>
        <w:tab/>
        <w:t>(e)</w:t>
      </w:r>
      <w:r>
        <w:tab/>
        <w:t>providing for the use or hire of port facilities; and</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Footnotesection"/>
      </w:pPr>
      <w:r>
        <w:tab/>
        <w:t>[Section 35 amended by No. 9 of 2014 s. 16.]</w:t>
      </w:r>
    </w:p>
    <w:p>
      <w:pPr>
        <w:pStyle w:val="Heading5"/>
        <w:rPr>
          <w:snapToGrid w:val="0"/>
        </w:rPr>
      </w:pPr>
      <w:bookmarkStart w:id="49" w:name="_Toc524061316"/>
      <w:r>
        <w:rPr>
          <w:rStyle w:val="CharSectno"/>
        </w:rPr>
        <w:t>36</w:t>
      </w:r>
      <w:r>
        <w:rPr>
          <w:snapToGrid w:val="0"/>
        </w:rPr>
        <w:t>.</w:t>
      </w:r>
      <w:r>
        <w:rPr>
          <w:snapToGrid w:val="0"/>
        </w:rPr>
        <w:tab/>
        <w:t>Port facilities and services, extended powers as to</w:t>
      </w:r>
      <w:bookmarkEnd w:id="49"/>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 and</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50" w:name="_Toc524061317"/>
      <w:r>
        <w:rPr>
          <w:rStyle w:val="CharSectno"/>
        </w:rPr>
        <w:t>37</w:t>
      </w:r>
      <w:r>
        <w:rPr>
          <w:snapToGrid w:val="0"/>
        </w:rPr>
        <w:t>.</w:t>
      </w:r>
      <w:r>
        <w:rPr>
          <w:snapToGrid w:val="0"/>
        </w:rPr>
        <w:tab/>
        <w:t>Fees and charges, power to levy</w:t>
      </w:r>
      <w:bookmarkEnd w:id="50"/>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51" w:name="_Toc524061318"/>
      <w:r>
        <w:rPr>
          <w:rStyle w:val="CharSectno"/>
        </w:rPr>
        <w:t>38</w:t>
      </w:r>
      <w:r>
        <w:rPr>
          <w:snapToGrid w:val="0"/>
        </w:rPr>
        <w:t>.</w:t>
      </w:r>
      <w:r>
        <w:rPr>
          <w:snapToGrid w:val="0"/>
        </w:rPr>
        <w:tab/>
        <w:t>Planning laws, application of to port authorities</w:t>
      </w:r>
      <w:bookmarkEnd w:id="5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 by No. 74 of 2003 s. 93(3); No. 38 of 2005 s. 15; No. 24 of 2011 s. 169.]</w:t>
      </w:r>
    </w:p>
    <w:p>
      <w:pPr>
        <w:pStyle w:val="Heading5"/>
        <w:rPr>
          <w:snapToGrid w:val="0"/>
        </w:rPr>
      </w:pPr>
      <w:bookmarkStart w:id="52" w:name="_Toc524061319"/>
      <w:r>
        <w:rPr>
          <w:rStyle w:val="CharSectno"/>
        </w:rPr>
        <w:t>39</w:t>
      </w:r>
      <w:r>
        <w:rPr>
          <w:snapToGrid w:val="0"/>
        </w:rPr>
        <w:t>.</w:t>
      </w:r>
      <w:r>
        <w:rPr>
          <w:snapToGrid w:val="0"/>
        </w:rPr>
        <w:tab/>
        <w:t>Subsidiaries of port authorities, acquisition of etc.</w:t>
      </w:r>
      <w:bookmarkEnd w:id="52"/>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 and</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53" w:name="_Toc524061320"/>
      <w:r>
        <w:rPr>
          <w:rStyle w:val="CharSectno"/>
        </w:rPr>
        <w:t>40</w:t>
      </w:r>
      <w:r>
        <w:rPr>
          <w:snapToGrid w:val="0"/>
        </w:rPr>
        <w:t>.</w:t>
      </w:r>
      <w:r>
        <w:rPr>
          <w:snapToGrid w:val="0"/>
        </w:rPr>
        <w:tab/>
        <w:t>Ministerial approval, transactions requiring</w:t>
      </w:r>
      <w:bookmarkEnd w:id="53"/>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 and</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54" w:name="_Toc524061321"/>
      <w:r>
        <w:rPr>
          <w:rStyle w:val="CharSectno"/>
        </w:rPr>
        <w:t>41</w:t>
      </w:r>
      <w:r>
        <w:rPr>
          <w:snapToGrid w:val="0"/>
        </w:rPr>
        <w:t>.</w:t>
      </w:r>
      <w:r>
        <w:rPr>
          <w:snapToGrid w:val="0"/>
        </w:rPr>
        <w:tab/>
        <w:t>Exemptions from s. 40</w:t>
      </w:r>
      <w:bookmarkEnd w:id="54"/>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55" w:name="_Toc524061322"/>
      <w:r>
        <w:rPr>
          <w:rStyle w:val="CharSectno"/>
        </w:rPr>
        <w:t>42</w:t>
      </w:r>
      <w:r>
        <w:rPr>
          <w:snapToGrid w:val="0"/>
        </w:rPr>
        <w:t>.</w:t>
      </w:r>
      <w:r>
        <w:rPr>
          <w:snapToGrid w:val="0"/>
        </w:rPr>
        <w:tab/>
        <w:t>Term used: transaction</w:t>
      </w:r>
      <w:bookmarkEnd w:id="55"/>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56" w:name="_Toc524061323"/>
      <w:r>
        <w:rPr>
          <w:rStyle w:val="CharSectno"/>
        </w:rPr>
        <w:t>43</w:t>
      </w:r>
      <w:r>
        <w:rPr>
          <w:snapToGrid w:val="0"/>
        </w:rPr>
        <w:t>.</w:t>
      </w:r>
      <w:r>
        <w:rPr>
          <w:snapToGrid w:val="0"/>
        </w:rPr>
        <w:tab/>
        <w:t>Major initiatives etc., Minister to be consulted on</w:t>
      </w:r>
      <w:bookmarkEnd w:id="56"/>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57" w:name="_Toc524061324"/>
      <w:r>
        <w:rPr>
          <w:rStyle w:val="CharSectno"/>
        </w:rPr>
        <w:t>44</w:t>
      </w:r>
      <w:r>
        <w:rPr>
          <w:snapToGrid w:val="0"/>
        </w:rPr>
        <w:t>.</w:t>
      </w:r>
      <w:r>
        <w:rPr>
          <w:snapToGrid w:val="0"/>
        </w:rPr>
        <w:tab/>
        <w:t>Delegation by port authority</w:t>
      </w:r>
      <w:bookmarkEnd w:id="57"/>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rPr>
          <w:snapToGrid w:val="0"/>
        </w:rPr>
      </w:pPr>
      <w:r>
        <w:rPr>
          <w:snapToGrid w:val="0"/>
        </w:rPr>
        <w:tab/>
        <w:t>(b)</w:t>
      </w:r>
      <w:r>
        <w:rPr>
          <w:snapToGrid w:val="0"/>
        </w:rPr>
        <w:tab/>
        <w:t>the CEO; or</w:t>
      </w:r>
    </w:p>
    <w:p>
      <w:pPr>
        <w:pStyle w:val="Indenta"/>
        <w:rPr>
          <w:snapToGrid w:val="0"/>
        </w:rPr>
      </w:pPr>
      <w:r>
        <w:rPr>
          <w:snapToGrid w:val="0"/>
        </w:rPr>
        <w:tab/>
        <w:t>(c)</w:t>
      </w:r>
      <w:r>
        <w:rPr>
          <w:snapToGrid w:val="0"/>
        </w:rPr>
        <w:tab/>
        <w:t>a member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58" w:name="_Toc524061325"/>
      <w:r>
        <w:rPr>
          <w:rStyle w:val="CharDivNo"/>
        </w:rPr>
        <w:t>Division 2</w:t>
      </w:r>
      <w:r>
        <w:rPr>
          <w:snapToGrid w:val="0"/>
        </w:rPr>
        <w:t xml:space="preserve"> — </w:t>
      </w:r>
      <w:r>
        <w:rPr>
          <w:rStyle w:val="CharDivText"/>
        </w:rPr>
        <w:t>Protection of people dealing with port authorities</w:t>
      </w:r>
      <w:bookmarkEnd w:id="58"/>
    </w:p>
    <w:p>
      <w:pPr>
        <w:pStyle w:val="Heading5"/>
        <w:rPr>
          <w:snapToGrid w:val="0"/>
        </w:rPr>
      </w:pPr>
      <w:bookmarkStart w:id="59" w:name="_Toc524061326"/>
      <w:r>
        <w:rPr>
          <w:rStyle w:val="CharSectno"/>
        </w:rPr>
        <w:t>45</w:t>
      </w:r>
      <w:r>
        <w:rPr>
          <w:snapToGrid w:val="0"/>
        </w:rPr>
        <w:t>.</w:t>
      </w:r>
      <w:r>
        <w:rPr>
          <w:snapToGrid w:val="0"/>
        </w:rPr>
        <w:tab/>
        <w:t>People dealing with port authorities may make assumptions</w:t>
      </w:r>
      <w:bookmarkEnd w:id="59"/>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60" w:name="_Toc524061327"/>
      <w:r>
        <w:rPr>
          <w:rStyle w:val="CharSectno"/>
        </w:rPr>
        <w:t>46</w:t>
      </w:r>
      <w:r>
        <w:rPr>
          <w:snapToGrid w:val="0"/>
        </w:rPr>
        <w:t>.</w:t>
      </w:r>
      <w:r>
        <w:rPr>
          <w:snapToGrid w:val="0"/>
        </w:rPr>
        <w:tab/>
        <w:t>Third parties may make assumptions</w:t>
      </w:r>
      <w:bookmarkEnd w:id="60"/>
      <w:r>
        <w:rPr>
          <w:snapToGrid w:val="0"/>
        </w:rPr>
        <w:t xml:space="preserve"> </w:t>
      </w:r>
    </w:p>
    <w:p>
      <w:pPr>
        <w:pStyle w:val="Subsection"/>
        <w:rPr>
          <w:snapToGrid w:val="0"/>
        </w:rPr>
      </w:pPr>
      <w:r>
        <w:rPr>
          <w:snapToGrid w:val="0"/>
        </w:rPr>
        <w:tab/>
        <w:t>(1)</w:t>
      </w:r>
      <w:r>
        <w:rPr>
          <w:snapToGrid w:val="0"/>
        </w:rPr>
        <w:tab/>
        <w:t xml:space="preserve">A </w:t>
      </w:r>
      <w:r>
        <w:t>person (the</w:t>
      </w:r>
      <w:r>
        <w:rPr>
          <w:rStyle w:val="CharDefText"/>
        </w:rPr>
        <w:t xml:space="preserve"> third party</w:t>
      </w:r>
      <w:r>
        <w:rPr>
          <w:snapToGrid w:val="0"/>
        </w:rPr>
        <w:t xml:space="preserve">) having dealings with a </w:t>
      </w:r>
      <w:r>
        <w:t xml:space="preserve">person (the </w:t>
      </w:r>
      <w:r>
        <w:rPr>
          <w:rStyle w:val="CharDefText"/>
        </w:rPr>
        <w:t>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61" w:name="_Toc524061328"/>
      <w:r>
        <w:rPr>
          <w:rStyle w:val="CharSectno"/>
        </w:rPr>
        <w:t>47</w:t>
      </w:r>
      <w:r>
        <w:rPr>
          <w:snapToGrid w:val="0"/>
        </w:rPr>
        <w:t>.</w:t>
      </w:r>
      <w:r>
        <w:rPr>
          <w:snapToGrid w:val="0"/>
        </w:rPr>
        <w:tab/>
        <w:t>Assumptions that may be made under s. 45 and 46</w:t>
      </w:r>
      <w:bookmarkEnd w:id="61"/>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 and</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 and</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62" w:name="_Toc524061329"/>
      <w:r>
        <w:rPr>
          <w:rStyle w:val="CharSectno"/>
        </w:rPr>
        <w:t>48</w:t>
      </w:r>
      <w:r>
        <w:rPr>
          <w:snapToGrid w:val="0"/>
        </w:rPr>
        <w:t>.</w:t>
      </w:r>
      <w:r>
        <w:rPr>
          <w:snapToGrid w:val="0"/>
        </w:rPr>
        <w:tab/>
        <w:t>Exception to s. 45 and 46</w:t>
      </w:r>
      <w:bookmarkEnd w:id="62"/>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63" w:name="_Toc524061330"/>
      <w:r>
        <w:rPr>
          <w:rStyle w:val="CharPartNo"/>
        </w:rPr>
        <w:t>Part 5</w:t>
      </w:r>
      <w:r>
        <w:t xml:space="preserve"> — </w:t>
      </w:r>
      <w:r>
        <w:rPr>
          <w:rStyle w:val="CharPartText"/>
        </w:rPr>
        <w:t>Provisions about accountability</w:t>
      </w:r>
      <w:bookmarkEnd w:id="63"/>
      <w:r>
        <w:rPr>
          <w:rStyle w:val="CharPartText"/>
        </w:rPr>
        <w:t xml:space="preserve"> </w:t>
      </w:r>
    </w:p>
    <w:p>
      <w:pPr>
        <w:pStyle w:val="Heading3"/>
      </w:pPr>
      <w:bookmarkStart w:id="64" w:name="_Toc524061331"/>
      <w:r>
        <w:rPr>
          <w:rStyle w:val="CharDivNo"/>
        </w:rPr>
        <w:t>Division 1</w:t>
      </w:r>
      <w:r>
        <w:t xml:space="preserve"> — </w:t>
      </w:r>
      <w:r>
        <w:rPr>
          <w:rStyle w:val="CharDivText"/>
        </w:rPr>
        <w:t>Strategic development plans</w:t>
      </w:r>
      <w:bookmarkEnd w:id="64"/>
      <w:r>
        <w:rPr>
          <w:rStyle w:val="CharDivText"/>
        </w:rPr>
        <w:t xml:space="preserve"> </w:t>
      </w:r>
    </w:p>
    <w:p>
      <w:pPr>
        <w:pStyle w:val="Heading5"/>
        <w:rPr>
          <w:snapToGrid w:val="0"/>
        </w:rPr>
      </w:pPr>
      <w:bookmarkStart w:id="65" w:name="_Toc524061332"/>
      <w:r>
        <w:rPr>
          <w:rStyle w:val="CharSectno"/>
        </w:rPr>
        <w:t>49</w:t>
      </w:r>
      <w:r>
        <w:rPr>
          <w:snapToGrid w:val="0"/>
        </w:rPr>
        <w:t>.</w:t>
      </w:r>
      <w:r>
        <w:rPr>
          <w:snapToGrid w:val="0"/>
        </w:rPr>
        <w:tab/>
        <w:t>Draft strategic development plan to be submitted to Minister</w:t>
      </w:r>
      <w:bookmarkEnd w:id="65"/>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spacing w:before="240"/>
        <w:rPr>
          <w:snapToGrid w:val="0"/>
        </w:rPr>
      </w:pPr>
      <w:bookmarkStart w:id="66" w:name="_Toc524061333"/>
      <w:r>
        <w:rPr>
          <w:rStyle w:val="CharSectno"/>
        </w:rPr>
        <w:t>50</w:t>
      </w:r>
      <w:r>
        <w:rPr>
          <w:snapToGrid w:val="0"/>
        </w:rPr>
        <w:t>.</w:t>
      </w:r>
      <w:r>
        <w:rPr>
          <w:snapToGrid w:val="0"/>
        </w:rPr>
        <w:tab/>
        <w:t>Period to which strategic development plan relates</w:t>
      </w:r>
      <w:bookmarkEnd w:id="66"/>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67" w:name="_Toc524061334"/>
      <w:r>
        <w:rPr>
          <w:rStyle w:val="CharSectno"/>
        </w:rPr>
        <w:t>51</w:t>
      </w:r>
      <w:r>
        <w:rPr>
          <w:snapToGrid w:val="0"/>
        </w:rPr>
        <w:t>.</w:t>
      </w:r>
      <w:r>
        <w:rPr>
          <w:snapToGrid w:val="0"/>
        </w:rPr>
        <w:tab/>
        <w:t>Matters to be included in strategic development plan</w:t>
      </w:r>
      <w:bookmarkEnd w:id="67"/>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 xml:space="preserve">competitive strategies, pricing, service efficiency and effectiveness, </w:t>
      </w:r>
      <w:r>
        <w:t xml:space="preserve">participation of potential suppliers, </w:t>
      </w:r>
      <w:r>
        <w:rPr>
          <w:snapToGrid w:val="0"/>
        </w:rPr>
        <w:t>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Footnotesection"/>
      </w:pPr>
      <w:r>
        <w:tab/>
        <w:t>[Section 51 amended by No. 9 of 2014 s. 17.]</w:t>
      </w:r>
    </w:p>
    <w:p>
      <w:pPr>
        <w:pStyle w:val="Heading5"/>
        <w:spacing w:before="180"/>
        <w:rPr>
          <w:snapToGrid w:val="0"/>
        </w:rPr>
      </w:pPr>
      <w:bookmarkStart w:id="68" w:name="_Toc524061335"/>
      <w:r>
        <w:rPr>
          <w:rStyle w:val="CharSectno"/>
        </w:rPr>
        <w:t>52</w:t>
      </w:r>
      <w:r>
        <w:rPr>
          <w:snapToGrid w:val="0"/>
        </w:rPr>
        <w:t>.</w:t>
      </w:r>
      <w:r>
        <w:rPr>
          <w:snapToGrid w:val="0"/>
        </w:rPr>
        <w:tab/>
        <w:t>Strategic development plan to be agreed if possible</w:t>
      </w:r>
      <w:bookmarkEnd w:id="68"/>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69" w:name="_Toc524061336"/>
      <w:r>
        <w:rPr>
          <w:rStyle w:val="CharSectno"/>
        </w:rPr>
        <w:t>53</w:t>
      </w:r>
      <w:r>
        <w:rPr>
          <w:snapToGrid w:val="0"/>
        </w:rPr>
        <w:t>.</w:t>
      </w:r>
      <w:r>
        <w:rPr>
          <w:snapToGrid w:val="0"/>
        </w:rPr>
        <w:tab/>
        <w:t>Minister’s powers in relation to draft strategic development plan</w:t>
      </w:r>
      <w:bookmarkEnd w:id="69"/>
      <w:r>
        <w:rPr>
          <w:snapToGrid w:val="0"/>
        </w:rPr>
        <w:t xml:space="preserve"> </w:t>
      </w:r>
    </w:p>
    <w:p>
      <w:pPr>
        <w:pStyle w:val="Subsection"/>
        <w:spacing w:before="120"/>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70" w:name="_Toc524061337"/>
      <w:r>
        <w:rPr>
          <w:rStyle w:val="CharSectno"/>
        </w:rPr>
        <w:t>54</w:t>
      </w:r>
      <w:r>
        <w:rPr>
          <w:snapToGrid w:val="0"/>
        </w:rPr>
        <w:t>.</w:t>
      </w:r>
      <w:r>
        <w:rPr>
          <w:snapToGrid w:val="0"/>
        </w:rPr>
        <w:tab/>
        <w:t>Strategic development plan pending agreement</w:t>
      </w:r>
      <w:bookmarkEnd w:id="70"/>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71" w:name="_Toc524061338"/>
      <w:r>
        <w:rPr>
          <w:rStyle w:val="CharSectno"/>
        </w:rPr>
        <w:t>55</w:t>
      </w:r>
      <w:r>
        <w:rPr>
          <w:snapToGrid w:val="0"/>
        </w:rPr>
        <w:t>.</w:t>
      </w:r>
      <w:r>
        <w:rPr>
          <w:snapToGrid w:val="0"/>
        </w:rPr>
        <w:tab/>
        <w:t>Agreed draft becomes strategic development plan</w:t>
      </w:r>
      <w:bookmarkEnd w:id="71"/>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72" w:name="_Toc524061339"/>
      <w:r>
        <w:rPr>
          <w:rStyle w:val="CharSectno"/>
        </w:rPr>
        <w:t>56</w:t>
      </w:r>
      <w:r>
        <w:rPr>
          <w:snapToGrid w:val="0"/>
        </w:rPr>
        <w:t>.</w:t>
      </w:r>
      <w:r>
        <w:rPr>
          <w:snapToGrid w:val="0"/>
        </w:rPr>
        <w:tab/>
        <w:t>Modifying strategic development plan</w:t>
      </w:r>
      <w:bookmarkEnd w:id="72"/>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73" w:name="_Toc524061340"/>
      <w:r>
        <w:rPr>
          <w:rStyle w:val="CharSectno"/>
        </w:rPr>
        <w:t>57</w:t>
      </w:r>
      <w:r>
        <w:rPr>
          <w:snapToGrid w:val="0"/>
        </w:rPr>
        <w:t>.</w:t>
      </w:r>
      <w:r>
        <w:rPr>
          <w:snapToGrid w:val="0"/>
        </w:rPr>
        <w:tab/>
        <w:t>Treasurer’s concurrence needed by Minister for s. 55 or 56</w:t>
      </w:r>
      <w:bookmarkEnd w:id="73"/>
    </w:p>
    <w:p>
      <w:pPr>
        <w:pStyle w:val="Subsection"/>
        <w:rPr>
          <w:snapToGrid w:val="0"/>
        </w:rPr>
      </w:pPr>
      <w:r>
        <w:tab/>
        <w:t>(1)</w:t>
      </w:r>
      <w:r>
        <w:tab/>
        <w:t>The</w:t>
      </w:r>
      <w:r>
        <w:rPr>
          <w:snapToGrid w:val="0"/>
        </w:rPr>
        <w:t xml:space="preserv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Subsection"/>
      </w:pPr>
      <w:r>
        <w:tab/>
        <w:t>(2)</w:t>
      </w:r>
      <w:r>
        <w:tab/>
        <w:t xml:space="preserve">Without limiting section 34A, any agreement or concurrence mentioned in subsection (1) has effect subject to the reservation that the port authority must — </w:t>
      </w:r>
    </w:p>
    <w:p>
      <w:pPr>
        <w:pStyle w:val="Indenta"/>
      </w:pPr>
      <w:r>
        <w:tab/>
        <w:t>(a)</w:t>
      </w:r>
      <w:r>
        <w:tab/>
        <w:t>comply with the requirements mentioned in section 34A(2)(a); and</w:t>
      </w:r>
    </w:p>
    <w:p>
      <w:pPr>
        <w:pStyle w:val="Indenta"/>
      </w:pPr>
      <w:r>
        <w:tab/>
        <w:t>(b)</w:t>
      </w:r>
      <w:r>
        <w:tab/>
        <w:t>endeavour to achieve the financial outcomes mentioned in section 34A(2)(b),</w:t>
      </w:r>
    </w:p>
    <w:p>
      <w:pPr>
        <w:pStyle w:val="Subsection"/>
      </w:pPr>
      <w:r>
        <w:tab/>
      </w:r>
      <w:r>
        <w:tab/>
        <w:t>whether or not they are consistent with the strategic development plan or modified strategic development plan, as the case may be.</w:t>
      </w:r>
    </w:p>
    <w:p>
      <w:pPr>
        <w:pStyle w:val="Footnotesection"/>
      </w:pPr>
      <w:r>
        <w:tab/>
        <w:t>[Section 57 amended by No. 9 of 2014 s. 18.]</w:t>
      </w:r>
    </w:p>
    <w:p>
      <w:pPr>
        <w:pStyle w:val="Heading3"/>
      </w:pPr>
      <w:bookmarkStart w:id="74" w:name="_Toc524061341"/>
      <w:r>
        <w:rPr>
          <w:rStyle w:val="CharDivNo"/>
        </w:rPr>
        <w:t>Division 2</w:t>
      </w:r>
      <w:r>
        <w:t xml:space="preserve"> — </w:t>
      </w:r>
      <w:r>
        <w:rPr>
          <w:rStyle w:val="CharDivText"/>
        </w:rPr>
        <w:t>Statement of corporate intent</w:t>
      </w:r>
      <w:bookmarkEnd w:id="74"/>
      <w:r>
        <w:rPr>
          <w:rStyle w:val="CharDivText"/>
        </w:rPr>
        <w:t xml:space="preserve"> </w:t>
      </w:r>
    </w:p>
    <w:p>
      <w:pPr>
        <w:pStyle w:val="Heading5"/>
        <w:rPr>
          <w:snapToGrid w:val="0"/>
        </w:rPr>
      </w:pPr>
      <w:bookmarkStart w:id="75" w:name="_Toc524061342"/>
      <w:r>
        <w:rPr>
          <w:rStyle w:val="CharSectno"/>
        </w:rPr>
        <w:t>58</w:t>
      </w:r>
      <w:r>
        <w:rPr>
          <w:snapToGrid w:val="0"/>
        </w:rPr>
        <w:t>.</w:t>
      </w:r>
      <w:r>
        <w:rPr>
          <w:snapToGrid w:val="0"/>
        </w:rPr>
        <w:tab/>
        <w:t>Draft statement of corporate intent to be submitted to Minister</w:t>
      </w:r>
      <w:bookmarkEnd w:id="75"/>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spacing w:before="240"/>
        <w:rPr>
          <w:snapToGrid w:val="0"/>
        </w:rPr>
      </w:pPr>
      <w:bookmarkStart w:id="76" w:name="_Toc524061343"/>
      <w:r>
        <w:rPr>
          <w:rStyle w:val="CharSectno"/>
        </w:rPr>
        <w:t>59</w:t>
      </w:r>
      <w:r>
        <w:rPr>
          <w:snapToGrid w:val="0"/>
        </w:rPr>
        <w:t>.</w:t>
      </w:r>
      <w:r>
        <w:rPr>
          <w:snapToGrid w:val="0"/>
        </w:rPr>
        <w:tab/>
        <w:t>Period to which statement of corporate intent relates</w:t>
      </w:r>
      <w:bookmarkEnd w:id="76"/>
      <w:r>
        <w:rPr>
          <w:snapToGrid w:val="0"/>
        </w:rPr>
        <w:t xml:space="preserve"> </w:t>
      </w:r>
    </w:p>
    <w:p>
      <w:pPr>
        <w:pStyle w:val="Subsection"/>
        <w:spacing w:before="180"/>
        <w:rPr>
          <w:snapToGrid w:val="0"/>
        </w:rPr>
      </w:pPr>
      <w:r>
        <w:rPr>
          <w:snapToGrid w:val="0"/>
        </w:rPr>
        <w:tab/>
      </w:r>
      <w:r>
        <w:rPr>
          <w:snapToGrid w:val="0"/>
        </w:rPr>
        <w:tab/>
        <w:t>A statement of corporate intent is to cover a financial year.</w:t>
      </w:r>
    </w:p>
    <w:p>
      <w:pPr>
        <w:pStyle w:val="Heading5"/>
        <w:spacing w:before="240"/>
        <w:rPr>
          <w:snapToGrid w:val="0"/>
        </w:rPr>
      </w:pPr>
      <w:bookmarkStart w:id="77" w:name="_Toc524061344"/>
      <w:r>
        <w:rPr>
          <w:rStyle w:val="CharSectno"/>
        </w:rPr>
        <w:t>60</w:t>
      </w:r>
      <w:r>
        <w:rPr>
          <w:snapToGrid w:val="0"/>
        </w:rPr>
        <w:t>.</w:t>
      </w:r>
      <w:r>
        <w:rPr>
          <w:snapToGrid w:val="0"/>
        </w:rPr>
        <w:tab/>
        <w:t>Matters to be included in statement of corporate intent</w:t>
      </w:r>
      <w:bookmarkEnd w:id="77"/>
      <w:r>
        <w:rPr>
          <w:snapToGrid w:val="0"/>
        </w:rPr>
        <w:t xml:space="preserve"> </w:t>
      </w:r>
    </w:p>
    <w:p>
      <w:pPr>
        <w:pStyle w:val="Subsection"/>
        <w:spacing w:before="180"/>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spacing w:before="180"/>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 and</w:t>
      </w:r>
    </w:p>
    <w:p>
      <w:pPr>
        <w:pStyle w:val="Indenta"/>
        <w:rPr>
          <w:snapToGrid w:val="0"/>
        </w:rPr>
      </w:pPr>
      <w:r>
        <w:rPr>
          <w:snapToGrid w:val="0"/>
        </w:rPr>
        <w:tab/>
        <w:t>(b)</w:t>
      </w:r>
      <w:r>
        <w:rPr>
          <w:snapToGrid w:val="0"/>
        </w:rPr>
        <w:tab/>
        <w:t>an outline of major planned achievements; and</w:t>
      </w:r>
    </w:p>
    <w:p>
      <w:pPr>
        <w:pStyle w:val="Indenta"/>
        <w:rPr>
          <w:snapToGrid w:val="0"/>
        </w:rPr>
      </w:pPr>
      <w:r>
        <w:rPr>
          <w:snapToGrid w:val="0"/>
        </w:rPr>
        <w:tab/>
        <w:t>(c)</w:t>
      </w:r>
      <w:r>
        <w:rPr>
          <w:snapToGrid w:val="0"/>
        </w:rPr>
        <w:tab/>
        <w:t>proposed arrangements to facilitate trade; and</w:t>
      </w:r>
    </w:p>
    <w:p>
      <w:pPr>
        <w:pStyle w:val="Indenta"/>
        <w:rPr>
          <w:snapToGrid w:val="0"/>
        </w:rPr>
      </w:pPr>
      <w:r>
        <w:rPr>
          <w:snapToGrid w:val="0"/>
        </w:rPr>
        <w:tab/>
        <w:t>(d)</w:t>
      </w:r>
      <w:r>
        <w:rPr>
          <w:snapToGrid w:val="0"/>
        </w:rPr>
        <w:tab/>
        <w:t>estimates of operating revenue and expenditure; and</w:t>
      </w:r>
    </w:p>
    <w:p>
      <w:pPr>
        <w:pStyle w:val="Indenta"/>
        <w:rPr>
          <w:snapToGrid w:val="0"/>
        </w:rPr>
      </w:pPr>
      <w:r>
        <w:rPr>
          <w:snapToGrid w:val="0"/>
        </w:rPr>
        <w:tab/>
        <w:t>(e)</w:t>
      </w:r>
      <w:r>
        <w:rPr>
          <w:snapToGrid w:val="0"/>
        </w:rPr>
        <w:tab/>
        <w:t>an outline of capital expenditure and borrowing requirements; and</w:t>
      </w:r>
    </w:p>
    <w:p>
      <w:pPr>
        <w:pStyle w:val="Indenta"/>
        <w:rPr>
          <w:snapToGrid w:val="0"/>
        </w:rPr>
      </w:pPr>
      <w:r>
        <w:rPr>
          <w:snapToGrid w:val="0"/>
        </w:rPr>
        <w:tab/>
        <w:t>(f)</w:t>
      </w:r>
      <w:r>
        <w:rPr>
          <w:snapToGrid w:val="0"/>
        </w:rPr>
        <w:tab/>
        <w:t>proposed pricing arrangements; and</w:t>
      </w:r>
    </w:p>
    <w:p>
      <w:pPr>
        <w:pStyle w:val="Indenta"/>
        <w:rPr>
          <w:snapToGrid w:val="0"/>
        </w:rPr>
      </w:pPr>
      <w:r>
        <w:rPr>
          <w:snapToGrid w:val="0"/>
        </w:rPr>
        <w:tab/>
        <w:t>(g)</w:t>
      </w:r>
      <w:r>
        <w:rPr>
          <w:snapToGrid w:val="0"/>
        </w:rPr>
        <w:tab/>
        <w:t>proposed provisions for dividends; and</w:t>
      </w:r>
    </w:p>
    <w:p>
      <w:pPr>
        <w:pStyle w:val="Indenta"/>
        <w:rPr>
          <w:snapToGrid w:val="0"/>
        </w:rPr>
      </w:pPr>
      <w:r>
        <w:rPr>
          <w:snapToGrid w:val="0"/>
        </w:rPr>
        <w:tab/>
        <w:t>(h)</w:t>
      </w:r>
      <w:r>
        <w:rPr>
          <w:snapToGrid w:val="0"/>
        </w:rPr>
        <w:tab/>
        <w:t>the performance targets and other measures by which performances may be judged and related to objectives; and</w:t>
      </w:r>
    </w:p>
    <w:p>
      <w:pPr>
        <w:pStyle w:val="Indenta"/>
        <w:rPr>
          <w:snapToGrid w:val="0"/>
        </w:rPr>
      </w:pPr>
      <w:r>
        <w:rPr>
          <w:snapToGrid w:val="0"/>
        </w:rPr>
        <w:tab/>
        <w:t>(i)</w:t>
      </w:r>
      <w:r>
        <w:rPr>
          <w:snapToGrid w:val="0"/>
        </w:rPr>
        <w:tab/>
        <w:t>accounting policies that apply to the preparation of accounts; and</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 and</w:t>
      </w:r>
    </w:p>
    <w:p>
      <w:pPr>
        <w:pStyle w:val="Indenta"/>
      </w:pPr>
      <w:r>
        <w:tab/>
        <w:t>(ka)</w:t>
      </w:r>
      <w:r>
        <w:tab/>
        <w:t>proposed arrangements to facilitate the participation of potential suppliers in the provision of port services or, if no arrangements are proposed, the reason and justification for their absence; and</w:t>
      </w:r>
    </w:p>
    <w:p>
      <w:pPr>
        <w:pStyle w:val="Indenta"/>
        <w:rPr>
          <w:snapToGrid w:val="0"/>
        </w:rPr>
      </w:pPr>
      <w:r>
        <w:rPr>
          <w:snapToGrid w:val="0"/>
        </w:rPr>
        <w:tab/>
        <w:t>(k)</w:t>
      </w:r>
      <w:r>
        <w:rPr>
          <w:snapToGrid w:val="0"/>
        </w:rPr>
        <w:tab/>
        <w:t>the nature and extent of community service obligations that are to be performed; and</w:t>
      </w:r>
    </w:p>
    <w:p>
      <w:pPr>
        <w:pStyle w:val="Indenta"/>
        <w:rPr>
          <w:snapToGrid w:val="0"/>
        </w:rPr>
      </w:pPr>
      <w:r>
        <w:rPr>
          <w:snapToGrid w:val="0"/>
        </w:rPr>
        <w:tab/>
        <w:t>(l)</w:t>
      </w:r>
      <w:r>
        <w:rPr>
          <w:snapToGrid w:val="0"/>
        </w:rPr>
        <w:tab/>
        <w:t>the costings of, funding for, or other arrangements to make adjustments relating to, community service obligations; and</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 and</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Footnotesection"/>
      </w:pPr>
      <w:r>
        <w:tab/>
        <w:t>[Section 60 amended by No. 9 of 2014 s. 19.]</w:t>
      </w:r>
    </w:p>
    <w:p>
      <w:pPr>
        <w:pStyle w:val="Heading5"/>
        <w:spacing w:before="180"/>
        <w:rPr>
          <w:snapToGrid w:val="0"/>
        </w:rPr>
      </w:pPr>
      <w:bookmarkStart w:id="78" w:name="_Toc524061345"/>
      <w:r>
        <w:rPr>
          <w:rStyle w:val="CharSectno"/>
        </w:rPr>
        <w:t>61</w:t>
      </w:r>
      <w:r>
        <w:rPr>
          <w:snapToGrid w:val="0"/>
        </w:rPr>
        <w:t>.</w:t>
      </w:r>
      <w:r>
        <w:rPr>
          <w:snapToGrid w:val="0"/>
        </w:rPr>
        <w:tab/>
        <w:t>Statement of corporate intent to be agreed if possible</w:t>
      </w:r>
      <w:bookmarkEnd w:id="78"/>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79" w:name="_Toc524061346"/>
      <w:r>
        <w:rPr>
          <w:rStyle w:val="CharSectno"/>
        </w:rPr>
        <w:t>62</w:t>
      </w:r>
      <w:r>
        <w:rPr>
          <w:snapToGrid w:val="0"/>
        </w:rPr>
        <w:t>.</w:t>
      </w:r>
      <w:r>
        <w:rPr>
          <w:snapToGrid w:val="0"/>
        </w:rPr>
        <w:tab/>
        <w:t>Minister’s powers in relation to draft statement of corporate intent</w:t>
      </w:r>
      <w:bookmarkEnd w:id="79"/>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80" w:name="_Toc524061347"/>
      <w:r>
        <w:rPr>
          <w:rStyle w:val="CharSectno"/>
        </w:rPr>
        <w:t>63</w:t>
      </w:r>
      <w:r>
        <w:rPr>
          <w:snapToGrid w:val="0"/>
        </w:rPr>
        <w:t>.</w:t>
      </w:r>
      <w:r>
        <w:rPr>
          <w:snapToGrid w:val="0"/>
        </w:rPr>
        <w:tab/>
        <w:t>Statement of corporate intent pending agreement</w:t>
      </w:r>
      <w:bookmarkEnd w:id="80"/>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81" w:name="_Toc524061348"/>
      <w:r>
        <w:rPr>
          <w:rStyle w:val="CharSectno"/>
        </w:rPr>
        <w:t>64</w:t>
      </w:r>
      <w:r>
        <w:rPr>
          <w:snapToGrid w:val="0"/>
        </w:rPr>
        <w:t>.</w:t>
      </w:r>
      <w:r>
        <w:rPr>
          <w:snapToGrid w:val="0"/>
        </w:rPr>
        <w:tab/>
        <w:t>Agreed draft becomes statement of corporate intent</w:t>
      </w:r>
      <w:bookmarkEnd w:id="81"/>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82" w:name="_Toc524061349"/>
      <w:r>
        <w:rPr>
          <w:rStyle w:val="CharSectno"/>
        </w:rPr>
        <w:t>65</w:t>
      </w:r>
      <w:r>
        <w:rPr>
          <w:snapToGrid w:val="0"/>
        </w:rPr>
        <w:t>.</w:t>
      </w:r>
      <w:r>
        <w:rPr>
          <w:snapToGrid w:val="0"/>
        </w:rPr>
        <w:tab/>
        <w:t>Modifying statement of corporate intent</w:t>
      </w:r>
      <w:bookmarkEnd w:id="82"/>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83" w:name="_Toc524061350"/>
      <w:r>
        <w:rPr>
          <w:rStyle w:val="CharSectno"/>
        </w:rPr>
        <w:t>66</w:t>
      </w:r>
      <w:r>
        <w:rPr>
          <w:snapToGrid w:val="0"/>
        </w:rPr>
        <w:t>.</w:t>
      </w:r>
      <w:r>
        <w:rPr>
          <w:snapToGrid w:val="0"/>
        </w:rPr>
        <w:tab/>
        <w:t>Treasurer’s concurrence needed by Minister for s. 64 and 65</w:t>
      </w:r>
      <w:bookmarkEnd w:id="83"/>
    </w:p>
    <w:p>
      <w:pPr>
        <w:pStyle w:val="Subsection"/>
        <w:keepNext/>
        <w:keepLines/>
        <w:rPr>
          <w:snapToGrid w:val="0"/>
        </w:rPr>
      </w:pPr>
      <w:r>
        <w:tab/>
        <w:t>(1)</w:t>
      </w:r>
      <w:r>
        <w:tab/>
        <w:t>The</w:t>
      </w:r>
      <w:r>
        <w:rPr>
          <w:snapToGrid w:val="0"/>
        </w:rPr>
        <w:t xml:space="preserv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Subsection"/>
      </w:pPr>
      <w:r>
        <w:tab/>
        <w:t>(2)</w:t>
      </w:r>
      <w:r>
        <w:tab/>
        <w:t xml:space="preserve">Without limiting section 34A, any agreement or concurrence mentioned in subsection (1) has effect subject to the reservation that the port authority must — </w:t>
      </w:r>
    </w:p>
    <w:p>
      <w:pPr>
        <w:pStyle w:val="Indenta"/>
      </w:pPr>
      <w:r>
        <w:tab/>
        <w:t>(a)</w:t>
      </w:r>
      <w:r>
        <w:tab/>
        <w:t>comply with the requirements mentioned in section 34A(2)(a); and</w:t>
      </w:r>
    </w:p>
    <w:p>
      <w:pPr>
        <w:pStyle w:val="Indenta"/>
      </w:pPr>
      <w:r>
        <w:tab/>
        <w:t>(b)</w:t>
      </w:r>
      <w:r>
        <w:tab/>
        <w:t>endeavour to achieve the financial outcomes mentioned in section 34A(2)(b),</w:t>
      </w:r>
    </w:p>
    <w:p>
      <w:pPr>
        <w:pStyle w:val="Subsection"/>
      </w:pPr>
      <w:r>
        <w:tab/>
      </w:r>
      <w:r>
        <w:tab/>
        <w:t>whether or not they are consistent with the statement of corporate intent or modified statement of corporate intent, as the case may be.</w:t>
      </w:r>
    </w:p>
    <w:p>
      <w:pPr>
        <w:pStyle w:val="Footnotesection"/>
      </w:pPr>
      <w:r>
        <w:tab/>
        <w:t>[Section 66 amended by No. 9 of 2014 s. 20.]</w:t>
      </w:r>
    </w:p>
    <w:p>
      <w:pPr>
        <w:pStyle w:val="Heading3"/>
      </w:pPr>
      <w:bookmarkStart w:id="84" w:name="_Toc524061351"/>
      <w:r>
        <w:rPr>
          <w:rStyle w:val="CharDivNo"/>
        </w:rPr>
        <w:t>Division 3</w:t>
      </w:r>
      <w:r>
        <w:t xml:space="preserve"> — </w:t>
      </w:r>
      <w:r>
        <w:rPr>
          <w:rStyle w:val="CharDivText"/>
        </w:rPr>
        <w:t>Reporting requirements</w:t>
      </w:r>
      <w:bookmarkEnd w:id="84"/>
      <w:r>
        <w:rPr>
          <w:rStyle w:val="CharDivText"/>
        </w:rPr>
        <w:t xml:space="preserve"> </w:t>
      </w:r>
    </w:p>
    <w:p>
      <w:pPr>
        <w:pStyle w:val="Heading5"/>
        <w:rPr>
          <w:snapToGrid w:val="0"/>
        </w:rPr>
      </w:pPr>
      <w:bookmarkStart w:id="85" w:name="_Toc524061352"/>
      <w:r>
        <w:rPr>
          <w:rStyle w:val="CharSectno"/>
        </w:rPr>
        <w:t>67</w:t>
      </w:r>
      <w:r>
        <w:rPr>
          <w:snapToGrid w:val="0"/>
        </w:rPr>
        <w:t>.</w:t>
      </w:r>
      <w:r>
        <w:rPr>
          <w:snapToGrid w:val="0"/>
        </w:rPr>
        <w:tab/>
        <w:t>Half</w:t>
      </w:r>
      <w:r>
        <w:rPr>
          <w:snapToGrid w:val="0"/>
        </w:rPr>
        <w:noBreakHyphen/>
        <w:t>yearly reports</w:t>
      </w:r>
      <w:bookmarkEnd w:id="85"/>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86" w:name="_Toc524061353"/>
      <w:r>
        <w:rPr>
          <w:rStyle w:val="CharSectno"/>
        </w:rPr>
        <w:t>68</w:t>
      </w:r>
      <w:r>
        <w:rPr>
          <w:snapToGrid w:val="0"/>
        </w:rPr>
        <w:t>.</w:t>
      </w:r>
      <w:r>
        <w:rPr>
          <w:snapToGrid w:val="0"/>
        </w:rPr>
        <w:tab/>
        <w:t>Annual reports</w:t>
      </w:r>
      <w:bookmarkEnd w:id="86"/>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87" w:name="_Toc524061354"/>
      <w:r>
        <w:rPr>
          <w:rStyle w:val="CharSectno"/>
        </w:rPr>
        <w:t>69</w:t>
      </w:r>
      <w:r>
        <w:rPr>
          <w:snapToGrid w:val="0"/>
        </w:rPr>
        <w:t>.</w:t>
      </w:r>
      <w:r>
        <w:rPr>
          <w:snapToGrid w:val="0"/>
        </w:rPr>
        <w:tab/>
        <w:t>Annual reports, contents of</w:t>
      </w:r>
      <w:bookmarkEnd w:id="87"/>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 and</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 and</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 and</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88" w:name="_Toc524061355"/>
      <w:r>
        <w:rPr>
          <w:rStyle w:val="CharSectno"/>
        </w:rPr>
        <w:t>70</w:t>
      </w:r>
      <w:r>
        <w:rPr>
          <w:snapToGrid w:val="0"/>
        </w:rPr>
        <w:t>.</w:t>
      </w:r>
      <w:r>
        <w:rPr>
          <w:snapToGrid w:val="0"/>
        </w:rPr>
        <w:tab/>
        <w:t>Commercially sensitive matters, deletion of from reports</w:t>
      </w:r>
      <w:bookmarkEnd w:id="88"/>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89" w:name="_Toc524061356"/>
      <w:r>
        <w:rPr>
          <w:rStyle w:val="CharDivNo"/>
        </w:rPr>
        <w:t>Division 4</w:t>
      </w:r>
      <w:r>
        <w:rPr>
          <w:snapToGrid w:val="0"/>
        </w:rPr>
        <w:t xml:space="preserve"> — </w:t>
      </w:r>
      <w:r>
        <w:rPr>
          <w:rStyle w:val="CharDivText"/>
        </w:rPr>
        <w:t>Ministerial directions, general provisions</w:t>
      </w:r>
      <w:bookmarkEnd w:id="89"/>
      <w:r>
        <w:rPr>
          <w:rStyle w:val="CharDivText"/>
        </w:rPr>
        <w:t xml:space="preserve"> </w:t>
      </w:r>
    </w:p>
    <w:p>
      <w:pPr>
        <w:pStyle w:val="Heading5"/>
        <w:rPr>
          <w:snapToGrid w:val="0"/>
        </w:rPr>
      </w:pPr>
      <w:bookmarkStart w:id="90" w:name="_Toc524061357"/>
      <w:r>
        <w:rPr>
          <w:rStyle w:val="CharSectno"/>
        </w:rPr>
        <w:t>71</w:t>
      </w:r>
      <w:r>
        <w:rPr>
          <w:snapToGrid w:val="0"/>
        </w:rPr>
        <w:t>.</w:t>
      </w:r>
      <w:r>
        <w:rPr>
          <w:snapToGrid w:val="0"/>
        </w:rPr>
        <w:tab/>
        <w:t>Which directions port authority obliged to obey</w:t>
      </w:r>
      <w:bookmarkEnd w:id="90"/>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91" w:name="_Toc524061358"/>
      <w:r>
        <w:rPr>
          <w:rStyle w:val="CharSectno"/>
        </w:rPr>
        <w:t>72</w:t>
      </w:r>
      <w:r>
        <w:rPr>
          <w:snapToGrid w:val="0"/>
        </w:rPr>
        <w:t>.</w:t>
      </w:r>
      <w:r>
        <w:rPr>
          <w:snapToGrid w:val="0"/>
        </w:rPr>
        <w:tab/>
        <w:t>Minister may give directions</w:t>
      </w:r>
      <w:bookmarkEnd w:id="91"/>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92" w:name="_Toc524061359"/>
      <w:r>
        <w:rPr>
          <w:rStyle w:val="CharSectno"/>
        </w:rPr>
        <w:t>73</w:t>
      </w:r>
      <w:r>
        <w:rPr>
          <w:snapToGrid w:val="0"/>
        </w:rPr>
        <w:t>.</w:t>
      </w:r>
      <w:r>
        <w:rPr>
          <w:snapToGrid w:val="0"/>
        </w:rPr>
        <w:tab/>
        <w:t>When s. 72(1) direction takes effect</w:t>
      </w:r>
      <w:bookmarkEnd w:id="92"/>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keepNext w:val="0"/>
      </w:pPr>
      <w:bookmarkStart w:id="93" w:name="_Toc524061360"/>
      <w:r>
        <w:rPr>
          <w:rStyle w:val="CharDivNo"/>
        </w:rPr>
        <w:t>Division 5</w:t>
      </w:r>
      <w:r>
        <w:rPr>
          <w:snapToGrid w:val="0"/>
        </w:rPr>
        <w:t xml:space="preserve"> — </w:t>
      </w:r>
      <w:r>
        <w:rPr>
          <w:rStyle w:val="CharDivText"/>
        </w:rPr>
        <w:t>Consultation and provision of information</w:t>
      </w:r>
      <w:bookmarkEnd w:id="93"/>
      <w:r>
        <w:rPr>
          <w:rStyle w:val="CharDivText"/>
        </w:rPr>
        <w:t xml:space="preserve"> </w:t>
      </w:r>
    </w:p>
    <w:p>
      <w:pPr>
        <w:pStyle w:val="Heading5"/>
        <w:keepNext w:val="0"/>
        <w:rPr>
          <w:snapToGrid w:val="0"/>
        </w:rPr>
      </w:pPr>
      <w:bookmarkStart w:id="94" w:name="_Toc524061361"/>
      <w:r>
        <w:rPr>
          <w:rStyle w:val="CharSectno"/>
        </w:rPr>
        <w:t>74</w:t>
      </w:r>
      <w:r>
        <w:rPr>
          <w:snapToGrid w:val="0"/>
        </w:rPr>
        <w:t>.</w:t>
      </w:r>
      <w:r>
        <w:rPr>
          <w:snapToGrid w:val="0"/>
        </w:rPr>
        <w:tab/>
        <w:t>Consultation between board and Minister</w:t>
      </w:r>
      <w:bookmarkEnd w:id="94"/>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95" w:name="_Toc524061362"/>
      <w:r>
        <w:rPr>
          <w:rStyle w:val="CharSectno"/>
        </w:rPr>
        <w:t>75</w:t>
      </w:r>
      <w:r>
        <w:rPr>
          <w:snapToGrid w:val="0"/>
        </w:rPr>
        <w:t>.</w:t>
      </w:r>
      <w:r>
        <w:rPr>
          <w:snapToGrid w:val="0"/>
        </w:rPr>
        <w:tab/>
        <w:t>Minister to have access to information</w:t>
      </w:r>
      <w:bookmarkEnd w:id="95"/>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96" w:name="_Toc524061363"/>
      <w:r>
        <w:rPr>
          <w:rStyle w:val="CharSectno"/>
        </w:rPr>
        <w:t>76</w:t>
      </w:r>
      <w:r>
        <w:rPr>
          <w:snapToGrid w:val="0"/>
        </w:rPr>
        <w:t>.</w:t>
      </w:r>
      <w:r>
        <w:rPr>
          <w:snapToGrid w:val="0"/>
        </w:rPr>
        <w:tab/>
        <w:t>Minister to be kept informed</w:t>
      </w:r>
      <w:bookmarkEnd w:id="96"/>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 and</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97" w:name="_Toc524061364"/>
      <w:r>
        <w:rPr>
          <w:rStyle w:val="CharSectno"/>
        </w:rPr>
        <w:t>77</w:t>
      </w:r>
      <w:r>
        <w:rPr>
          <w:snapToGrid w:val="0"/>
        </w:rPr>
        <w:t>.</w:t>
      </w:r>
      <w:r>
        <w:rPr>
          <w:snapToGrid w:val="0"/>
        </w:rPr>
        <w:tab/>
        <w:t>Financial difficulty, board to notify Minister of etc.</w:t>
      </w:r>
      <w:bookmarkEnd w:id="97"/>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98" w:name="_Toc524061365"/>
      <w:r>
        <w:rPr>
          <w:rStyle w:val="CharDivNo"/>
        </w:rPr>
        <w:t>Division 6</w:t>
      </w:r>
      <w:r>
        <w:rPr>
          <w:snapToGrid w:val="0"/>
        </w:rPr>
        <w:t xml:space="preserve"> — </w:t>
      </w:r>
      <w:r>
        <w:rPr>
          <w:rStyle w:val="CharDivText"/>
        </w:rPr>
        <w:t>Protection from liability</w:t>
      </w:r>
      <w:bookmarkEnd w:id="98"/>
      <w:r>
        <w:rPr>
          <w:rStyle w:val="CharDivText"/>
        </w:rPr>
        <w:t xml:space="preserve"> </w:t>
      </w:r>
    </w:p>
    <w:p>
      <w:pPr>
        <w:pStyle w:val="Heading5"/>
        <w:rPr>
          <w:snapToGrid w:val="0"/>
        </w:rPr>
      </w:pPr>
      <w:bookmarkStart w:id="99" w:name="_Toc524061366"/>
      <w:r>
        <w:rPr>
          <w:rStyle w:val="CharSectno"/>
        </w:rPr>
        <w:t>78</w:t>
      </w:r>
      <w:r>
        <w:rPr>
          <w:snapToGrid w:val="0"/>
        </w:rPr>
        <w:t>.</w:t>
      </w:r>
      <w:r>
        <w:rPr>
          <w:snapToGrid w:val="0"/>
        </w:rPr>
        <w:tab/>
        <w:t>No liability for things done under this Part</w:t>
      </w:r>
      <w:bookmarkEnd w:id="99"/>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100" w:name="_Toc524061367"/>
      <w:r>
        <w:rPr>
          <w:rStyle w:val="CharPartNo"/>
        </w:rPr>
        <w:t>Part 6</w:t>
      </w:r>
      <w:r>
        <w:t xml:space="preserve"> — </w:t>
      </w:r>
      <w:r>
        <w:rPr>
          <w:rStyle w:val="CharPartText"/>
        </w:rPr>
        <w:t>Financial provisions</w:t>
      </w:r>
      <w:bookmarkEnd w:id="100"/>
      <w:r>
        <w:rPr>
          <w:rStyle w:val="CharPartText"/>
        </w:rPr>
        <w:t xml:space="preserve"> </w:t>
      </w:r>
    </w:p>
    <w:p>
      <w:pPr>
        <w:pStyle w:val="Heading3"/>
      </w:pPr>
      <w:bookmarkStart w:id="101" w:name="_Toc524061368"/>
      <w:r>
        <w:rPr>
          <w:rStyle w:val="CharDivNo"/>
        </w:rPr>
        <w:t>Division 1</w:t>
      </w:r>
      <w:r>
        <w:t xml:space="preserve"> — </w:t>
      </w:r>
      <w:r>
        <w:rPr>
          <w:rStyle w:val="CharDivText"/>
        </w:rPr>
        <w:t>General</w:t>
      </w:r>
      <w:bookmarkEnd w:id="101"/>
      <w:r>
        <w:rPr>
          <w:rStyle w:val="CharDivText"/>
        </w:rPr>
        <w:t xml:space="preserve"> </w:t>
      </w:r>
    </w:p>
    <w:p>
      <w:pPr>
        <w:pStyle w:val="Heading5"/>
        <w:rPr>
          <w:snapToGrid w:val="0"/>
        </w:rPr>
      </w:pPr>
      <w:bookmarkStart w:id="102" w:name="_Toc524061369"/>
      <w:r>
        <w:rPr>
          <w:rStyle w:val="CharSectno"/>
        </w:rPr>
        <w:t>79</w:t>
      </w:r>
      <w:r>
        <w:rPr>
          <w:snapToGrid w:val="0"/>
        </w:rPr>
        <w:t>.</w:t>
      </w:r>
      <w:r>
        <w:rPr>
          <w:snapToGrid w:val="0"/>
        </w:rPr>
        <w:tab/>
        <w:t>Bank account</w:t>
      </w:r>
      <w:bookmarkEnd w:id="102"/>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Sch. 1 cl. 131(1) and (2).]</w:t>
      </w:r>
    </w:p>
    <w:p>
      <w:pPr>
        <w:pStyle w:val="Heading5"/>
        <w:rPr>
          <w:snapToGrid w:val="0"/>
        </w:rPr>
      </w:pPr>
      <w:bookmarkStart w:id="103" w:name="_Toc524061370"/>
      <w:r>
        <w:rPr>
          <w:rStyle w:val="CharSectno"/>
        </w:rPr>
        <w:t>80</w:t>
      </w:r>
      <w:r>
        <w:rPr>
          <w:snapToGrid w:val="0"/>
        </w:rPr>
        <w:t>.</w:t>
      </w:r>
      <w:r>
        <w:rPr>
          <w:snapToGrid w:val="0"/>
        </w:rPr>
        <w:tab/>
        <w:t>Investing funds</w:t>
      </w:r>
      <w:bookmarkEnd w:id="103"/>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104" w:name="_Toc524061371"/>
      <w:r>
        <w:rPr>
          <w:rStyle w:val="CharSectno"/>
        </w:rPr>
        <w:t>81</w:t>
      </w:r>
      <w:r>
        <w:rPr>
          <w:snapToGrid w:val="0"/>
        </w:rPr>
        <w:t>.</w:t>
      </w:r>
      <w:r>
        <w:rPr>
          <w:snapToGrid w:val="0"/>
        </w:rPr>
        <w:tab/>
        <w:t>Exemption from rates</w:t>
      </w:r>
      <w:bookmarkEnd w:id="104"/>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105" w:name="_Toc524061372"/>
      <w:r>
        <w:rPr>
          <w:rStyle w:val="CharDivNo"/>
        </w:rPr>
        <w:t>Division 2</w:t>
      </w:r>
      <w:r>
        <w:rPr>
          <w:snapToGrid w:val="0"/>
        </w:rPr>
        <w:t xml:space="preserve"> — </w:t>
      </w:r>
      <w:r>
        <w:rPr>
          <w:rStyle w:val="CharDivText"/>
        </w:rPr>
        <w:t>Payments to State</w:t>
      </w:r>
      <w:bookmarkEnd w:id="105"/>
      <w:r>
        <w:rPr>
          <w:rStyle w:val="CharDivText"/>
        </w:rPr>
        <w:t xml:space="preserve"> </w:t>
      </w:r>
    </w:p>
    <w:p>
      <w:pPr>
        <w:pStyle w:val="Heading5"/>
        <w:rPr>
          <w:snapToGrid w:val="0"/>
        </w:rPr>
      </w:pPr>
      <w:bookmarkStart w:id="106" w:name="_Toc524061373"/>
      <w:r>
        <w:rPr>
          <w:rStyle w:val="CharSectno"/>
        </w:rPr>
        <w:t>82</w:t>
      </w:r>
      <w:r>
        <w:rPr>
          <w:snapToGrid w:val="0"/>
        </w:rPr>
        <w:t>.</w:t>
      </w:r>
      <w:r>
        <w:rPr>
          <w:snapToGrid w:val="0"/>
        </w:rPr>
        <w:tab/>
        <w:t>Payment of amount in lieu of rates</w:t>
      </w:r>
      <w:bookmarkEnd w:id="106"/>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 or</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107" w:name="_Toc524061374"/>
      <w:r>
        <w:rPr>
          <w:rStyle w:val="CharSectno"/>
        </w:rPr>
        <w:t>83</w:t>
      </w:r>
      <w:r>
        <w:rPr>
          <w:snapToGrid w:val="0"/>
        </w:rPr>
        <w:t>.</w:t>
      </w:r>
      <w:r>
        <w:rPr>
          <w:snapToGrid w:val="0"/>
        </w:rPr>
        <w:tab/>
        <w:t>Determining amounts under s. 82</w:t>
      </w:r>
      <w:bookmarkEnd w:id="107"/>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108" w:name="_Toc524061375"/>
      <w:r>
        <w:rPr>
          <w:rStyle w:val="CharSectno"/>
        </w:rPr>
        <w:t>84</w:t>
      </w:r>
      <w:r>
        <w:rPr>
          <w:snapToGrid w:val="0"/>
        </w:rPr>
        <w:t>.</w:t>
      </w:r>
      <w:r>
        <w:rPr>
          <w:snapToGrid w:val="0"/>
        </w:rPr>
        <w:tab/>
        <w:t>Dividends</w:t>
      </w:r>
      <w:bookmarkEnd w:id="108"/>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pPr>
      <w:r>
        <w:tab/>
        <w:t>(iia)</w:t>
      </w:r>
      <w:r>
        <w:tab/>
        <w:t>any interim dividend paid to the Treasurer in relation to that financial year in accordance with subsections (5) to (8);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pPr>
      <w:r>
        <w:tab/>
        <w:t>(2A)</w:t>
      </w:r>
      <w:r>
        <w:tab/>
        <w: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t>
      </w:r>
    </w:p>
    <w:p>
      <w:pPr>
        <w:pStyle w:val="Subsection"/>
      </w:pPr>
      <w:r>
        <w:tab/>
        <w:t>(2B)</w:t>
      </w:r>
      <w:r>
        <w:tab/>
        <w:t>A declaration under subsection (2A) can be made before or after the payment is received by the port authority.</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 xml:space="preserve">after consultation with the board, </w:t>
      </w:r>
      <w:r>
        <w:t>may</w:t>
      </w:r>
      <w:r>
        <w:rPr>
          <w:snapToGrid w:val="0"/>
        </w:rPr>
        <w:t xml:space="preserve">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pPr>
      <w:r>
        <w:tab/>
        <w:t>(5)</w:t>
      </w:r>
      <w:r>
        <w:tab/>
        <w:t>If the Minister considers that payment by a port authority of an interim dividend in relation to a financial year is justified, the Minister may give written notice to the board of the port authority informing it that an interim dividend is to be paid to the Treasurer.</w:t>
      </w:r>
    </w:p>
    <w:p>
      <w:pPr>
        <w:pStyle w:val="Subsection"/>
      </w:pPr>
      <w:r>
        <w:tab/>
        <w:t>(6)</w:t>
      </w:r>
      <w:r>
        <w:tab/>
        <w:t>As soon as practicable after it receives a notice under subsection (5) the board of a port authority is to make a recommendation to the Minister as to the amount of the interim dividend that the board recommends as appropriate.</w:t>
      </w:r>
    </w:p>
    <w:p>
      <w:pPr>
        <w:pStyle w:val="Subsection"/>
      </w:pPr>
      <w:r>
        <w:tab/>
        <w:t>(7)</w:t>
      </w:r>
      <w:r>
        <w:tab/>
        <w:t xml:space="preserve">The Minister, with the Treasurer’s concurrence — </w:t>
      </w:r>
    </w:p>
    <w:p>
      <w:pPr>
        <w:pStyle w:val="Indenta"/>
      </w:pPr>
      <w:r>
        <w:tab/>
        <w:t>(a)</w:t>
      </w:r>
      <w:r>
        <w:tab/>
        <w:t>may accept a recommendation under subsection (6); or</w:t>
      </w:r>
    </w:p>
    <w:p>
      <w:pPr>
        <w:pStyle w:val="Indenta"/>
      </w:pPr>
      <w:r>
        <w:tab/>
        <w:t>(b)</w:t>
      </w:r>
      <w:r>
        <w:tab/>
        <w:t>after consultation with the board, may direct that the amount of the interim dividend is to be some other amount.</w:t>
      </w:r>
    </w:p>
    <w:p>
      <w:pPr>
        <w:pStyle w:val="Subsection"/>
      </w:pPr>
      <w:r>
        <w:tab/>
        <w:t>(8)</w:t>
      </w:r>
      <w:r>
        <w:tab/>
        <w:t xml:space="preserve">A port authority is to pay the interim dividend — </w:t>
      </w:r>
    </w:p>
    <w:p>
      <w:pPr>
        <w:pStyle w:val="Indenta"/>
      </w:pPr>
      <w:r>
        <w:tab/>
        <w:t>(a)</w:t>
      </w:r>
      <w:r>
        <w:tab/>
        <w:t>as soon as practicable after the amount is fixed under subsection (7); and</w:t>
      </w:r>
    </w:p>
    <w:p>
      <w:pPr>
        <w:pStyle w:val="Indenta"/>
      </w:pPr>
      <w:r>
        <w:tab/>
        <w:t>(b)</w:t>
      </w:r>
      <w:r>
        <w:tab/>
        <w:t>in any case not later than the end of the financial year to which the interim dividend relates.</w:t>
      </w:r>
    </w:p>
    <w:p>
      <w:pPr>
        <w:pStyle w:val="Subsection"/>
      </w:pPr>
      <w:r>
        <w:tab/>
        <w:t>(9)</w:t>
      </w:r>
      <w:r>
        <w:tab/>
        <w:t>The Minister must within 14 days after a direction is given under subsection (3) or (7) cause a copy of it to be laid before each House of Parliament or dealt with in accordance with section 133.</w:t>
      </w:r>
    </w:p>
    <w:p>
      <w:pPr>
        <w:pStyle w:val="Footnotesection"/>
      </w:pPr>
      <w:r>
        <w:tab/>
        <w:t>[Section 84 amended by No. 9 of 2014 s. 21.]</w:t>
      </w:r>
    </w:p>
    <w:p>
      <w:pPr>
        <w:pStyle w:val="Heading3"/>
      </w:pPr>
      <w:bookmarkStart w:id="109" w:name="_Toc524061376"/>
      <w:r>
        <w:rPr>
          <w:rStyle w:val="CharDivNo"/>
        </w:rPr>
        <w:t>Division 3</w:t>
      </w:r>
      <w:r>
        <w:rPr>
          <w:snapToGrid w:val="0"/>
        </w:rPr>
        <w:t xml:space="preserve"> — </w:t>
      </w:r>
      <w:r>
        <w:rPr>
          <w:rStyle w:val="CharDivText"/>
        </w:rPr>
        <w:t>Borrowing</w:t>
      </w:r>
      <w:bookmarkEnd w:id="109"/>
      <w:r>
        <w:rPr>
          <w:rStyle w:val="CharDivText"/>
        </w:rPr>
        <w:t xml:space="preserve"> </w:t>
      </w:r>
    </w:p>
    <w:p>
      <w:pPr>
        <w:pStyle w:val="Heading5"/>
        <w:rPr>
          <w:snapToGrid w:val="0"/>
        </w:rPr>
      </w:pPr>
      <w:bookmarkStart w:id="110" w:name="_Toc524061377"/>
      <w:r>
        <w:rPr>
          <w:rStyle w:val="CharSectno"/>
        </w:rPr>
        <w:t>85</w:t>
      </w:r>
      <w:r>
        <w:rPr>
          <w:snapToGrid w:val="0"/>
        </w:rPr>
        <w:t>.</w:t>
      </w:r>
      <w:r>
        <w:rPr>
          <w:snapToGrid w:val="0"/>
        </w:rPr>
        <w:tab/>
        <w:t>Borrowing powers</w:t>
      </w:r>
      <w:bookmarkEnd w:id="110"/>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111" w:name="_Toc524061378"/>
      <w:r>
        <w:rPr>
          <w:rStyle w:val="CharSectno"/>
        </w:rPr>
        <w:t>86</w:t>
      </w:r>
      <w:r>
        <w:rPr>
          <w:snapToGrid w:val="0"/>
        </w:rPr>
        <w:t>.</w:t>
      </w:r>
      <w:r>
        <w:rPr>
          <w:snapToGrid w:val="0"/>
        </w:rPr>
        <w:tab/>
        <w:t>Borrowing limits</w:t>
      </w:r>
      <w:bookmarkEnd w:id="111"/>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112" w:name="_Toc524061379"/>
      <w:r>
        <w:rPr>
          <w:rStyle w:val="CharSectno"/>
        </w:rPr>
        <w:t>87</w:t>
      </w:r>
      <w:r>
        <w:rPr>
          <w:snapToGrid w:val="0"/>
        </w:rPr>
        <w:t>.</w:t>
      </w:r>
      <w:r>
        <w:rPr>
          <w:snapToGrid w:val="0"/>
        </w:rPr>
        <w:tab/>
        <w:t>Hedging transactions</w:t>
      </w:r>
      <w:bookmarkEnd w:id="112"/>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 or</w:t>
      </w:r>
    </w:p>
    <w:p>
      <w:pPr>
        <w:pStyle w:val="Indenti"/>
        <w:rPr>
          <w:snapToGrid w:val="0"/>
        </w:rPr>
      </w:pPr>
      <w:r>
        <w:rPr>
          <w:snapToGrid w:val="0"/>
        </w:rPr>
        <w:tab/>
        <w:t>(ii)</w:t>
      </w:r>
      <w:r>
        <w:rPr>
          <w:snapToGrid w:val="0"/>
        </w:rPr>
        <w:tab/>
        <w:t>a forward foreign exchange transaction; or</w:t>
      </w:r>
    </w:p>
    <w:p>
      <w:pPr>
        <w:pStyle w:val="Indenti"/>
        <w:rPr>
          <w:snapToGrid w:val="0"/>
        </w:rPr>
      </w:pPr>
      <w:r>
        <w:rPr>
          <w:snapToGrid w:val="0"/>
        </w:rPr>
        <w:tab/>
        <w:t>(iii)</w:t>
      </w:r>
      <w:r>
        <w:rPr>
          <w:snapToGrid w:val="0"/>
        </w:rPr>
        <w:tab/>
        <w:t>a currency swap; or</w:t>
      </w:r>
    </w:p>
    <w:p>
      <w:pPr>
        <w:pStyle w:val="Indenti"/>
        <w:rPr>
          <w:snapToGrid w:val="0"/>
        </w:rPr>
      </w:pPr>
      <w:r>
        <w:rPr>
          <w:snapToGrid w:val="0"/>
        </w:rPr>
        <w:tab/>
        <w:t>(iv)</w:t>
      </w:r>
      <w:r>
        <w:rPr>
          <w:snapToGrid w:val="0"/>
        </w:rPr>
        <w:tab/>
        <w:t>a forward currency swap; or</w:t>
      </w:r>
    </w:p>
    <w:p>
      <w:pPr>
        <w:pStyle w:val="Indenti"/>
        <w:rPr>
          <w:snapToGrid w:val="0"/>
        </w:rPr>
      </w:pPr>
      <w:r>
        <w:rPr>
          <w:snapToGrid w:val="0"/>
        </w:rPr>
        <w:tab/>
        <w:t>(v)</w:t>
      </w:r>
      <w:r>
        <w:rPr>
          <w:snapToGrid w:val="0"/>
        </w:rPr>
        <w:tab/>
        <w:t>a foreign currency cap, a foreign currency collar or a foreign currency floor; or</w:t>
      </w:r>
    </w:p>
    <w:p>
      <w:pPr>
        <w:pStyle w:val="Indenti"/>
        <w:rPr>
          <w:snapToGrid w:val="0"/>
        </w:rPr>
      </w:pPr>
      <w:r>
        <w:rPr>
          <w:snapToGrid w:val="0"/>
        </w:rPr>
        <w:tab/>
        <w:t>(vi)</w:t>
      </w:r>
      <w:r>
        <w:rPr>
          <w:snapToGrid w:val="0"/>
        </w:rPr>
        <w:tab/>
        <w:t>a forward interest rate agreement; or</w:t>
      </w:r>
    </w:p>
    <w:p>
      <w:pPr>
        <w:pStyle w:val="Indenti"/>
        <w:rPr>
          <w:snapToGrid w:val="0"/>
        </w:rPr>
      </w:pPr>
      <w:r>
        <w:rPr>
          <w:snapToGrid w:val="0"/>
        </w:rPr>
        <w:tab/>
        <w:t>(vii)</w:t>
      </w:r>
      <w:r>
        <w:rPr>
          <w:snapToGrid w:val="0"/>
        </w:rPr>
        <w:tab/>
        <w:t>an interest rate swap; or</w:t>
      </w:r>
    </w:p>
    <w:p>
      <w:pPr>
        <w:pStyle w:val="Indenti"/>
        <w:rPr>
          <w:snapToGrid w:val="0"/>
        </w:rPr>
      </w:pPr>
      <w:r>
        <w:rPr>
          <w:snapToGrid w:val="0"/>
        </w:rPr>
        <w:tab/>
        <w:t>(viii)</w:t>
      </w:r>
      <w:r>
        <w:rPr>
          <w:snapToGrid w:val="0"/>
        </w:rPr>
        <w:tab/>
        <w:t>a forward interest rate swap; or</w:t>
      </w:r>
    </w:p>
    <w:p>
      <w:pPr>
        <w:pStyle w:val="Indenti"/>
        <w:rPr>
          <w:snapToGrid w:val="0"/>
        </w:rPr>
      </w:pPr>
      <w:r>
        <w:rPr>
          <w:snapToGrid w:val="0"/>
        </w:rPr>
        <w:tab/>
        <w:t>(ix)</w:t>
      </w:r>
      <w:r>
        <w:rPr>
          <w:snapToGrid w:val="0"/>
        </w:rPr>
        <w:tab/>
        <w:t>an interest rate cap, an interest rate collar or an interest rate floor; or</w:t>
      </w:r>
    </w:p>
    <w:p>
      <w:pPr>
        <w:pStyle w:val="Indenti"/>
        <w:rPr>
          <w:snapToGrid w:val="0"/>
        </w:rPr>
      </w:pPr>
      <w:r>
        <w:rPr>
          <w:snapToGrid w:val="0"/>
        </w:rPr>
        <w:tab/>
        <w:t>(x)</w:t>
      </w:r>
      <w:r>
        <w:rPr>
          <w:snapToGrid w:val="0"/>
        </w:rPr>
        <w:tab/>
        <w:t>an option for interest rate or currency management purposes; or</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pPr>
      <w:r>
        <w:tab/>
        <w:t>(2)</w:t>
      </w:r>
      <w:r>
        <w:tab/>
        <w: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t>
      </w:r>
    </w:p>
    <w:p>
      <w:pPr>
        <w:pStyle w:val="Indenta"/>
      </w:pPr>
      <w:r>
        <w:tab/>
        <w:t>(a)</w:t>
      </w:r>
      <w:r>
        <w:tab/>
        <w:t>identifies, considers and takes steps to minimise any foreign exchange risks before entering into the hedging arrangement; and</w:t>
      </w:r>
    </w:p>
    <w:p>
      <w:pPr>
        <w:pStyle w:val="Indenta"/>
      </w:pPr>
      <w:r>
        <w:tab/>
        <w:t>(b)</w:t>
      </w:r>
      <w:r>
        <w:tab/>
        <w:t>monitors any foreign exchange risks that may result from entering into the hedging arrangement.</w:t>
      </w:r>
    </w:p>
    <w:p>
      <w:pPr>
        <w:pStyle w:val="Subsection"/>
      </w:pPr>
      <w:r>
        <w:tab/>
        <w:t>(3)</w:t>
      </w:r>
      <w:r>
        <w:tab/>
        <w:t xml:space="preserve">In this section — </w:t>
      </w:r>
    </w:p>
    <w:p>
      <w:pPr>
        <w:pStyle w:val="Defstart"/>
      </w:pPr>
      <w:r>
        <w:tab/>
      </w:r>
      <w:r>
        <w:rPr>
          <w:rStyle w:val="CharDefText"/>
        </w:rPr>
        <w:t xml:space="preserve">hedging arrangement </w:t>
      </w:r>
      <w:r>
        <w:t>means an agreement or arrangement described in subsection (1)(a) or (b);</w:t>
      </w:r>
    </w:p>
    <w:p>
      <w:pPr>
        <w:pStyle w:val="Defstart"/>
      </w:pPr>
      <w:r>
        <w:rPr>
          <w:b/>
        </w:rPr>
        <w:tab/>
      </w:r>
      <w:r>
        <w:rPr>
          <w:rStyle w:val="CharDefText"/>
        </w:rPr>
        <w:t>interest rate</w:t>
      </w:r>
      <w:r>
        <w:t xml:space="preserve"> includes coupon rate, discount rate and yield;</w:t>
      </w:r>
    </w:p>
    <w:p>
      <w:pPr>
        <w:pStyle w:val="Defstart"/>
      </w:pPr>
      <w:r>
        <w:tab/>
      </w:r>
      <w:r>
        <w:rPr>
          <w:rStyle w:val="CharDefText"/>
        </w:rPr>
        <w:t>Treasury Corporation</w:t>
      </w:r>
      <w:r>
        <w:t xml:space="preserve"> means the Western Australian Treasury Corporation established under the </w:t>
      </w:r>
      <w:r>
        <w:rPr>
          <w:i/>
        </w:rPr>
        <w:t>Western Australian Treasury Corporation Act 1986</w:t>
      </w:r>
      <w:r>
        <w:t>.</w:t>
      </w:r>
    </w:p>
    <w:p>
      <w:pPr>
        <w:pStyle w:val="Footnotesection"/>
      </w:pPr>
      <w:r>
        <w:tab/>
        <w:t>[Section 87 amended by No. 10 of 2001 s. 158; No. 21 of 2003 s. 19; No. 9 of 2014 s. 22.]</w:t>
      </w:r>
    </w:p>
    <w:p>
      <w:pPr>
        <w:pStyle w:val="Heading3"/>
      </w:pPr>
      <w:bookmarkStart w:id="113" w:name="_Toc524061380"/>
      <w:r>
        <w:rPr>
          <w:rStyle w:val="CharDivNo"/>
        </w:rPr>
        <w:t>Division 4</w:t>
      </w:r>
      <w:r>
        <w:t xml:space="preserve"> — </w:t>
      </w:r>
      <w:r>
        <w:rPr>
          <w:rStyle w:val="CharDivText"/>
        </w:rPr>
        <w:t>Guarantees</w:t>
      </w:r>
      <w:bookmarkEnd w:id="113"/>
      <w:r>
        <w:rPr>
          <w:rStyle w:val="CharDivText"/>
        </w:rPr>
        <w:t xml:space="preserve"> </w:t>
      </w:r>
    </w:p>
    <w:p>
      <w:pPr>
        <w:pStyle w:val="Heading5"/>
        <w:rPr>
          <w:snapToGrid w:val="0"/>
        </w:rPr>
      </w:pPr>
      <w:bookmarkStart w:id="114" w:name="_Toc524061381"/>
      <w:r>
        <w:rPr>
          <w:rStyle w:val="CharSectno"/>
        </w:rPr>
        <w:t>88</w:t>
      </w:r>
      <w:r>
        <w:rPr>
          <w:snapToGrid w:val="0"/>
        </w:rPr>
        <w:t>.</w:t>
      </w:r>
      <w:r>
        <w:rPr>
          <w:snapToGrid w:val="0"/>
        </w:rPr>
        <w:tab/>
        <w:t>Guarantees by Treasurer</w:t>
      </w:r>
      <w:bookmarkEnd w:id="114"/>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115" w:name="_Toc524061382"/>
      <w:r>
        <w:rPr>
          <w:rStyle w:val="CharSectno"/>
        </w:rPr>
        <w:t>89</w:t>
      </w:r>
      <w:r>
        <w:rPr>
          <w:snapToGrid w:val="0"/>
        </w:rPr>
        <w:t>.</w:t>
      </w:r>
      <w:r>
        <w:rPr>
          <w:snapToGrid w:val="0"/>
        </w:rPr>
        <w:tab/>
        <w:t>Charges for Treasurer’s guarantee</w:t>
      </w:r>
      <w:bookmarkEnd w:id="115"/>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116" w:name="_Toc524061383"/>
      <w:r>
        <w:rPr>
          <w:rStyle w:val="CharDivNo"/>
        </w:rPr>
        <w:t>Division 5</w:t>
      </w:r>
      <w:r>
        <w:rPr>
          <w:snapToGrid w:val="0"/>
        </w:rPr>
        <w:t xml:space="preserve"> — </w:t>
      </w:r>
      <w:r>
        <w:rPr>
          <w:rStyle w:val="CharDivText"/>
        </w:rPr>
        <w:t>Financial administration and audit</w:t>
      </w:r>
      <w:bookmarkEnd w:id="116"/>
      <w:r>
        <w:rPr>
          <w:rStyle w:val="CharDivText"/>
        </w:rPr>
        <w:t xml:space="preserve"> </w:t>
      </w:r>
    </w:p>
    <w:p>
      <w:pPr>
        <w:pStyle w:val="Heading5"/>
        <w:rPr>
          <w:snapToGrid w:val="0"/>
        </w:rPr>
      </w:pPr>
      <w:bookmarkStart w:id="117" w:name="_Toc524061384"/>
      <w:r>
        <w:rPr>
          <w:rStyle w:val="CharSectno"/>
        </w:rPr>
        <w:t>90</w:t>
      </w:r>
      <w:r>
        <w:rPr>
          <w:snapToGrid w:val="0"/>
        </w:rPr>
        <w:t>.</w:t>
      </w:r>
      <w:r>
        <w:rPr>
          <w:snapToGrid w:val="0"/>
        </w:rPr>
        <w:tab/>
      </w:r>
      <w:r>
        <w:rPr>
          <w:i/>
        </w:rPr>
        <w:t>Financial Management Act 2006</w:t>
      </w:r>
      <w:r>
        <w:t xml:space="preserve"> and </w:t>
      </w:r>
      <w:r>
        <w:rPr>
          <w:i/>
        </w:rPr>
        <w:t>Auditor General Act 2006</w:t>
      </w:r>
      <w:r>
        <w:t>, limited application of</w:t>
      </w:r>
      <w:bookmarkEnd w:id="117"/>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Sch. 1 cl. 131(3) and (4).]</w:t>
      </w:r>
    </w:p>
    <w:p>
      <w:pPr>
        <w:pStyle w:val="Heading5"/>
        <w:rPr>
          <w:snapToGrid w:val="0"/>
        </w:rPr>
      </w:pPr>
      <w:bookmarkStart w:id="118" w:name="_Toc524061385"/>
      <w:r>
        <w:rPr>
          <w:rStyle w:val="CharSectno"/>
        </w:rPr>
        <w:t>91</w:t>
      </w:r>
      <w:r>
        <w:rPr>
          <w:snapToGrid w:val="0"/>
        </w:rPr>
        <w:t>.</w:t>
      </w:r>
      <w:r>
        <w:rPr>
          <w:snapToGrid w:val="0"/>
        </w:rPr>
        <w:tab/>
        <w:t>Financial administration and audit (Sch. 5)</w:t>
      </w:r>
      <w:bookmarkEnd w:id="118"/>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 or</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keepNext/>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spacing w:before="180"/>
      </w:pPr>
      <w:r>
        <w:tab/>
      </w:r>
      <w:r>
        <w:tab/>
        <w:t>the Minister may recommend to the Governor, as soon as practicable after the circumstance in paragraph (a), (b) or (c) arises, that regulations be made under subsection (2).</w:t>
      </w:r>
    </w:p>
    <w:p>
      <w:pPr>
        <w:pStyle w:val="Subsection"/>
        <w:spacing w:before="180"/>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ind w:left="890" w:hanging="890"/>
      </w:pPr>
      <w:r>
        <w:tab/>
        <w:t>[Section 91 amended by No. 10 of 2001 s. 159.]</w:t>
      </w:r>
    </w:p>
    <w:p>
      <w:pPr>
        <w:pStyle w:val="Heading3"/>
        <w:spacing w:before="260"/>
      </w:pPr>
      <w:bookmarkStart w:id="119" w:name="_Toc524061386"/>
      <w:r>
        <w:rPr>
          <w:rStyle w:val="CharDivNo"/>
        </w:rPr>
        <w:t>Division 6</w:t>
      </w:r>
      <w:r>
        <w:rPr>
          <w:snapToGrid w:val="0"/>
        </w:rPr>
        <w:t xml:space="preserve"> — </w:t>
      </w:r>
      <w:r>
        <w:rPr>
          <w:rStyle w:val="CharDivText"/>
        </w:rPr>
        <w:t>Financial targets</w:t>
      </w:r>
      <w:bookmarkEnd w:id="119"/>
    </w:p>
    <w:p>
      <w:pPr>
        <w:pStyle w:val="Heading5"/>
        <w:spacing w:before="240"/>
        <w:rPr>
          <w:snapToGrid w:val="0"/>
        </w:rPr>
      </w:pPr>
      <w:bookmarkStart w:id="120" w:name="_Toc524061387"/>
      <w:r>
        <w:rPr>
          <w:rStyle w:val="CharSectno"/>
        </w:rPr>
        <w:t>92</w:t>
      </w:r>
      <w:r>
        <w:rPr>
          <w:snapToGrid w:val="0"/>
        </w:rPr>
        <w:t>.</w:t>
      </w:r>
      <w:r>
        <w:rPr>
          <w:snapToGrid w:val="0"/>
        </w:rPr>
        <w:tab/>
        <w:t>Annual financial targets, Minister may set</w:t>
      </w:r>
      <w:bookmarkEnd w:id="120"/>
    </w:p>
    <w:p>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121" w:name="_Toc524061388"/>
      <w:r>
        <w:rPr>
          <w:rStyle w:val="CharPartNo"/>
        </w:rPr>
        <w:t>Part 7</w:t>
      </w:r>
      <w:r>
        <w:t xml:space="preserve"> — </w:t>
      </w:r>
      <w:r>
        <w:rPr>
          <w:rStyle w:val="CharPartText"/>
        </w:rPr>
        <w:t>Navigation and port matters</w:t>
      </w:r>
      <w:bookmarkEnd w:id="121"/>
      <w:r>
        <w:rPr>
          <w:rStyle w:val="CharPartText"/>
        </w:rPr>
        <w:t xml:space="preserve"> </w:t>
      </w:r>
    </w:p>
    <w:p>
      <w:pPr>
        <w:pStyle w:val="Heading3"/>
        <w:spacing w:before="180"/>
      </w:pPr>
      <w:bookmarkStart w:id="122" w:name="_Toc524061389"/>
      <w:r>
        <w:rPr>
          <w:rStyle w:val="CharDivNo"/>
        </w:rPr>
        <w:t>Division 1</w:t>
      </w:r>
      <w:r>
        <w:t xml:space="preserve"> — </w:t>
      </w:r>
      <w:r>
        <w:rPr>
          <w:rStyle w:val="CharDivText"/>
        </w:rPr>
        <w:t>Navigational aids</w:t>
      </w:r>
      <w:bookmarkEnd w:id="122"/>
    </w:p>
    <w:p>
      <w:pPr>
        <w:pStyle w:val="Heading5"/>
        <w:rPr>
          <w:snapToGrid w:val="0"/>
        </w:rPr>
      </w:pPr>
      <w:bookmarkStart w:id="123" w:name="_Toc524061390"/>
      <w:r>
        <w:rPr>
          <w:rStyle w:val="CharSectno"/>
        </w:rPr>
        <w:t>93</w:t>
      </w:r>
      <w:r>
        <w:rPr>
          <w:snapToGrid w:val="0"/>
        </w:rPr>
        <w:t>.</w:t>
      </w:r>
      <w:r>
        <w:rPr>
          <w:snapToGrid w:val="0"/>
        </w:rPr>
        <w:tab/>
        <w:t>Port authority may provide etc. navigational aids etc.</w:t>
      </w:r>
      <w:bookmarkEnd w:id="123"/>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 or</w:t>
      </w:r>
    </w:p>
    <w:p>
      <w:pPr>
        <w:pStyle w:val="Indenta"/>
      </w:pPr>
      <w:r>
        <w:rPr>
          <w:snapToGrid w:val="0"/>
        </w:rPr>
        <w:tab/>
        <w:t>(b)</w:t>
      </w:r>
      <w:r>
        <w:rPr>
          <w:snapToGrid w:val="0"/>
        </w:rPr>
        <w:tab/>
      </w:r>
      <w:r>
        <w:t>agree to take over the control of a navigational aid for the port; or</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 and</w:t>
      </w:r>
    </w:p>
    <w:p>
      <w:pPr>
        <w:pStyle w:val="Indenta"/>
      </w:pPr>
      <w:r>
        <w:tab/>
        <w:t>(b)</w:t>
      </w:r>
      <w:r>
        <w:tab/>
        <w:t>the port authority; and</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124" w:name="_Toc524061391"/>
      <w:r>
        <w:rPr>
          <w:rStyle w:val="CharSectno"/>
        </w:rPr>
        <w:t>94</w:t>
      </w:r>
      <w:r>
        <w:rPr>
          <w:snapToGrid w:val="0"/>
        </w:rPr>
        <w:t>.</w:t>
      </w:r>
      <w:r>
        <w:rPr>
          <w:snapToGrid w:val="0"/>
        </w:rPr>
        <w:tab/>
        <w:t>Interference with navigational aids, offence</w:t>
      </w:r>
      <w:bookmarkEnd w:id="124"/>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125" w:name="_Toc524061392"/>
      <w:r>
        <w:rPr>
          <w:rStyle w:val="CharDivNo"/>
        </w:rPr>
        <w:t>Division 2</w:t>
      </w:r>
      <w:r>
        <w:rPr>
          <w:snapToGrid w:val="0"/>
        </w:rPr>
        <w:t xml:space="preserve"> — </w:t>
      </w:r>
      <w:r>
        <w:rPr>
          <w:rStyle w:val="CharDivText"/>
        </w:rPr>
        <w:t>Pilotage</w:t>
      </w:r>
      <w:bookmarkEnd w:id="125"/>
      <w:r>
        <w:rPr>
          <w:rStyle w:val="CharDivText"/>
        </w:rPr>
        <w:t xml:space="preserve"> </w:t>
      </w:r>
    </w:p>
    <w:p>
      <w:pPr>
        <w:pStyle w:val="Heading5"/>
        <w:rPr>
          <w:snapToGrid w:val="0"/>
        </w:rPr>
      </w:pPr>
      <w:bookmarkStart w:id="126" w:name="_Toc524061393"/>
      <w:r>
        <w:rPr>
          <w:rStyle w:val="CharSectno"/>
        </w:rPr>
        <w:t>95</w:t>
      </w:r>
      <w:r>
        <w:rPr>
          <w:snapToGrid w:val="0"/>
        </w:rPr>
        <w:t>.</w:t>
      </w:r>
      <w:r>
        <w:rPr>
          <w:snapToGrid w:val="0"/>
        </w:rPr>
        <w:tab/>
        <w:t>Terms used in, and application of, this Division</w:t>
      </w:r>
      <w:bookmarkEnd w:id="126"/>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127" w:name="_Toc524061394"/>
      <w:r>
        <w:rPr>
          <w:rStyle w:val="CharSectno"/>
        </w:rPr>
        <w:t>96</w:t>
      </w:r>
      <w:r>
        <w:rPr>
          <w:snapToGrid w:val="0"/>
        </w:rPr>
        <w:t>.</w:t>
      </w:r>
      <w:r>
        <w:rPr>
          <w:snapToGrid w:val="0"/>
        </w:rPr>
        <w:tab/>
        <w:t>Port authority to approve pilots and ensure pilotage services are provided</w:t>
      </w:r>
      <w:bookmarkEnd w:id="127"/>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 or</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pPr>
        <w:pStyle w:val="Indenta"/>
        <w:rPr>
          <w:snapToGrid w:val="0"/>
        </w:rPr>
      </w:pPr>
      <w:r>
        <w:rPr>
          <w:snapToGrid w:val="0"/>
        </w:rPr>
        <w:tab/>
        <w:t>(a)</w:t>
      </w:r>
      <w:r>
        <w:rPr>
          <w:snapToGrid w:val="0"/>
        </w:rPr>
        <w:tab/>
        <w:t>are to be determined</w:t>
      </w:r>
      <w:r>
        <w:t xml:space="preserve"> under section 37;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Footnotesection"/>
        <w:ind w:left="890" w:hanging="890"/>
      </w:pPr>
      <w:r>
        <w:tab/>
        <w:t>[Section 96 amended by No. 9 of 2014 s. 23.]</w:t>
      </w:r>
    </w:p>
    <w:p>
      <w:pPr>
        <w:pStyle w:val="Heading5"/>
        <w:rPr>
          <w:snapToGrid w:val="0"/>
        </w:rPr>
      </w:pPr>
      <w:bookmarkStart w:id="128" w:name="_Toc524061395"/>
      <w:r>
        <w:rPr>
          <w:rStyle w:val="CharSectno"/>
        </w:rPr>
        <w:t>97</w:t>
      </w:r>
      <w:r>
        <w:rPr>
          <w:snapToGrid w:val="0"/>
        </w:rPr>
        <w:t>.</w:t>
      </w:r>
      <w:r>
        <w:rPr>
          <w:snapToGrid w:val="0"/>
        </w:rPr>
        <w:tab/>
        <w:t>Pilotage compulsory in ports</w:t>
      </w:r>
      <w:bookmarkEnd w:id="128"/>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129" w:name="_Toc524061396"/>
      <w:r>
        <w:rPr>
          <w:rStyle w:val="CharSectno"/>
        </w:rPr>
        <w:t>98</w:t>
      </w:r>
      <w:r>
        <w:rPr>
          <w:snapToGrid w:val="0"/>
        </w:rPr>
        <w:t>.</w:t>
      </w:r>
      <w:r>
        <w:rPr>
          <w:snapToGrid w:val="0"/>
        </w:rPr>
        <w:tab/>
        <w:t>Pilot under authority of master</w:t>
      </w:r>
      <w:bookmarkEnd w:id="129"/>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130" w:name="_Toc524061397"/>
      <w:r>
        <w:rPr>
          <w:rStyle w:val="CharSectno"/>
        </w:rPr>
        <w:t>99</w:t>
      </w:r>
      <w:r>
        <w:rPr>
          <w:snapToGrid w:val="0"/>
        </w:rPr>
        <w:t>.</w:t>
      </w:r>
      <w:r>
        <w:rPr>
          <w:snapToGrid w:val="0"/>
        </w:rPr>
        <w:tab/>
        <w:t>Liability of owner or master of piloted vessel</w:t>
      </w:r>
      <w:bookmarkEnd w:id="130"/>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131" w:name="_Toc524061398"/>
      <w:r>
        <w:rPr>
          <w:rStyle w:val="CharSectno"/>
        </w:rPr>
        <w:t>100</w:t>
      </w:r>
      <w:r>
        <w:rPr>
          <w:snapToGrid w:val="0"/>
        </w:rPr>
        <w:t>.</w:t>
      </w:r>
      <w:r>
        <w:rPr>
          <w:snapToGrid w:val="0"/>
        </w:rPr>
        <w:tab/>
        <w:t>Immunity from liability for negligent provision of pilotage services</w:t>
      </w:r>
      <w:bookmarkEnd w:id="131"/>
    </w:p>
    <w:p>
      <w:pPr>
        <w:pStyle w:val="Subsection"/>
        <w:rPr>
          <w:snapToGrid w:val="0"/>
        </w:rPr>
      </w:pPr>
      <w:r>
        <w:tab/>
        <w:t>(1)</w:t>
      </w:r>
      <w:r>
        <w:tab/>
      </w:r>
      <w:r>
        <w:rPr>
          <w:snapToGrid w:val="0"/>
        </w:rPr>
        <w:t xml:space="preserve">Neither the State nor the port authority is liable for any loss or damage resulting from — </w:t>
      </w:r>
    </w:p>
    <w:p>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Footnotesection"/>
        <w:ind w:left="890" w:hanging="890"/>
      </w:pPr>
      <w:r>
        <w:tab/>
        <w:t>[Section 100 amended by No. 9 of 2014 s. 24.]</w:t>
      </w:r>
    </w:p>
    <w:p>
      <w:pPr>
        <w:pStyle w:val="Heading3"/>
        <w:rPr>
          <w:snapToGrid w:val="0"/>
        </w:rPr>
      </w:pPr>
      <w:bookmarkStart w:id="132" w:name="_Toc524061399"/>
      <w:r>
        <w:rPr>
          <w:rStyle w:val="CharDivNo"/>
        </w:rPr>
        <w:t>Division 3</w:t>
      </w:r>
      <w:r>
        <w:rPr>
          <w:snapToGrid w:val="0"/>
        </w:rPr>
        <w:t> — </w:t>
      </w:r>
      <w:r>
        <w:rPr>
          <w:rStyle w:val="CharDivText"/>
        </w:rPr>
        <w:t>Harbour masters</w:t>
      </w:r>
      <w:bookmarkEnd w:id="132"/>
      <w:r>
        <w:rPr>
          <w:rStyle w:val="CharDivText"/>
        </w:rPr>
        <w:t xml:space="preserve"> </w:t>
      </w:r>
    </w:p>
    <w:p>
      <w:pPr>
        <w:pStyle w:val="Heading5"/>
        <w:rPr>
          <w:snapToGrid w:val="0"/>
        </w:rPr>
      </w:pPr>
      <w:bookmarkStart w:id="133" w:name="_Toc524061400"/>
      <w:r>
        <w:rPr>
          <w:rStyle w:val="CharSectno"/>
        </w:rPr>
        <w:t>101</w:t>
      </w:r>
      <w:r>
        <w:rPr>
          <w:snapToGrid w:val="0"/>
        </w:rPr>
        <w:t>.</w:t>
      </w:r>
      <w:r>
        <w:rPr>
          <w:snapToGrid w:val="0"/>
        </w:rPr>
        <w:tab/>
        <w:t>Port includes other declared areas</w:t>
      </w:r>
      <w:bookmarkEnd w:id="133"/>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134" w:name="_Toc524061401"/>
      <w:r>
        <w:rPr>
          <w:rStyle w:val="CharSectno"/>
        </w:rPr>
        <w:t>102</w:t>
      </w:r>
      <w:r>
        <w:rPr>
          <w:snapToGrid w:val="0"/>
        </w:rPr>
        <w:t>.</w:t>
      </w:r>
      <w:r>
        <w:rPr>
          <w:snapToGrid w:val="0"/>
        </w:rPr>
        <w:tab/>
        <w:t>Appointment of harbour master and deputy harbour master etc.</w:t>
      </w:r>
      <w:bookmarkEnd w:id="134"/>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 or</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135" w:name="_Toc524061402"/>
      <w:r>
        <w:rPr>
          <w:rStyle w:val="CharSectno"/>
        </w:rPr>
        <w:t>103</w:t>
      </w:r>
      <w:r>
        <w:rPr>
          <w:snapToGrid w:val="0"/>
        </w:rPr>
        <w:t>.</w:t>
      </w:r>
      <w:r>
        <w:rPr>
          <w:snapToGrid w:val="0"/>
        </w:rPr>
        <w:tab/>
        <w:t>Functions of harbour master</w:t>
      </w:r>
      <w:bookmarkEnd w:id="135"/>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 and</w:t>
      </w:r>
    </w:p>
    <w:p>
      <w:pPr>
        <w:pStyle w:val="Indenta"/>
        <w:rPr>
          <w:snapToGrid w:val="0"/>
        </w:rPr>
      </w:pPr>
      <w:r>
        <w:rPr>
          <w:snapToGrid w:val="0"/>
        </w:rPr>
        <w:tab/>
        <w:t>(b)</w:t>
      </w:r>
      <w:r>
        <w:rPr>
          <w:snapToGrid w:val="0"/>
        </w:rPr>
        <w:tab/>
        <w:t>to ensure the port is kept free of obstructions or possible obstructions to vessels using the port; and</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136" w:name="_Toc524061403"/>
      <w:r>
        <w:rPr>
          <w:rStyle w:val="CharSectno"/>
        </w:rPr>
        <w:t>104</w:t>
      </w:r>
      <w:r>
        <w:rPr>
          <w:snapToGrid w:val="0"/>
        </w:rPr>
        <w:t>.</w:t>
      </w:r>
      <w:r>
        <w:rPr>
          <w:snapToGrid w:val="0"/>
        </w:rPr>
        <w:tab/>
        <w:t>Directions to masters etc.</w:t>
      </w:r>
      <w:bookmarkEnd w:id="136"/>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137" w:name="_Toc524061404"/>
      <w:r>
        <w:rPr>
          <w:rStyle w:val="CharSectno"/>
        </w:rPr>
        <w:t>105</w:t>
      </w:r>
      <w:r>
        <w:rPr>
          <w:snapToGrid w:val="0"/>
        </w:rPr>
        <w:t>.</w:t>
      </w:r>
      <w:r>
        <w:rPr>
          <w:snapToGrid w:val="0"/>
        </w:rPr>
        <w:tab/>
        <w:t>Directions as to dangerous things</w:t>
      </w:r>
      <w:bookmarkEnd w:id="13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138" w:name="_Toc524061405"/>
      <w:r>
        <w:rPr>
          <w:rStyle w:val="CharSectno"/>
        </w:rPr>
        <w:t>106</w:t>
      </w:r>
      <w:r>
        <w:rPr>
          <w:snapToGrid w:val="0"/>
        </w:rPr>
        <w:t>.</w:t>
      </w:r>
      <w:r>
        <w:rPr>
          <w:snapToGrid w:val="0"/>
        </w:rPr>
        <w:tab/>
        <w:t>Limit on power to order removal of vessels or dangerous things</w:t>
      </w:r>
      <w:bookmarkEnd w:id="138"/>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 or</w:t>
      </w:r>
    </w:p>
    <w:p>
      <w:pPr>
        <w:pStyle w:val="Indenta"/>
        <w:rPr>
          <w:snapToGrid w:val="0"/>
        </w:rPr>
      </w:pPr>
      <w:r>
        <w:rPr>
          <w:snapToGrid w:val="0"/>
        </w:rPr>
        <w:tab/>
        <w:t>(b)</w:t>
      </w:r>
      <w:r>
        <w:rPr>
          <w:snapToGrid w:val="0"/>
        </w:rPr>
        <w:tab/>
        <w:t>hindering the efficiency of the operations of the port; or</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139" w:name="_Toc524061406"/>
      <w:r>
        <w:rPr>
          <w:rStyle w:val="CharSectno"/>
        </w:rPr>
        <w:t>107</w:t>
      </w:r>
      <w:r>
        <w:rPr>
          <w:snapToGrid w:val="0"/>
        </w:rPr>
        <w:t>.</w:t>
      </w:r>
      <w:r>
        <w:rPr>
          <w:snapToGrid w:val="0"/>
        </w:rPr>
        <w:tab/>
        <w:t>Ownerless vessels and dangerous things, removal of</w:t>
      </w:r>
      <w:bookmarkEnd w:id="139"/>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140" w:name="_Toc524061407"/>
      <w:r>
        <w:rPr>
          <w:rStyle w:val="CharSectno"/>
        </w:rPr>
        <w:t>108</w:t>
      </w:r>
      <w:r>
        <w:rPr>
          <w:snapToGrid w:val="0"/>
        </w:rPr>
        <w:t>.</w:t>
      </w:r>
      <w:r>
        <w:rPr>
          <w:snapToGrid w:val="0"/>
        </w:rPr>
        <w:tab/>
        <w:t>Not obeying s. 104 or 106 direction, offence</w:t>
      </w:r>
      <w:bookmarkEnd w:id="140"/>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141" w:name="_Toc524061408"/>
      <w:r>
        <w:rPr>
          <w:rStyle w:val="CharSectno"/>
        </w:rPr>
        <w:t>109</w:t>
      </w:r>
      <w:r>
        <w:rPr>
          <w:snapToGrid w:val="0"/>
        </w:rPr>
        <w:t>.</w:t>
      </w:r>
      <w:r>
        <w:rPr>
          <w:snapToGrid w:val="0"/>
        </w:rPr>
        <w:tab/>
        <w:t>Powers if direction not obeyed</w:t>
      </w:r>
      <w:bookmarkEnd w:id="141"/>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142" w:name="_Toc524061409"/>
      <w:r>
        <w:rPr>
          <w:rStyle w:val="CharSectno"/>
        </w:rPr>
        <w:t>110</w:t>
      </w:r>
      <w:r>
        <w:rPr>
          <w:snapToGrid w:val="0"/>
        </w:rPr>
        <w:t>.</w:t>
      </w:r>
      <w:r>
        <w:rPr>
          <w:snapToGrid w:val="0"/>
        </w:rPr>
        <w:tab/>
        <w:t>Recovering port authority’s s. 107 costs</w:t>
      </w:r>
      <w:bookmarkEnd w:id="142"/>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143" w:name="_Toc524061410"/>
      <w:r>
        <w:rPr>
          <w:rStyle w:val="CharSectno"/>
        </w:rPr>
        <w:t>111</w:t>
      </w:r>
      <w:r>
        <w:rPr>
          <w:snapToGrid w:val="0"/>
        </w:rPr>
        <w:t>.</w:t>
      </w:r>
      <w:r>
        <w:rPr>
          <w:snapToGrid w:val="0"/>
        </w:rPr>
        <w:tab/>
        <w:t>Immunity from liability for acts under this Division</w:t>
      </w:r>
      <w:bookmarkEnd w:id="143"/>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144" w:name="_Toc524061411"/>
      <w:r>
        <w:rPr>
          <w:rStyle w:val="CharSectno"/>
        </w:rPr>
        <w:t>112</w:t>
      </w:r>
      <w:r>
        <w:rPr>
          <w:snapToGrid w:val="0"/>
        </w:rPr>
        <w:t>.</w:t>
      </w:r>
      <w:r>
        <w:rPr>
          <w:snapToGrid w:val="0"/>
        </w:rPr>
        <w:tab/>
        <w:t>Hindering harbour master etc., offence</w:t>
      </w:r>
      <w:bookmarkEnd w:id="144"/>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145" w:name="_Toc524061412"/>
      <w:r>
        <w:rPr>
          <w:rStyle w:val="CharDivNo"/>
        </w:rPr>
        <w:t>Division 4</w:t>
      </w:r>
      <w:r>
        <w:rPr>
          <w:snapToGrid w:val="0"/>
        </w:rPr>
        <w:t> — </w:t>
      </w:r>
      <w:r>
        <w:rPr>
          <w:rStyle w:val="CharDivText"/>
        </w:rPr>
        <w:t>Damage in a port caused by vessels etc.</w:t>
      </w:r>
      <w:bookmarkEnd w:id="145"/>
      <w:r>
        <w:rPr>
          <w:rStyle w:val="CharDivText"/>
        </w:rPr>
        <w:t xml:space="preserve"> </w:t>
      </w:r>
    </w:p>
    <w:p>
      <w:pPr>
        <w:pStyle w:val="Heading5"/>
        <w:rPr>
          <w:snapToGrid w:val="0"/>
        </w:rPr>
      </w:pPr>
      <w:bookmarkStart w:id="146" w:name="_Toc524061413"/>
      <w:r>
        <w:rPr>
          <w:rStyle w:val="CharSectno"/>
        </w:rPr>
        <w:t>113</w:t>
      </w:r>
      <w:r>
        <w:rPr>
          <w:snapToGrid w:val="0"/>
        </w:rPr>
        <w:t>.</w:t>
      </w:r>
      <w:r>
        <w:rPr>
          <w:snapToGrid w:val="0"/>
        </w:rPr>
        <w:tab/>
        <w:t>Responsibility for damage to port facilities or property</w:t>
      </w:r>
      <w:bookmarkEnd w:id="146"/>
      <w:r>
        <w:rPr>
          <w:snapToGrid w:val="0"/>
        </w:rPr>
        <w:t xml:space="preserve"> </w:t>
      </w:r>
    </w:p>
    <w:p>
      <w:pPr>
        <w:pStyle w:val="Subsection"/>
      </w:pPr>
      <w:r>
        <w:tab/>
        <w:t>(1A)</w:t>
      </w:r>
      <w:r>
        <w:tab/>
        <w:t xml:space="preserve">In this section — </w:t>
      </w:r>
    </w:p>
    <w:p>
      <w:pPr>
        <w:pStyle w:val="Defstart"/>
      </w:pPr>
      <w:r>
        <w:tab/>
      </w:r>
      <w:r>
        <w:rPr>
          <w:rStyle w:val="CharDefText"/>
        </w:rPr>
        <w:t>prescribed thing</w:t>
      </w:r>
      <w:r>
        <w:t xml:space="preserve"> means — </w:t>
      </w:r>
    </w:p>
    <w:p>
      <w:pPr>
        <w:pStyle w:val="Defpara"/>
      </w:pPr>
      <w:r>
        <w:tab/>
        <w:t>(a)</w:t>
      </w:r>
      <w:r>
        <w:tab/>
        <w:t>any floating object; or</w:t>
      </w:r>
    </w:p>
    <w:p>
      <w:pPr>
        <w:pStyle w:val="Defpara"/>
      </w:pPr>
      <w:r>
        <w:tab/>
        <w:t>(b)</w:t>
      </w:r>
      <w:r>
        <w:tab/>
        <w:t>any material, product or substance (whether solid, liquid or gas); or</w:t>
      </w:r>
    </w:p>
    <w:p>
      <w:pPr>
        <w:pStyle w:val="Defpara"/>
      </w:pPr>
      <w:r>
        <w:tab/>
        <w:t>(c)</w:t>
      </w:r>
      <w:r>
        <w:tab/>
        <w:t>any vehicle, plant, machinery, equipment or infrastructure.</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 or</w:t>
      </w:r>
    </w:p>
    <w:p>
      <w:pPr>
        <w:pStyle w:val="Indenta"/>
      </w:pPr>
      <w:r>
        <w:tab/>
        <w:t>(b)</w:t>
      </w:r>
      <w:r>
        <w:tab/>
        <w:t>a prescribed thing; or</w:t>
      </w:r>
    </w:p>
    <w:p>
      <w:pPr>
        <w:pStyle w:val="Indenta"/>
        <w:rPr>
          <w:snapToGrid w:val="0"/>
        </w:rPr>
      </w:pPr>
      <w:r>
        <w:tab/>
        <w:t>(c)</w:t>
      </w:r>
      <w:r>
        <w:tab/>
        <w:t xml:space="preserve">any person employed in, on or in relation to, a </w:t>
      </w:r>
      <w:r>
        <w:rPr>
          <w:snapToGrid w:val="0"/>
        </w:rPr>
        <w:t>vessel, or its equipment or cargo, or a prescribed thing.</w:t>
      </w:r>
    </w:p>
    <w:p>
      <w:pPr>
        <w:pStyle w:val="Ednotepara"/>
        <w:rPr>
          <w:snapToGrid w:val="0"/>
        </w:rPr>
      </w:pPr>
      <w:r>
        <w:tab/>
        <w:t>[(d)</w:t>
      </w:r>
      <w:r>
        <w:tab/>
        <w:t>deleted]</w:t>
      </w:r>
    </w:p>
    <w:p>
      <w:pPr>
        <w:pStyle w:val="Subsection"/>
        <w:rPr>
          <w:snapToGrid w:val="0"/>
        </w:rPr>
      </w:pPr>
      <w:r>
        <w:rPr>
          <w:snapToGrid w:val="0"/>
        </w:rPr>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or prescribed thing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Footnotesection"/>
        <w:ind w:left="890" w:hanging="890"/>
      </w:pPr>
      <w:r>
        <w:tab/>
        <w:t>[Section 113 amended by No. 9 of 2014 s. 25.]</w:t>
      </w:r>
    </w:p>
    <w:p>
      <w:pPr>
        <w:pStyle w:val="Heading3"/>
        <w:rPr>
          <w:snapToGrid w:val="0"/>
        </w:rPr>
      </w:pPr>
      <w:bookmarkStart w:id="147" w:name="_Toc524061414"/>
      <w:r>
        <w:rPr>
          <w:rStyle w:val="CharDivNo"/>
        </w:rPr>
        <w:t>Division 5</w:t>
      </w:r>
      <w:r>
        <w:rPr>
          <w:snapToGrid w:val="0"/>
        </w:rPr>
        <w:t xml:space="preserve"> — </w:t>
      </w:r>
      <w:r>
        <w:rPr>
          <w:rStyle w:val="CharDivText"/>
        </w:rPr>
        <w:t>Port safety</w:t>
      </w:r>
      <w:bookmarkEnd w:id="147"/>
    </w:p>
    <w:p>
      <w:pPr>
        <w:pStyle w:val="Heading5"/>
      </w:pPr>
      <w:bookmarkStart w:id="148" w:name="_Toc524061415"/>
      <w:r>
        <w:rPr>
          <w:rStyle w:val="CharSectno"/>
        </w:rPr>
        <w:t>114</w:t>
      </w:r>
      <w:r>
        <w:t>.</w:t>
      </w:r>
      <w:r>
        <w:tab/>
        <w:t>Marine safety plan, port authority to have</w:t>
      </w:r>
      <w:bookmarkEnd w:id="148"/>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149" w:name="_Toc524061416"/>
      <w:r>
        <w:rPr>
          <w:rStyle w:val="CharDivNo"/>
        </w:rPr>
        <w:t>Division 6</w:t>
      </w:r>
      <w:r>
        <w:t xml:space="preserve"> — </w:t>
      </w:r>
      <w:r>
        <w:rPr>
          <w:rStyle w:val="CharDivText"/>
        </w:rPr>
        <w:t>Powers of police officers and others</w:t>
      </w:r>
      <w:bookmarkEnd w:id="149"/>
      <w:r>
        <w:t xml:space="preserve"> </w:t>
      </w:r>
    </w:p>
    <w:p>
      <w:pPr>
        <w:pStyle w:val="Footnoteheading"/>
        <w:keepNext/>
        <w:keepLines/>
        <w:tabs>
          <w:tab w:val="left" w:pos="851"/>
        </w:tabs>
      </w:pPr>
      <w:r>
        <w:tab/>
        <w:t>[Heading inserted by No. 71 of 2003 s. 7.]</w:t>
      </w:r>
    </w:p>
    <w:p>
      <w:pPr>
        <w:pStyle w:val="Heading5"/>
      </w:pPr>
      <w:bookmarkStart w:id="150" w:name="_Toc524061417"/>
      <w:r>
        <w:rPr>
          <w:rStyle w:val="CharSectno"/>
        </w:rPr>
        <w:t>114A</w:t>
      </w:r>
      <w:r>
        <w:t>.</w:t>
      </w:r>
      <w:r>
        <w:tab/>
        <w:t>Police officers and others may enter vessels and conduct examinations and enquiries</w:t>
      </w:r>
      <w:bookmarkEnd w:id="150"/>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151" w:name="_Toc524061418"/>
      <w:r>
        <w:rPr>
          <w:rStyle w:val="CharDivNo"/>
        </w:rPr>
        <w:t>Division 7</w:t>
      </w:r>
      <w:r>
        <w:t xml:space="preserve"> — </w:t>
      </w:r>
      <w:r>
        <w:rPr>
          <w:rStyle w:val="CharDivText"/>
        </w:rPr>
        <w:t>Protection from liability</w:t>
      </w:r>
      <w:bookmarkEnd w:id="151"/>
    </w:p>
    <w:p>
      <w:pPr>
        <w:pStyle w:val="Footnoteheading"/>
        <w:tabs>
          <w:tab w:val="left" w:pos="851"/>
        </w:tabs>
      </w:pPr>
      <w:r>
        <w:tab/>
        <w:t>[Heading inserted by No. 71 of 2003 s. 7.]</w:t>
      </w:r>
    </w:p>
    <w:p>
      <w:pPr>
        <w:pStyle w:val="Heading5"/>
      </w:pPr>
      <w:bookmarkStart w:id="152" w:name="_Toc524061419"/>
      <w:r>
        <w:rPr>
          <w:rStyle w:val="CharSectno"/>
        </w:rPr>
        <w:t>114B</w:t>
      </w:r>
      <w:r>
        <w:t>.</w:t>
      </w:r>
      <w:r>
        <w:tab/>
        <w:t>Immunity from liability for damage to vessels</w:t>
      </w:r>
      <w:bookmarkEnd w:id="152"/>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153" w:name="_Toc524061420"/>
      <w:r>
        <w:rPr>
          <w:rStyle w:val="CharSectno"/>
        </w:rPr>
        <w:t>114C</w:t>
      </w:r>
      <w:r>
        <w:t>.</w:t>
      </w:r>
      <w:r>
        <w:tab/>
        <w:t>Immunity from liability for damaged goods</w:t>
      </w:r>
      <w:bookmarkEnd w:id="153"/>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154" w:name="_Toc524061421"/>
      <w:r>
        <w:rPr>
          <w:rStyle w:val="CharSectno"/>
        </w:rPr>
        <w:t>114D</w:t>
      </w:r>
      <w:r>
        <w:t>.</w:t>
      </w:r>
      <w:r>
        <w:tab/>
        <w:t>Immunity from liability for delay in delivery of goods</w:t>
      </w:r>
      <w:bookmarkEnd w:id="154"/>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155" w:name="_Toc524061422"/>
      <w:r>
        <w:rPr>
          <w:rStyle w:val="CharSectno"/>
        </w:rPr>
        <w:t>114EA</w:t>
      </w:r>
      <w:r>
        <w:t>.</w:t>
      </w:r>
      <w:r>
        <w:tab/>
        <w:t>Immunity from liability for acts or omissions of port users</w:t>
      </w:r>
      <w:bookmarkEnd w:id="155"/>
    </w:p>
    <w:p>
      <w:pPr>
        <w:pStyle w:val="Subsection"/>
      </w:pPr>
      <w:r>
        <w:tab/>
        <w:t>(1)</w:t>
      </w:r>
      <w:r>
        <w:tab/>
        <w:t>A port authority is not liable for any loss or damage resulting from an act or omission of a person who is, or is acting on behalf of, a user of its port.</w:t>
      </w:r>
    </w:p>
    <w:p>
      <w:pPr>
        <w:pStyle w:val="Subsection"/>
      </w:pPr>
      <w:r>
        <w:tab/>
        <w:t>(2)</w:t>
      </w:r>
      <w:r>
        <w:tab/>
        <w:t>Subsection (1) does not affect any liability a port authority might have for breach of contract.</w:t>
      </w:r>
    </w:p>
    <w:p>
      <w:pPr>
        <w:pStyle w:val="Footnotesection"/>
      </w:pPr>
      <w:r>
        <w:tab/>
        <w:t>[Section 114EA inserted by No. 9 of 2014 s. 26.]</w:t>
      </w:r>
    </w:p>
    <w:p>
      <w:pPr>
        <w:pStyle w:val="Heading5"/>
      </w:pPr>
      <w:bookmarkStart w:id="156" w:name="_Toc524061423"/>
      <w:r>
        <w:rPr>
          <w:rStyle w:val="CharSectno"/>
        </w:rPr>
        <w:t>114E</w:t>
      </w:r>
      <w:r>
        <w:t>.</w:t>
      </w:r>
      <w:r>
        <w:tab/>
        <w:t>Immunity from liability for certain events and actions</w:t>
      </w:r>
      <w:bookmarkEnd w:id="156"/>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 or</w:t>
      </w:r>
    </w:p>
    <w:p>
      <w:pPr>
        <w:pStyle w:val="Indenta"/>
      </w:pPr>
      <w:r>
        <w:tab/>
        <w:t>(b)</w:t>
      </w:r>
      <w:r>
        <w:tab/>
        <w:t>an act of war; or</w:t>
      </w:r>
    </w:p>
    <w:p>
      <w:pPr>
        <w:pStyle w:val="Indenta"/>
      </w:pPr>
      <w:r>
        <w:tab/>
        <w:t>(c)</w:t>
      </w:r>
      <w:r>
        <w:tab/>
        <w:t>an act of public enemies; or</w:t>
      </w:r>
    </w:p>
    <w:p>
      <w:pPr>
        <w:pStyle w:val="Indenta"/>
      </w:pPr>
      <w:r>
        <w:tab/>
        <w:t>(d)</w:t>
      </w:r>
      <w:r>
        <w:tab/>
        <w:t>any insurrection, revolution or civil disorder; or</w:t>
      </w:r>
    </w:p>
    <w:p>
      <w:pPr>
        <w:pStyle w:val="Indenta"/>
      </w:pPr>
      <w:r>
        <w:tab/>
        <w:t>(e)</w:t>
      </w:r>
      <w:r>
        <w:tab/>
        <w:t>the unlawful seizure or control of any people or any vessels, vehicles or other property; or</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157" w:name="_Toc524061424"/>
      <w:r>
        <w:rPr>
          <w:rStyle w:val="CharPartNo"/>
        </w:rPr>
        <w:t>Part 8</w:t>
      </w:r>
      <w:r>
        <w:rPr>
          <w:rStyle w:val="CharDivNo"/>
        </w:rPr>
        <w:t xml:space="preserve"> </w:t>
      </w:r>
      <w:r>
        <w:t>—</w:t>
      </w:r>
      <w:r>
        <w:rPr>
          <w:rStyle w:val="CharDivText"/>
        </w:rPr>
        <w:t xml:space="preserve"> </w:t>
      </w:r>
      <w:r>
        <w:rPr>
          <w:rStyle w:val="CharPartText"/>
        </w:rPr>
        <w:t>Port charges</w:t>
      </w:r>
      <w:bookmarkEnd w:id="157"/>
      <w:r>
        <w:rPr>
          <w:rStyle w:val="CharPartText"/>
        </w:rPr>
        <w:t xml:space="preserve"> </w:t>
      </w:r>
    </w:p>
    <w:p>
      <w:pPr>
        <w:pStyle w:val="Heading5"/>
        <w:rPr>
          <w:snapToGrid w:val="0"/>
        </w:rPr>
      </w:pPr>
      <w:bookmarkStart w:id="158" w:name="_Toc524061425"/>
      <w:r>
        <w:rPr>
          <w:rStyle w:val="CharSectno"/>
        </w:rPr>
        <w:t>115</w:t>
      </w:r>
      <w:r>
        <w:rPr>
          <w:snapToGrid w:val="0"/>
        </w:rPr>
        <w:t>.</w:t>
      </w:r>
      <w:r>
        <w:rPr>
          <w:snapToGrid w:val="0"/>
        </w:rPr>
        <w:tab/>
        <w:t>Term used: port charges; application of this Part</w:t>
      </w:r>
      <w:bookmarkEnd w:id="158"/>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 or</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159" w:name="_Toc524061426"/>
      <w:r>
        <w:rPr>
          <w:rStyle w:val="CharSectno"/>
        </w:rPr>
        <w:t>116</w:t>
      </w:r>
      <w:r>
        <w:rPr>
          <w:snapToGrid w:val="0"/>
        </w:rPr>
        <w:t>.</w:t>
      </w:r>
      <w:r>
        <w:rPr>
          <w:snapToGrid w:val="0"/>
        </w:rPr>
        <w:tab/>
        <w:t>Liability to pay port charges in respect of vessels</w:t>
      </w:r>
      <w:bookmarkEnd w:id="159"/>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160" w:name="_Toc524061427"/>
      <w:r>
        <w:rPr>
          <w:rStyle w:val="CharSectno"/>
        </w:rPr>
        <w:t>117</w:t>
      </w:r>
      <w:r>
        <w:rPr>
          <w:snapToGrid w:val="0"/>
        </w:rPr>
        <w:t>.</w:t>
      </w:r>
      <w:r>
        <w:rPr>
          <w:snapToGrid w:val="0"/>
        </w:rPr>
        <w:tab/>
        <w:t>Liability to pay port charges in respect of goods</w:t>
      </w:r>
      <w:bookmarkEnd w:id="160"/>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161" w:name="_Toc524061428"/>
      <w:r>
        <w:rPr>
          <w:rStyle w:val="CharSectno"/>
        </w:rPr>
        <w:t>118</w:t>
      </w:r>
      <w:r>
        <w:rPr>
          <w:snapToGrid w:val="0"/>
        </w:rPr>
        <w:t>.</w:t>
      </w:r>
      <w:r>
        <w:rPr>
          <w:snapToGrid w:val="0"/>
        </w:rPr>
        <w:tab/>
        <w:t>Recovery of port charges by port authority</w:t>
      </w:r>
      <w:bookmarkEnd w:id="161"/>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162" w:name="_Toc524061429"/>
      <w:r>
        <w:rPr>
          <w:rStyle w:val="CharSectno"/>
        </w:rPr>
        <w:t>119</w:t>
      </w:r>
      <w:r>
        <w:rPr>
          <w:snapToGrid w:val="0"/>
        </w:rPr>
        <w:t>.</w:t>
      </w:r>
      <w:r>
        <w:rPr>
          <w:snapToGrid w:val="0"/>
        </w:rPr>
        <w:tab/>
        <w:t>Collectors of port charges</w:t>
      </w:r>
      <w:bookmarkEnd w:id="162"/>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163" w:name="_Toc524061430"/>
      <w:r>
        <w:rPr>
          <w:rStyle w:val="CharPartNo"/>
        </w:rPr>
        <w:t>Part 9</w:t>
      </w:r>
      <w:r>
        <w:t xml:space="preserve"> — </w:t>
      </w:r>
      <w:r>
        <w:rPr>
          <w:rStyle w:val="CharPartText"/>
        </w:rPr>
        <w:t>Proceedings for offences</w:t>
      </w:r>
      <w:bookmarkEnd w:id="163"/>
      <w:r>
        <w:rPr>
          <w:rStyle w:val="CharPartText"/>
        </w:rPr>
        <w:t xml:space="preserve"> </w:t>
      </w:r>
    </w:p>
    <w:p>
      <w:pPr>
        <w:pStyle w:val="Heading3"/>
        <w:rPr>
          <w:snapToGrid w:val="0"/>
        </w:rPr>
      </w:pPr>
      <w:bookmarkStart w:id="164" w:name="_Toc524061431"/>
      <w:r>
        <w:rPr>
          <w:rStyle w:val="CharDivNo"/>
        </w:rPr>
        <w:t xml:space="preserve">Division 1 </w:t>
      </w:r>
      <w:r>
        <w:rPr>
          <w:snapToGrid w:val="0"/>
        </w:rPr>
        <w:t>— </w:t>
      </w:r>
      <w:r>
        <w:rPr>
          <w:rStyle w:val="CharDivText"/>
        </w:rPr>
        <w:t>General</w:t>
      </w:r>
      <w:bookmarkEnd w:id="164"/>
      <w:r>
        <w:rPr>
          <w:rStyle w:val="CharDivText"/>
        </w:rPr>
        <w:t xml:space="preserve"> </w:t>
      </w:r>
    </w:p>
    <w:p>
      <w:pPr>
        <w:pStyle w:val="Heading5"/>
        <w:rPr>
          <w:snapToGrid w:val="0"/>
        </w:rPr>
      </w:pPr>
      <w:bookmarkStart w:id="165" w:name="_Toc524061432"/>
      <w:r>
        <w:rPr>
          <w:rStyle w:val="CharSectno"/>
        </w:rPr>
        <w:t>120</w:t>
      </w:r>
      <w:r>
        <w:rPr>
          <w:snapToGrid w:val="0"/>
        </w:rPr>
        <w:t>.</w:t>
      </w:r>
      <w:r>
        <w:rPr>
          <w:snapToGrid w:val="0"/>
        </w:rPr>
        <w:tab/>
        <w:t>Who can commence prosecutions</w:t>
      </w:r>
      <w:bookmarkEnd w:id="165"/>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166" w:name="_Toc524061433"/>
      <w:r>
        <w:rPr>
          <w:rStyle w:val="CharSectno"/>
        </w:rPr>
        <w:t>121</w:t>
      </w:r>
      <w:r>
        <w:rPr>
          <w:snapToGrid w:val="0"/>
        </w:rPr>
        <w:t>.</w:t>
      </w:r>
      <w:r>
        <w:rPr>
          <w:snapToGrid w:val="0"/>
        </w:rPr>
        <w:tab/>
        <w:t>Time limit for prosecutions</w:t>
      </w:r>
      <w:bookmarkEnd w:id="166"/>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167" w:name="_Toc524061434"/>
      <w:r>
        <w:rPr>
          <w:rStyle w:val="CharSectno"/>
        </w:rPr>
        <w:t>122</w:t>
      </w:r>
      <w:r>
        <w:rPr>
          <w:snapToGrid w:val="0"/>
        </w:rPr>
        <w:t>.</w:t>
      </w:r>
      <w:r>
        <w:rPr>
          <w:snapToGrid w:val="0"/>
        </w:rPr>
        <w:tab/>
        <w:t>Averment as to place of offence</w:t>
      </w:r>
      <w:bookmarkEnd w:id="167"/>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168" w:name="_Toc524061435"/>
      <w:r>
        <w:rPr>
          <w:rStyle w:val="CharDivNo"/>
        </w:rPr>
        <w:t>Division 2</w:t>
      </w:r>
      <w:r>
        <w:rPr>
          <w:snapToGrid w:val="0"/>
        </w:rPr>
        <w:t> — </w:t>
      </w:r>
      <w:r>
        <w:rPr>
          <w:rStyle w:val="CharDivText"/>
        </w:rPr>
        <w:t>Infringement notices</w:t>
      </w:r>
      <w:bookmarkEnd w:id="168"/>
      <w:r>
        <w:rPr>
          <w:rStyle w:val="CharDivText"/>
        </w:rPr>
        <w:t xml:space="preserve"> </w:t>
      </w:r>
    </w:p>
    <w:p>
      <w:pPr>
        <w:pStyle w:val="Heading5"/>
        <w:rPr>
          <w:snapToGrid w:val="0"/>
        </w:rPr>
      </w:pPr>
      <w:bookmarkStart w:id="169" w:name="_Toc524061436"/>
      <w:r>
        <w:rPr>
          <w:rStyle w:val="CharSectno"/>
        </w:rPr>
        <w:t>123</w:t>
      </w:r>
      <w:r>
        <w:rPr>
          <w:snapToGrid w:val="0"/>
        </w:rPr>
        <w:t>.</w:t>
      </w:r>
      <w:r>
        <w:rPr>
          <w:snapToGrid w:val="0"/>
        </w:rPr>
        <w:tab/>
        <w:t>Terms used</w:t>
      </w:r>
      <w:bookmarkEnd w:id="16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170" w:name="_Toc524061437"/>
      <w:r>
        <w:rPr>
          <w:rStyle w:val="CharSectno"/>
        </w:rPr>
        <w:t>124</w:t>
      </w:r>
      <w:r>
        <w:rPr>
          <w:snapToGrid w:val="0"/>
        </w:rPr>
        <w:t>.</w:t>
      </w:r>
      <w:r>
        <w:rPr>
          <w:snapToGrid w:val="0"/>
        </w:rPr>
        <w:tab/>
        <w:t>Giving of notice</w:t>
      </w:r>
      <w:bookmarkEnd w:id="170"/>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171" w:name="_Toc524061438"/>
      <w:r>
        <w:rPr>
          <w:rStyle w:val="CharSectno"/>
        </w:rPr>
        <w:t>125</w:t>
      </w:r>
      <w:r>
        <w:rPr>
          <w:snapToGrid w:val="0"/>
        </w:rPr>
        <w:t>.</w:t>
      </w:r>
      <w:r>
        <w:rPr>
          <w:snapToGrid w:val="0"/>
        </w:rPr>
        <w:tab/>
        <w:t>Content of notice</w:t>
      </w:r>
      <w:bookmarkEnd w:id="171"/>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172" w:name="_Toc524061439"/>
      <w:r>
        <w:rPr>
          <w:rStyle w:val="CharSectno"/>
        </w:rPr>
        <w:t>126</w:t>
      </w:r>
      <w:r>
        <w:rPr>
          <w:snapToGrid w:val="0"/>
        </w:rPr>
        <w:t>.</w:t>
      </w:r>
      <w:r>
        <w:rPr>
          <w:snapToGrid w:val="0"/>
        </w:rPr>
        <w:tab/>
        <w:t>Extending time for paying modified penalty</w:t>
      </w:r>
      <w:bookmarkEnd w:id="172"/>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73" w:name="_Toc524061440"/>
      <w:r>
        <w:rPr>
          <w:rStyle w:val="CharSectno"/>
        </w:rPr>
        <w:t>127</w:t>
      </w:r>
      <w:r>
        <w:rPr>
          <w:snapToGrid w:val="0"/>
        </w:rPr>
        <w:t>.</w:t>
      </w:r>
      <w:r>
        <w:rPr>
          <w:snapToGrid w:val="0"/>
        </w:rPr>
        <w:tab/>
        <w:t>Withdrawing notice</w:t>
      </w:r>
      <w:bookmarkEnd w:id="173"/>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174" w:name="_Toc524061441"/>
      <w:r>
        <w:rPr>
          <w:rStyle w:val="CharSectno"/>
        </w:rPr>
        <w:t>128</w:t>
      </w:r>
      <w:r>
        <w:rPr>
          <w:snapToGrid w:val="0"/>
        </w:rPr>
        <w:t>.</w:t>
      </w:r>
      <w:r>
        <w:rPr>
          <w:snapToGrid w:val="0"/>
        </w:rPr>
        <w:tab/>
        <w:t>Benefit of paying modified penalty</w:t>
      </w:r>
      <w:bookmarkEnd w:id="174"/>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175" w:name="_Toc524061442"/>
      <w:r>
        <w:rPr>
          <w:rStyle w:val="CharSectno"/>
        </w:rPr>
        <w:t>129</w:t>
      </w:r>
      <w:r>
        <w:rPr>
          <w:snapToGrid w:val="0"/>
        </w:rPr>
        <w:t>.</w:t>
      </w:r>
      <w:r>
        <w:rPr>
          <w:snapToGrid w:val="0"/>
        </w:rPr>
        <w:tab/>
        <w:t>Application of penalties collected</w:t>
      </w:r>
      <w:bookmarkEnd w:id="175"/>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176" w:name="_Toc524061443"/>
      <w:r>
        <w:rPr>
          <w:rStyle w:val="CharSectno"/>
        </w:rPr>
        <w:t>130</w:t>
      </w:r>
      <w:r>
        <w:rPr>
          <w:snapToGrid w:val="0"/>
        </w:rPr>
        <w:t>.</w:t>
      </w:r>
      <w:r>
        <w:rPr>
          <w:snapToGrid w:val="0"/>
        </w:rPr>
        <w:tab/>
        <w:t>Authorised persons, appointment of</w:t>
      </w:r>
      <w:bookmarkEnd w:id="176"/>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177" w:name="_Toc524061444"/>
      <w:r>
        <w:rPr>
          <w:rStyle w:val="CharPartNo"/>
        </w:rPr>
        <w:t>Part 10</w:t>
      </w:r>
      <w:r>
        <w:rPr>
          <w:rStyle w:val="CharDivNo"/>
        </w:rPr>
        <w:t xml:space="preserve"> </w:t>
      </w:r>
      <w:r>
        <w:t>—</w:t>
      </w:r>
      <w:r>
        <w:rPr>
          <w:rStyle w:val="CharDivText"/>
        </w:rPr>
        <w:t xml:space="preserve"> </w:t>
      </w:r>
      <w:r>
        <w:rPr>
          <w:rStyle w:val="CharPartText"/>
        </w:rPr>
        <w:t>Miscellaneous</w:t>
      </w:r>
      <w:bookmarkEnd w:id="177"/>
    </w:p>
    <w:p>
      <w:pPr>
        <w:pStyle w:val="Heading5"/>
        <w:rPr>
          <w:snapToGrid w:val="0"/>
        </w:rPr>
      </w:pPr>
      <w:bookmarkStart w:id="178" w:name="_Toc524061445"/>
      <w:r>
        <w:rPr>
          <w:rStyle w:val="CharSectno"/>
        </w:rPr>
        <w:t>131</w:t>
      </w:r>
      <w:r>
        <w:rPr>
          <w:snapToGrid w:val="0"/>
        </w:rPr>
        <w:t>.</w:t>
      </w:r>
      <w:r>
        <w:rPr>
          <w:snapToGrid w:val="0"/>
        </w:rPr>
        <w:tab/>
        <w:t>Hindering, offence</w:t>
      </w:r>
      <w:bookmarkEnd w:id="178"/>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obstructs, impedes or interferes with the doing of, a thing required or authorised to be done by or under this Act; or</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r>
      <w:r>
        <w:tab/>
        <w:t>or</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179" w:name="_Toc524061446"/>
      <w:r>
        <w:rPr>
          <w:rStyle w:val="CharSectno"/>
        </w:rPr>
        <w:t>132</w:t>
      </w:r>
      <w:r>
        <w:rPr>
          <w:snapToGrid w:val="0"/>
        </w:rPr>
        <w:t>.</w:t>
      </w:r>
      <w:r>
        <w:rPr>
          <w:snapToGrid w:val="0"/>
        </w:rPr>
        <w:tab/>
        <w:t>Individual port authorities, provisions for (Sch. 6)</w:t>
      </w:r>
      <w:bookmarkEnd w:id="179"/>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180" w:name="_Toc524061447"/>
      <w:r>
        <w:rPr>
          <w:rStyle w:val="CharSectno"/>
        </w:rPr>
        <w:t>133</w:t>
      </w:r>
      <w:r>
        <w:rPr>
          <w:snapToGrid w:val="0"/>
        </w:rPr>
        <w:t>.</w:t>
      </w:r>
      <w:r>
        <w:rPr>
          <w:snapToGrid w:val="0"/>
        </w:rPr>
        <w:tab/>
        <w:t>Supplementary provision about laying documents before Parliament</w:t>
      </w:r>
      <w:bookmarkEnd w:id="18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35(5), 41(4), 53(5), 56(4), 62(5), 64(2), 65(4), 68(3), 72(2), </w:t>
      </w:r>
      <w:r>
        <w:t xml:space="preserve">84(9) </w:t>
      </w:r>
      <w:r>
        <w:rPr>
          <w:snapToGrid w:val="0"/>
        </w:rPr>
        <w:t>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 No. 9 of 2014 s. 27.]</w:t>
      </w:r>
    </w:p>
    <w:p>
      <w:pPr>
        <w:pStyle w:val="Heading5"/>
        <w:rPr>
          <w:snapToGrid w:val="0"/>
        </w:rPr>
      </w:pPr>
      <w:bookmarkStart w:id="181" w:name="_Toc524061448"/>
      <w:r>
        <w:rPr>
          <w:rStyle w:val="CharSectno"/>
        </w:rPr>
        <w:t>134</w:t>
      </w:r>
      <w:r>
        <w:rPr>
          <w:snapToGrid w:val="0"/>
        </w:rPr>
        <w:t>.</w:t>
      </w:r>
      <w:r>
        <w:rPr>
          <w:snapToGrid w:val="0"/>
        </w:rPr>
        <w:tab/>
        <w:t>Execution of documents by port authority</w:t>
      </w:r>
      <w:bookmarkEnd w:id="181"/>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182" w:name="_Toc524061449"/>
      <w:r>
        <w:rPr>
          <w:rStyle w:val="CharSectno"/>
        </w:rPr>
        <w:t>135</w:t>
      </w:r>
      <w:r>
        <w:rPr>
          <w:snapToGrid w:val="0"/>
        </w:rPr>
        <w:t>.</w:t>
      </w:r>
      <w:r>
        <w:rPr>
          <w:snapToGrid w:val="0"/>
        </w:rPr>
        <w:tab/>
        <w:t>Contracts with port authority, formalities of</w:t>
      </w:r>
      <w:bookmarkEnd w:id="182"/>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183" w:name="_Toc524061450"/>
      <w:r>
        <w:rPr>
          <w:rStyle w:val="CharSectno"/>
        </w:rPr>
        <w:t>136</w:t>
      </w:r>
      <w:r>
        <w:rPr>
          <w:snapToGrid w:val="0"/>
        </w:rPr>
        <w:t>.</w:t>
      </w:r>
      <w:r>
        <w:rPr>
          <w:snapToGrid w:val="0"/>
        </w:rPr>
        <w:tab/>
        <w:t>Overdue amounts, interest on</w:t>
      </w:r>
      <w:bookmarkEnd w:id="183"/>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184" w:name="_Toc524061451"/>
      <w:r>
        <w:rPr>
          <w:rStyle w:val="CharSectno"/>
        </w:rPr>
        <w:t>137</w:t>
      </w:r>
      <w:r>
        <w:rPr>
          <w:snapToGrid w:val="0"/>
        </w:rPr>
        <w:t>.</w:t>
      </w:r>
      <w:r>
        <w:rPr>
          <w:snapToGrid w:val="0"/>
        </w:rPr>
        <w:tab/>
        <w:t>Recovery of expenses due to offence</w:t>
      </w:r>
      <w:bookmarkEnd w:id="184"/>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pPr>
      <w:bookmarkStart w:id="185" w:name="_Toc524061452"/>
      <w:r>
        <w:rPr>
          <w:rStyle w:val="CharSectno"/>
        </w:rPr>
        <w:t>138</w:t>
      </w:r>
      <w:r>
        <w:t>.</w:t>
      </w:r>
      <w:r>
        <w:tab/>
      </w:r>
      <w:r>
        <w:rPr>
          <w:i/>
        </w:rPr>
        <w:t>Government Agreements Act 1979</w:t>
      </w:r>
      <w:r>
        <w:t xml:space="preserve"> not affected</w:t>
      </w:r>
      <w:bookmarkEnd w:id="185"/>
    </w:p>
    <w:p>
      <w:pPr>
        <w:pStyle w:val="Subsection"/>
      </w:pPr>
      <w:r>
        <w:tab/>
      </w:r>
      <w:r>
        <w:tab/>
        <w:t xml:space="preserve">The operation of the </w:t>
      </w:r>
      <w:r>
        <w:rPr>
          <w:i/>
        </w:rPr>
        <w:t>Government Agreements Act 1979</w:t>
      </w:r>
      <w:r>
        <w:t xml:space="preserve"> in relation to this Act is not limited or otherwise affected by — </w:t>
      </w:r>
    </w:p>
    <w:p>
      <w:pPr>
        <w:pStyle w:val="Indenta"/>
      </w:pPr>
      <w:r>
        <w:tab/>
        <w:t>(a)</w:t>
      </w:r>
      <w:r>
        <w:tab/>
        <w:t>Schedule 6 clause 1.3 or 2.3 or the mention of particular agreements in those clauses; or</w:t>
      </w:r>
    </w:p>
    <w:p>
      <w:pPr>
        <w:pStyle w:val="Indenta"/>
      </w:pPr>
      <w:r>
        <w:tab/>
        <w:t>(b)</w:t>
      </w:r>
      <w:r>
        <w:tab/>
        <w:t>the affecting provisions as defined in Schedule 8 clause 45; or</w:t>
      </w:r>
    </w:p>
    <w:p>
      <w:pPr>
        <w:pStyle w:val="Indenta"/>
      </w:pPr>
      <w:r>
        <w:tab/>
        <w:t>(c)</w:t>
      </w:r>
      <w:r>
        <w:tab/>
        <w:t>Schedule 9 or regulations referred to in Schedule 9.</w:t>
      </w:r>
    </w:p>
    <w:p>
      <w:pPr>
        <w:pStyle w:val="Footnotesection"/>
      </w:pPr>
      <w:r>
        <w:tab/>
        <w:t>[Section 138 inserted by No. 9 of 2014 s. 28(1); amended by No. 9 of 2014 s. 28(2).]</w:t>
      </w:r>
    </w:p>
    <w:p>
      <w:pPr>
        <w:pStyle w:val="Heading5"/>
      </w:pPr>
      <w:bookmarkStart w:id="186" w:name="_Toc524061453"/>
      <w:r>
        <w:rPr>
          <w:rStyle w:val="CharSectno"/>
        </w:rPr>
        <w:t>139A</w:t>
      </w:r>
      <w:r>
        <w:t>.</w:t>
      </w:r>
      <w:r>
        <w:tab/>
        <w:t>Transitional provisions</w:t>
      </w:r>
      <w:bookmarkEnd w:id="186"/>
    </w:p>
    <w:p>
      <w:pPr>
        <w:pStyle w:val="Subsection"/>
      </w:pPr>
      <w:r>
        <w:tab/>
      </w:r>
      <w:r>
        <w:tab/>
        <w:t>Schedule 8 sets out transitional provisions.</w:t>
      </w:r>
    </w:p>
    <w:p>
      <w:pPr>
        <w:pStyle w:val="Footnotesection"/>
      </w:pPr>
      <w:r>
        <w:tab/>
        <w:t>[Section 139A inserted by No. 9 of 2014 s. 29.]</w:t>
      </w:r>
    </w:p>
    <w:p>
      <w:pPr>
        <w:pStyle w:val="Heading2"/>
      </w:pPr>
      <w:bookmarkStart w:id="187" w:name="_Toc524061454"/>
      <w:r>
        <w:rPr>
          <w:rStyle w:val="CharPartNo"/>
        </w:rPr>
        <w:t>Part 11</w:t>
      </w:r>
      <w:r>
        <w:rPr>
          <w:rStyle w:val="CharDivNo"/>
        </w:rPr>
        <w:t xml:space="preserve"> </w:t>
      </w:r>
      <w:r>
        <w:t>—</w:t>
      </w:r>
      <w:r>
        <w:rPr>
          <w:rStyle w:val="CharDivText"/>
        </w:rPr>
        <w:t xml:space="preserve"> </w:t>
      </w:r>
      <w:r>
        <w:rPr>
          <w:rStyle w:val="CharPartText"/>
        </w:rPr>
        <w:t>Regulations</w:t>
      </w:r>
      <w:bookmarkEnd w:id="187"/>
    </w:p>
    <w:p>
      <w:pPr>
        <w:pStyle w:val="Heading5"/>
        <w:rPr>
          <w:snapToGrid w:val="0"/>
        </w:rPr>
      </w:pPr>
      <w:bookmarkStart w:id="188" w:name="_Toc524061455"/>
      <w:r>
        <w:rPr>
          <w:rStyle w:val="CharSectno"/>
        </w:rPr>
        <w:t>139</w:t>
      </w:r>
      <w:r>
        <w:rPr>
          <w:snapToGrid w:val="0"/>
        </w:rPr>
        <w:t>.</w:t>
      </w:r>
      <w:r>
        <w:rPr>
          <w:snapToGrid w:val="0"/>
        </w:rPr>
        <w:tab/>
        <w:t>General power to make regulations</w:t>
      </w:r>
      <w:bookmarkEnd w:id="18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189" w:name="_Toc524061456"/>
      <w:r>
        <w:rPr>
          <w:rStyle w:val="CharSectno"/>
        </w:rPr>
        <w:t>140</w:t>
      </w:r>
      <w:r>
        <w:rPr>
          <w:snapToGrid w:val="0"/>
        </w:rPr>
        <w:t>.</w:t>
      </w:r>
      <w:r>
        <w:rPr>
          <w:snapToGrid w:val="0"/>
        </w:rPr>
        <w:tab/>
        <w:t>Offences against regulations</w:t>
      </w:r>
      <w:bookmarkEnd w:id="189"/>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190" w:name="_Toc524061457"/>
      <w:r>
        <w:rPr>
          <w:rStyle w:val="CharSectno"/>
        </w:rPr>
        <w:t>141</w:t>
      </w:r>
      <w:r>
        <w:rPr>
          <w:snapToGrid w:val="0"/>
        </w:rPr>
        <w:t>.</w:t>
      </w:r>
      <w:r>
        <w:rPr>
          <w:snapToGrid w:val="0"/>
        </w:rPr>
        <w:tab/>
        <w:t>Adoption of other laws, codes etc.</w:t>
      </w:r>
      <w:bookmarkEnd w:id="190"/>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191" w:name="_Toc524061458"/>
      <w:r>
        <w:rPr>
          <w:rStyle w:val="CharSectno"/>
        </w:rPr>
        <w:t>142</w:t>
      </w:r>
      <w:r>
        <w:rPr>
          <w:snapToGrid w:val="0"/>
        </w:rPr>
        <w:t>.</w:t>
      </w:r>
      <w:r>
        <w:rPr>
          <w:snapToGrid w:val="0"/>
        </w:rPr>
        <w:tab/>
        <w:t>References to other approvals or decisions</w:t>
      </w:r>
      <w:bookmarkEnd w:id="191"/>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192" w:name="_Toc524061459"/>
      <w:r>
        <w:rPr>
          <w:rStyle w:val="CharSectno"/>
        </w:rPr>
        <w:t>143</w:t>
      </w:r>
      <w:r>
        <w:rPr>
          <w:snapToGrid w:val="0"/>
        </w:rPr>
        <w:t>.</w:t>
      </w:r>
      <w:r>
        <w:rPr>
          <w:snapToGrid w:val="0"/>
        </w:rPr>
        <w:tab/>
        <w:t>Licensing, provisions as to</w:t>
      </w:r>
      <w:bookmarkEnd w:id="192"/>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193" w:name="_Toc524061460"/>
      <w:r>
        <w:rPr>
          <w:rStyle w:val="CharPartNo"/>
        </w:rPr>
        <w:t>Part 12</w:t>
      </w:r>
      <w:r>
        <w:rPr>
          <w:rStyle w:val="CharDivNo"/>
        </w:rPr>
        <w:t xml:space="preserve"> </w:t>
      </w:r>
      <w:r>
        <w:t>—</w:t>
      </w:r>
      <w:r>
        <w:rPr>
          <w:rStyle w:val="CharDivText"/>
        </w:rPr>
        <w:t xml:space="preserve"> </w:t>
      </w:r>
      <w:r>
        <w:rPr>
          <w:rStyle w:val="CharPartText"/>
        </w:rPr>
        <w:t>Review of Act</w:t>
      </w:r>
      <w:bookmarkEnd w:id="193"/>
    </w:p>
    <w:p>
      <w:pPr>
        <w:pStyle w:val="Heading5"/>
      </w:pPr>
      <w:bookmarkStart w:id="194" w:name="_Toc524061461"/>
      <w:r>
        <w:rPr>
          <w:rStyle w:val="CharSectno"/>
        </w:rPr>
        <w:t>144</w:t>
      </w:r>
      <w:r>
        <w:t>.</w:t>
      </w:r>
      <w:r>
        <w:tab/>
        <w:t>Minister to review and report on Act</w:t>
      </w:r>
      <w:bookmarkEnd w:id="194"/>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95" w:name="_Toc524061462"/>
      <w:r>
        <w:rPr>
          <w:rStyle w:val="CharSchNo"/>
        </w:rPr>
        <w:t>Schedule 1</w:t>
      </w:r>
      <w:r>
        <w:t> — </w:t>
      </w:r>
      <w:r>
        <w:rPr>
          <w:rStyle w:val="CharSchText"/>
        </w:rPr>
        <w:t>Port authorities and ports</w:t>
      </w:r>
      <w:bookmarkEnd w:id="195"/>
    </w:p>
    <w:p>
      <w:pPr>
        <w:pStyle w:val="yShoulderClause"/>
      </w:pPr>
      <w:r>
        <w:t>[s. 4]</w:t>
      </w:r>
    </w:p>
    <w:p>
      <w:pPr>
        <w:pStyle w:val="yFootnoteheading"/>
        <w:spacing w:after="120"/>
      </w:pPr>
      <w:r>
        <w:tab/>
        <w:t>[Heading inserted by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tblGrid>
      <w:tr>
        <w:tc>
          <w:tcPr>
            <w:tcW w:w="1275" w:type="dxa"/>
            <w:tcBorders>
              <w:top w:val="single" w:sz="4" w:space="0" w:color="auto"/>
              <w:bottom w:val="single" w:sz="4" w:space="0" w:color="auto"/>
            </w:tcBorders>
          </w:tcPr>
          <w:p>
            <w:pPr>
              <w:pStyle w:val="yTableNAm"/>
              <w:rPr>
                <w:b/>
              </w:rPr>
            </w:pPr>
            <w:r>
              <w:rPr>
                <w:b/>
              </w:rPr>
              <w:t>Column 1</w:t>
            </w:r>
          </w:p>
          <w:p>
            <w:pPr>
              <w:pStyle w:val="yTableNAm"/>
              <w:rPr>
                <w:b/>
              </w:rPr>
            </w:pPr>
            <w:r>
              <w:rPr>
                <w:b/>
              </w:rPr>
              <w:t>Item</w:t>
            </w:r>
          </w:p>
        </w:tc>
        <w:tc>
          <w:tcPr>
            <w:tcW w:w="2694" w:type="dxa"/>
            <w:tcBorders>
              <w:top w:val="single" w:sz="4" w:space="0" w:color="auto"/>
              <w:bottom w:val="single" w:sz="4" w:space="0" w:color="auto"/>
            </w:tcBorders>
          </w:tcPr>
          <w:p>
            <w:pPr>
              <w:pStyle w:val="yTableNAm"/>
              <w:rPr>
                <w:b/>
              </w:rPr>
            </w:pPr>
            <w:r>
              <w:rPr>
                <w:b/>
              </w:rPr>
              <w:t>Column 2</w:t>
            </w:r>
          </w:p>
          <w:p>
            <w:pPr>
              <w:pStyle w:val="yTableNAm"/>
              <w:rPr>
                <w:b/>
              </w:rPr>
            </w:pPr>
            <w:r>
              <w:rPr>
                <w:b/>
              </w:rPr>
              <w:t>Name of port authority</w:t>
            </w:r>
          </w:p>
        </w:tc>
        <w:tc>
          <w:tcPr>
            <w:tcW w:w="2693" w:type="dxa"/>
            <w:tcBorders>
              <w:top w:val="single" w:sz="4" w:space="0" w:color="auto"/>
              <w:bottom w:val="single" w:sz="4" w:space="0" w:color="auto"/>
            </w:tcBorders>
          </w:tcPr>
          <w:p>
            <w:pPr>
              <w:pStyle w:val="yTableNAm"/>
              <w:rPr>
                <w:b/>
              </w:rPr>
            </w:pPr>
            <w:r>
              <w:rPr>
                <w:b/>
              </w:rPr>
              <w:t>Column 3</w:t>
            </w:r>
          </w:p>
          <w:p>
            <w:pPr>
              <w:pStyle w:val="yTableNAm"/>
              <w:rPr>
                <w:b/>
              </w:rPr>
            </w:pPr>
            <w:r>
              <w:rPr>
                <w:b/>
              </w:rPr>
              <w:t>Port or ports</w:t>
            </w:r>
          </w:p>
        </w:tc>
      </w:tr>
      <w:tr>
        <w:tc>
          <w:tcPr>
            <w:tcW w:w="1275" w:type="dxa"/>
          </w:tcPr>
          <w:p>
            <w:pPr>
              <w:pStyle w:val="yTableNAm"/>
            </w:pPr>
            <w:r>
              <w:t>1</w:t>
            </w:r>
          </w:p>
        </w:tc>
        <w:tc>
          <w:tcPr>
            <w:tcW w:w="2694" w:type="dxa"/>
          </w:tcPr>
          <w:p>
            <w:pPr>
              <w:pStyle w:val="yTableNAm"/>
            </w:pPr>
            <w:r>
              <w:t>Fremantle Port Authority</w:t>
            </w:r>
          </w:p>
        </w:tc>
        <w:tc>
          <w:tcPr>
            <w:tcW w:w="2693" w:type="dxa"/>
          </w:tcPr>
          <w:p>
            <w:pPr>
              <w:pStyle w:val="yTableNAm"/>
            </w:pPr>
            <w:r>
              <w:t xml:space="preserve">Port of Fremantle </w:t>
            </w:r>
          </w:p>
        </w:tc>
      </w:tr>
      <w:tr>
        <w:tc>
          <w:tcPr>
            <w:tcW w:w="1275" w:type="dxa"/>
          </w:tcPr>
          <w:p>
            <w:pPr>
              <w:pStyle w:val="yTableNAm"/>
            </w:pPr>
            <w:r>
              <w:t>2</w:t>
            </w:r>
          </w:p>
        </w:tc>
        <w:tc>
          <w:tcPr>
            <w:tcW w:w="2694" w:type="dxa"/>
          </w:tcPr>
          <w:p>
            <w:pPr>
              <w:pStyle w:val="yTableNAm"/>
            </w:pPr>
            <w:r>
              <w:t>Albany Port Authority</w:t>
            </w:r>
          </w:p>
        </w:tc>
        <w:tc>
          <w:tcPr>
            <w:tcW w:w="2693" w:type="dxa"/>
          </w:tcPr>
          <w:p>
            <w:pPr>
              <w:pStyle w:val="yTableNAm"/>
            </w:pPr>
            <w:r>
              <w:t xml:space="preserve">Port of Albany </w:t>
            </w:r>
          </w:p>
        </w:tc>
      </w:tr>
      <w:tr>
        <w:tc>
          <w:tcPr>
            <w:tcW w:w="1275" w:type="dxa"/>
          </w:tcPr>
          <w:p>
            <w:pPr>
              <w:pStyle w:val="yTableNAm"/>
            </w:pPr>
            <w:r>
              <w:t>3</w:t>
            </w:r>
          </w:p>
        </w:tc>
        <w:tc>
          <w:tcPr>
            <w:tcW w:w="2694" w:type="dxa"/>
          </w:tcPr>
          <w:p>
            <w:pPr>
              <w:pStyle w:val="yTableNAm"/>
            </w:pPr>
            <w:r>
              <w:t>Bunbury Port Authority</w:t>
            </w:r>
          </w:p>
        </w:tc>
        <w:tc>
          <w:tcPr>
            <w:tcW w:w="2693" w:type="dxa"/>
          </w:tcPr>
          <w:p>
            <w:pPr>
              <w:pStyle w:val="yTableNAm"/>
            </w:pPr>
            <w:r>
              <w:t>Port of Bunbury</w:t>
            </w:r>
          </w:p>
        </w:tc>
      </w:tr>
      <w:tr>
        <w:tc>
          <w:tcPr>
            <w:tcW w:w="1275" w:type="dxa"/>
          </w:tcPr>
          <w:p>
            <w:pPr>
              <w:pStyle w:val="yTableNAm"/>
            </w:pPr>
            <w:r>
              <w:t>4</w:t>
            </w:r>
          </w:p>
        </w:tc>
        <w:tc>
          <w:tcPr>
            <w:tcW w:w="2694" w:type="dxa"/>
          </w:tcPr>
          <w:p>
            <w:pPr>
              <w:pStyle w:val="yTableNAm"/>
            </w:pPr>
            <w:r>
              <w:t>Esperance Port Authority</w:t>
            </w:r>
          </w:p>
        </w:tc>
        <w:tc>
          <w:tcPr>
            <w:tcW w:w="2693" w:type="dxa"/>
          </w:tcPr>
          <w:p>
            <w:pPr>
              <w:pStyle w:val="yTableNAm"/>
            </w:pPr>
            <w:r>
              <w:t>Port of Esperance</w:t>
            </w:r>
          </w:p>
        </w:tc>
      </w:tr>
      <w:tr>
        <w:tc>
          <w:tcPr>
            <w:tcW w:w="1275" w:type="dxa"/>
          </w:tcPr>
          <w:p>
            <w:pPr>
              <w:pStyle w:val="yTableNAm"/>
            </w:pPr>
            <w:r>
              <w:t>5</w:t>
            </w:r>
          </w:p>
        </w:tc>
        <w:tc>
          <w:tcPr>
            <w:tcW w:w="2694" w:type="dxa"/>
          </w:tcPr>
          <w:p>
            <w:pPr>
              <w:pStyle w:val="yTableNAm"/>
            </w:pPr>
            <w:r>
              <w:rPr>
                <w:szCs w:val="22"/>
              </w:rPr>
              <w:t>Mid West Ports Authority</w:t>
            </w:r>
          </w:p>
        </w:tc>
        <w:tc>
          <w:tcPr>
            <w:tcW w:w="2693" w:type="dxa"/>
          </w:tcPr>
          <w:p>
            <w:pPr>
              <w:pStyle w:val="yTableNAm"/>
            </w:pPr>
            <w:r>
              <w:t>Port of Geraldton</w:t>
            </w:r>
          </w:p>
        </w:tc>
      </w:tr>
      <w:tr>
        <w:tc>
          <w:tcPr>
            <w:tcW w:w="3969" w:type="dxa"/>
            <w:gridSpan w:val="2"/>
          </w:tcPr>
          <w:p>
            <w:pPr>
              <w:pStyle w:val="yTableNAm"/>
            </w:pPr>
            <w:r>
              <w:rPr>
                <w:i/>
              </w:rPr>
              <w:t xml:space="preserve">[6 </w:t>
            </w:r>
            <w:r>
              <w:rPr>
                <w:i/>
              </w:rPr>
              <w:tab/>
              <w:t>deleted]</w:t>
            </w:r>
            <w:r>
              <w:t xml:space="preserve"> </w:t>
            </w:r>
          </w:p>
        </w:tc>
        <w:tc>
          <w:tcPr>
            <w:tcW w:w="2693" w:type="dxa"/>
          </w:tcPr>
          <w:p>
            <w:pPr>
              <w:pStyle w:val="yTableNAm"/>
            </w:pPr>
          </w:p>
        </w:tc>
      </w:tr>
      <w:tr>
        <w:tc>
          <w:tcPr>
            <w:tcW w:w="1275" w:type="dxa"/>
          </w:tcPr>
          <w:p>
            <w:pPr>
              <w:pStyle w:val="yTableNAm"/>
            </w:pPr>
            <w:r>
              <w:t>7</w:t>
            </w:r>
          </w:p>
        </w:tc>
        <w:tc>
          <w:tcPr>
            <w:tcW w:w="2694" w:type="dxa"/>
          </w:tcPr>
          <w:p>
            <w:pPr>
              <w:pStyle w:val="yTableNAm"/>
            </w:pPr>
            <w:r>
              <w:rPr>
                <w:szCs w:val="22"/>
              </w:rPr>
              <w:t>Pilbara Ports Authority</w:t>
            </w:r>
          </w:p>
        </w:tc>
        <w:tc>
          <w:tcPr>
            <w:tcW w:w="2693" w:type="dxa"/>
          </w:tcPr>
          <w:p>
            <w:pPr>
              <w:pStyle w:val="yTableNAm"/>
            </w:pPr>
            <w:r>
              <w:rPr>
                <w:szCs w:val="22"/>
              </w:rPr>
              <w:t>Port of Ashburton</w:t>
            </w:r>
            <w:r>
              <w:rPr>
                <w:szCs w:val="22"/>
              </w:rPr>
              <w:br/>
              <w:t>Port of Dampier</w:t>
            </w:r>
            <w:r>
              <w:t xml:space="preserve"> </w:t>
            </w:r>
            <w:r>
              <w:br/>
              <w:t>Port of Port Hedland</w:t>
            </w:r>
          </w:p>
        </w:tc>
      </w:tr>
      <w:tr>
        <w:tc>
          <w:tcPr>
            <w:tcW w:w="1275" w:type="dxa"/>
            <w:tcBorders>
              <w:bottom w:val="single" w:sz="4" w:space="0" w:color="auto"/>
            </w:tcBorders>
          </w:tcPr>
          <w:p>
            <w:pPr>
              <w:pStyle w:val="yTableNAm"/>
            </w:pPr>
            <w:r>
              <w:t>8</w:t>
            </w:r>
          </w:p>
        </w:tc>
        <w:tc>
          <w:tcPr>
            <w:tcW w:w="2694" w:type="dxa"/>
            <w:tcBorders>
              <w:bottom w:val="single" w:sz="4" w:space="0" w:color="auto"/>
            </w:tcBorders>
          </w:tcPr>
          <w:p>
            <w:pPr>
              <w:pStyle w:val="yTableNAm"/>
            </w:pPr>
            <w:r>
              <w:rPr>
                <w:szCs w:val="22"/>
              </w:rPr>
              <w:t xml:space="preserve">Kimberley Ports Authority  </w:t>
            </w:r>
          </w:p>
        </w:tc>
        <w:tc>
          <w:tcPr>
            <w:tcW w:w="2693" w:type="dxa"/>
            <w:tcBorders>
              <w:bottom w:val="single" w:sz="4" w:space="0" w:color="auto"/>
            </w:tcBorders>
          </w:tcPr>
          <w:p>
            <w:pPr>
              <w:pStyle w:val="yTableNAm"/>
            </w:pPr>
            <w:r>
              <w:t xml:space="preserve">Port of Broome </w:t>
            </w:r>
          </w:p>
        </w:tc>
      </w:tr>
    </w:tbl>
    <w:p>
      <w:pPr>
        <w:pStyle w:val="yFootnotesection"/>
      </w:pPr>
      <w:r>
        <w:tab/>
        <w:t>[Schedule 1 inserted by No. 9 of 2014 s. 30; amended by No. 9 of 2014 s. 31(2)</w:t>
      </w:r>
      <w:r>
        <w:noBreakHyphen/>
        <w:t>(4).]</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196" w:name="_Toc524061463"/>
      <w:r>
        <w:rPr>
          <w:rStyle w:val="CharSchNo"/>
        </w:rPr>
        <w:t>Schedule 2</w:t>
      </w:r>
      <w:r>
        <w:t xml:space="preserve"> — </w:t>
      </w:r>
      <w:r>
        <w:rPr>
          <w:rStyle w:val="CharSchText"/>
        </w:rPr>
        <w:t>Provisions about the constitution and proceedings of boards</w:t>
      </w:r>
      <w:bookmarkEnd w:id="196"/>
      <w:r>
        <w:rPr>
          <w:rStyle w:val="CharSchText"/>
        </w:rPr>
        <w:t xml:space="preserve"> </w:t>
      </w:r>
    </w:p>
    <w:p>
      <w:pPr>
        <w:pStyle w:val="yShoulderClause"/>
      </w:pPr>
      <w:r>
        <w:t>[s. 9]</w:t>
      </w:r>
    </w:p>
    <w:p>
      <w:pPr>
        <w:pStyle w:val="yHeading5"/>
        <w:outlineLvl w:val="9"/>
        <w:rPr>
          <w:snapToGrid w:val="0"/>
        </w:rPr>
      </w:pPr>
      <w:bookmarkStart w:id="197" w:name="_Toc524061464"/>
      <w:r>
        <w:rPr>
          <w:rStyle w:val="CharSClsNo"/>
        </w:rPr>
        <w:t>1</w:t>
      </w:r>
      <w:r>
        <w:rPr>
          <w:snapToGrid w:val="0"/>
        </w:rPr>
        <w:t>.</w:t>
      </w:r>
      <w:r>
        <w:rPr>
          <w:snapToGrid w:val="0"/>
        </w:rPr>
        <w:tab/>
        <w:t>Term of office</w:t>
      </w:r>
      <w:bookmarkEnd w:id="197"/>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198" w:name="_Toc524061465"/>
      <w:r>
        <w:rPr>
          <w:rStyle w:val="CharSClsNo"/>
        </w:rPr>
        <w:t>2</w:t>
      </w:r>
      <w:r>
        <w:rPr>
          <w:snapToGrid w:val="0"/>
        </w:rPr>
        <w:t>.</w:t>
      </w:r>
      <w:r>
        <w:rPr>
          <w:snapToGrid w:val="0"/>
        </w:rPr>
        <w:tab/>
        <w:t>Resignation and removal</w:t>
      </w:r>
      <w:bookmarkEnd w:id="198"/>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199" w:name="_Toc524061466"/>
      <w:r>
        <w:rPr>
          <w:rStyle w:val="CharSClsNo"/>
        </w:rPr>
        <w:t>3</w:t>
      </w:r>
      <w:r>
        <w:rPr>
          <w:snapToGrid w:val="0"/>
        </w:rPr>
        <w:t>.</w:t>
      </w:r>
      <w:r>
        <w:rPr>
          <w:snapToGrid w:val="0"/>
        </w:rPr>
        <w:tab/>
        <w:t>Chairperson and deputy chairperson</w:t>
      </w:r>
      <w:bookmarkEnd w:id="199"/>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200" w:name="_Toc524061467"/>
      <w:r>
        <w:rPr>
          <w:rStyle w:val="CharSClsNo"/>
        </w:rPr>
        <w:t>4</w:t>
      </w:r>
      <w:r>
        <w:rPr>
          <w:snapToGrid w:val="0"/>
        </w:rPr>
        <w:t>.</w:t>
      </w:r>
      <w:r>
        <w:rPr>
          <w:snapToGrid w:val="0"/>
        </w:rPr>
        <w:tab/>
        <w:t>Alternate directors</w:t>
      </w:r>
      <w:bookmarkEnd w:id="200"/>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201" w:name="_Toc524061468"/>
      <w:r>
        <w:rPr>
          <w:rStyle w:val="CharSClsNo"/>
        </w:rPr>
        <w:t>5</w:t>
      </w:r>
      <w:r>
        <w:rPr>
          <w:snapToGrid w:val="0"/>
        </w:rPr>
        <w:t>.</w:t>
      </w:r>
      <w:r>
        <w:rPr>
          <w:snapToGrid w:val="0"/>
        </w:rPr>
        <w:tab/>
        <w:t>Meetings</w:t>
      </w:r>
      <w:bookmarkEnd w:id="201"/>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pPr>
      <w:r>
        <w:tab/>
        <w:t>(a)</w:t>
      </w:r>
      <w:r>
        <w:tab/>
        <w:t>a number of directors equal to at least half the number of directors in office constitutes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5 amended by No. 9 of 2014 s. 32.]</w:t>
      </w:r>
    </w:p>
    <w:p>
      <w:pPr>
        <w:pStyle w:val="yHeading5"/>
        <w:outlineLvl w:val="9"/>
        <w:rPr>
          <w:snapToGrid w:val="0"/>
        </w:rPr>
      </w:pPr>
      <w:bookmarkStart w:id="202" w:name="_Toc524061469"/>
      <w:r>
        <w:rPr>
          <w:rStyle w:val="CharSClsNo"/>
        </w:rPr>
        <w:t>6</w:t>
      </w:r>
      <w:r>
        <w:rPr>
          <w:snapToGrid w:val="0"/>
        </w:rPr>
        <w:t>.</w:t>
      </w:r>
      <w:r>
        <w:rPr>
          <w:snapToGrid w:val="0"/>
        </w:rPr>
        <w:tab/>
        <w:t>Telephone and video meetings</w:t>
      </w:r>
      <w:bookmarkEnd w:id="202"/>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203" w:name="_Toc524061470"/>
      <w:r>
        <w:rPr>
          <w:rStyle w:val="CharSClsNo"/>
        </w:rPr>
        <w:t>7</w:t>
      </w:r>
      <w:r>
        <w:rPr>
          <w:snapToGrid w:val="0"/>
        </w:rPr>
        <w:t>.</w:t>
      </w:r>
      <w:r>
        <w:rPr>
          <w:snapToGrid w:val="0"/>
        </w:rPr>
        <w:tab/>
        <w:t>Resolution may be passed without meeting</w:t>
      </w:r>
      <w:bookmarkEnd w:id="203"/>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204" w:name="_Toc524061471"/>
      <w:r>
        <w:rPr>
          <w:rStyle w:val="CharSClsNo"/>
        </w:rPr>
        <w:t>8</w:t>
      </w:r>
      <w:r>
        <w:rPr>
          <w:snapToGrid w:val="0"/>
        </w:rPr>
        <w:t>.</w:t>
      </w:r>
      <w:r>
        <w:rPr>
          <w:snapToGrid w:val="0"/>
        </w:rPr>
        <w:tab/>
        <w:t>Directors with material personal interests, voting by etc.</w:t>
      </w:r>
      <w:bookmarkEnd w:id="204"/>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205" w:name="_Toc524061472"/>
      <w:r>
        <w:rPr>
          <w:rStyle w:val="CharSClsNo"/>
        </w:rPr>
        <w:t>9</w:t>
      </w:r>
      <w:r>
        <w:rPr>
          <w:snapToGrid w:val="0"/>
        </w:rPr>
        <w:t>.</w:t>
      </w:r>
      <w:r>
        <w:rPr>
          <w:snapToGrid w:val="0"/>
        </w:rPr>
        <w:tab/>
        <w:t>Minutes of meetings etc.</w:t>
      </w:r>
      <w:bookmarkEnd w:id="205"/>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206" w:name="_Toc524061473"/>
      <w:r>
        <w:rPr>
          <w:rStyle w:val="CharSClsNo"/>
        </w:rPr>
        <w:t>10</w:t>
      </w:r>
      <w:r>
        <w:rPr>
          <w:snapToGrid w:val="0"/>
        </w:rPr>
        <w:t>.</w:t>
      </w:r>
      <w:r>
        <w:rPr>
          <w:snapToGrid w:val="0"/>
        </w:rPr>
        <w:tab/>
        <w:t>Leave of absence</w:t>
      </w:r>
      <w:bookmarkEnd w:id="206"/>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207" w:name="_Toc524061474"/>
      <w:r>
        <w:rPr>
          <w:rStyle w:val="CharSClsNo"/>
        </w:rPr>
        <w:t>11</w:t>
      </w:r>
      <w:r>
        <w:rPr>
          <w:snapToGrid w:val="0"/>
        </w:rPr>
        <w:t>.</w:t>
      </w:r>
      <w:r>
        <w:rPr>
          <w:snapToGrid w:val="0"/>
        </w:rPr>
        <w:tab/>
        <w:t>Board to determine own procedures</w:t>
      </w:r>
      <w:bookmarkEnd w:id="207"/>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208" w:name="_Toc524061475"/>
      <w:r>
        <w:rPr>
          <w:rStyle w:val="CharSchNo"/>
        </w:rPr>
        <w:t>Schedule 3</w:t>
      </w:r>
      <w:r>
        <w:t xml:space="preserve"> — </w:t>
      </w:r>
      <w:r>
        <w:rPr>
          <w:rStyle w:val="CharSchText"/>
        </w:rPr>
        <w:t>Provisions about duties of CEO and staff</w:t>
      </w:r>
      <w:bookmarkEnd w:id="208"/>
      <w:r>
        <w:rPr>
          <w:rStyle w:val="CharSchText"/>
        </w:rPr>
        <w:t xml:space="preserve"> </w:t>
      </w:r>
    </w:p>
    <w:p>
      <w:pPr>
        <w:pStyle w:val="yShoulderClause"/>
      </w:pPr>
      <w:r>
        <w:t>[s. 20]</w:t>
      </w:r>
    </w:p>
    <w:p>
      <w:pPr>
        <w:pStyle w:val="yHeading3"/>
        <w:outlineLvl w:val="0"/>
      </w:pPr>
      <w:bookmarkStart w:id="209" w:name="_Toc524061476"/>
      <w:r>
        <w:rPr>
          <w:rStyle w:val="CharSDivNo"/>
        </w:rPr>
        <w:t>Division 1</w:t>
      </w:r>
      <w:r>
        <w:t xml:space="preserve"> — </w:t>
      </w:r>
      <w:r>
        <w:rPr>
          <w:rStyle w:val="CharSDivText"/>
        </w:rPr>
        <w:t>General duties of CEO</w:t>
      </w:r>
      <w:bookmarkEnd w:id="209"/>
    </w:p>
    <w:p>
      <w:pPr>
        <w:pStyle w:val="yHeading5"/>
        <w:outlineLvl w:val="0"/>
        <w:rPr>
          <w:snapToGrid w:val="0"/>
        </w:rPr>
      </w:pPr>
      <w:bookmarkStart w:id="210" w:name="_Toc524061477"/>
      <w:r>
        <w:rPr>
          <w:rStyle w:val="CharSClsNo"/>
        </w:rPr>
        <w:t>1</w:t>
      </w:r>
      <w:r>
        <w:rPr>
          <w:snapToGrid w:val="0"/>
        </w:rPr>
        <w:t>.</w:t>
      </w:r>
      <w:r>
        <w:rPr>
          <w:snapToGrid w:val="0"/>
        </w:rPr>
        <w:tab/>
        <w:t>Duties of CEO</w:t>
      </w:r>
      <w:bookmarkEnd w:id="210"/>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211" w:name="_Toc524061478"/>
      <w:r>
        <w:rPr>
          <w:rStyle w:val="CharSDivNo"/>
        </w:rPr>
        <w:t>Division 2</w:t>
      </w:r>
      <w:r>
        <w:rPr>
          <w:rStyle w:val="CharDivNo"/>
        </w:rPr>
        <w:t xml:space="preserve"> — </w:t>
      </w:r>
      <w:r>
        <w:rPr>
          <w:rStyle w:val="CharSDivText"/>
        </w:rPr>
        <w:t>Particular duties stated</w:t>
      </w:r>
      <w:bookmarkEnd w:id="211"/>
    </w:p>
    <w:p>
      <w:pPr>
        <w:pStyle w:val="yHeading5"/>
        <w:outlineLvl w:val="0"/>
        <w:rPr>
          <w:snapToGrid w:val="0"/>
        </w:rPr>
      </w:pPr>
      <w:bookmarkStart w:id="212" w:name="_Toc524061479"/>
      <w:r>
        <w:rPr>
          <w:rStyle w:val="CharSClsNo"/>
        </w:rPr>
        <w:t>2</w:t>
      </w:r>
      <w:r>
        <w:rPr>
          <w:snapToGrid w:val="0"/>
        </w:rPr>
        <w:t>.</w:t>
      </w:r>
      <w:r>
        <w:rPr>
          <w:snapToGrid w:val="0"/>
        </w:rPr>
        <w:tab/>
        <w:t>Term used: officer and interpretation</w:t>
      </w:r>
      <w:bookmarkEnd w:id="212"/>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213" w:name="_Toc524061480"/>
      <w:r>
        <w:rPr>
          <w:rStyle w:val="CharSClsNo"/>
        </w:rPr>
        <w:t>3</w:t>
      </w:r>
      <w:r>
        <w:rPr>
          <w:snapToGrid w:val="0"/>
        </w:rPr>
        <w:t>.</w:t>
      </w:r>
      <w:r>
        <w:rPr>
          <w:snapToGrid w:val="0"/>
        </w:rPr>
        <w:tab/>
        <w:t>Duty to act honestly</w:t>
      </w:r>
      <w:bookmarkEnd w:id="213"/>
      <w:r>
        <w:rPr>
          <w:snapToGrid w:val="0"/>
        </w:rPr>
        <w:t xml:space="preserve"> </w:t>
      </w:r>
    </w:p>
    <w:p>
      <w:pPr>
        <w:pStyle w:val="ySubsection"/>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214" w:name="_Toc524061481"/>
      <w:r>
        <w:rPr>
          <w:rStyle w:val="CharSClsNo"/>
        </w:rPr>
        <w:t>4</w:t>
      </w:r>
      <w:r>
        <w:rPr>
          <w:snapToGrid w:val="0"/>
        </w:rPr>
        <w:t>.</w:t>
      </w:r>
      <w:r>
        <w:rPr>
          <w:snapToGrid w:val="0"/>
        </w:rPr>
        <w:tab/>
        <w:t>Duty to exercise reasonable care and diligence</w:t>
      </w:r>
      <w:bookmarkEnd w:id="214"/>
      <w:r>
        <w:rPr>
          <w:snapToGrid w:val="0"/>
        </w:rPr>
        <w:t xml:space="preserve"> </w:t>
      </w:r>
    </w:p>
    <w:p>
      <w:pPr>
        <w:pStyle w:val="ySubsection"/>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215" w:name="_Toc524061482"/>
      <w:r>
        <w:rPr>
          <w:rStyle w:val="CharSClsNo"/>
        </w:rPr>
        <w:t>5</w:t>
      </w:r>
      <w:r>
        <w:rPr>
          <w:snapToGrid w:val="0"/>
        </w:rPr>
        <w:t>.</w:t>
      </w:r>
      <w:r>
        <w:rPr>
          <w:snapToGrid w:val="0"/>
        </w:rPr>
        <w:tab/>
        <w:t>Duty not to make improper use of information</w:t>
      </w:r>
      <w:bookmarkEnd w:id="215"/>
      <w:r>
        <w:rPr>
          <w:snapToGrid w:val="0"/>
        </w:rPr>
        <w:t xml:space="preserve"> </w:t>
      </w:r>
    </w:p>
    <w:p>
      <w:pPr>
        <w:pStyle w:val="ySubsection"/>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keepNext/>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216" w:name="_Toc524061483"/>
      <w:r>
        <w:rPr>
          <w:rStyle w:val="CharSClsNo"/>
        </w:rPr>
        <w:t>6</w:t>
      </w:r>
      <w:r>
        <w:rPr>
          <w:snapToGrid w:val="0"/>
        </w:rPr>
        <w:t>.</w:t>
      </w:r>
      <w:r>
        <w:rPr>
          <w:snapToGrid w:val="0"/>
        </w:rPr>
        <w:tab/>
        <w:t>Duty not to make improper use of position</w:t>
      </w:r>
      <w:bookmarkEnd w:id="216"/>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217" w:name="_Toc524061484"/>
      <w:r>
        <w:rPr>
          <w:rStyle w:val="CharSDivNo"/>
        </w:rPr>
        <w:t>Division 3</w:t>
      </w:r>
      <w:r>
        <w:rPr>
          <w:rStyle w:val="CharDivNo"/>
        </w:rPr>
        <w:t xml:space="preserve"> — </w:t>
      </w:r>
      <w:r>
        <w:rPr>
          <w:rStyle w:val="CharSDivText"/>
        </w:rPr>
        <w:t>Compensation</w:t>
      </w:r>
      <w:bookmarkEnd w:id="217"/>
    </w:p>
    <w:p>
      <w:pPr>
        <w:pStyle w:val="yHeading5"/>
        <w:spacing w:before="180"/>
        <w:outlineLvl w:val="0"/>
        <w:rPr>
          <w:snapToGrid w:val="0"/>
        </w:rPr>
      </w:pPr>
      <w:bookmarkStart w:id="218" w:name="_Toc524061485"/>
      <w:r>
        <w:rPr>
          <w:rStyle w:val="CharSClsNo"/>
        </w:rPr>
        <w:t>7</w:t>
      </w:r>
      <w:r>
        <w:rPr>
          <w:snapToGrid w:val="0"/>
        </w:rPr>
        <w:t>.</w:t>
      </w:r>
      <w:r>
        <w:rPr>
          <w:snapToGrid w:val="0"/>
        </w:rPr>
        <w:tab/>
        <w:t>Compensation may be ordered if cl. 3, 4, 5 or 6 offence</w:t>
      </w:r>
      <w:bookmarkEnd w:id="218"/>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spacing w:before="180"/>
        <w:outlineLvl w:val="0"/>
        <w:rPr>
          <w:snapToGrid w:val="0"/>
        </w:rPr>
      </w:pPr>
      <w:bookmarkStart w:id="219" w:name="_Toc524061486"/>
      <w:r>
        <w:rPr>
          <w:rStyle w:val="CharSClsNo"/>
        </w:rPr>
        <w:t>8</w:t>
      </w:r>
      <w:r>
        <w:rPr>
          <w:snapToGrid w:val="0"/>
        </w:rPr>
        <w:t>.</w:t>
      </w:r>
      <w:r>
        <w:rPr>
          <w:snapToGrid w:val="0"/>
        </w:rPr>
        <w:tab/>
        <w:t>Civil recovery if cl. 3, 4, 5 or 6 offence</w:t>
      </w:r>
      <w:bookmarkEnd w:id="219"/>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220" w:name="_Toc524061487"/>
      <w:r>
        <w:rPr>
          <w:rStyle w:val="CharSDivNo"/>
        </w:rPr>
        <w:t>Division 4</w:t>
      </w:r>
      <w:r>
        <w:rPr>
          <w:rStyle w:val="CharDivNo"/>
        </w:rPr>
        <w:t> — </w:t>
      </w:r>
      <w:r>
        <w:rPr>
          <w:rStyle w:val="CharSDivText"/>
        </w:rPr>
        <w:t>Relief from liability</w:t>
      </w:r>
      <w:bookmarkEnd w:id="220"/>
      <w:r>
        <w:rPr>
          <w:rStyle w:val="CharDivNo"/>
        </w:rPr>
        <w:t xml:space="preserve"> </w:t>
      </w:r>
    </w:p>
    <w:p>
      <w:pPr>
        <w:pStyle w:val="yHeading5"/>
        <w:outlineLvl w:val="0"/>
        <w:rPr>
          <w:snapToGrid w:val="0"/>
        </w:rPr>
      </w:pPr>
      <w:bookmarkStart w:id="221" w:name="_Toc524061488"/>
      <w:r>
        <w:rPr>
          <w:rStyle w:val="CharSClsNo"/>
        </w:rPr>
        <w:t>9</w:t>
      </w:r>
      <w:r>
        <w:rPr>
          <w:snapToGrid w:val="0"/>
        </w:rPr>
        <w:t>.</w:t>
      </w:r>
      <w:r>
        <w:rPr>
          <w:snapToGrid w:val="0"/>
        </w:rPr>
        <w:tab/>
        <w:t>Relief from liability under cl. 1, 7 and 8</w:t>
      </w:r>
      <w:bookmarkEnd w:id="221"/>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222" w:name="_Toc524061489"/>
      <w:r>
        <w:rPr>
          <w:rStyle w:val="CharSClsNo"/>
        </w:rPr>
        <w:t>10</w:t>
      </w:r>
      <w:r>
        <w:rPr>
          <w:snapToGrid w:val="0"/>
        </w:rPr>
        <w:t>.</w:t>
      </w:r>
      <w:r>
        <w:rPr>
          <w:snapToGrid w:val="0"/>
        </w:rPr>
        <w:tab/>
        <w:t>Application for relief from liability under cl. 1, 7 or 8</w:t>
      </w:r>
      <w:bookmarkEnd w:id="222"/>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223" w:name="_Toc524061490"/>
      <w:r>
        <w:rPr>
          <w:rStyle w:val="CharSClsNo"/>
        </w:rPr>
        <w:t>11</w:t>
      </w:r>
      <w:r>
        <w:rPr>
          <w:snapToGrid w:val="0"/>
        </w:rPr>
        <w:t>.</w:t>
      </w:r>
      <w:r>
        <w:rPr>
          <w:snapToGrid w:val="0"/>
        </w:rPr>
        <w:tab/>
        <w:t>Case as to cl. 9 may be withdrawn from jury</w:t>
      </w:r>
      <w:bookmarkEnd w:id="223"/>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224" w:name="_Toc524061491"/>
      <w:r>
        <w:rPr>
          <w:rStyle w:val="CharSClsNo"/>
        </w:rPr>
        <w:t>12</w:t>
      </w:r>
      <w:r>
        <w:rPr>
          <w:snapToGrid w:val="0"/>
        </w:rPr>
        <w:t>.</w:t>
      </w:r>
      <w:r>
        <w:rPr>
          <w:snapToGrid w:val="0"/>
        </w:rPr>
        <w:tab/>
        <w:t>Compliance with directions is not contravention of cl. 1, 3 or 4</w:t>
      </w:r>
      <w:bookmarkEnd w:id="224"/>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225" w:name="_Toc524061492"/>
      <w:r>
        <w:rPr>
          <w:rStyle w:val="CharSDivNo"/>
        </w:rPr>
        <w:t>Division 5</w:t>
      </w:r>
      <w:r>
        <w:rPr>
          <w:rStyle w:val="CharDivNo"/>
        </w:rPr>
        <w:t xml:space="preserve"> — </w:t>
      </w:r>
      <w:r>
        <w:rPr>
          <w:rStyle w:val="CharSDivText"/>
        </w:rPr>
        <w:t>Restrictions on indemnities and exemptions</w:t>
      </w:r>
      <w:bookmarkEnd w:id="225"/>
    </w:p>
    <w:p>
      <w:pPr>
        <w:pStyle w:val="yHeading5"/>
        <w:outlineLvl w:val="0"/>
      </w:pPr>
      <w:bookmarkStart w:id="226" w:name="_Toc524061493"/>
      <w:r>
        <w:rPr>
          <w:rStyle w:val="CharSClsNo"/>
        </w:rPr>
        <w:t>13</w:t>
      </w:r>
      <w:r>
        <w:t>.</w:t>
      </w:r>
      <w:r>
        <w:tab/>
        <w:t>CEO and executive officers not to be exempted or indemnified for some liability</w:t>
      </w:r>
      <w:bookmarkEnd w:id="226"/>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227" w:name="_Toc524061494"/>
      <w:r>
        <w:rPr>
          <w:rStyle w:val="CharSClsNo"/>
        </w:rPr>
        <w:t>14</w:t>
      </w:r>
      <w:r>
        <w:t>.</w:t>
      </w:r>
      <w:r>
        <w:tab/>
        <w:t>Insurance premiums for certain liabilities of CEO and executive officers</w:t>
      </w:r>
      <w:bookmarkEnd w:id="227"/>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228" w:name="_Toc524061495"/>
      <w:r>
        <w:rPr>
          <w:rStyle w:val="CharSClsNo"/>
        </w:rPr>
        <w:t>15</w:t>
      </w:r>
      <w:r>
        <w:t>.</w:t>
      </w:r>
      <w:r>
        <w:tab/>
        <w:t>Certain indemnities, exemptions, payments and agreements not authorised and certain documents void</w:t>
      </w:r>
      <w:bookmarkEnd w:id="22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229" w:name="_Toc524061496"/>
      <w:r>
        <w:rPr>
          <w:rStyle w:val="CharSchNo"/>
        </w:rPr>
        <w:t>Schedule 4</w:t>
      </w:r>
      <w:r>
        <w:t xml:space="preserve"> — </w:t>
      </w:r>
      <w:r>
        <w:rPr>
          <w:rStyle w:val="CharSchText"/>
        </w:rPr>
        <w:t>Provisions to be included in articles of association of subsidiaries</w:t>
      </w:r>
      <w:bookmarkEnd w:id="229"/>
      <w:r>
        <w:rPr>
          <w:rStyle w:val="CharSchText"/>
        </w:rPr>
        <w:t xml:space="preserve"> </w:t>
      </w:r>
    </w:p>
    <w:p>
      <w:pPr>
        <w:pStyle w:val="yShoulderClause"/>
      </w:pPr>
      <w:r>
        <w:t>[s. 39]</w:t>
      </w:r>
    </w:p>
    <w:p>
      <w:pPr>
        <w:pStyle w:val="yHeading5"/>
        <w:outlineLvl w:val="0"/>
        <w:rPr>
          <w:snapToGrid w:val="0"/>
        </w:rPr>
      </w:pPr>
      <w:bookmarkStart w:id="230" w:name="_Toc524061497"/>
      <w:r>
        <w:rPr>
          <w:rStyle w:val="CharSClsNo"/>
        </w:rPr>
        <w:t>1</w:t>
      </w:r>
      <w:r>
        <w:rPr>
          <w:snapToGrid w:val="0"/>
        </w:rPr>
        <w:t>.</w:t>
      </w:r>
      <w:r>
        <w:rPr>
          <w:snapToGrid w:val="0"/>
        </w:rPr>
        <w:tab/>
        <w:t>Disposal of shares</w:t>
      </w:r>
      <w:bookmarkEnd w:id="230"/>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231" w:name="_Toc524061498"/>
      <w:r>
        <w:rPr>
          <w:rStyle w:val="CharSClsNo"/>
        </w:rPr>
        <w:t>2</w:t>
      </w:r>
      <w:r>
        <w:rPr>
          <w:snapToGrid w:val="0"/>
        </w:rPr>
        <w:t>.</w:t>
      </w:r>
      <w:r>
        <w:rPr>
          <w:snapToGrid w:val="0"/>
        </w:rPr>
        <w:tab/>
        <w:t>Directors</w:t>
      </w:r>
      <w:bookmarkEnd w:id="231"/>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232" w:name="_Toc524061499"/>
      <w:r>
        <w:rPr>
          <w:rStyle w:val="CharSClsNo"/>
        </w:rPr>
        <w:t>3</w:t>
      </w:r>
      <w:r>
        <w:rPr>
          <w:snapToGrid w:val="0"/>
        </w:rPr>
        <w:t>.</w:t>
      </w:r>
      <w:r>
        <w:rPr>
          <w:snapToGrid w:val="0"/>
        </w:rPr>
        <w:tab/>
        <w:t>Further shares</w:t>
      </w:r>
      <w:bookmarkEnd w:id="232"/>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233" w:name="_Toc524061500"/>
      <w:r>
        <w:rPr>
          <w:rStyle w:val="CharSClsNo"/>
        </w:rPr>
        <w:t>4</w:t>
      </w:r>
      <w:r>
        <w:rPr>
          <w:snapToGrid w:val="0"/>
        </w:rPr>
        <w:t>.</w:t>
      </w:r>
      <w:r>
        <w:rPr>
          <w:snapToGrid w:val="0"/>
        </w:rPr>
        <w:tab/>
        <w:t>Subsidiaries of subsidiary</w:t>
      </w:r>
      <w:bookmarkEnd w:id="233"/>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outlineLvl w:val="0"/>
      </w:pPr>
      <w:bookmarkStart w:id="234" w:name="_Toc524061501"/>
      <w:r>
        <w:rPr>
          <w:rStyle w:val="CharSchNo"/>
        </w:rPr>
        <w:t>Schedule 5</w:t>
      </w:r>
      <w:r>
        <w:t xml:space="preserve"> — </w:t>
      </w:r>
      <w:r>
        <w:rPr>
          <w:rStyle w:val="CharSchText"/>
        </w:rPr>
        <w:t>Financial administration and audit</w:t>
      </w:r>
      <w:bookmarkEnd w:id="234"/>
    </w:p>
    <w:p>
      <w:pPr>
        <w:pStyle w:val="yShoulderClause"/>
      </w:pPr>
      <w:r>
        <w:t>[s. 91(1)]</w:t>
      </w:r>
    </w:p>
    <w:p>
      <w:pPr>
        <w:pStyle w:val="yFootnoteheading"/>
      </w:pPr>
      <w:r>
        <w:tab/>
        <w:t>[Heading inserted in Gazette 4 Mar 2003 p. 711.]</w:t>
      </w:r>
    </w:p>
    <w:p>
      <w:pPr>
        <w:pStyle w:val="yHeading3"/>
        <w:outlineLvl w:val="0"/>
      </w:pPr>
      <w:bookmarkStart w:id="235" w:name="_Toc524061502"/>
      <w:r>
        <w:rPr>
          <w:rStyle w:val="CharSDivNo"/>
        </w:rPr>
        <w:t>Division 1</w:t>
      </w:r>
      <w:r>
        <w:t xml:space="preserve"> — </w:t>
      </w:r>
      <w:r>
        <w:rPr>
          <w:rStyle w:val="CharSDivText"/>
        </w:rPr>
        <w:t>Preliminary</w:t>
      </w:r>
      <w:bookmarkEnd w:id="235"/>
    </w:p>
    <w:p>
      <w:pPr>
        <w:pStyle w:val="yFootnoteheading"/>
      </w:pPr>
      <w:r>
        <w:tab/>
        <w:t>[Heading inserted in Gazette 4 Mar 2003 p. 711.]</w:t>
      </w:r>
    </w:p>
    <w:p>
      <w:pPr>
        <w:pStyle w:val="yHeading5"/>
      </w:pPr>
      <w:bookmarkStart w:id="236" w:name="_Toc524061503"/>
      <w:r>
        <w:rPr>
          <w:rStyle w:val="CharSClsNo"/>
        </w:rPr>
        <w:t>1</w:t>
      </w:r>
      <w:r>
        <w:t>.</w:t>
      </w:r>
      <w:r>
        <w:tab/>
        <w:t>Terms used</w:t>
      </w:r>
      <w:bookmarkEnd w:id="236"/>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237" w:name="_Toc524061504"/>
      <w:r>
        <w:rPr>
          <w:rStyle w:val="CharSDivNo"/>
        </w:rPr>
        <w:t>Division 2</w:t>
      </w:r>
      <w:r>
        <w:t xml:space="preserve"> — </w:t>
      </w:r>
      <w:r>
        <w:rPr>
          <w:rStyle w:val="CharSDivText"/>
        </w:rPr>
        <w:t>Financial records</w:t>
      </w:r>
      <w:bookmarkEnd w:id="237"/>
    </w:p>
    <w:p>
      <w:pPr>
        <w:pStyle w:val="yFootnoteheading"/>
      </w:pPr>
      <w:r>
        <w:tab/>
        <w:t>[Heading inserted in Gazette 4 Mar 2003 p. 712.]</w:t>
      </w:r>
    </w:p>
    <w:p>
      <w:pPr>
        <w:pStyle w:val="yHeading5"/>
      </w:pPr>
      <w:bookmarkStart w:id="238" w:name="_Toc524061505"/>
      <w:r>
        <w:rPr>
          <w:rStyle w:val="CharSClsNo"/>
        </w:rPr>
        <w:t>2</w:t>
      </w:r>
      <w:r>
        <w:t>.</w:t>
      </w:r>
      <w:r>
        <w:tab/>
        <w:t>Obligation to keep financial records</w:t>
      </w:r>
      <w:r>
        <w:br/>
      </w:r>
      <w:r>
        <w:rPr>
          <w:i/>
        </w:rPr>
        <w:t>(cf. Corporations Act s. 286)</w:t>
      </w:r>
      <w:bookmarkEnd w:id="238"/>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239" w:name="_Toc524061506"/>
      <w:r>
        <w:rPr>
          <w:rStyle w:val="CharSClsNo"/>
        </w:rPr>
        <w:t>3</w:t>
      </w:r>
      <w:r>
        <w:t>.</w:t>
      </w:r>
      <w:r>
        <w:tab/>
        <w:t>Physical format</w:t>
      </w:r>
      <w:r>
        <w:br/>
      </w:r>
      <w:r>
        <w:rPr>
          <w:i/>
        </w:rPr>
        <w:t>(cf. Corporations Act s. 288)</w:t>
      </w:r>
      <w:bookmarkEnd w:id="239"/>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240" w:name="_Toc524061507"/>
      <w:r>
        <w:rPr>
          <w:rStyle w:val="CharSClsNo"/>
        </w:rPr>
        <w:t>4</w:t>
      </w:r>
      <w:r>
        <w:t>.</w:t>
      </w:r>
      <w:r>
        <w:tab/>
        <w:t>Place where records are kept</w:t>
      </w:r>
      <w:r>
        <w:br/>
      </w:r>
      <w:r>
        <w:rPr>
          <w:i/>
        </w:rPr>
        <w:t>(cf. Corporations Act s. 289)</w:t>
      </w:r>
      <w:bookmarkEnd w:id="240"/>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241" w:name="_Toc524061508"/>
      <w:r>
        <w:rPr>
          <w:rStyle w:val="CharSClsNo"/>
        </w:rPr>
        <w:t>5</w:t>
      </w:r>
      <w:r>
        <w:t>.</w:t>
      </w:r>
      <w:r>
        <w:tab/>
        <w:t>Director access</w:t>
      </w:r>
      <w:r>
        <w:br/>
      </w:r>
      <w:r>
        <w:rPr>
          <w:i/>
        </w:rPr>
        <w:t>(cf. Corporations Act s. 290)</w:t>
      </w:r>
      <w:bookmarkEnd w:id="241"/>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242" w:name="_Toc524061509"/>
      <w:r>
        <w:rPr>
          <w:rStyle w:val="CharSDivNo"/>
        </w:rPr>
        <w:t>Division 3</w:t>
      </w:r>
      <w:r>
        <w:t xml:space="preserve"> — </w:t>
      </w:r>
      <w:r>
        <w:rPr>
          <w:rStyle w:val="CharSDivText"/>
        </w:rPr>
        <w:t>Financial reporting</w:t>
      </w:r>
      <w:bookmarkEnd w:id="242"/>
    </w:p>
    <w:p>
      <w:pPr>
        <w:pStyle w:val="yFootnoteheading"/>
      </w:pPr>
      <w:r>
        <w:tab/>
        <w:t>[Heading inserted in Gazette 4 Mar 2003 p. 713.]</w:t>
      </w:r>
    </w:p>
    <w:p>
      <w:pPr>
        <w:pStyle w:val="yHeading4"/>
        <w:outlineLvl w:val="0"/>
      </w:pPr>
      <w:bookmarkStart w:id="243" w:name="_Toc524061510"/>
      <w:r>
        <w:t>Subdivision 1 — Annual financial reports and directors’ reports</w:t>
      </w:r>
      <w:bookmarkEnd w:id="243"/>
    </w:p>
    <w:p>
      <w:pPr>
        <w:pStyle w:val="yFootnoteheading"/>
      </w:pPr>
      <w:r>
        <w:tab/>
        <w:t>[Heading inserted in Gazette 4 Mar 2003 p. 713.]</w:t>
      </w:r>
    </w:p>
    <w:p>
      <w:pPr>
        <w:pStyle w:val="yHeading5"/>
      </w:pPr>
      <w:bookmarkStart w:id="244" w:name="_Toc524061511"/>
      <w:r>
        <w:rPr>
          <w:rStyle w:val="CharSClsNo"/>
        </w:rPr>
        <w:t>6</w:t>
      </w:r>
      <w:r>
        <w:t>.</w:t>
      </w:r>
      <w:r>
        <w:tab/>
        <w:t>Preparation of annual financial report and directors’ report</w:t>
      </w:r>
      <w:r>
        <w:br/>
      </w:r>
      <w:r>
        <w:rPr>
          <w:i/>
        </w:rPr>
        <w:t>(cf. Corporations Act s. 292)</w:t>
      </w:r>
      <w:bookmarkEnd w:id="244"/>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245" w:name="_Toc524061512"/>
      <w:r>
        <w:rPr>
          <w:rStyle w:val="CharSClsNo"/>
        </w:rPr>
        <w:t>7</w:t>
      </w:r>
      <w:r>
        <w:t>.</w:t>
      </w:r>
      <w:r>
        <w:tab/>
        <w:t>Contents of annual financial report</w:t>
      </w:r>
      <w:r>
        <w:br/>
      </w:r>
      <w:r>
        <w:rPr>
          <w:i/>
        </w:rPr>
        <w:t>(cf. Corporations Act s. 295)</w:t>
      </w:r>
      <w:bookmarkEnd w:id="245"/>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spacing w:before="120"/>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spacing w:before="180"/>
      </w:pPr>
      <w:bookmarkStart w:id="246" w:name="_Toc524061513"/>
      <w:r>
        <w:rPr>
          <w:rStyle w:val="CharSClsNo"/>
        </w:rPr>
        <w:t>8</w:t>
      </w:r>
      <w:r>
        <w:t>.</w:t>
      </w:r>
      <w:r>
        <w:tab/>
        <w:t>Compliance with accounting standards and regulations</w:t>
      </w:r>
      <w:r>
        <w:br/>
      </w:r>
      <w:r>
        <w:rPr>
          <w:i/>
        </w:rPr>
        <w:t>(cf. Corporations Act s. 296)</w:t>
      </w:r>
      <w:bookmarkEnd w:id="246"/>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spacing w:before="80"/>
      </w:pPr>
      <w:r>
        <w:tab/>
      </w:r>
      <w:r>
        <w:tab/>
        <w:t>[Clause 8 inserted in Gazette 4 Mar 2003 p. 714.]</w:t>
      </w:r>
    </w:p>
    <w:p>
      <w:pPr>
        <w:pStyle w:val="yHeading5"/>
      </w:pPr>
      <w:bookmarkStart w:id="247" w:name="_Toc524061514"/>
      <w:r>
        <w:rPr>
          <w:rStyle w:val="CharSClsNo"/>
        </w:rPr>
        <w:t>9</w:t>
      </w:r>
      <w:r>
        <w:t>.</w:t>
      </w:r>
      <w:r>
        <w:tab/>
        <w:t>True and fair view</w:t>
      </w:r>
      <w:r>
        <w:br/>
      </w:r>
      <w:r>
        <w:rPr>
          <w:i/>
        </w:rPr>
        <w:t>(cf. Corporations Act s. 297)</w:t>
      </w:r>
      <w:bookmarkEnd w:id="247"/>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248" w:name="_Toc524061515"/>
      <w:r>
        <w:rPr>
          <w:rStyle w:val="CharSClsNo"/>
        </w:rPr>
        <w:t>10</w:t>
      </w:r>
      <w:r>
        <w:t>.</w:t>
      </w:r>
      <w:r>
        <w:tab/>
        <w:t>Annual directors’ report</w:t>
      </w:r>
      <w:r>
        <w:br/>
      </w:r>
      <w:r>
        <w:rPr>
          <w:i/>
        </w:rPr>
        <w:t>(cf. Corporations Act s. 298)</w:t>
      </w:r>
      <w:bookmarkEnd w:id="248"/>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249" w:name="_Toc524061516"/>
      <w:r>
        <w:rPr>
          <w:rStyle w:val="CharSClsNo"/>
        </w:rPr>
        <w:t>11</w:t>
      </w:r>
      <w:r>
        <w:t>.</w:t>
      </w:r>
      <w:r>
        <w:tab/>
        <w:t>Annual directors’ report, general information in</w:t>
      </w:r>
      <w:r>
        <w:br/>
      </w:r>
      <w:r>
        <w:rPr>
          <w:i/>
        </w:rPr>
        <w:t>(cf. Corporations Act s. 299)</w:t>
      </w:r>
      <w:bookmarkEnd w:id="249"/>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 and</w:t>
      </w:r>
    </w:p>
    <w:p>
      <w:pPr>
        <w:pStyle w:val="yIndenta"/>
      </w:pPr>
      <w:r>
        <w:tab/>
        <w:t>(b)</w:t>
      </w:r>
      <w:r>
        <w:tab/>
        <w:t>give details of any significant changes in the port authority’s state of affairs during the year; and</w:t>
      </w:r>
    </w:p>
    <w:p>
      <w:pPr>
        <w:pStyle w:val="yIndenta"/>
      </w:pPr>
      <w:r>
        <w:tab/>
        <w:t>(c)</w:t>
      </w:r>
      <w:r>
        <w:tab/>
        <w:t>state the port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 or</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r>
      <w:r>
        <w:tab/>
        <w:t>and</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250" w:name="_Toc524061517"/>
      <w:r>
        <w:rPr>
          <w:rStyle w:val="CharSClsNo"/>
        </w:rPr>
        <w:t>12</w:t>
      </w:r>
      <w:r>
        <w:t>.</w:t>
      </w:r>
      <w:r>
        <w:tab/>
        <w:t>Annual directors’ report, specific information in</w:t>
      </w:r>
      <w:r>
        <w:br/>
      </w:r>
      <w:r>
        <w:rPr>
          <w:i/>
        </w:rPr>
        <w:t>(cf. Corporations Act s. 300)</w:t>
      </w:r>
      <w:bookmarkEnd w:id="250"/>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spacing w:before="180"/>
      </w:pPr>
      <w:bookmarkStart w:id="251" w:name="_Toc524061518"/>
      <w:r>
        <w:rPr>
          <w:rStyle w:val="CharSClsNo"/>
        </w:rPr>
        <w:t>13</w:t>
      </w:r>
      <w:r>
        <w:t>.</w:t>
      </w:r>
      <w:r>
        <w:tab/>
        <w:t>Annual directors’ report, other specific information in</w:t>
      </w:r>
      <w:r>
        <w:br/>
      </w:r>
      <w:r>
        <w:rPr>
          <w:i/>
        </w:rPr>
        <w:t>(cf. Corporations Act s. 300A)</w:t>
      </w:r>
      <w:bookmarkEnd w:id="251"/>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 and</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spacing w:before="80"/>
      </w:pPr>
      <w:r>
        <w:tab/>
      </w:r>
      <w:r>
        <w:tab/>
        <w:t>[</w:t>
      </w:r>
      <w:r>
        <w:rPr>
          <w:snapToGrid/>
        </w:rPr>
        <w:t>Clause </w:t>
      </w:r>
      <w:r>
        <w:t>13</w:t>
      </w:r>
      <w:r>
        <w:rPr>
          <w:snapToGrid/>
        </w:rPr>
        <w:t> inserted in Gazette 4 Mar 2003 p. 71</w:t>
      </w:r>
      <w:r>
        <w:t>6</w:t>
      </w:r>
      <w:r>
        <w:rPr>
          <w:snapToGrid/>
        </w:rPr>
        <w:t>.]</w:t>
      </w:r>
    </w:p>
    <w:p>
      <w:pPr>
        <w:pStyle w:val="yHeading5"/>
      </w:pPr>
      <w:bookmarkStart w:id="252" w:name="_Toc524061519"/>
      <w:r>
        <w:rPr>
          <w:rStyle w:val="CharSClsNo"/>
        </w:rPr>
        <w:t>14</w:t>
      </w:r>
      <w:r>
        <w:t>.</w:t>
      </w:r>
      <w:r>
        <w:tab/>
        <w:t>Audit of annual financial report</w:t>
      </w:r>
      <w:r>
        <w:br/>
      </w:r>
      <w:r>
        <w:rPr>
          <w:i/>
        </w:rPr>
        <w:t>(cf. Corporations Act s. 301)</w:t>
      </w:r>
      <w:bookmarkEnd w:id="252"/>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253" w:name="_Toc524061520"/>
      <w:r>
        <w:t>Subdivision 2 — Audit and auditor’s report</w:t>
      </w:r>
      <w:bookmarkEnd w:id="253"/>
    </w:p>
    <w:p>
      <w:pPr>
        <w:pStyle w:val="yFootnoteheading"/>
      </w:pPr>
      <w:r>
        <w:tab/>
        <w:t>[</w:t>
      </w:r>
      <w:r>
        <w:rPr>
          <w:snapToGrid w:val="0"/>
        </w:rPr>
        <w:t>Heading</w:t>
      </w:r>
      <w:r>
        <w:t xml:space="preserve"> inserted in Gazette 4 Mar 2003 p. 716.]</w:t>
      </w:r>
    </w:p>
    <w:p>
      <w:pPr>
        <w:pStyle w:val="yHeading5"/>
      </w:pPr>
      <w:bookmarkStart w:id="254" w:name="_Toc524061521"/>
      <w:r>
        <w:rPr>
          <w:rStyle w:val="CharSClsNo"/>
        </w:rPr>
        <w:t>15</w:t>
      </w:r>
      <w:r>
        <w:t>.</w:t>
      </w:r>
      <w:r>
        <w:tab/>
        <w:t>Audit opinion</w:t>
      </w:r>
      <w:r>
        <w:br/>
      </w:r>
      <w:r>
        <w:rPr>
          <w:i/>
        </w:rPr>
        <w:t>(cf. Corporations Act s. 307)</w:t>
      </w:r>
      <w:bookmarkEnd w:id="254"/>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255" w:name="_Toc524061522"/>
      <w:r>
        <w:rPr>
          <w:rStyle w:val="CharSClsNo"/>
        </w:rPr>
        <w:t>16</w:t>
      </w:r>
      <w:r>
        <w:t>.</w:t>
      </w:r>
      <w:r>
        <w:tab/>
        <w:t>Auditor General’s report on annual financial report</w:t>
      </w:r>
      <w:r>
        <w:br/>
      </w:r>
      <w:r>
        <w:rPr>
          <w:i/>
        </w:rPr>
        <w:t>(cf. Corporations Act s. 308)</w:t>
      </w:r>
      <w:bookmarkEnd w:id="255"/>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256" w:name="_Toc524061523"/>
      <w:r>
        <w:rPr>
          <w:rStyle w:val="CharSClsNo"/>
        </w:rPr>
        <w:t>17</w:t>
      </w:r>
      <w:r>
        <w:t>.</w:t>
      </w:r>
      <w:r>
        <w:tab/>
        <w:t>Auditor General’s power to obtain information</w:t>
      </w:r>
      <w:r>
        <w:br/>
      </w:r>
      <w:r>
        <w:rPr>
          <w:i/>
        </w:rPr>
        <w:t>(cf. Corporations Act s. 310)</w:t>
      </w:r>
      <w:bookmarkEnd w:id="256"/>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spacing w:before="240"/>
      </w:pPr>
      <w:bookmarkStart w:id="257" w:name="_Toc524061524"/>
      <w:r>
        <w:rPr>
          <w:rStyle w:val="CharSClsNo"/>
        </w:rPr>
        <w:t>18</w:t>
      </w:r>
      <w:r>
        <w:t>.</w:t>
      </w:r>
      <w:r>
        <w:tab/>
        <w:t>Assisting Auditor General</w:t>
      </w:r>
      <w:r>
        <w:br/>
      </w:r>
      <w:r>
        <w:rPr>
          <w:i/>
        </w:rPr>
        <w:t>(cf. Corporations Act s. 312)</w:t>
      </w:r>
      <w:bookmarkEnd w:id="257"/>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258" w:name="_Toc524061525"/>
      <w:r>
        <w:t>Subdivision 3 — Special provisions about consolidated financial statements</w:t>
      </w:r>
      <w:bookmarkEnd w:id="258"/>
    </w:p>
    <w:p>
      <w:pPr>
        <w:pStyle w:val="yFootnoteheading"/>
      </w:pPr>
      <w:r>
        <w:tab/>
        <w:t>[Heading inserted in Gazette 4 Mar 2003 p. 717.]</w:t>
      </w:r>
    </w:p>
    <w:p>
      <w:pPr>
        <w:pStyle w:val="yHeading5"/>
      </w:pPr>
      <w:bookmarkStart w:id="259" w:name="_Toc524061526"/>
      <w:r>
        <w:rPr>
          <w:rStyle w:val="CharSClsNo"/>
        </w:rPr>
        <w:t>19</w:t>
      </w:r>
      <w:r>
        <w:t>.</w:t>
      </w:r>
      <w:r>
        <w:tab/>
        <w:t>Directors and officers of controlled entity to give information</w:t>
      </w:r>
      <w:r>
        <w:br/>
      </w:r>
      <w:r>
        <w:rPr>
          <w:i/>
        </w:rPr>
        <w:t>(cf. Corporations Act s. 323)</w:t>
      </w:r>
      <w:bookmarkEnd w:id="259"/>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260" w:name="_Toc524061527"/>
      <w:r>
        <w:rPr>
          <w:rStyle w:val="CharSClsNo"/>
        </w:rPr>
        <w:t>20</w:t>
      </w:r>
      <w:r>
        <w:t>.</w:t>
      </w:r>
      <w:r>
        <w:tab/>
        <w:t>Auditor General’s power to obtain information from controlled entity</w:t>
      </w:r>
      <w:r>
        <w:br/>
      </w:r>
      <w:r>
        <w:rPr>
          <w:i/>
        </w:rPr>
        <w:t>(cf. Corporations Act s. 323A)</w:t>
      </w:r>
      <w:bookmarkEnd w:id="26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261" w:name="_Toc524061528"/>
      <w:r>
        <w:rPr>
          <w:rStyle w:val="CharSClsNo"/>
        </w:rPr>
        <w:t>21</w:t>
      </w:r>
      <w:r>
        <w:t>.</w:t>
      </w:r>
      <w:r>
        <w:tab/>
        <w:t>Controlled entity to assist the Auditor General</w:t>
      </w:r>
      <w:r>
        <w:br/>
      </w:r>
      <w:r>
        <w:rPr>
          <w:i/>
        </w:rPr>
        <w:t>(cf. Corporations Act s. 323B)</w:t>
      </w:r>
      <w:bookmarkEnd w:id="261"/>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spacing w:before="180"/>
      </w:pPr>
      <w:bookmarkStart w:id="262" w:name="_Toc524061529"/>
      <w:r>
        <w:rPr>
          <w:rStyle w:val="CharSClsNo"/>
        </w:rPr>
        <w:t>22</w:t>
      </w:r>
      <w:r>
        <w:t>.</w:t>
      </w:r>
      <w:r>
        <w:tab/>
        <w:t>Application of cl. 19 to 21 to entity that has ceased to be controlled</w:t>
      </w:r>
      <w:r>
        <w:br/>
      </w:r>
      <w:r>
        <w:rPr>
          <w:i/>
        </w:rPr>
        <w:t>(cf. Corporations Act s. 323C)</w:t>
      </w:r>
      <w:bookmarkEnd w:id="262"/>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263" w:name="_Toc524061530"/>
      <w:r>
        <w:t>Subdivision 4 — Financial years of a port authority and the entities it controls</w:t>
      </w:r>
      <w:bookmarkEnd w:id="263"/>
    </w:p>
    <w:p>
      <w:pPr>
        <w:pStyle w:val="yFootnoteheading"/>
        <w:ind w:firstLine="879"/>
      </w:pPr>
      <w:r>
        <w:rPr>
          <w:snapToGrid w:val="0"/>
        </w:rPr>
        <w:t>[</w:t>
      </w:r>
      <w:r>
        <w:t>Heading inserted in Gazette 4 Mar 2003 p. 718.]</w:t>
      </w:r>
    </w:p>
    <w:p>
      <w:pPr>
        <w:pStyle w:val="yHeading5"/>
        <w:spacing w:before="180"/>
      </w:pPr>
      <w:bookmarkStart w:id="264" w:name="_Toc524061531"/>
      <w:r>
        <w:rPr>
          <w:rStyle w:val="CharSClsNo"/>
        </w:rPr>
        <w:t>23</w:t>
      </w:r>
      <w:r>
        <w:t>.</w:t>
      </w:r>
      <w:r>
        <w:tab/>
        <w:t>Financial years</w:t>
      </w:r>
      <w:r>
        <w:br/>
      </w:r>
      <w:r>
        <w:rPr>
          <w:i/>
        </w:rPr>
        <w:t>(cf. Corporations Act s. 323D)</w:t>
      </w:r>
      <w:bookmarkEnd w:id="264"/>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265" w:name="_Toc524061532"/>
      <w:r>
        <w:rPr>
          <w:rStyle w:val="CharSDivNo"/>
        </w:rPr>
        <w:t>Division 4</w:t>
      </w:r>
      <w:r>
        <w:t xml:space="preserve"> — </w:t>
      </w:r>
      <w:r>
        <w:rPr>
          <w:rStyle w:val="CharSDivText"/>
        </w:rPr>
        <w:t>Accounting standards</w:t>
      </w:r>
      <w:bookmarkEnd w:id="265"/>
    </w:p>
    <w:p>
      <w:pPr>
        <w:pStyle w:val="yFootnoteheading"/>
      </w:pPr>
      <w:r>
        <w:tab/>
        <w:t>[Heading inserted in Gazette 4 Mar 2003 p. 719.]</w:t>
      </w:r>
    </w:p>
    <w:p>
      <w:pPr>
        <w:pStyle w:val="yHeading5"/>
        <w:spacing w:before="180"/>
      </w:pPr>
      <w:bookmarkStart w:id="266" w:name="_Toc524061533"/>
      <w:r>
        <w:rPr>
          <w:rStyle w:val="CharSClsNo"/>
        </w:rPr>
        <w:t>24</w:t>
      </w:r>
      <w:r>
        <w:t>.</w:t>
      </w:r>
      <w:r>
        <w:tab/>
        <w:t>Accounting standards</w:t>
      </w:r>
      <w:r>
        <w:br/>
      </w:r>
      <w:r>
        <w:rPr>
          <w:i/>
        </w:rPr>
        <w:t>(cf. Corporations Act s. 334)</w:t>
      </w:r>
      <w:bookmarkEnd w:id="266"/>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267" w:name="_Toc524061534"/>
      <w:r>
        <w:rPr>
          <w:rStyle w:val="CharSClsNo"/>
        </w:rPr>
        <w:t>25</w:t>
      </w:r>
      <w:r>
        <w:t>.</w:t>
      </w:r>
      <w:r>
        <w:tab/>
        <w:t>Equity accounting</w:t>
      </w:r>
      <w:r>
        <w:br/>
      </w:r>
      <w:r>
        <w:rPr>
          <w:i/>
        </w:rPr>
        <w:t>(cf. Corporations Act s. 335)</w:t>
      </w:r>
      <w:bookmarkEnd w:id="267"/>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268" w:name="_Toc524061535"/>
      <w:r>
        <w:rPr>
          <w:rStyle w:val="CharSClsNo"/>
        </w:rPr>
        <w:t>26</w:t>
      </w:r>
      <w:r>
        <w:t>.</w:t>
      </w:r>
      <w:r>
        <w:tab/>
        <w:t>Interpretation of accounting standards</w:t>
      </w:r>
      <w:r>
        <w:br/>
      </w:r>
      <w:r>
        <w:rPr>
          <w:i/>
        </w:rPr>
        <w:t>(cf. Corporations Act s. 337)</w:t>
      </w:r>
      <w:bookmarkEnd w:id="268"/>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spacing w:before="180"/>
      </w:pPr>
      <w:bookmarkStart w:id="269" w:name="_Toc524061536"/>
      <w:r>
        <w:rPr>
          <w:rStyle w:val="CharSClsNo"/>
        </w:rPr>
        <w:t>27</w:t>
      </w:r>
      <w:r>
        <w:t>.</w:t>
      </w:r>
      <w:r>
        <w:tab/>
        <w:t>Evidence of text of accounting standard</w:t>
      </w:r>
      <w:bookmarkEnd w:id="269"/>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270" w:name="_Toc524061537"/>
      <w:r>
        <w:rPr>
          <w:rStyle w:val="CharSDivNo"/>
        </w:rPr>
        <w:t>Division 5</w:t>
      </w:r>
      <w:r>
        <w:t xml:space="preserve"> — </w:t>
      </w:r>
      <w:r>
        <w:rPr>
          <w:rStyle w:val="CharSDivText"/>
        </w:rPr>
        <w:t>Extension of time</w:t>
      </w:r>
      <w:bookmarkEnd w:id="270"/>
    </w:p>
    <w:p>
      <w:pPr>
        <w:pStyle w:val="yFootnotesection"/>
      </w:pPr>
      <w:r>
        <w:tab/>
        <w:t>[Heading</w:t>
      </w:r>
      <w:r>
        <w:rPr>
          <w:snapToGrid/>
        </w:rPr>
        <w:t> inserted in Gazette 4 Mar 2003 p. 7</w:t>
      </w:r>
      <w:r>
        <w:t>20</w:t>
      </w:r>
      <w:r>
        <w:rPr>
          <w:snapToGrid/>
        </w:rPr>
        <w:t>.]</w:t>
      </w:r>
    </w:p>
    <w:p>
      <w:pPr>
        <w:pStyle w:val="yHeading5"/>
        <w:spacing w:before="180"/>
      </w:pPr>
      <w:bookmarkStart w:id="271" w:name="_Toc524061538"/>
      <w:r>
        <w:rPr>
          <w:rStyle w:val="CharSClsNo"/>
        </w:rPr>
        <w:t>28</w:t>
      </w:r>
      <w:r>
        <w:t>.</w:t>
      </w:r>
      <w:r>
        <w:tab/>
        <w:t>Extension of time</w:t>
      </w:r>
      <w:bookmarkEnd w:id="271"/>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33(6), apply to the memorandum evidencing the extension as if it were an order under clause 33(1).</w:t>
      </w:r>
    </w:p>
    <w:p>
      <w:pPr>
        <w:pStyle w:val="yFootnotesection"/>
        <w:spacing w:before="80"/>
      </w:pPr>
      <w:r>
        <w:tab/>
        <w:t>[Clause 28 inserted in Gazette 4 Mar 2003 p. 720.]</w:t>
      </w:r>
    </w:p>
    <w:p>
      <w:pPr>
        <w:pStyle w:val="yHeading3"/>
        <w:keepLines/>
        <w:outlineLvl w:val="0"/>
      </w:pPr>
      <w:bookmarkStart w:id="272" w:name="_Toc524061539"/>
      <w:r>
        <w:rPr>
          <w:rStyle w:val="CharSDivNo"/>
        </w:rPr>
        <w:t>Division 6</w:t>
      </w:r>
      <w:r>
        <w:t xml:space="preserve"> — </w:t>
      </w:r>
      <w:r>
        <w:rPr>
          <w:rStyle w:val="CharSDivText"/>
        </w:rPr>
        <w:t>Sanctions for contraventions of this Schedule</w:t>
      </w:r>
      <w:bookmarkEnd w:id="272"/>
    </w:p>
    <w:p>
      <w:pPr>
        <w:pStyle w:val="yFootnoteheading"/>
        <w:keepNext/>
        <w:keepLines/>
      </w:pPr>
      <w:r>
        <w:tab/>
        <w:t>[Heading inserted in Gazette 4 Mar 2003 p. 720.]</w:t>
      </w:r>
    </w:p>
    <w:p>
      <w:pPr>
        <w:pStyle w:val="yHeading5"/>
      </w:pPr>
      <w:bookmarkStart w:id="273" w:name="_Toc524061540"/>
      <w:r>
        <w:rPr>
          <w:rStyle w:val="CharSClsNo"/>
        </w:rPr>
        <w:t>29</w:t>
      </w:r>
      <w:r>
        <w:t>.</w:t>
      </w:r>
      <w:r>
        <w:tab/>
        <w:t>Contravention of Div. 2 and 3</w:t>
      </w:r>
      <w:r>
        <w:br/>
      </w:r>
      <w:r>
        <w:rPr>
          <w:i/>
        </w:rPr>
        <w:t>(cf. Corporations Act s. 344)</w:t>
      </w:r>
      <w:bookmarkEnd w:id="273"/>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274" w:name="_Toc524061541"/>
      <w:r>
        <w:rPr>
          <w:rStyle w:val="CharSDivNo"/>
        </w:rPr>
        <w:t>Division 7</w:t>
      </w:r>
      <w:r>
        <w:t xml:space="preserve"> — </w:t>
      </w:r>
      <w:r>
        <w:rPr>
          <w:rStyle w:val="CharSDivText"/>
        </w:rPr>
        <w:t>Miscellaneous</w:t>
      </w:r>
      <w:bookmarkEnd w:id="274"/>
    </w:p>
    <w:p>
      <w:pPr>
        <w:pStyle w:val="yFootnoteheading"/>
      </w:pPr>
      <w:r>
        <w:tab/>
        <w:t>[Heading inserted in Gazette 4 Mar 2003 p. 720.]</w:t>
      </w:r>
    </w:p>
    <w:p>
      <w:pPr>
        <w:pStyle w:val="yHeading5"/>
        <w:outlineLvl w:val="0"/>
      </w:pPr>
      <w:bookmarkStart w:id="275" w:name="_Toc524061542"/>
      <w:r>
        <w:rPr>
          <w:rStyle w:val="CharSClsNo"/>
        </w:rPr>
        <w:t>33</w:t>
      </w:r>
      <w:r>
        <w:t>.</w:t>
      </w:r>
      <w:r>
        <w:tab/>
        <w:t>Treasurer’s power to make specific exemption orders</w:t>
      </w:r>
      <w:r>
        <w:br/>
      </w:r>
      <w:r>
        <w:rPr>
          <w:i/>
        </w:rPr>
        <w:t>(cf. Corporations Act s. 340)</w:t>
      </w:r>
      <w:bookmarkEnd w:id="275"/>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keepNext/>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276" w:name="_Toc524061543"/>
      <w:r>
        <w:rPr>
          <w:rStyle w:val="CharSClsNo"/>
        </w:rPr>
        <w:t>33A</w:t>
      </w:r>
      <w:r>
        <w:t>.</w:t>
      </w:r>
      <w:r>
        <w:tab/>
        <w:t xml:space="preserve">Criteria for specific exemption orders and class orders  </w:t>
      </w:r>
      <w:r>
        <w:br/>
      </w:r>
      <w:r>
        <w:rPr>
          <w:i/>
        </w:rPr>
        <w:t>(cf. Corporations Act s. 342)</w:t>
      </w:r>
      <w:bookmarkEnd w:id="276"/>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277" w:name="_Toc524061544"/>
      <w:r>
        <w:rPr>
          <w:rStyle w:val="CharSClsNo"/>
        </w:rPr>
        <w:t>34</w:t>
      </w:r>
      <w:r>
        <w:t>.</w:t>
      </w:r>
      <w:r>
        <w:tab/>
        <w:t>Deadline for reporting to Minister</w:t>
      </w:r>
      <w:r>
        <w:br/>
      </w:r>
      <w:r>
        <w:rPr>
          <w:i/>
        </w:rPr>
        <w:t>(cf. Corporations Act s. 315)</w:t>
      </w:r>
      <w:bookmarkEnd w:id="277"/>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278" w:name="_Toc524061545"/>
      <w:r>
        <w:rPr>
          <w:rStyle w:val="CharSClsNo"/>
        </w:rPr>
        <w:t>35</w:t>
      </w:r>
      <w:r>
        <w:t>.</w:t>
      </w:r>
      <w:r>
        <w:tab/>
        <w:t>Annual report to Minister, content of</w:t>
      </w:r>
      <w:r>
        <w:br/>
      </w:r>
      <w:r>
        <w:rPr>
          <w:i/>
        </w:rPr>
        <w:t>(cf. Corporations Act s. 314)</w:t>
      </w:r>
      <w:bookmarkEnd w:id="278"/>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279" w:name="_Toc524061546"/>
      <w:r>
        <w:rPr>
          <w:rStyle w:val="CharSClsNo"/>
        </w:rPr>
        <w:t>37</w:t>
      </w:r>
      <w:r>
        <w:t>.</w:t>
      </w:r>
      <w:r>
        <w:tab/>
        <w:t>Audit, deadline for; interim report</w:t>
      </w:r>
      <w:bookmarkEnd w:id="279"/>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Sch. 1 cl. 131(5)</w:t>
      </w:r>
      <w:r>
        <w:rPr>
          <w:snapToGrid/>
        </w:rPr>
        <w:t>.]</w:t>
      </w:r>
    </w:p>
    <w:p>
      <w:pPr>
        <w:pStyle w:val="yHeading5"/>
        <w:outlineLvl w:val="0"/>
      </w:pPr>
      <w:bookmarkStart w:id="280" w:name="_Toc524061547"/>
      <w:r>
        <w:rPr>
          <w:rStyle w:val="CharSClsNo"/>
        </w:rPr>
        <w:t>44</w:t>
      </w:r>
      <w:r>
        <w:t>.</w:t>
      </w:r>
      <w:r>
        <w:tab/>
        <w:t>Auditor General, duties and powers of</w:t>
      </w:r>
      <w:bookmarkEnd w:id="280"/>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Sch. 1 cl. 131(6).]</w:t>
      </w:r>
    </w:p>
    <w:p>
      <w:pPr>
        <w:pStyle w:val="yScheduleHeading"/>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outlineLvl w:val="0"/>
      </w:pPr>
      <w:bookmarkStart w:id="281" w:name="_Toc524061548"/>
      <w:r>
        <w:rPr>
          <w:rStyle w:val="CharSchNo"/>
        </w:rPr>
        <w:t>Schedule 6</w:t>
      </w:r>
      <w:r>
        <w:t xml:space="preserve"> — </w:t>
      </w:r>
      <w:r>
        <w:rPr>
          <w:rStyle w:val="CharSchText"/>
        </w:rPr>
        <w:t>Provisions for Pilbara Ports Authority</w:t>
      </w:r>
      <w:bookmarkEnd w:id="281"/>
    </w:p>
    <w:p>
      <w:pPr>
        <w:pStyle w:val="yShoulderClause"/>
      </w:pPr>
      <w:r>
        <w:t>[s. 132]</w:t>
      </w:r>
    </w:p>
    <w:p>
      <w:pPr>
        <w:pStyle w:val="yFootnoteheading"/>
      </w:pPr>
      <w:r>
        <w:tab/>
        <w:t>[Heading amended by No. 9 of 2014 s. 34(1).]</w:t>
      </w:r>
    </w:p>
    <w:p>
      <w:pPr>
        <w:pStyle w:val="yHeading3"/>
        <w:outlineLvl w:val="0"/>
        <w:rPr>
          <w:rStyle w:val="CharSDivText"/>
        </w:rPr>
      </w:pPr>
      <w:bookmarkStart w:id="282" w:name="_Toc524061549"/>
      <w:r>
        <w:rPr>
          <w:rStyle w:val="CharSDivNo"/>
        </w:rPr>
        <w:t>Division 1</w:t>
      </w:r>
      <w:r>
        <w:t xml:space="preserve"> — </w:t>
      </w:r>
      <w:r>
        <w:rPr>
          <w:rStyle w:val="CharSDivText"/>
        </w:rPr>
        <w:t>Port of Dampier</w:t>
      </w:r>
      <w:bookmarkEnd w:id="282"/>
    </w:p>
    <w:p>
      <w:pPr>
        <w:pStyle w:val="yFootnoteheading"/>
      </w:pPr>
      <w:r>
        <w:tab/>
        <w:t>[Heading amended by No. 9 of 2014 s. 34(2).]</w:t>
      </w:r>
    </w:p>
    <w:p>
      <w:pPr>
        <w:pStyle w:val="yHeading5"/>
        <w:outlineLvl w:val="0"/>
        <w:rPr>
          <w:snapToGrid w:val="0"/>
        </w:rPr>
      </w:pPr>
      <w:bookmarkStart w:id="283" w:name="_Toc524061550"/>
      <w:r>
        <w:rPr>
          <w:rStyle w:val="CharSClsNo"/>
        </w:rPr>
        <w:t>1.1</w:t>
      </w:r>
      <w:r>
        <w:rPr>
          <w:snapToGrid w:val="0"/>
        </w:rPr>
        <w:t>.</w:t>
      </w:r>
      <w:r>
        <w:rPr>
          <w:snapToGrid w:val="0"/>
        </w:rPr>
        <w:tab/>
        <w:t>Application of Division</w:t>
      </w:r>
      <w:bookmarkEnd w:id="283"/>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Footnotesection"/>
      </w:pPr>
      <w:r>
        <w:tab/>
        <w:t>[Clause 1.1 amended by No. 9 of 2014 s. 34(3).]</w:t>
      </w:r>
    </w:p>
    <w:p>
      <w:pPr>
        <w:pStyle w:val="yHeading5"/>
        <w:outlineLvl w:val="0"/>
        <w:rPr>
          <w:snapToGrid w:val="0"/>
        </w:rPr>
      </w:pPr>
      <w:bookmarkStart w:id="284" w:name="_Toc524061551"/>
      <w:r>
        <w:rPr>
          <w:rStyle w:val="CharSClsNo"/>
        </w:rPr>
        <w:t>1.2</w:t>
      </w:r>
      <w:r>
        <w:rPr>
          <w:snapToGrid w:val="0"/>
        </w:rPr>
        <w:t>.</w:t>
      </w:r>
      <w:r>
        <w:rPr>
          <w:snapToGrid w:val="0"/>
        </w:rPr>
        <w:tab/>
        <w:t>Terms used</w:t>
      </w:r>
      <w:bookmarkEnd w:id="284"/>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pPr>
      <w:r>
        <w:tab/>
      </w:r>
      <w:r>
        <w:rPr>
          <w:rStyle w:val="CharDefText"/>
        </w:rPr>
        <w:t>Joint Venturers</w:t>
      </w:r>
      <w:r>
        <w:t xml:space="preserve"> has the meaning given by the North West Gas Development (Woodside) Agreement;</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Salt Company</w:t>
      </w:r>
      <w:r>
        <w:t xml:space="preserve"> means the Company within the meaning of the Dampier Solar Salt Industry Agreement.</w:t>
      </w:r>
    </w:p>
    <w:p>
      <w:pPr>
        <w:pStyle w:val="yFootnotesection"/>
      </w:pPr>
      <w:r>
        <w:tab/>
        <w:t>[Clause 1.2 amended by No. 9 of 2014 s. 33(1).]</w:t>
      </w:r>
    </w:p>
    <w:p>
      <w:pPr>
        <w:pStyle w:val="yHeading5"/>
        <w:outlineLvl w:val="0"/>
        <w:rPr>
          <w:snapToGrid w:val="0"/>
        </w:rPr>
      </w:pPr>
      <w:bookmarkStart w:id="285" w:name="_Toc524061552"/>
      <w:r>
        <w:rPr>
          <w:rStyle w:val="CharSClsNo"/>
        </w:rPr>
        <w:t>1.3</w:t>
      </w:r>
      <w:r>
        <w:rPr>
          <w:snapToGrid w:val="0"/>
        </w:rPr>
        <w:t>.</w:t>
      </w:r>
      <w:r>
        <w:rPr>
          <w:snapToGrid w:val="0"/>
        </w:rPr>
        <w:tab/>
        <w:t>Act does not affect State agreements</w:t>
      </w:r>
      <w:bookmarkEnd w:id="285"/>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any right or obligation of a party to the Dampier Solar Salt Industry Agreement; or</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Ednotesection"/>
      </w:pPr>
      <w:r>
        <w:t>[</w:t>
      </w:r>
      <w:r>
        <w:rPr>
          <w:b/>
        </w:rPr>
        <w:t>1.4-1.7.</w:t>
      </w:r>
      <w:r>
        <w:tab/>
        <w:t>Deleted by No. 9 of 2014 s. 33(2).]</w:t>
      </w:r>
    </w:p>
    <w:p>
      <w:pPr>
        <w:pStyle w:val="yHeading5"/>
        <w:outlineLvl w:val="0"/>
        <w:rPr>
          <w:snapToGrid w:val="0"/>
        </w:rPr>
      </w:pPr>
      <w:bookmarkStart w:id="286" w:name="_Toc524061553"/>
      <w:r>
        <w:rPr>
          <w:rStyle w:val="CharSClsNo"/>
        </w:rPr>
        <w:t>1.8</w:t>
      </w:r>
      <w:r>
        <w:rPr>
          <w:snapToGrid w:val="0"/>
        </w:rPr>
        <w:t>.</w:t>
      </w:r>
      <w:r>
        <w:rPr>
          <w:snapToGrid w:val="0"/>
        </w:rPr>
        <w:tab/>
        <w:t>Some property excepted from s. 26(1)</w:t>
      </w:r>
      <w:bookmarkEnd w:id="286"/>
    </w:p>
    <w:p>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pPr>
        <w:pStyle w:val="yIndenta"/>
        <w:rPr>
          <w:snapToGrid w:val="0"/>
        </w:rPr>
      </w:pPr>
      <w:r>
        <w:rPr>
          <w:snapToGrid w:val="0"/>
        </w:rPr>
        <w:tab/>
        <w:t>(b)</w:t>
      </w:r>
      <w:r>
        <w:rPr>
          <w:snapToGrid w:val="0"/>
        </w:rPr>
        <w:tab/>
        <w:t>which has been vested free of cost in the port authority; or</w:t>
      </w:r>
    </w:p>
    <w:p>
      <w:pPr>
        <w:pStyle w:val="yIndenta"/>
        <w:keepNext/>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287" w:name="_Toc524061554"/>
      <w:r>
        <w:rPr>
          <w:rStyle w:val="CharSClsNo"/>
        </w:rPr>
        <w:t>1.9</w:t>
      </w:r>
      <w:r>
        <w:rPr>
          <w:snapToGrid w:val="0"/>
        </w:rPr>
        <w:t>.</w:t>
      </w:r>
      <w:r>
        <w:rPr>
          <w:snapToGrid w:val="0"/>
        </w:rPr>
        <w:tab/>
        <w:t>Recovery of costs from users, functions include</w:t>
      </w:r>
      <w:bookmarkEnd w:id="287"/>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288" w:name="_Toc524061555"/>
      <w:r>
        <w:rPr>
          <w:rStyle w:val="CharSClsNo"/>
        </w:rPr>
        <w:t>1.10</w:t>
      </w:r>
      <w:r>
        <w:rPr>
          <w:snapToGrid w:val="0"/>
        </w:rPr>
        <w:t>.</w:t>
      </w:r>
      <w:r>
        <w:rPr>
          <w:snapToGrid w:val="0"/>
        </w:rPr>
        <w:tab/>
        <w:t>Companies, Joint Venturers and Salt Company, duties of</w:t>
      </w:r>
      <w:bookmarkEnd w:id="288"/>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and</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289" w:name="_Toc524061556"/>
      <w:r>
        <w:rPr>
          <w:rStyle w:val="CharSClsNo"/>
        </w:rPr>
        <w:t>1.11</w:t>
      </w:r>
      <w:r>
        <w:rPr>
          <w:snapToGrid w:val="0"/>
        </w:rPr>
        <w:t>.</w:t>
      </w:r>
      <w:r>
        <w:rPr>
          <w:snapToGrid w:val="0"/>
        </w:rPr>
        <w:tab/>
        <w:t>Pilotage services, agreements with Companies etc. as to</w:t>
      </w:r>
      <w:bookmarkEnd w:id="289"/>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rPr>
          <w:rStyle w:val="CharSDivText"/>
        </w:rPr>
      </w:pPr>
      <w:bookmarkStart w:id="290" w:name="_Toc524061557"/>
      <w:r>
        <w:rPr>
          <w:rStyle w:val="CharSDivNo"/>
        </w:rPr>
        <w:t>Division 2</w:t>
      </w:r>
      <w:r>
        <w:t xml:space="preserve"> — </w:t>
      </w:r>
      <w:r>
        <w:rPr>
          <w:rStyle w:val="CharSDivText"/>
        </w:rPr>
        <w:t>Port of Port Hedland</w:t>
      </w:r>
      <w:bookmarkEnd w:id="290"/>
    </w:p>
    <w:p>
      <w:pPr>
        <w:pStyle w:val="yFootnoteheading"/>
      </w:pPr>
      <w:r>
        <w:tab/>
        <w:t>[Heading amended by No. 9 of 2014 s. 34(4).]</w:t>
      </w:r>
    </w:p>
    <w:p>
      <w:pPr>
        <w:pStyle w:val="yHeading5"/>
        <w:outlineLvl w:val="0"/>
        <w:rPr>
          <w:snapToGrid w:val="0"/>
        </w:rPr>
      </w:pPr>
      <w:bookmarkStart w:id="291" w:name="_Toc524061558"/>
      <w:r>
        <w:rPr>
          <w:rStyle w:val="CharSClsNo"/>
        </w:rPr>
        <w:t>2.1</w:t>
      </w:r>
      <w:r>
        <w:rPr>
          <w:snapToGrid w:val="0"/>
        </w:rPr>
        <w:t>.</w:t>
      </w:r>
      <w:r>
        <w:rPr>
          <w:snapToGrid w:val="0"/>
        </w:rPr>
        <w:tab/>
        <w:t>Application of Division</w:t>
      </w:r>
      <w:bookmarkEnd w:id="291"/>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Footnotesection"/>
      </w:pPr>
      <w:r>
        <w:tab/>
        <w:t>[Clause 2.1 amended by No. 9 of 2014 s. 34(5).]</w:t>
      </w:r>
    </w:p>
    <w:p>
      <w:pPr>
        <w:pStyle w:val="yEdnotesection"/>
      </w:pPr>
      <w:r>
        <w:t>[</w:t>
      </w:r>
      <w:r>
        <w:rPr>
          <w:b/>
        </w:rPr>
        <w:t>2.2.</w:t>
      </w:r>
      <w:r>
        <w:tab/>
        <w:t>Deleted by No. 9 of 2014 s. 33(3).]</w:t>
      </w:r>
    </w:p>
    <w:p>
      <w:pPr>
        <w:pStyle w:val="yHeading5"/>
        <w:outlineLvl w:val="0"/>
        <w:rPr>
          <w:snapToGrid w:val="0"/>
        </w:rPr>
      </w:pPr>
      <w:bookmarkStart w:id="292" w:name="_Toc524061559"/>
      <w:r>
        <w:rPr>
          <w:rStyle w:val="CharSClsNo"/>
        </w:rPr>
        <w:t>2.3</w:t>
      </w:r>
      <w:r>
        <w:rPr>
          <w:snapToGrid w:val="0"/>
        </w:rPr>
        <w:t>.</w:t>
      </w:r>
      <w:r>
        <w:rPr>
          <w:snapToGrid w:val="0"/>
        </w:rPr>
        <w:tab/>
        <w:t>Act does not affect State agreements</w:t>
      </w:r>
      <w:bookmarkEnd w:id="292"/>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Ednotesection"/>
      </w:pPr>
      <w:r>
        <w:t>[</w:t>
      </w:r>
      <w:r>
        <w:rPr>
          <w:b/>
        </w:rPr>
        <w:t>2.4</w:t>
      </w:r>
      <w:r>
        <w:rPr>
          <w:b/>
        </w:rPr>
        <w:noBreakHyphen/>
        <w:t>2.7.</w:t>
      </w:r>
      <w:r>
        <w:tab/>
        <w:t>Deleted by No. 9 of 2014 s. 33(3).]</w:t>
      </w:r>
    </w:p>
    <w:p>
      <w:pPr>
        <w:pStyle w:val="yHeading5"/>
        <w:outlineLvl w:val="0"/>
        <w:rPr>
          <w:snapToGrid w:val="0"/>
        </w:rPr>
      </w:pPr>
      <w:bookmarkStart w:id="293" w:name="_Toc524061560"/>
      <w:r>
        <w:rPr>
          <w:rStyle w:val="CharSClsNo"/>
        </w:rPr>
        <w:t>2.8</w:t>
      </w:r>
      <w:r>
        <w:rPr>
          <w:snapToGrid w:val="0"/>
        </w:rPr>
        <w:t>.</w:t>
      </w:r>
      <w:r>
        <w:rPr>
          <w:snapToGrid w:val="0"/>
        </w:rPr>
        <w:tab/>
        <w:t>Port includes pilotage area for some purposes</w:t>
      </w:r>
      <w:bookmarkEnd w:id="293"/>
      <w:r>
        <w:rPr>
          <w:snapToGrid w:val="0"/>
        </w:rPr>
        <w:t xml:space="preserve"> </w:t>
      </w:r>
    </w:p>
    <w:p>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sz w:val="22"/>
                <w:szCs w:val="22"/>
              </w:rPr>
            </w:pPr>
            <w:r>
              <w:rPr>
                <w:snapToGrid w:val="0"/>
                <w:sz w:val="22"/>
                <w:szCs w:val="22"/>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sectPr>
          <w:pgSz w:w="11906" w:h="16838" w:code="9"/>
          <w:pgMar w:top="2376" w:right="2405" w:bottom="3542" w:left="2405" w:header="706" w:footer="3380" w:gutter="0"/>
          <w:cols w:space="720"/>
          <w:noEndnote/>
          <w:docGrid w:linePitch="326"/>
        </w:sectPr>
      </w:pPr>
    </w:p>
    <w:p>
      <w:pPr>
        <w:pStyle w:val="yScheduleHeading"/>
      </w:pPr>
      <w:bookmarkStart w:id="294" w:name="_Toc524061561"/>
      <w:r>
        <w:rPr>
          <w:rStyle w:val="CharSchNo"/>
        </w:rPr>
        <w:t>Schedule 7</w:t>
      </w:r>
      <w:r>
        <w:t xml:space="preserve"> — </w:t>
      </w:r>
      <w:r>
        <w:rPr>
          <w:rStyle w:val="CharSchText"/>
        </w:rPr>
        <w:t>Purposes for which, or matters about which, regulations may be made</w:t>
      </w:r>
      <w:bookmarkEnd w:id="294"/>
    </w:p>
    <w:p>
      <w:pPr>
        <w:pStyle w:val="yShoulderClause"/>
      </w:pPr>
      <w:r>
        <w:t>[s. 139(2)]</w:t>
      </w:r>
    </w:p>
    <w:p>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snapToGrid w:val="0"/>
        </w:rPr>
        <w:t>4.</w:t>
      </w:r>
      <w:r>
        <w:rPr>
          <w:snapToGrid w:val="0"/>
        </w:rPr>
        <w:tab/>
      </w:r>
      <w:r>
        <w:rPr>
          <w:snapToGrid w:val="0"/>
        </w:rPr>
        <w:tab/>
        <w:t>The use of tide signals and other signals in a port.</w:t>
      </w:r>
    </w:p>
    <w:p>
      <w:pPr>
        <w:pStyle w:val="ySubsection"/>
        <w:spacing w:before="120"/>
        <w:rPr>
          <w:snapToGrid w:val="0"/>
        </w:rPr>
      </w:pPr>
      <w:r>
        <w:rPr>
          <w:snapToGrid w:val="0"/>
        </w:rPr>
        <w:t>5.</w:t>
      </w:r>
      <w:r>
        <w:rPr>
          <w:snapToGrid w:val="0"/>
        </w:rPr>
        <w:tab/>
      </w:r>
      <w:r>
        <w:rPr>
          <w:snapToGrid w:val="0"/>
        </w:rPr>
        <w:tab/>
        <w:t>Prevention of overloading or overcrowding of vessels.</w:t>
      </w:r>
    </w:p>
    <w:p>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snapToGrid w:val="0"/>
        </w:rPr>
        <w:t>8.</w:t>
      </w:r>
      <w:r>
        <w:rPr>
          <w:snapToGrid w:val="0"/>
        </w:rPr>
        <w:tab/>
      </w:r>
      <w:r>
        <w:rPr>
          <w:snapToGrid w:val="0"/>
        </w:rPr>
        <w:tab/>
        <w:t>The movement, mooring, loading and unloading of vessels.</w:t>
      </w:r>
    </w:p>
    <w:p>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 or</w:t>
      </w:r>
    </w:p>
    <w:p>
      <w:pPr>
        <w:pStyle w:val="yIndenta"/>
        <w:rPr>
          <w:snapToGrid w:val="0"/>
        </w:rPr>
      </w:pPr>
      <w:r>
        <w:rPr>
          <w:snapToGrid w:val="0"/>
        </w:rPr>
        <w:tab/>
        <w:t>(b)</w:t>
      </w:r>
      <w:r>
        <w:rPr>
          <w:snapToGrid w:val="0"/>
        </w:rPr>
        <w:tab/>
        <w:t>towage services; or</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snapToGrid w:val="0"/>
        </w:rPr>
        <w:t>10.</w:t>
      </w:r>
      <w:r>
        <w:rPr>
          <w:snapToGrid w:val="0"/>
        </w:rPr>
        <w:tab/>
      </w:r>
      <w:r>
        <w:rPr>
          <w:snapToGrid w:val="0"/>
        </w:rPr>
        <w:tab/>
        <w:t>The taking on and landing of passengers.</w:t>
      </w:r>
    </w:p>
    <w:p>
      <w:pPr>
        <w:pStyle w:val="ySubsection"/>
        <w:rPr>
          <w:snapToGrid w:val="0"/>
        </w:rPr>
      </w:pPr>
      <w:r>
        <w:rPr>
          <w:snapToGrid w:val="0"/>
        </w:rPr>
        <w:t>11.</w:t>
      </w:r>
      <w:r>
        <w:rPr>
          <w:snapToGrid w:val="0"/>
        </w:rPr>
        <w:tab/>
      </w:r>
      <w:r>
        <w:rPr>
          <w:snapToGrid w:val="0"/>
        </w:rPr>
        <w:tab/>
        <w:t>The taking in, management and discharge or delivery of ballast.</w:t>
      </w:r>
    </w:p>
    <w:p>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snapToGrid w:val="0"/>
        </w:rPr>
        <w:t>13.</w:t>
      </w:r>
      <w:r>
        <w:rPr>
          <w:snapToGrid w:val="0"/>
        </w:rPr>
        <w:tab/>
      </w:r>
      <w:r>
        <w:rPr>
          <w:snapToGrid w:val="0"/>
        </w:rPr>
        <w:tab/>
        <w:t>Traffic in a port.</w:t>
      </w:r>
    </w:p>
    <w:p>
      <w:pPr>
        <w:pStyle w:val="ySubsection"/>
        <w:rPr>
          <w:snapToGrid w:val="0"/>
        </w:rPr>
      </w:pPr>
      <w:r>
        <w:rPr>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snapToGrid w:val="0"/>
        </w:rPr>
        <w:t>15.</w:t>
      </w:r>
      <w:r>
        <w:rPr>
          <w:snapToGrid w:val="0"/>
        </w:rPr>
        <w:tab/>
      </w:r>
      <w:r>
        <w:rPr>
          <w:snapToGrid w:val="0"/>
        </w:rPr>
        <w:tab/>
        <w:t>Parking of vehicles in a port.</w:t>
      </w:r>
    </w:p>
    <w:p>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snapToGrid w:val="0"/>
        </w:rPr>
        <w:t>17.</w:t>
      </w:r>
      <w:r>
        <w:rPr>
          <w:snapToGrid w:val="0"/>
        </w:rPr>
        <w:tab/>
      </w:r>
      <w:r>
        <w:rPr>
          <w:snapToGrid w:val="0"/>
        </w:rPr>
        <w:tab/>
        <w:t>Regulation of the duties and conduct of persons in a port.</w:t>
      </w:r>
    </w:p>
    <w:p>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snapToGrid w:val="0"/>
        </w:rPr>
        <w:t>20.</w:t>
      </w:r>
      <w:r>
        <w:rPr>
          <w:snapToGrid w:val="0"/>
        </w:rPr>
        <w:tab/>
      </w:r>
      <w:r>
        <w:rPr>
          <w:snapToGrid w:val="0"/>
        </w:rPr>
        <w:tab/>
        <w:t>The control of the operation of machinery on jetties and wharf loading areas.</w:t>
      </w:r>
    </w:p>
    <w:p>
      <w:pPr>
        <w:pStyle w:val="ySubsection"/>
        <w:rPr>
          <w:snapToGrid w:val="0"/>
        </w:rPr>
      </w:pPr>
      <w:r>
        <w:rPr>
          <w:snapToGrid w:val="0"/>
        </w:rPr>
        <w:t>21.</w:t>
      </w:r>
      <w:r>
        <w:rPr>
          <w:snapToGrid w:val="0"/>
        </w:rPr>
        <w:tab/>
      </w:r>
      <w:r>
        <w:rPr>
          <w:snapToGrid w:val="0"/>
        </w:rPr>
        <w:tab/>
        <w:t>The conduct of persons operating vessels or machinery referred to in item 19 or 20.</w:t>
      </w:r>
    </w:p>
    <w:p>
      <w:pPr>
        <w:pStyle w:val="ySubsection"/>
        <w:rPr>
          <w:snapToGrid w:val="0"/>
        </w:rPr>
      </w:pPr>
      <w:r>
        <w:rPr>
          <w:snapToGrid w:val="0"/>
        </w:rPr>
        <w:t>22.</w:t>
      </w:r>
      <w:r>
        <w:rPr>
          <w:snapToGrid w:val="0"/>
        </w:rPr>
        <w:tab/>
      </w:r>
      <w:r>
        <w:rPr>
          <w:snapToGrid w:val="0"/>
        </w:rPr>
        <w:tab/>
        <w:t xml:space="preserve">The control of the installation and use of moorings. </w:t>
      </w:r>
    </w:p>
    <w:p>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 and</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snapToGrid w:val="0"/>
        </w:rPr>
        <w:t>31.</w:t>
      </w:r>
      <w:r>
        <w:rPr>
          <w:snapToGrid w:val="0"/>
        </w:rPr>
        <w:tab/>
      </w:r>
      <w:r>
        <w:rPr>
          <w:snapToGrid w:val="0"/>
        </w:rPr>
        <w:tab/>
        <w:t>The speed of vessels in a port.</w:t>
      </w:r>
    </w:p>
    <w:p>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snapToGrid w:val="0"/>
        </w:rPr>
        <w:t>35.</w:t>
      </w:r>
      <w:r>
        <w:rPr>
          <w:snapToGrid w:val="0"/>
        </w:rPr>
        <w:tab/>
      </w:r>
      <w:r>
        <w:rPr>
          <w:snapToGrid w:val="0"/>
        </w:rPr>
        <w:tab/>
        <w:t>Limitation of the time for making a claim against a port authority for loss or damage.</w:t>
      </w:r>
    </w:p>
    <w:p>
      <w:pPr>
        <w:pStyle w:val="ySubsection"/>
        <w:rPr>
          <w:snapToGrid w:val="0"/>
        </w:rPr>
      </w:pPr>
      <w:r>
        <w:rPr>
          <w:snapToGrid w:val="0"/>
        </w:rPr>
        <w:t>36.</w:t>
      </w:r>
      <w:r>
        <w:rPr>
          <w:snapToGrid w:val="0"/>
        </w:rPr>
        <w:tab/>
      </w:r>
      <w:r>
        <w:rPr>
          <w:snapToGrid w:val="0"/>
        </w:rPr>
        <w:tab/>
        <w:t>Conditions to be inserted in a lease granted under this Act.</w:t>
      </w:r>
    </w:p>
    <w:p>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t>39.</w:t>
      </w:r>
      <w:r>
        <w:tab/>
        <w:t>The protection of port facilities or other property of a port authority.</w:t>
      </w:r>
    </w:p>
    <w:p>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snapToGrid w:val="0"/>
        </w:rPr>
        <w:t>41.</w:t>
      </w:r>
      <w:r>
        <w:rPr>
          <w:snapToGrid w:val="0"/>
        </w:rPr>
        <w:tab/>
      </w:r>
      <w:r>
        <w:rPr>
          <w:snapToGrid w:val="0"/>
        </w:rPr>
        <w:tab/>
        <w:t>The protection of the environment of a port.</w:t>
      </w:r>
    </w:p>
    <w:p>
      <w:pPr>
        <w:pStyle w:val="ySubsection"/>
        <w:keepNext/>
        <w:rPr>
          <w:snapToGrid w:val="0"/>
        </w:rPr>
      </w:pPr>
      <w:r>
        <w:rPr>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yScheduleHeading"/>
      </w:pPr>
      <w:bookmarkStart w:id="295" w:name="_Toc524061562"/>
      <w:r>
        <w:rPr>
          <w:rStyle w:val="CharSchNo"/>
        </w:rPr>
        <w:t>Schedule 8</w:t>
      </w:r>
      <w:r>
        <w:t> — </w:t>
      </w:r>
      <w:r>
        <w:rPr>
          <w:rStyle w:val="CharSchText"/>
        </w:rPr>
        <w:t>Transitional provisions</w:t>
      </w:r>
      <w:bookmarkEnd w:id="295"/>
    </w:p>
    <w:p>
      <w:pPr>
        <w:pStyle w:val="yShoulderClause"/>
      </w:pPr>
      <w:r>
        <w:t>[s. 139A]</w:t>
      </w:r>
    </w:p>
    <w:p>
      <w:pPr>
        <w:pStyle w:val="yFootnoteheading"/>
        <w:spacing w:after="120"/>
      </w:pPr>
      <w:r>
        <w:tab/>
        <w:t>[Heading inserted by No. 9 of 2014 s. 35.]</w:t>
      </w:r>
    </w:p>
    <w:p>
      <w:pPr>
        <w:pStyle w:val="yHeading3"/>
      </w:pPr>
      <w:bookmarkStart w:id="296" w:name="_Toc524061563"/>
      <w:r>
        <w:rPr>
          <w:rStyle w:val="CharSDivNo"/>
        </w:rPr>
        <w:t>Division 1</w:t>
      </w:r>
      <w:r>
        <w:rPr>
          <w:b w:val="0"/>
        </w:rPr>
        <w:t> — </w:t>
      </w:r>
      <w:r>
        <w:rPr>
          <w:rStyle w:val="CharSDivText"/>
        </w:rPr>
        <w:t xml:space="preserve">Provisions for </w:t>
      </w:r>
      <w:r>
        <w:rPr>
          <w:rStyle w:val="CharSDivText"/>
          <w:i/>
        </w:rPr>
        <w:t>Ports Legislation Amendment Act 2014</w:t>
      </w:r>
      <w:bookmarkEnd w:id="296"/>
    </w:p>
    <w:p>
      <w:pPr>
        <w:pStyle w:val="yFootnoteheading"/>
        <w:spacing w:after="120"/>
      </w:pPr>
      <w:r>
        <w:tab/>
        <w:t>[Heading inserted by No. 9 of 2014 s. 35.]</w:t>
      </w:r>
    </w:p>
    <w:p>
      <w:pPr>
        <w:pStyle w:val="yHeading4"/>
      </w:pPr>
      <w:bookmarkStart w:id="297" w:name="_Toc524061564"/>
      <w:r>
        <w:t>Subdivision 1</w:t>
      </w:r>
      <w:r>
        <w:rPr>
          <w:b w:val="0"/>
        </w:rPr>
        <w:t> — </w:t>
      </w:r>
      <w:r>
        <w:t>Preliminary</w:t>
      </w:r>
      <w:bookmarkEnd w:id="297"/>
    </w:p>
    <w:p>
      <w:pPr>
        <w:pStyle w:val="yFootnoteheading"/>
        <w:spacing w:after="120"/>
      </w:pPr>
      <w:r>
        <w:tab/>
        <w:t>[Heading inserted by No. 9 of 2014 s. 35.]</w:t>
      </w:r>
    </w:p>
    <w:p>
      <w:pPr>
        <w:pStyle w:val="yHeading5"/>
      </w:pPr>
      <w:bookmarkStart w:id="298" w:name="_Toc524061565"/>
      <w:r>
        <w:rPr>
          <w:rStyle w:val="CharSClsNo"/>
        </w:rPr>
        <w:t>1</w:t>
      </w:r>
      <w:r>
        <w:t>.</w:t>
      </w:r>
      <w:r>
        <w:tab/>
        <w:t>Terms used</w:t>
      </w:r>
      <w:bookmarkEnd w:id="298"/>
    </w:p>
    <w:p>
      <w:pPr>
        <w:pStyle w:val="ySubsection"/>
      </w:pPr>
      <w:r>
        <w:tab/>
      </w:r>
      <w:r>
        <w:tab/>
        <w:t xml:space="preserve">In this Division — </w:t>
      </w:r>
    </w:p>
    <w:p>
      <w:pPr>
        <w:pStyle w:val="yDefstart"/>
      </w:pPr>
      <w:r>
        <w:tab/>
      </w:r>
      <w:r>
        <w:rPr>
          <w:rStyle w:val="CharDefText"/>
        </w:rPr>
        <w:t>agreement</w:t>
      </w:r>
      <w:r>
        <w:t xml:space="preserve"> includes a Government agreement;</w:t>
      </w:r>
    </w:p>
    <w:p>
      <w:pPr>
        <w:pStyle w:val="yDefstart"/>
      </w:pPr>
      <w:r>
        <w:tab/>
      </w:r>
      <w:r>
        <w:rPr>
          <w:rStyle w:val="CharDefText"/>
        </w:rPr>
        <w:t>amending Act</w:t>
      </w:r>
      <w:r>
        <w:t xml:space="preserve"> means the </w:t>
      </w:r>
      <w:r>
        <w:rPr>
          <w:i/>
        </w:rPr>
        <w:t>Ports Legislation Amendment Act 2014</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prospective or contingent.</w:t>
      </w:r>
    </w:p>
    <w:p>
      <w:pPr>
        <w:pStyle w:val="yFootnotesection"/>
      </w:pPr>
      <w:r>
        <w:tab/>
        <w:t>[Clause 1 inserted by No. 9 of 2014 s. 35.]</w:t>
      </w:r>
    </w:p>
    <w:p>
      <w:pPr>
        <w:pStyle w:val="yHeading4"/>
      </w:pPr>
      <w:bookmarkStart w:id="299" w:name="_Toc524061566"/>
      <w:r>
        <w:t>Subdivision 2</w:t>
      </w:r>
      <w:r>
        <w:rPr>
          <w:b w:val="0"/>
        </w:rPr>
        <w:t> — </w:t>
      </w:r>
      <w:r>
        <w:t>Provisions for the Southern Ports Authority</w:t>
      </w:r>
      <w:bookmarkEnd w:id="299"/>
    </w:p>
    <w:p>
      <w:pPr>
        <w:pStyle w:val="yFootnoteheading"/>
        <w:spacing w:after="120"/>
      </w:pPr>
      <w:r>
        <w:tab/>
        <w:t>[Heading inserted by No. 9 of 2014 s. 35.]</w:t>
      </w:r>
    </w:p>
    <w:p>
      <w:pPr>
        <w:pStyle w:val="yHeading5"/>
      </w:pPr>
      <w:bookmarkStart w:id="300" w:name="_Toc524061567"/>
      <w:r>
        <w:rPr>
          <w:rStyle w:val="CharSClsNo"/>
        </w:rPr>
        <w:t>2</w:t>
      </w:r>
      <w:r>
        <w:t>.</w:t>
      </w:r>
      <w:r>
        <w:tab/>
        <w:t>Terms used</w:t>
      </w:r>
      <w:bookmarkEnd w:id="300"/>
    </w:p>
    <w:p>
      <w:pPr>
        <w:pStyle w:val="ySubsection"/>
      </w:pPr>
      <w:r>
        <w:tab/>
      </w:r>
      <w:r>
        <w:tab/>
        <w:t xml:space="preserve">In this Subdivision — </w:t>
      </w:r>
    </w:p>
    <w:p>
      <w:pPr>
        <w:pStyle w:val="yDefstart"/>
      </w:pPr>
      <w:r>
        <w:tab/>
      </w:r>
      <w:r>
        <w:rPr>
          <w:rStyle w:val="CharDefText"/>
        </w:rPr>
        <w:t>continuing authority</w:t>
      </w:r>
      <w:r>
        <w:t xml:space="preserve"> means the Bunbury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31(1) of the amending Act; and</w:t>
      </w:r>
    </w:p>
    <w:p>
      <w:pPr>
        <w:pStyle w:val="yDefpara"/>
      </w:pPr>
      <w:r>
        <w:tab/>
        <w:t>(b)</w:t>
      </w:r>
      <w:r>
        <w:tab/>
        <w:t>the merging of the Albany Port Authority and the Esperance Port Authority into the SPA under clause 3(1);</w:t>
      </w:r>
    </w:p>
    <w:p>
      <w:pPr>
        <w:pStyle w:val="yDefstart"/>
      </w:pPr>
      <w:r>
        <w:tab/>
      </w:r>
      <w:r>
        <w:rPr>
          <w:rStyle w:val="CharDefText"/>
        </w:rPr>
        <w:t>merger time</w:t>
      </w:r>
      <w:r>
        <w:t xml:space="preserve"> means the time at which section 31(1) of the amending Act comes into operation;</w:t>
      </w:r>
    </w:p>
    <w:p>
      <w:pPr>
        <w:pStyle w:val="yDefstart"/>
      </w:pPr>
      <w:r>
        <w:tab/>
      </w:r>
      <w:r>
        <w:rPr>
          <w:rStyle w:val="CharDefText"/>
        </w:rPr>
        <w:t>merging authority</w:t>
      </w:r>
      <w:r>
        <w:t xml:space="preserve"> means the Albany Port Authority or the Esperance Port Authority;</w:t>
      </w:r>
    </w:p>
    <w:p>
      <w:pPr>
        <w:pStyle w:val="yDefstart"/>
      </w:pPr>
      <w:r>
        <w:tab/>
      </w:r>
      <w:r>
        <w:rPr>
          <w:rStyle w:val="CharDefText"/>
        </w:rPr>
        <w:t>new board</w:t>
      </w:r>
      <w:r>
        <w:t xml:space="preserve"> means the board of directors established under clause 4(3);</w:t>
      </w:r>
    </w:p>
    <w:p>
      <w:pPr>
        <w:pStyle w:val="yDefstart"/>
      </w:pPr>
      <w:r>
        <w:tab/>
      </w:r>
      <w:r>
        <w:rPr>
          <w:rStyle w:val="CharDefText"/>
        </w:rPr>
        <w:t>SPA</w:t>
      </w:r>
      <w:r>
        <w:t xml:space="preserve"> means the continuing authority as renamed as the Southern Ports Authority by operation of section 31(1)(a) of the amending Act;</w:t>
      </w:r>
    </w:p>
    <w:p>
      <w:pPr>
        <w:pStyle w:val="yDefstart"/>
      </w:pPr>
      <w:r>
        <w:tab/>
      </w:r>
      <w:r>
        <w:rPr>
          <w:rStyle w:val="CharDefText"/>
        </w:rPr>
        <w:t>transitional regulations</w:t>
      </w:r>
      <w:r>
        <w:t xml:space="preserve"> has the meaning given in clause 15(1).</w:t>
      </w:r>
    </w:p>
    <w:p>
      <w:pPr>
        <w:pStyle w:val="yFootnotesection"/>
      </w:pPr>
      <w:r>
        <w:tab/>
        <w:t>[Clause 2 inserted by No. 9 of 2014 s. 35.]</w:t>
      </w:r>
    </w:p>
    <w:p>
      <w:pPr>
        <w:pStyle w:val="yHeading5"/>
      </w:pPr>
      <w:bookmarkStart w:id="301" w:name="_Toc524061568"/>
      <w:r>
        <w:rPr>
          <w:rStyle w:val="CharSClsNo"/>
        </w:rPr>
        <w:t>3</w:t>
      </w:r>
      <w:r>
        <w:t>.</w:t>
      </w:r>
      <w:r>
        <w:tab/>
        <w:t>Merger of Albany Port Authority and Esperance Port Authority into Southern Ports Authority</w:t>
      </w:r>
      <w:bookmarkEnd w:id="301"/>
    </w:p>
    <w:p>
      <w:pPr>
        <w:pStyle w:val="ySubsection"/>
      </w:pPr>
      <w:r>
        <w:tab/>
        <w:t>(1)</w:t>
      </w:r>
      <w:r>
        <w:tab/>
        <w:t>At the merger time the Albany Port Authority and the Esperance Port Authority cease to be port authorities under this Act and merge into the SPA.</w:t>
      </w:r>
    </w:p>
    <w:p>
      <w:pPr>
        <w:pStyle w:val="ySubsection"/>
      </w:pPr>
      <w:r>
        <w:tab/>
        <w:t>(2)</w:t>
      </w:r>
      <w:r>
        <w:tab/>
        <w:t>From the merger time the SPA is a continuation of each of the merging authorities.</w:t>
      </w:r>
    </w:p>
    <w:p>
      <w:pPr>
        <w:pStyle w:val="yFootnotesection"/>
      </w:pPr>
      <w:r>
        <w:tab/>
        <w:t>[Clause 3 inserted by No. 9 of 2014 s. 35.]</w:t>
      </w:r>
    </w:p>
    <w:p>
      <w:pPr>
        <w:pStyle w:val="yHeading5"/>
      </w:pPr>
      <w:bookmarkStart w:id="302" w:name="_Toc524061569"/>
      <w:r>
        <w:rPr>
          <w:rStyle w:val="CharSClsNo"/>
        </w:rPr>
        <w:t>4</w:t>
      </w:r>
      <w:r>
        <w:t>.</w:t>
      </w:r>
      <w:r>
        <w:tab/>
        <w:t>Directors and former directors</w:t>
      </w:r>
      <w:bookmarkEnd w:id="302"/>
    </w:p>
    <w:p>
      <w:pPr>
        <w:pStyle w:val="ySubsection"/>
      </w:pPr>
      <w:r>
        <w:tab/>
        <w:t>(1)</w:t>
      </w:r>
      <w:r>
        <w:tab/>
        <w:t>Immediately before the merger time a person then holding office as a director of a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pPr>
        <w:pStyle w:val="ySubsection"/>
      </w:pPr>
      <w:r>
        <w:tab/>
        <w:t>(3)</w:t>
      </w:r>
      <w:r>
        <w:tab/>
        <w:t>The board of directors of the SPA may be established by the appointment of directors before the merger time.</w:t>
      </w:r>
    </w:p>
    <w:p>
      <w:pPr>
        <w:pStyle w:val="ySubsection"/>
      </w:pPr>
      <w:r>
        <w:tab/>
        <w:t>(4)</w:t>
      </w:r>
      <w:r>
        <w:tab/>
        <w:t xml:space="preserve">For the purposes of Schedule 2 clause 1 the term of office of a director appointed under subclause (3) does not begin until the merger time. </w:t>
      </w:r>
    </w:p>
    <w:p>
      <w:pPr>
        <w:pStyle w:val="ySubsection"/>
      </w:pPr>
      <w:r>
        <w:tab/>
        <w:t>(5)</w:t>
      </w:r>
      <w:r>
        <w:tab/>
        <w:t>Nothing in this Schedule prevents a person who is a director of an existing port authority from being appointed under subclause (3).</w:t>
      </w:r>
    </w:p>
    <w:p>
      <w:pPr>
        <w:pStyle w:val="yFootnotesection"/>
      </w:pPr>
      <w:r>
        <w:tab/>
        <w:t>[Clause 4 inserted by No. 9 of 2014 s. 35.]</w:t>
      </w:r>
    </w:p>
    <w:p>
      <w:pPr>
        <w:pStyle w:val="yHeading5"/>
      </w:pPr>
      <w:bookmarkStart w:id="303" w:name="_Toc524061570"/>
      <w:r>
        <w:rPr>
          <w:rStyle w:val="CharSClsNo"/>
        </w:rPr>
        <w:t>5</w:t>
      </w:r>
      <w:r>
        <w:t>.</w:t>
      </w:r>
      <w:r>
        <w:tab/>
        <w:t>Powers of new board in anticipation of merger</w:t>
      </w:r>
      <w:bookmarkEnd w:id="303"/>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pPr>
      <w:r>
        <w:tab/>
        <w:t>(3)</w:t>
      </w:r>
      <w:r>
        <w:tab/>
        <w:t>For the purposes of subclause (1) the new board may incur costs for which the continuing authority is liable.</w:t>
      </w:r>
    </w:p>
    <w:p>
      <w:pPr>
        <w:pStyle w:val="yFootnotesection"/>
      </w:pPr>
      <w:r>
        <w:tab/>
        <w:t>[Clause 5 inserted by No. 9 of 2014 s. 35.]</w:t>
      </w:r>
    </w:p>
    <w:p>
      <w:pPr>
        <w:pStyle w:val="yHeading5"/>
      </w:pPr>
      <w:bookmarkStart w:id="304" w:name="_Toc524061571"/>
      <w:r>
        <w:rPr>
          <w:rStyle w:val="CharSClsNo"/>
        </w:rPr>
        <w:t>6</w:t>
      </w:r>
      <w:r>
        <w:t>.</w:t>
      </w:r>
      <w:r>
        <w:tab/>
        <w:t>CEOs and members of staff</w:t>
      </w:r>
      <w:bookmarkEnd w:id="304"/>
      <w:r>
        <w:t xml:space="preserve"> </w:t>
      </w:r>
    </w:p>
    <w:p>
      <w:pPr>
        <w:pStyle w:val="ySubsection"/>
      </w:pPr>
      <w:r>
        <w:tab/>
        <w:t>(1)</w:t>
      </w:r>
      <w:r>
        <w:tab/>
        <w:t>Immediately before the merger time a person then holding office as the CEO of the continuing authority or a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a merging authority,</w:t>
      </w:r>
    </w:p>
    <w:p>
      <w:pPr>
        <w:pStyle w:val="ySubsection"/>
      </w:pPr>
      <w:r>
        <w:tab/>
      </w:r>
      <w:r>
        <w:tab/>
        <w:t>immediately before the merger time becomes a member of staff of the SPA.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a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5 include the power to appoint a person as the CEO of the SPA before the merger time.</w:t>
      </w:r>
    </w:p>
    <w:p>
      <w:pPr>
        <w:pStyle w:val="ySubsection"/>
      </w:pPr>
      <w:r>
        <w:tab/>
        <w:t>(6)</w:t>
      </w:r>
      <w:r>
        <w:tab/>
        <w:t>Until the merger time a person appointed under subclause (5) may, as CEO of the SPA, perform any function of a CEO of a port authority for the purpose of providing for, implementing or facilitating the merger.</w:t>
      </w:r>
    </w:p>
    <w:p>
      <w:pPr>
        <w:pStyle w:val="yFootnotesection"/>
      </w:pPr>
      <w:r>
        <w:tab/>
        <w:t>[Clause 6 inserted by No. 9 of 2014 s. 35.]</w:t>
      </w:r>
    </w:p>
    <w:p>
      <w:pPr>
        <w:pStyle w:val="yHeading5"/>
      </w:pPr>
      <w:bookmarkStart w:id="305" w:name="_Toc524061572"/>
      <w:r>
        <w:rPr>
          <w:rStyle w:val="CharSClsNo"/>
        </w:rPr>
        <w:t>7</w:t>
      </w:r>
      <w:r>
        <w:t>.</w:t>
      </w:r>
      <w:r>
        <w:tab/>
        <w:t>Preservation of rights</w:t>
      </w:r>
      <w:bookmarkEnd w:id="305"/>
    </w:p>
    <w:p>
      <w:pPr>
        <w:pStyle w:val="ySubsection"/>
      </w:pPr>
      <w:r>
        <w:tab/>
        <w:t>(1)</w:t>
      </w:r>
      <w:r>
        <w:tab/>
        <w:t>Except as otherwise agreed by the relevant CEO or member of staff, the operation of clause 6(1)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a merging authority is to be taken to have been with the SPA.</w:t>
      </w:r>
    </w:p>
    <w:p>
      <w:pPr>
        <w:pStyle w:val="ySubsection"/>
        <w:keepNext/>
      </w:pPr>
      <w:r>
        <w:tab/>
        <w:t>(3)</w:t>
      </w:r>
      <w:r>
        <w:tab/>
        <w:t>If a person who is the CEO or a member of staff of the continuing authority or a merging authority is appointed under clause 6(5),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a merging authority, his or her service with the merging authority is to be taken, for the purposes of paragraph (c), to have been with the SPA.</w:t>
      </w:r>
    </w:p>
    <w:p>
      <w:pPr>
        <w:pStyle w:val="ySubsection"/>
      </w:pPr>
      <w:r>
        <w:tab/>
        <w:t>(4)</w:t>
      </w:r>
      <w:r>
        <w:tab/>
        <w:t>Nothing in clause 6 or this clause prevents the exercise by the SPA of its powers in relation to the management of members of staff.</w:t>
      </w:r>
    </w:p>
    <w:p>
      <w:pPr>
        <w:pStyle w:val="yFootnotesection"/>
      </w:pPr>
      <w:r>
        <w:tab/>
        <w:t>[Clause 7 inserted by No. 9 of 2014 s. 35.]</w:t>
      </w:r>
    </w:p>
    <w:p>
      <w:pPr>
        <w:pStyle w:val="yHeading5"/>
      </w:pPr>
      <w:bookmarkStart w:id="306" w:name="_Toc524061573"/>
      <w:r>
        <w:rPr>
          <w:rStyle w:val="CharSClsNo"/>
        </w:rPr>
        <w:t>8</w:t>
      </w:r>
      <w:r>
        <w:t>.</w:t>
      </w:r>
      <w:r>
        <w:tab/>
        <w:t>Devolution of assets, liabilities, proceedings, remedies and immunities</w:t>
      </w:r>
      <w:bookmarkEnd w:id="306"/>
    </w:p>
    <w:p>
      <w:pPr>
        <w:pStyle w:val="ySubsection"/>
      </w:pPr>
      <w:r>
        <w:tab/>
        <w:t>(1)</w:t>
      </w:r>
      <w:r>
        <w:tab/>
        <w:t xml:space="preserve">At the merger time — </w:t>
      </w:r>
    </w:p>
    <w:p>
      <w:pPr>
        <w:pStyle w:val="yIndenta"/>
      </w:pPr>
      <w:r>
        <w:tab/>
        <w:t>(a)</w:t>
      </w:r>
      <w:r>
        <w:tab/>
        <w:t>the assets and rights of a merging authority that were immediately before that time vested in or the property of the merging authority vest in or become the property of the SPA by force of this clause; and</w:t>
      </w:r>
    </w:p>
    <w:p>
      <w:pPr>
        <w:pStyle w:val="yIndenta"/>
      </w:pPr>
      <w:r>
        <w:tab/>
        <w:t>(b)</w:t>
      </w:r>
      <w:r>
        <w:tab/>
        <w:t>the liabilities of a merging authority immediately before that time become, by force of this clause, the liabilities of the SPA.</w:t>
      </w:r>
    </w:p>
    <w:p>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pPr>
        <w:pStyle w:val="ySubsection"/>
      </w:pPr>
      <w:r>
        <w:tab/>
        <w:t>(5)</w:t>
      </w:r>
      <w:r>
        <w:tab/>
        <w:t>Where a merging authority had the benefit of any immunity in respect of an act, matter or thing done or omitted before the merger time, that immunity continues in that respect for the benefit of the SPA.</w:t>
      </w:r>
    </w:p>
    <w:p>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pPr>
        <w:pStyle w:val="yFootnotesection"/>
      </w:pPr>
      <w:r>
        <w:tab/>
        <w:t>[Clause 8 inserted by No. 9 of 2014 s. 35.]</w:t>
      </w:r>
    </w:p>
    <w:p>
      <w:pPr>
        <w:pStyle w:val="yHeading5"/>
      </w:pPr>
      <w:bookmarkStart w:id="307" w:name="_Toc524061574"/>
      <w:r>
        <w:rPr>
          <w:rStyle w:val="CharSClsNo"/>
        </w:rPr>
        <w:t>9</w:t>
      </w:r>
      <w:r>
        <w:t>.</w:t>
      </w:r>
      <w:r>
        <w:tab/>
        <w:t>Completion of things commenced</w:t>
      </w:r>
      <w:bookmarkEnd w:id="307"/>
    </w:p>
    <w:p>
      <w:pPr>
        <w:pStyle w:val="ySubsection"/>
      </w:pPr>
      <w:r>
        <w:tab/>
      </w:r>
      <w:r>
        <w:tab/>
        <w:t>Anything commenced to be done by a merging authority before the merger time may be continued by the SPA.</w:t>
      </w:r>
    </w:p>
    <w:p>
      <w:pPr>
        <w:pStyle w:val="yFootnotesection"/>
      </w:pPr>
      <w:r>
        <w:tab/>
        <w:t>[Clause 9 inserted by No. 9 of 2014 s. 35.]</w:t>
      </w:r>
    </w:p>
    <w:p>
      <w:pPr>
        <w:pStyle w:val="yHeading5"/>
      </w:pPr>
      <w:bookmarkStart w:id="308" w:name="_Toc524061575"/>
      <w:r>
        <w:rPr>
          <w:rStyle w:val="CharSClsNo"/>
        </w:rPr>
        <w:t>10</w:t>
      </w:r>
      <w:r>
        <w:t>.</w:t>
      </w:r>
      <w:r>
        <w:tab/>
        <w:t>Continuing effect of things done</w:t>
      </w:r>
      <w:bookmarkEnd w:id="308"/>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a merging authority.</w:t>
      </w:r>
    </w:p>
    <w:p>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pPr>
        <w:pStyle w:val="ySubsection"/>
      </w:pPr>
      <w:r>
        <w:tab/>
        <w:t>(3)</w:t>
      </w:r>
      <w:r>
        <w:tab/>
        <w:t>This clause does not affect the operation of any other provision of this Schedule.</w:t>
      </w:r>
    </w:p>
    <w:p>
      <w:pPr>
        <w:pStyle w:val="yFootnotesection"/>
      </w:pPr>
      <w:r>
        <w:tab/>
        <w:t>[Clause 10 inserted by No. 9 of 2014 s. 35.]</w:t>
      </w:r>
    </w:p>
    <w:p>
      <w:pPr>
        <w:pStyle w:val="yHeading5"/>
      </w:pPr>
      <w:bookmarkStart w:id="309" w:name="_Toc524061576"/>
      <w:r>
        <w:rPr>
          <w:rStyle w:val="CharSClsNo"/>
        </w:rPr>
        <w:t>11</w:t>
      </w:r>
      <w:r>
        <w:t>.</w:t>
      </w:r>
      <w:r>
        <w:tab/>
        <w:t>Agreements, instruments and documents</w:t>
      </w:r>
      <w:bookmarkEnd w:id="309"/>
    </w:p>
    <w:p>
      <w:pPr>
        <w:pStyle w:val="ySubsection"/>
      </w:pPr>
      <w:r>
        <w:tab/>
        <w:t>(1)</w:t>
      </w:r>
      <w:r>
        <w:tab/>
        <w:t xml:space="preserve">In this clause — </w:t>
      </w:r>
    </w:p>
    <w:p>
      <w:pPr>
        <w:pStyle w:val="yDefstart"/>
      </w:pPr>
      <w:r>
        <w:tab/>
      </w:r>
      <w:r>
        <w:rPr>
          <w:rStyle w:val="CharDefText"/>
        </w:rPr>
        <w:t>former name</w:t>
      </w:r>
      <w:r>
        <w:t xml:space="preserve"> means “Bunbury Port Authority”;</w:t>
      </w:r>
    </w:p>
    <w:p>
      <w:pPr>
        <w:pStyle w:val="yDefstart"/>
      </w:pPr>
      <w:r>
        <w:tab/>
      </w:r>
      <w:r>
        <w:rPr>
          <w:rStyle w:val="CharDefText"/>
        </w:rPr>
        <w:t>new name</w:t>
      </w:r>
      <w:r>
        <w:t xml:space="preserve"> means “Southern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SPA is a party to the agreement or instrument under its new name; and</w:t>
      </w:r>
    </w:p>
    <w:p>
      <w:pPr>
        <w:pStyle w:val="yIndenta"/>
      </w:pPr>
      <w:r>
        <w:tab/>
        <w:t>(b)</w:t>
      </w:r>
      <w:r>
        <w:tab/>
        <w:t>the agreement or instrument has effect as if a reference in it to the SPA by its former name were amended to be a reference to the SPA by its new name.</w:t>
      </w:r>
    </w:p>
    <w:p>
      <w:pPr>
        <w:pStyle w:val="ySubsection"/>
      </w:pPr>
      <w:r>
        <w:tab/>
        <w:t>(5)</w:t>
      </w:r>
      <w:r>
        <w:tab/>
        <w:t>A subsisting agreement, instrument or document that contains a reference to a merging authority has effect from the merger time as if that reference were amended to be or include a reference to the SPA.</w:t>
      </w:r>
    </w:p>
    <w:p>
      <w:pPr>
        <w:pStyle w:val="ySubsection"/>
      </w:pPr>
      <w:r>
        <w:tab/>
        <w:t>(6)</w:t>
      </w:r>
      <w:r>
        <w:tab/>
        <w:t>Subclause (5) does not apply to an agreement or instrument to which a merging authority was a party.</w:t>
      </w:r>
    </w:p>
    <w:p>
      <w:pPr>
        <w:pStyle w:val="ySubsection"/>
      </w:pPr>
      <w:r>
        <w:tab/>
        <w:t>(7)</w:t>
      </w:r>
      <w:r>
        <w:tab/>
        <w:t xml:space="preserve">A subsisting agreement or instrument to which a merging authority was a party has effect from the merger time as if — </w:t>
      </w:r>
    </w:p>
    <w:p>
      <w:pPr>
        <w:pStyle w:val="yIndenta"/>
      </w:pPr>
      <w:r>
        <w:tab/>
        <w:t>(a)</w:t>
      </w:r>
      <w:r>
        <w:tab/>
        <w:t>the SPA were substituted for the merging authority as a party to the agreement or instrument; and</w:t>
      </w:r>
    </w:p>
    <w:p>
      <w:pPr>
        <w:pStyle w:val="yIndenta"/>
      </w:pPr>
      <w:r>
        <w:tab/>
        <w:t>(b)</w:t>
      </w:r>
      <w:r>
        <w:tab/>
        <w:t>a reference to the merging authority in the agreement or instrument were amended to be a reference to the SPA.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11 inserted by No. 9 of 2014 s. 35.]</w:t>
      </w:r>
    </w:p>
    <w:p>
      <w:pPr>
        <w:pStyle w:val="yHeading5"/>
      </w:pPr>
      <w:bookmarkStart w:id="310" w:name="_Toc524061577"/>
      <w:r>
        <w:rPr>
          <w:rStyle w:val="CharSClsNo"/>
        </w:rPr>
        <w:t>12</w:t>
      </w:r>
      <w:r>
        <w:t>.</w:t>
      </w:r>
      <w:r>
        <w:tab/>
        <w:t>Port authorities to implement or facilitate merger and share costs</w:t>
      </w:r>
      <w:bookmarkEnd w:id="310"/>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keepNext/>
      </w:pPr>
      <w:r>
        <w:tab/>
        <w:t>(2)</w:t>
      </w:r>
      <w:r>
        <w:tab/>
        <w:t xml:space="preserve">Subclause (1) applies — </w:t>
      </w:r>
    </w:p>
    <w:p>
      <w:pPr>
        <w:pStyle w:val="yIndenta"/>
      </w:pPr>
      <w:r>
        <w:tab/>
        <w:t>(a)</w:t>
      </w:r>
      <w:r>
        <w:tab/>
        <w:t>before the merger time — to the merging authorities and the continuing authority; and</w:t>
      </w:r>
    </w:p>
    <w:p>
      <w:pPr>
        <w:pStyle w:val="yIndenta"/>
      </w:pPr>
      <w:r>
        <w:tab/>
        <w:t>(b)</w:t>
      </w:r>
      <w:r>
        <w:tab/>
        <w:t>after the merger time — to the SPA.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4(3);</w:t>
      </w:r>
    </w:p>
    <w:p>
      <w:pPr>
        <w:pStyle w:val="yIndenta"/>
      </w:pPr>
      <w:r>
        <w:tab/>
        <w:t>(b)</w:t>
      </w:r>
      <w:r>
        <w:tab/>
        <w:t>any remuneration payable to a person appointed under clause 6(5);</w:t>
      </w:r>
    </w:p>
    <w:p>
      <w:pPr>
        <w:pStyle w:val="yIndenta"/>
      </w:pPr>
      <w:r>
        <w:tab/>
        <w:t>(c)</w:t>
      </w:r>
      <w:r>
        <w:tab/>
        <w:t>the costs of the appointment process under clause 6(5);</w:t>
      </w:r>
    </w:p>
    <w:p>
      <w:pPr>
        <w:pStyle w:val="yIndenta"/>
      </w:pPr>
      <w:r>
        <w:tab/>
        <w:t>(d)</w:t>
      </w:r>
      <w:r>
        <w:tab/>
        <w:t>any other costs incurred by the new board under clause 5.</w:t>
      </w:r>
    </w:p>
    <w:p>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authorities are to have regard and give effect to the determination.</w:t>
      </w:r>
    </w:p>
    <w:p>
      <w:pPr>
        <w:pStyle w:val="yFootnotesection"/>
      </w:pPr>
      <w:r>
        <w:tab/>
        <w:t>[Clause 12 inserted by No. 9 of 2014 s. 35.]</w:t>
      </w:r>
    </w:p>
    <w:p>
      <w:pPr>
        <w:pStyle w:val="yHeading5"/>
      </w:pPr>
      <w:bookmarkStart w:id="311" w:name="_Toc524061578"/>
      <w:r>
        <w:rPr>
          <w:rStyle w:val="CharSClsNo"/>
        </w:rPr>
        <w:t>13</w:t>
      </w:r>
      <w:r>
        <w:t>.</w:t>
      </w:r>
      <w:r>
        <w:tab/>
        <w:t>Financial reporting</w:t>
      </w:r>
      <w:bookmarkEnd w:id="311"/>
    </w:p>
    <w:p>
      <w:pPr>
        <w:pStyle w:val="ySubsection"/>
        <w:keepNext/>
      </w:pPr>
      <w:r>
        <w:tab/>
        <w:t>(1)</w:t>
      </w:r>
      <w:r>
        <w:tab/>
        <w:t xml:space="preserve">In this clause — </w:t>
      </w:r>
    </w:p>
    <w:p>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A reporting board must comply with any written directions given to it by the Minister as to the performance of its duties under this clause.</w:t>
      </w:r>
    </w:p>
    <w:p>
      <w:pPr>
        <w:pStyle w:val="ySubsection"/>
      </w:pPr>
      <w:r>
        <w:tab/>
        <w:t>(7)</w:t>
      </w:r>
      <w:r>
        <w:tab/>
        <w:t xml:space="preserve">In order to enable a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a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pPr>
        <w:pStyle w:val="ySubsection"/>
      </w:pPr>
      <w:r>
        <w:tab/>
        <w:t>(11)</w:t>
      </w:r>
      <w:r>
        <w:tab/>
        <w:t>The former directors of a merging authority are to hold office as members of the reporting board of the merging authority for as long as the reporting board remains constituted under subclause (2).</w:t>
      </w:r>
    </w:p>
    <w:p>
      <w:pPr>
        <w:pStyle w:val="ySubsection"/>
      </w:pPr>
      <w:r>
        <w:tab/>
        <w:t>(12)</w:t>
      </w:r>
      <w:r>
        <w:tab/>
        <w:t>If the office of a member of a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a reporting board are to be paid from the funds of the SPA.</w:t>
      </w:r>
    </w:p>
    <w:p>
      <w:pPr>
        <w:pStyle w:val="ySubsection"/>
      </w:pPr>
      <w:r>
        <w:tab/>
        <w:t>(14)</w:t>
      </w:r>
      <w:r>
        <w:tab/>
        <w:t xml:space="preserve">A member of a reporting board is to be taken to be a director of the SPA for the purposes of the </w:t>
      </w:r>
      <w:r>
        <w:rPr>
          <w:i/>
        </w:rPr>
        <w:t>Statutory Corporations (Liability of Directors) Act 1996</w:t>
      </w:r>
      <w:r>
        <w:t>.</w:t>
      </w:r>
    </w:p>
    <w:p>
      <w:pPr>
        <w:pStyle w:val="yFootnotesection"/>
      </w:pPr>
      <w:r>
        <w:tab/>
        <w:t>[Clause 13 inserted by No. 9 of 2014 s. 35.]</w:t>
      </w:r>
    </w:p>
    <w:p>
      <w:pPr>
        <w:pStyle w:val="yHeading5"/>
      </w:pPr>
      <w:bookmarkStart w:id="312" w:name="_Toc524061579"/>
      <w:r>
        <w:rPr>
          <w:rStyle w:val="CharSClsNo"/>
        </w:rPr>
        <w:t>14</w:t>
      </w:r>
      <w:r>
        <w:t>.</w:t>
      </w:r>
      <w:r>
        <w:tab/>
        <w:t>Dividends</w:t>
      </w:r>
      <w:bookmarkEnd w:id="312"/>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pPr>
        <w:pStyle w:val="ySubsection"/>
      </w:pPr>
      <w:r>
        <w:tab/>
        <w:t>(4)</w:t>
      </w:r>
      <w:r>
        <w:tab/>
        <w:t>Any amount that has to be paid to the Treasurer in accordance with subclause (2) or (3) is to be paid from the funds of the SPA.</w:t>
      </w:r>
    </w:p>
    <w:p>
      <w:pPr>
        <w:pStyle w:val="yFootnotesection"/>
      </w:pPr>
      <w:r>
        <w:tab/>
        <w:t>[Clause 14 inserted by No. 9 of 2014 s. 35.]</w:t>
      </w:r>
    </w:p>
    <w:p>
      <w:pPr>
        <w:pStyle w:val="yHeading5"/>
      </w:pPr>
      <w:bookmarkStart w:id="313" w:name="_Toc524061580"/>
      <w:r>
        <w:rPr>
          <w:rStyle w:val="CharSClsNo"/>
        </w:rPr>
        <w:t>15</w:t>
      </w:r>
      <w:r>
        <w:t>.</w:t>
      </w:r>
      <w:r>
        <w:tab/>
        <w:t>Transitional regulations</w:t>
      </w:r>
      <w:bookmarkEnd w:id="313"/>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15 inserted by No. 9 of 2014 s. 35.]</w:t>
      </w:r>
    </w:p>
    <w:p>
      <w:pPr>
        <w:pStyle w:val="yHeading4"/>
      </w:pPr>
      <w:bookmarkStart w:id="314" w:name="_Toc524061581"/>
      <w:r>
        <w:t>Subdivision 3</w:t>
      </w:r>
      <w:r>
        <w:rPr>
          <w:b w:val="0"/>
        </w:rPr>
        <w:t> — </w:t>
      </w:r>
      <w:r>
        <w:t>Provisions for the Mid West Ports Authority</w:t>
      </w:r>
      <w:bookmarkEnd w:id="314"/>
    </w:p>
    <w:p>
      <w:pPr>
        <w:pStyle w:val="yFootnoteheading"/>
        <w:spacing w:after="120"/>
      </w:pPr>
      <w:r>
        <w:tab/>
        <w:t>[Heading inserted by No. 9 of 2014 s. 35.]</w:t>
      </w:r>
    </w:p>
    <w:p>
      <w:pPr>
        <w:pStyle w:val="yHeading5"/>
      </w:pPr>
      <w:bookmarkStart w:id="315" w:name="_Toc524061582"/>
      <w:r>
        <w:rPr>
          <w:rStyle w:val="CharSClsNo"/>
        </w:rPr>
        <w:t>16</w:t>
      </w:r>
      <w:r>
        <w:t>.</w:t>
      </w:r>
      <w:r>
        <w:tab/>
        <w:t>Terms used</w:t>
      </w:r>
      <w:bookmarkEnd w:id="315"/>
    </w:p>
    <w:p>
      <w:pPr>
        <w:pStyle w:val="ySubsection"/>
      </w:pPr>
      <w:r>
        <w:tab/>
      </w:r>
      <w:r>
        <w:tab/>
        <w:t xml:space="preserve">In this Subdivision, unless the contrary intention appears — </w:t>
      </w:r>
    </w:p>
    <w:p>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pPr>
        <w:pStyle w:val="yDefstart"/>
      </w:pPr>
      <w:r>
        <w:tab/>
      </w:r>
      <w:r>
        <w:rPr>
          <w:rStyle w:val="CharDefText"/>
        </w:rPr>
        <w:t>new board</w:t>
      </w:r>
      <w:r>
        <w:t xml:space="preserve"> means the board of directors established under clause 17(3);</w:t>
      </w:r>
    </w:p>
    <w:p>
      <w:pPr>
        <w:pStyle w:val="yDefstart"/>
      </w:pPr>
      <w:r>
        <w:tab/>
      </w:r>
      <w:r>
        <w:rPr>
          <w:rStyle w:val="CharDefText"/>
        </w:rPr>
        <w:t>port authority</w:t>
      </w:r>
      <w:r>
        <w:t xml:space="preserve"> means the Geraldton Port Authority;</w:t>
      </w:r>
    </w:p>
    <w:p>
      <w:pPr>
        <w:pStyle w:val="yDefstart"/>
      </w:pPr>
      <w:r>
        <w:tab/>
      </w:r>
      <w:r>
        <w:rPr>
          <w:rStyle w:val="CharDefText"/>
        </w:rPr>
        <w:t>renaming</w:t>
      </w:r>
      <w:r>
        <w:t xml:space="preserve"> means the action effected by the coming into operation of section 31(2) of the amending Act;</w:t>
      </w:r>
    </w:p>
    <w:p>
      <w:pPr>
        <w:pStyle w:val="yDefstart"/>
      </w:pPr>
      <w:r>
        <w:tab/>
      </w:r>
      <w:r>
        <w:rPr>
          <w:rStyle w:val="CharDefText"/>
        </w:rPr>
        <w:t>renaming time</w:t>
      </w:r>
      <w:r>
        <w:t xml:space="preserve"> means the time at which section 31(2) of the amending Act comes into operation;</w:t>
      </w:r>
    </w:p>
    <w:p>
      <w:pPr>
        <w:pStyle w:val="yDefstart"/>
      </w:pPr>
      <w:r>
        <w:tab/>
      </w:r>
      <w:r>
        <w:rPr>
          <w:rStyle w:val="CharDefText"/>
        </w:rPr>
        <w:t>transitional regulations</w:t>
      </w:r>
      <w:r>
        <w:t xml:space="preserve"> has the meaning given in clause 22(1).</w:t>
      </w:r>
    </w:p>
    <w:p>
      <w:pPr>
        <w:pStyle w:val="yFootnotesection"/>
      </w:pPr>
      <w:r>
        <w:tab/>
        <w:t>[Clause 16 inserted by No. 9 of 2014 s. 35.]</w:t>
      </w:r>
    </w:p>
    <w:p>
      <w:pPr>
        <w:pStyle w:val="yHeading5"/>
      </w:pPr>
      <w:bookmarkStart w:id="316" w:name="_Toc524061583"/>
      <w:r>
        <w:rPr>
          <w:rStyle w:val="CharSClsNo"/>
        </w:rPr>
        <w:t>17</w:t>
      </w:r>
      <w:r>
        <w:t>.</w:t>
      </w:r>
      <w:r>
        <w:tab/>
        <w:t>Directors and former directors</w:t>
      </w:r>
      <w:bookmarkEnd w:id="316"/>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MWPA for the purposes of the </w:t>
      </w:r>
      <w:r>
        <w:rPr>
          <w:i/>
        </w:rPr>
        <w:t>Statutory Corporations (Liability of Directors) Act 1996</w:t>
      </w:r>
      <w:r>
        <w:t>.</w:t>
      </w:r>
    </w:p>
    <w:p>
      <w:pPr>
        <w:pStyle w:val="ySubsection"/>
      </w:pPr>
      <w:r>
        <w:tab/>
        <w:t>(3)</w:t>
      </w:r>
      <w:r>
        <w:tab/>
        <w:t>The board of directors of the MWPA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17 inserted by No. 9 of 2014 s. 35.]</w:t>
      </w:r>
    </w:p>
    <w:p>
      <w:pPr>
        <w:pStyle w:val="yHeading5"/>
      </w:pPr>
      <w:bookmarkStart w:id="317" w:name="_Toc524061584"/>
      <w:r>
        <w:rPr>
          <w:rStyle w:val="CharSClsNo"/>
        </w:rPr>
        <w:t>18</w:t>
      </w:r>
      <w:r>
        <w:t>.</w:t>
      </w:r>
      <w:r>
        <w:tab/>
        <w:t>Powers of new board in anticipation of renaming</w:t>
      </w:r>
      <w:bookmarkEnd w:id="317"/>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18 inserted by No. 9 of 2014 s. 35.]</w:t>
      </w:r>
    </w:p>
    <w:p>
      <w:pPr>
        <w:pStyle w:val="yHeading5"/>
      </w:pPr>
      <w:bookmarkStart w:id="318" w:name="_Toc524061585"/>
      <w:r>
        <w:rPr>
          <w:rStyle w:val="CharSClsNo"/>
        </w:rPr>
        <w:t>19</w:t>
      </w:r>
      <w:r>
        <w:t>.</w:t>
      </w:r>
      <w:r>
        <w:tab/>
        <w:t>CEO and staff</w:t>
      </w:r>
      <w:bookmarkEnd w:id="318"/>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MWPA.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18 include the power to appoint a person as the CEO of the MWPA before the renaming time.</w:t>
      </w:r>
    </w:p>
    <w:p>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19 inserted by No. 9 of 2014 s. 35.]</w:t>
      </w:r>
    </w:p>
    <w:p>
      <w:pPr>
        <w:pStyle w:val="yHeading5"/>
      </w:pPr>
      <w:bookmarkStart w:id="319" w:name="_Toc524061586"/>
      <w:r>
        <w:rPr>
          <w:rStyle w:val="CharSClsNo"/>
        </w:rPr>
        <w:t>20</w:t>
      </w:r>
      <w:r>
        <w:t>.</w:t>
      </w:r>
      <w:r>
        <w:tab/>
        <w:t>Agreements, instruments and documents</w:t>
      </w:r>
      <w:bookmarkEnd w:id="319"/>
    </w:p>
    <w:p>
      <w:pPr>
        <w:pStyle w:val="ySubsection"/>
      </w:pPr>
      <w:r>
        <w:tab/>
        <w:t>(1)</w:t>
      </w:r>
      <w:r>
        <w:tab/>
        <w:t xml:space="preserve">In this clause — </w:t>
      </w:r>
    </w:p>
    <w:p>
      <w:pPr>
        <w:pStyle w:val="yDefstart"/>
      </w:pPr>
      <w:r>
        <w:tab/>
      </w:r>
      <w:r>
        <w:rPr>
          <w:rStyle w:val="CharDefText"/>
        </w:rPr>
        <w:t>former name</w:t>
      </w:r>
      <w:r>
        <w:t xml:space="preserve"> means “Geraldton Port Authority”;</w:t>
      </w:r>
    </w:p>
    <w:p>
      <w:pPr>
        <w:pStyle w:val="yDefstart"/>
      </w:pPr>
      <w:r>
        <w:tab/>
      </w:r>
      <w:r>
        <w:rPr>
          <w:rStyle w:val="CharDefText"/>
        </w:rPr>
        <w:t>new name</w:t>
      </w:r>
      <w:r>
        <w:t xml:space="preserve"> means “</w:t>
      </w:r>
      <w:r>
        <w:rPr>
          <w:szCs w:val="22"/>
        </w:rPr>
        <w:t>Mid West</w:t>
      </w:r>
      <w:r>
        <w:t xml:space="preserve"> Ports Authority”.</w:t>
      </w:r>
    </w:p>
    <w:p>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MWPA is a party to the agreement or instrument under its new name; and</w:t>
      </w:r>
    </w:p>
    <w:p>
      <w:pPr>
        <w:pStyle w:val="yIndenta"/>
      </w:pPr>
      <w:r>
        <w:tab/>
        <w:t>(b)</w:t>
      </w:r>
      <w:r>
        <w:tab/>
        <w:t>the agreement or instrument has effect as if a reference in it to the MWPA by its former name were amended to be a reference to the MWPA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20 inserted by No. 9 of 2014 s. 35.]</w:t>
      </w:r>
    </w:p>
    <w:p>
      <w:pPr>
        <w:pStyle w:val="yHeading5"/>
      </w:pPr>
      <w:bookmarkStart w:id="320" w:name="_Toc524061587"/>
      <w:r>
        <w:rPr>
          <w:rStyle w:val="CharSClsNo"/>
        </w:rPr>
        <w:t>21</w:t>
      </w:r>
      <w:r>
        <w:t>.</w:t>
      </w:r>
      <w:r>
        <w:tab/>
        <w:t>Port authority to implement or facilitate renaming</w:t>
      </w:r>
      <w:bookmarkEnd w:id="320"/>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MWPA.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17(3);</w:t>
      </w:r>
    </w:p>
    <w:p>
      <w:pPr>
        <w:pStyle w:val="yIndenta"/>
      </w:pPr>
      <w:r>
        <w:tab/>
        <w:t>(b)</w:t>
      </w:r>
      <w:r>
        <w:tab/>
        <w:t>any remuneration payable to a person appointed under clause 19(5);</w:t>
      </w:r>
    </w:p>
    <w:p>
      <w:pPr>
        <w:pStyle w:val="yIndenta"/>
      </w:pPr>
      <w:r>
        <w:tab/>
        <w:t>(c)</w:t>
      </w:r>
      <w:r>
        <w:tab/>
        <w:t>the costs of the appointment process under clause 19(5);</w:t>
      </w:r>
    </w:p>
    <w:p>
      <w:pPr>
        <w:pStyle w:val="yIndenta"/>
      </w:pPr>
      <w:r>
        <w:tab/>
        <w:t>(d)</w:t>
      </w:r>
      <w:r>
        <w:tab/>
        <w:t>any other costs incurred by the new board under clause 18.</w:t>
      </w:r>
    </w:p>
    <w:p>
      <w:pPr>
        <w:pStyle w:val="yFootnotesection"/>
      </w:pPr>
      <w:r>
        <w:tab/>
        <w:t>[Clause 21 inserted by No. 9 of 2014 s. 35.]</w:t>
      </w:r>
    </w:p>
    <w:p>
      <w:pPr>
        <w:pStyle w:val="yHeading5"/>
      </w:pPr>
      <w:bookmarkStart w:id="321" w:name="_Toc524061588"/>
      <w:r>
        <w:rPr>
          <w:rStyle w:val="CharSClsNo"/>
        </w:rPr>
        <w:t>22</w:t>
      </w:r>
      <w:r>
        <w:t>.</w:t>
      </w:r>
      <w:r>
        <w:tab/>
        <w:t>Transitional regulations</w:t>
      </w:r>
      <w:bookmarkEnd w:id="321"/>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MWPA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22 inserted by No. 9 of 2014 s. 35.]</w:t>
      </w:r>
    </w:p>
    <w:p>
      <w:pPr>
        <w:pStyle w:val="yHeading4"/>
      </w:pPr>
      <w:bookmarkStart w:id="322" w:name="_Toc524061589"/>
      <w:r>
        <w:t>Subdivision 4</w:t>
      </w:r>
      <w:r>
        <w:rPr>
          <w:b w:val="0"/>
        </w:rPr>
        <w:t> — </w:t>
      </w:r>
      <w:r>
        <w:t>Provisions for the Pilbara Ports Authority</w:t>
      </w:r>
      <w:bookmarkEnd w:id="322"/>
    </w:p>
    <w:p>
      <w:pPr>
        <w:pStyle w:val="yFootnoteheading"/>
        <w:spacing w:after="120"/>
      </w:pPr>
      <w:r>
        <w:tab/>
        <w:t>[Heading inserted by No. 9 of 2014 s. 35.]</w:t>
      </w:r>
    </w:p>
    <w:p>
      <w:pPr>
        <w:pStyle w:val="yHeading5"/>
      </w:pPr>
      <w:bookmarkStart w:id="323" w:name="_Toc524061590"/>
      <w:r>
        <w:rPr>
          <w:rStyle w:val="CharSClsNo"/>
        </w:rPr>
        <w:t>23</w:t>
      </w:r>
      <w:r>
        <w:t>.</w:t>
      </w:r>
      <w:r>
        <w:tab/>
        <w:t>Terms used</w:t>
      </w:r>
      <w:bookmarkEnd w:id="323"/>
    </w:p>
    <w:p>
      <w:pPr>
        <w:pStyle w:val="ySubsection"/>
      </w:pPr>
      <w:r>
        <w:tab/>
      </w:r>
      <w:r>
        <w:tab/>
        <w:t xml:space="preserve">In this Subdivision — </w:t>
      </w:r>
    </w:p>
    <w:p>
      <w:pPr>
        <w:pStyle w:val="yDefstart"/>
      </w:pPr>
      <w:r>
        <w:tab/>
      </w:r>
      <w:r>
        <w:rPr>
          <w:rStyle w:val="CharDefText"/>
        </w:rPr>
        <w:t>continuing authority</w:t>
      </w:r>
      <w:r>
        <w:t xml:space="preserve"> means the Port Hedland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31(3) of the amending Act; and</w:t>
      </w:r>
    </w:p>
    <w:p>
      <w:pPr>
        <w:pStyle w:val="yDefpara"/>
      </w:pPr>
      <w:r>
        <w:tab/>
        <w:t>(b)</w:t>
      </w:r>
      <w:r>
        <w:tab/>
        <w:t>the merging of the Dampier Port Authority into the PPA under clause 24(1);</w:t>
      </w:r>
    </w:p>
    <w:p>
      <w:pPr>
        <w:pStyle w:val="yDefstart"/>
      </w:pPr>
      <w:r>
        <w:tab/>
      </w:r>
      <w:r>
        <w:rPr>
          <w:rStyle w:val="CharDefText"/>
        </w:rPr>
        <w:t>merger time</w:t>
      </w:r>
      <w:r>
        <w:t xml:space="preserve"> means the time at which section 31(3) of the amending Act comes into operation;</w:t>
      </w:r>
    </w:p>
    <w:p>
      <w:pPr>
        <w:pStyle w:val="yDefstart"/>
      </w:pPr>
      <w:r>
        <w:tab/>
      </w:r>
      <w:r>
        <w:rPr>
          <w:rStyle w:val="CharDefText"/>
        </w:rPr>
        <w:t>merging authority</w:t>
      </w:r>
      <w:r>
        <w:t xml:space="preserve"> means the Dampier Port Authority;</w:t>
      </w:r>
    </w:p>
    <w:p>
      <w:pPr>
        <w:pStyle w:val="yDefstart"/>
      </w:pPr>
      <w:r>
        <w:tab/>
      </w:r>
      <w:r>
        <w:rPr>
          <w:rStyle w:val="CharDefText"/>
        </w:rPr>
        <w:t>new board</w:t>
      </w:r>
      <w:r>
        <w:t xml:space="preserve"> means the board of directors established under clause 25(3);</w:t>
      </w:r>
    </w:p>
    <w:p>
      <w:pPr>
        <w:pStyle w:val="yDefstart"/>
      </w:pPr>
      <w:r>
        <w:tab/>
      </w:r>
      <w:r>
        <w:rPr>
          <w:rStyle w:val="CharDefText"/>
        </w:rPr>
        <w:t>PPA</w:t>
      </w:r>
      <w:r>
        <w:t xml:space="preserve"> means the continuing authority as renamed as the Pilbara Ports Authority by operation of section 31(3)(b) of the amending Act;</w:t>
      </w:r>
    </w:p>
    <w:p>
      <w:pPr>
        <w:pStyle w:val="yDefstart"/>
      </w:pPr>
      <w:r>
        <w:tab/>
      </w:r>
      <w:r>
        <w:rPr>
          <w:rStyle w:val="CharDefText"/>
        </w:rPr>
        <w:t>transitional regulations</w:t>
      </w:r>
      <w:r>
        <w:t xml:space="preserve"> has the meaning given in clause 36(1).</w:t>
      </w:r>
    </w:p>
    <w:p>
      <w:pPr>
        <w:pStyle w:val="yFootnotesection"/>
      </w:pPr>
      <w:r>
        <w:tab/>
        <w:t>[Clause 23 inserted by No. 9 of 2014 s. 35.]</w:t>
      </w:r>
    </w:p>
    <w:p>
      <w:pPr>
        <w:pStyle w:val="yHeading5"/>
      </w:pPr>
      <w:bookmarkStart w:id="324" w:name="_Toc524061591"/>
      <w:r>
        <w:rPr>
          <w:rStyle w:val="CharSClsNo"/>
        </w:rPr>
        <w:t>24</w:t>
      </w:r>
      <w:r>
        <w:t>.</w:t>
      </w:r>
      <w:r>
        <w:tab/>
        <w:t>Merger of Dampier Port Authority into Pilbara Ports Authority</w:t>
      </w:r>
      <w:bookmarkEnd w:id="324"/>
    </w:p>
    <w:p>
      <w:pPr>
        <w:pStyle w:val="ySubsection"/>
      </w:pPr>
      <w:r>
        <w:tab/>
        <w:t>(1)</w:t>
      </w:r>
      <w:r>
        <w:tab/>
        <w:t>At the merger time the Dampier Port Authority ceases to be a port authority under this Act and merges into the PPA.</w:t>
      </w:r>
    </w:p>
    <w:p>
      <w:pPr>
        <w:pStyle w:val="ySubsection"/>
      </w:pPr>
      <w:r>
        <w:tab/>
        <w:t>(2)</w:t>
      </w:r>
      <w:r>
        <w:tab/>
        <w:t>From the merger time the PPA is a continuation of the merging authority.</w:t>
      </w:r>
    </w:p>
    <w:p>
      <w:pPr>
        <w:pStyle w:val="yFootnotesection"/>
      </w:pPr>
      <w:r>
        <w:tab/>
        <w:t>[Clause 24 inserted by No. 9 of 2014 s. 35.]</w:t>
      </w:r>
    </w:p>
    <w:p>
      <w:pPr>
        <w:pStyle w:val="yHeading5"/>
      </w:pPr>
      <w:bookmarkStart w:id="325" w:name="_Toc524061592"/>
      <w:r>
        <w:rPr>
          <w:rStyle w:val="CharSClsNo"/>
        </w:rPr>
        <w:t>25</w:t>
      </w:r>
      <w:r>
        <w:t>.</w:t>
      </w:r>
      <w:r>
        <w:tab/>
        <w:t>Directors and former directors</w:t>
      </w:r>
      <w:bookmarkEnd w:id="325"/>
    </w:p>
    <w:p>
      <w:pPr>
        <w:pStyle w:val="ySubsection"/>
      </w:pPr>
      <w:r>
        <w:tab/>
        <w:t>(1)</w:t>
      </w:r>
      <w:r>
        <w:tab/>
        <w:t>Immediately before the merger time a person then holding office as a director of the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pPr>
        <w:pStyle w:val="ySubsection"/>
      </w:pPr>
      <w:r>
        <w:tab/>
        <w:t>(3)</w:t>
      </w:r>
      <w:r>
        <w:tab/>
        <w:t>The board of directors of the PPA may be established by the appointment of directors before the merger time.</w:t>
      </w:r>
    </w:p>
    <w:p>
      <w:pPr>
        <w:pStyle w:val="ySubsection"/>
      </w:pPr>
      <w:r>
        <w:tab/>
        <w:t>(4)</w:t>
      </w:r>
      <w:r>
        <w:tab/>
        <w:t>For the purposes of Schedule 2 clause 1, the term of office of a director appointed under subclause (3) does not begin until the merger time.</w:t>
      </w:r>
    </w:p>
    <w:p>
      <w:pPr>
        <w:pStyle w:val="ySubsection"/>
      </w:pPr>
      <w:r>
        <w:tab/>
        <w:t>(5)</w:t>
      </w:r>
      <w:r>
        <w:tab/>
        <w:t>Nothing in this Schedule prevents a person who is a director of an existing port authority from being appointed under subclause (3).</w:t>
      </w:r>
    </w:p>
    <w:p>
      <w:pPr>
        <w:pStyle w:val="yFootnotesection"/>
      </w:pPr>
      <w:r>
        <w:tab/>
        <w:t>[Clause 25 inserted by No. 9 of 2014 s. 35.]</w:t>
      </w:r>
    </w:p>
    <w:p>
      <w:pPr>
        <w:pStyle w:val="yHeading5"/>
      </w:pPr>
      <w:bookmarkStart w:id="326" w:name="_Toc524061593"/>
      <w:r>
        <w:rPr>
          <w:rStyle w:val="CharSClsNo"/>
        </w:rPr>
        <w:t>26</w:t>
      </w:r>
      <w:r>
        <w:t>.</w:t>
      </w:r>
      <w:r>
        <w:tab/>
        <w:t>Powers of new board in anticipation of merger</w:t>
      </w:r>
      <w:bookmarkEnd w:id="326"/>
      <w:r>
        <w:t xml:space="preserve"> </w:t>
      </w:r>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keepNext/>
      </w:pPr>
      <w:r>
        <w:tab/>
        <w:t>(3)</w:t>
      </w:r>
      <w:r>
        <w:tab/>
        <w:t>For the purposes of subclause (1) the new board may incur costs for which the continuing authority is liable.</w:t>
      </w:r>
    </w:p>
    <w:p>
      <w:pPr>
        <w:pStyle w:val="yFootnotesection"/>
      </w:pPr>
      <w:r>
        <w:tab/>
        <w:t>[Clause 26 inserted by No. 9 of 2014 s. 35.]</w:t>
      </w:r>
    </w:p>
    <w:p>
      <w:pPr>
        <w:pStyle w:val="yHeading5"/>
      </w:pPr>
      <w:bookmarkStart w:id="327" w:name="_Toc524061594"/>
      <w:r>
        <w:rPr>
          <w:rStyle w:val="CharSClsNo"/>
        </w:rPr>
        <w:t>27</w:t>
      </w:r>
      <w:r>
        <w:t>.</w:t>
      </w:r>
      <w:r>
        <w:tab/>
        <w:t>CEOs and members of staff</w:t>
      </w:r>
      <w:bookmarkEnd w:id="327"/>
      <w:r>
        <w:t xml:space="preserve"> </w:t>
      </w:r>
    </w:p>
    <w:p>
      <w:pPr>
        <w:pStyle w:val="ySubsection"/>
      </w:pPr>
      <w:r>
        <w:tab/>
        <w:t>(1)</w:t>
      </w:r>
      <w:r>
        <w:tab/>
        <w:t>Immediately before the merger time a person then holding office as the CEO of the continuing authority or the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the merging authority,</w:t>
      </w:r>
    </w:p>
    <w:p>
      <w:pPr>
        <w:pStyle w:val="ySubsection"/>
      </w:pPr>
      <w:r>
        <w:tab/>
      </w:r>
      <w:r>
        <w:tab/>
        <w:t>immediately before the merger time becomes a member of staff of the PPA.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the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26 include the power to appoint a person as the CEO of the PPA before the merger time.</w:t>
      </w:r>
    </w:p>
    <w:p>
      <w:pPr>
        <w:pStyle w:val="ySubsection"/>
      </w:pPr>
      <w:r>
        <w:tab/>
        <w:t>(6)</w:t>
      </w:r>
      <w:r>
        <w:tab/>
        <w:t>Until the merger time a person appointed under subclause (5) may, as CEO of the PPA, perform any function of a CEO of a port authority for the purpose of providing for, implementing or facilitating the merger.</w:t>
      </w:r>
    </w:p>
    <w:p>
      <w:pPr>
        <w:pStyle w:val="yFootnotesection"/>
      </w:pPr>
      <w:r>
        <w:tab/>
        <w:t>[Clause 27 inserted by No. 9 of 2014 s. 35.]</w:t>
      </w:r>
    </w:p>
    <w:p>
      <w:pPr>
        <w:pStyle w:val="yHeading5"/>
      </w:pPr>
      <w:bookmarkStart w:id="328" w:name="_Toc524061595"/>
      <w:r>
        <w:rPr>
          <w:rStyle w:val="CharSClsNo"/>
        </w:rPr>
        <w:t>28</w:t>
      </w:r>
      <w:r>
        <w:t>.</w:t>
      </w:r>
      <w:r>
        <w:tab/>
        <w:t>Preservation of rights</w:t>
      </w:r>
      <w:bookmarkEnd w:id="328"/>
    </w:p>
    <w:p>
      <w:pPr>
        <w:pStyle w:val="ySubsection"/>
      </w:pPr>
      <w:r>
        <w:tab/>
        <w:t>(1)</w:t>
      </w:r>
      <w:r>
        <w:tab/>
        <w:t>Except as otherwise agreed by the relevant CEO or member of staff, the operation of clause 27(1)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the merging authority is to be taken to have been with the PPA.</w:t>
      </w:r>
    </w:p>
    <w:p>
      <w:pPr>
        <w:pStyle w:val="ySubsection"/>
      </w:pPr>
      <w:r>
        <w:tab/>
        <w:t>(3)</w:t>
      </w:r>
      <w:r>
        <w:tab/>
        <w:t>If a person who is the CEO or a member of staff of the continuing authority or the merging authority is appointed under clause 27(5),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the merging authority, his or her service with the merging authority is to be taken, for the purposes of paragraph (c), to have been with the PPA.</w:t>
      </w:r>
    </w:p>
    <w:p>
      <w:pPr>
        <w:pStyle w:val="ySubsection"/>
      </w:pPr>
      <w:r>
        <w:tab/>
        <w:t>(4)</w:t>
      </w:r>
      <w:r>
        <w:tab/>
        <w:t>Nothing in clause 27 or this clause prevents the exercise by the PPA of its powers in relation to the management of members of staff.</w:t>
      </w:r>
    </w:p>
    <w:p>
      <w:pPr>
        <w:pStyle w:val="yFootnotesection"/>
      </w:pPr>
      <w:r>
        <w:tab/>
        <w:t>[Clause 28 inserted by No. 9 of 2014 s. 35.]</w:t>
      </w:r>
    </w:p>
    <w:p>
      <w:pPr>
        <w:pStyle w:val="yHeading5"/>
      </w:pPr>
      <w:bookmarkStart w:id="329" w:name="_Toc524061596"/>
      <w:r>
        <w:rPr>
          <w:rStyle w:val="CharSClsNo"/>
        </w:rPr>
        <w:t>29</w:t>
      </w:r>
      <w:r>
        <w:t>.</w:t>
      </w:r>
      <w:r>
        <w:tab/>
        <w:t>Devolution of assets, liabilities, proceedings, remedies and immunities</w:t>
      </w:r>
      <w:bookmarkEnd w:id="329"/>
    </w:p>
    <w:p>
      <w:pPr>
        <w:pStyle w:val="ySubsection"/>
      </w:pPr>
      <w:r>
        <w:tab/>
        <w:t>(1)</w:t>
      </w:r>
      <w:r>
        <w:tab/>
        <w:t xml:space="preserve">At the merger time — </w:t>
      </w:r>
    </w:p>
    <w:p>
      <w:pPr>
        <w:pStyle w:val="yIndenta"/>
      </w:pPr>
      <w:r>
        <w:tab/>
        <w:t>(a)</w:t>
      </w:r>
      <w:r>
        <w:tab/>
        <w:t>the assets and rights of the merging authority that were immediately before that time vested in or the property of the merging authority vest in or become the property of the PPA by force of this clause; and</w:t>
      </w:r>
    </w:p>
    <w:p>
      <w:pPr>
        <w:pStyle w:val="yIndenta"/>
      </w:pPr>
      <w:r>
        <w:tab/>
        <w:t>(b)</w:t>
      </w:r>
      <w:r>
        <w:tab/>
        <w:t>the liabilities of the merging authority immediately before that time become, by force of this clause, the liabilities of the PPA.</w:t>
      </w:r>
    </w:p>
    <w:p>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pPr>
        <w:pStyle w:val="ySubsection"/>
      </w:pPr>
      <w:r>
        <w:tab/>
        <w:t>(5)</w:t>
      </w:r>
      <w:r>
        <w:tab/>
        <w:t>Where the merging authority had the benefit of any immunity in respect of an act, matter or thing done or omitted before the merger time, that immunity continues in that respect for the benefit of the PPA.</w:t>
      </w:r>
    </w:p>
    <w:p>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pPr>
        <w:pStyle w:val="yFootnotesection"/>
      </w:pPr>
      <w:r>
        <w:tab/>
        <w:t>[Clause 29 inserted by No. 9 of 2014 s. 35.]</w:t>
      </w:r>
    </w:p>
    <w:p>
      <w:pPr>
        <w:pStyle w:val="yHeading5"/>
      </w:pPr>
      <w:bookmarkStart w:id="330" w:name="_Toc524061597"/>
      <w:r>
        <w:rPr>
          <w:rStyle w:val="CharSClsNo"/>
        </w:rPr>
        <w:t>30</w:t>
      </w:r>
      <w:r>
        <w:t>.</w:t>
      </w:r>
      <w:r>
        <w:tab/>
        <w:t>Completion of things commenced</w:t>
      </w:r>
      <w:bookmarkEnd w:id="330"/>
    </w:p>
    <w:p>
      <w:pPr>
        <w:pStyle w:val="ySubsection"/>
      </w:pPr>
      <w:r>
        <w:tab/>
      </w:r>
      <w:r>
        <w:tab/>
        <w:t>Anything commenced to be done by the merging authority before the merger time may be continued by the PPA.</w:t>
      </w:r>
    </w:p>
    <w:p>
      <w:pPr>
        <w:pStyle w:val="yFootnotesection"/>
      </w:pPr>
      <w:r>
        <w:tab/>
        <w:t>[Clause 30 inserted by No. 9 of 2014 s. 35.]</w:t>
      </w:r>
    </w:p>
    <w:p>
      <w:pPr>
        <w:pStyle w:val="yHeading5"/>
      </w:pPr>
      <w:bookmarkStart w:id="331" w:name="_Toc524061598"/>
      <w:r>
        <w:rPr>
          <w:rStyle w:val="CharSClsNo"/>
        </w:rPr>
        <w:t>31</w:t>
      </w:r>
      <w:r>
        <w:t>.</w:t>
      </w:r>
      <w:r>
        <w:tab/>
        <w:t>Continuing effect of things done</w:t>
      </w:r>
      <w:bookmarkEnd w:id="331"/>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the merging authority.</w:t>
      </w:r>
    </w:p>
    <w:p>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pPr>
        <w:pStyle w:val="ySubsection"/>
      </w:pPr>
      <w:r>
        <w:tab/>
        <w:t>(3)</w:t>
      </w:r>
      <w:r>
        <w:tab/>
        <w:t>This clause does not affect the operation of any other provision of this Schedule.</w:t>
      </w:r>
    </w:p>
    <w:p>
      <w:pPr>
        <w:pStyle w:val="yFootnotesection"/>
      </w:pPr>
      <w:r>
        <w:tab/>
        <w:t>[Clause 31 inserted by No. 9 of 2014 s. 35.]</w:t>
      </w:r>
    </w:p>
    <w:p>
      <w:pPr>
        <w:pStyle w:val="yHeading5"/>
      </w:pPr>
      <w:bookmarkStart w:id="332" w:name="_Toc524061599"/>
      <w:r>
        <w:rPr>
          <w:rStyle w:val="CharSClsNo"/>
        </w:rPr>
        <w:t>32</w:t>
      </w:r>
      <w:r>
        <w:t>.</w:t>
      </w:r>
      <w:r>
        <w:tab/>
        <w:t>Agreements, instruments and documents</w:t>
      </w:r>
      <w:bookmarkEnd w:id="332"/>
    </w:p>
    <w:p>
      <w:pPr>
        <w:pStyle w:val="ySubsection"/>
      </w:pPr>
      <w:r>
        <w:tab/>
        <w:t>(1)</w:t>
      </w:r>
      <w:r>
        <w:tab/>
        <w:t xml:space="preserve">In this clause — </w:t>
      </w:r>
    </w:p>
    <w:p>
      <w:pPr>
        <w:pStyle w:val="yDefstart"/>
      </w:pPr>
      <w:r>
        <w:tab/>
      </w:r>
      <w:r>
        <w:rPr>
          <w:rStyle w:val="CharDefText"/>
        </w:rPr>
        <w:t>former name</w:t>
      </w:r>
      <w:r>
        <w:t xml:space="preserve"> means “Port Hedland Port Authority”;</w:t>
      </w:r>
    </w:p>
    <w:p>
      <w:pPr>
        <w:pStyle w:val="yDefstart"/>
      </w:pPr>
      <w:r>
        <w:tab/>
      </w:r>
      <w:r>
        <w:rPr>
          <w:rStyle w:val="CharDefText"/>
        </w:rPr>
        <w:t>new name</w:t>
      </w:r>
      <w:r>
        <w:t xml:space="preserve"> means “Pilbara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PPA is a party to the agreement or instrument under its new name; and</w:t>
      </w:r>
    </w:p>
    <w:p>
      <w:pPr>
        <w:pStyle w:val="yIndenta"/>
      </w:pPr>
      <w:r>
        <w:tab/>
        <w:t>(b)</w:t>
      </w:r>
      <w:r>
        <w:tab/>
        <w:t>the agreement or instrument has effect as if a reference in it to the PPA by its former name were amended to be a reference to the PPA by its new name.</w:t>
      </w:r>
    </w:p>
    <w:p>
      <w:pPr>
        <w:pStyle w:val="ySubsection"/>
      </w:pPr>
      <w:r>
        <w:tab/>
        <w:t>(5)</w:t>
      </w:r>
      <w:r>
        <w:tab/>
        <w:t>A subsisting agreement, instrument or document that contains a reference to the merging authority has effect from the merger time as if that reference were amended to be or include a reference to the PPA.</w:t>
      </w:r>
    </w:p>
    <w:p>
      <w:pPr>
        <w:pStyle w:val="ySubsection"/>
      </w:pPr>
      <w:r>
        <w:tab/>
        <w:t>(6)</w:t>
      </w:r>
      <w:r>
        <w:tab/>
        <w:t>Subclause (5) does not apply to an agreement or instrument to which the merging authority was a party.</w:t>
      </w:r>
    </w:p>
    <w:p>
      <w:pPr>
        <w:pStyle w:val="ySubsection"/>
      </w:pPr>
      <w:r>
        <w:tab/>
        <w:t>(7)</w:t>
      </w:r>
      <w:r>
        <w:tab/>
        <w:t xml:space="preserve">A subsisting agreement or instrument to which the merging authority was a party has effect from the merger time as if — </w:t>
      </w:r>
    </w:p>
    <w:p>
      <w:pPr>
        <w:pStyle w:val="yIndenta"/>
      </w:pPr>
      <w:r>
        <w:tab/>
        <w:t>(a)</w:t>
      </w:r>
      <w:r>
        <w:tab/>
        <w:t>the PPA were substituted for the merging authority as a party to the agreement or instrument; and</w:t>
      </w:r>
    </w:p>
    <w:p>
      <w:pPr>
        <w:pStyle w:val="yIndenta"/>
      </w:pPr>
      <w:r>
        <w:tab/>
        <w:t>(b)</w:t>
      </w:r>
      <w:r>
        <w:tab/>
        <w:t>a reference to the merging authority in the agreement or instrument were amended to be a reference to the PPA.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32 inserted by No. 9 of 2014 s. 35.]</w:t>
      </w:r>
    </w:p>
    <w:p>
      <w:pPr>
        <w:pStyle w:val="yHeading5"/>
      </w:pPr>
      <w:bookmarkStart w:id="333" w:name="_Toc524061600"/>
      <w:r>
        <w:rPr>
          <w:rStyle w:val="CharSClsNo"/>
        </w:rPr>
        <w:t>33</w:t>
      </w:r>
      <w:r>
        <w:t>.</w:t>
      </w:r>
      <w:r>
        <w:tab/>
        <w:t>Port authorities to implement or facilitate merger and share costs</w:t>
      </w:r>
      <w:bookmarkEnd w:id="333"/>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pPr>
      <w:r>
        <w:tab/>
        <w:t>(2)</w:t>
      </w:r>
      <w:r>
        <w:tab/>
        <w:t xml:space="preserve">Subclause (1) applies — </w:t>
      </w:r>
    </w:p>
    <w:p>
      <w:pPr>
        <w:pStyle w:val="yIndenta"/>
      </w:pPr>
      <w:r>
        <w:tab/>
        <w:t>(a)</w:t>
      </w:r>
      <w:r>
        <w:tab/>
        <w:t>before the merger time — to the merging authority and the continuing authority; and</w:t>
      </w:r>
    </w:p>
    <w:p>
      <w:pPr>
        <w:pStyle w:val="yIndenta"/>
      </w:pPr>
      <w:r>
        <w:tab/>
        <w:t>(b)</w:t>
      </w:r>
      <w:r>
        <w:tab/>
        <w:t>after the merger time — to the PPA.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25(3);</w:t>
      </w:r>
    </w:p>
    <w:p>
      <w:pPr>
        <w:pStyle w:val="yIndenta"/>
      </w:pPr>
      <w:r>
        <w:tab/>
        <w:t>(b)</w:t>
      </w:r>
      <w:r>
        <w:tab/>
        <w:t>any remuneration payable to a person appointed under clause 27(5);</w:t>
      </w:r>
    </w:p>
    <w:p>
      <w:pPr>
        <w:pStyle w:val="yIndenta"/>
      </w:pPr>
      <w:r>
        <w:tab/>
        <w:t>(c)</w:t>
      </w:r>
      <w:r>
        <w:tab/>
        <w:t>the costs of the appointment process under clause 27(5);</w:t>
      </w:r>
    </w:p>
    <w:p>
      <w:pPr>
        <w:pStyle w:val="yIndenta"/>
      </w:pPr>
      <w:r>
        <w:tab/>
        <w:t>(d)</w:t>
      </w:r>
      <w:r>
        <w:tab/>
        <w:t>any other costs incurred by the new board under clause 26.</w:t>
      </w:r>
    </w:p>
    <w:p>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authority are to have regard and give effect to the determination.</w:t>
      </w:r>
    </w:p>
    <w:p>
      <w:pPr>
        <w:pStyle w:val="yFootnotesection"/>
      </w:pPr>
      <w:r>
        <w:tab/>
        <w:t>[Clause 33 inserted by No. 9 of 2014 s. 35.]</w:t>
      </w:r>
    </w:p>
    <w:p>
      <w:pPr>
        <w:pStyle w:val="yHeading5"/>
      </w:pPr>
      <w:bookmarkStart w:id="334" w:name="_Toc524061601"/>
      <w:r>
        <w:rPr>
          <w:rStyle w:val="CharSClsNo"/>
        </w:rPr>
        <w:t>34</w:t>
      </w:r>
      <w:r>
        <w:t>.</w:t>
      </w:r>
      <w:r>
        <w:tab/>
        <w:t>Financial reporting</w:t>
      </w:r>
      <w:bookmarkEnd w:id="334"/>
    </w:p>
    <w:p>
      <w:pPr>
        <w:pStyle w:val="ySubsection"/>
      </w:pPr>
      <w:r>
        <w:tab/>
        <w:t>(1)</w:t>
      </w:r>
      <w:r>
        <w:tab/>
        <w:t xml:space="preserve">In this clause — </w:t>
      </w:r>
    </w:p>
    <w:p>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pPr>
        <w:pStyle w:val="yDefstart"/>
      </w:pPr>
      <w:r>
        <w:rPr>
          <w:i/>
          <w:iCs/>
        </w:rPr>
        <w:tab/>
      </w:r>
      <w:r>
        <w:rPr>
          <w:rStyle w:val="CharDefText"/>
          <w:iCs/>
        </w:rPr>
        <w:t>reporting board</w:t>
      </w:r>
      <w:r>
        <w:t xml:space="preserve">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pPr>
        <w:pStyle w:val="ySubsection"/>
      </w:pPr>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The reporting board must comply with any written directions given to it by the Minister as to the performance of its duties under this clause.</w:t>
      </w:r>
    </w:p>
    <w:p>
      <w:pPr>
        <w:pStyle w:val="ySubsection"/>
      </w:pPr>
      <w:r>
        <w:tab/>
        <w:t>(7)</w:t>
      </w:r>
      <w:r>
        <w:tab/>
        <w:t xml:space="preserve">In order to enable the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the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pPr>
        <w:pStyle w:val="ySubsection"/>
      </w:pPr>
      <w:r>
        <w:tab/>
        <w:t>(11)</w:t>
      </w:r>
      <w:r>
        <w:tab/>
        <w:t>The former directors of the merging authority are to hold office as members of the reporting board for as long as the reporting board remains constituted under subclause (2).</w:t>
      </w:r>
    </w:p>
    <w:p>
      <w:pPr>
        <w:pStyle w:val="ySubsection"/>
      </w:pPr>
      <w:r>
        <w:tab/>
        <w:t>(12)</w:t>
      </w:r>
      <w:r>
        <w:tab/>
        <w:t>If the office of a member of the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the reporting board are to be paid from the funds of the PPA.</w:t>
      </w:r>
    </w:p>
    <w:p>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pPr>
        <w:pStyle w:val="yFootnotesection"/>
      </w:pPr>
      <w:r>
        <w:tab/>
        <w:t>[Clause 34 inserted by No. 9 of 2014 s. 35.]</w:t>
      </w:r>
    </w:p>
    <w:p>
      <w:pPr>
        <w:pStyle w:val="yHeading5"/>
      </w:pPr>
      <w:bookmarkStart w:id="335" w:name="_Toc524061602"/>
      <w:r>
        <w:rPr>
          <w:rStyle w:val="CharSClsNo"/>
        </w:rPr>
        <w:t>35</w:t>
      </w:r>
      <w:r>
        <w:t>.</w:t>
      </w:r>
      <w:r>
        <w:tab/>
        <w:t>Dividends</w:t>
      </w:r>
      <w:bookmarkEnd w:id="335"/>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pPr>
        <w:pStyle w:val="ySubsection"/>
      </w:pPr>
      <w:r>
        <w:tab/>
        <w:t>(3)</w:t>
      </w:r>
      <w:r>
        <w:tab/>
        <w:t>If the merger time coincides with the end of a financial year of the merging authority, the PPA or its board is to perform the dividend functions in relation to that financial year as if the PPA were the merging authority.</w:t>
      </w:r>
    </w:p>
    <w:p>
      <w:pPr>
        <w:pStyle w:val="ySubsection"/>
      </w:pPr>
      <w:r>
        <w:tab/>
        <w:t>(4)</w:t>
      </w:r>
      <w:r>
        <w:tab/>
        <w:t>Any amount that has to be paid to the Treasurer in accordance with subclause (2) or (3) is to be paid from the funds of the PPA.</w:t>
      </w:r>
    </w:p>
    <w:p>
      <w:pPr>
        <w:pStyle w:val="yFootnotesection"/>
      </w:pPr>
      <w:r>
        <w:tab/>
        <w:t>[Clause 35 inserted by No. 9 of 2014 s. 35.]</w:t>
      </w:r>
    </w:p>
    <w:p>
      <w:pPr>
        <w:pStyle w:val="yHeading5"/>
      </w:pPr>
      <w:bookmarkStart w:id="336" w:name="_Toc524061603"/>
      <w:r>
        <w:rPr>
          <w:rStyle w:val="CharSClsNo"/>
        </w:rPr>
        <w:t>36</w:t>
      </w:r>
      <w:r>
        <w:t>.</w:t>
      </w:r>
      <w:r>
        <w:tab/>
        <w:t>Transitional regulations</w:t>
      </w:r>
      <w:bookmarkEnd w:id="336"/>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36 inserted by No. 9 of 2014 s. 35.]</w:t>
      </w:r>
    </w:p>
    <w:p>
      <w:pPr>
        <w:pStyle w:val="yHeading4"/>
      </w:pPr>
      <w:bookmarkStart w:id="337" w:name="_Toc524061604"/>
      <w:r>
        <w:t>Subdivision 5</w:t>
      </w:r>
      <w:r>
        <w:rPr>
          <w:b w:val="0"/>
        </w:rPr>
        <w:t> — </w:t>
      </w:r>
      <w:r>
        <w:t>Provisions for the Kimberley Ports Authority</w:t>
      </w:r>
      <w:bookmarkEnd w:id="337"/>
    </w:p>
    <w:p>
      <w:pPr>
        <w:pStyle w:val="yFootnoteheading"/>
        <w:spacing w:after="120"/>
      </w:pPr>
      <w:r>
        <w:tab/>
        <w:t>[Heading inserted by No. 9 of 2014 s. 35.]</w:t>
      </w:r>
    </w:p>
    <w:p>
      <w:pPr>
        <w:pStyle w:val="yHeading5"/>
      </w:pPr>
      <w:bookmarkStart w:id="338" w:name="_Toc524061605"/>
      <w:r>
        <w:rPr>
          <w:rStyle w:val="CharSClsNo"/>
        </w:rPr>
        <w:t>37</w:t>
      </w:r>
      <w:r>
        <w:t>.</w:t>
      </w:r>
      <w:r>
        <w:tab/>
        <w:t>Terms used</w:t>
      </w:r>
      <w:bookmarkEnd w:id="338"/>
    </w:p>
    <w:p>
      <w:pPr>
        <w:pStyle w:val="ySubsection"/>
      </w:pPr>
      <w:r>
        <w:tab/>
      </w:r>
      <w:r>
        <w:tab/>
        <w:t xml:space="preserve">In this Subdivision — </w:t>
      </w:r>
    </w:p>
    <w:p>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pPr>
        <w:pStyle w:val="yDefstart"/>
      </w:pPr>
      <w:r>
        <w:tab/>
      </w:r>
      <w:r>
        <w:rPr>
          <w:rStyle w:val="CharDefText"/>
        </w:rPr>
        <w:t>new board</w:t>
      </w:r>
      <w:r>
        <w:t xml:space="preserve"> means the board of directors established under clause 38(3);</w:t>
      </w:r>
    </w:p>
    <w:p>
      <w:pPr>
        <w:pStyle w:val="yDefstart"/>
      </w:pPr>
      <w:r>
        <w:tab/>
      </w:r>
      <w:r>
        <w:rPr>
          <w:rStyle w:val="CharDefText"/>
        </w:rPr>
        <w:t>port authority</w:t>
      </w:r>
      <w:r>
        <w:t xml:space="preserve"> means the Broome Port Authority;</w:t>
      </w:r>
    </w:p>
    <w:p>
      <w:pPr>
        <w:pStyle w:val="yDefstart"/>
      </w:pPr>
      <w:r>
        <w:tab/>
      </w:r>
      <w:r>
        <w:rPr>
          <w:rStyle w:val="CharDefText"/>
        </w:rPr>
        <w:t>renaming</w:t>
      </w:r>
      <w:r>
        <w:t xml:space="preserve"> means the action effected by the coming into operation of section 31(4) of the amending Act;</w:t>
      </w:r>
    </w:p>
    <w:p>
      <w:pPr>
        <w:pStyle w:val="yDefstart"/>
      </w:pPr>
      <w:r>
        <w:tab/>
      </w:r>
      <w:r>
        <w:rPr>
          <w:rStyle w:val="CharDefText"/>
        </w:rPr>
        <w:t>renaming time</w:t>
      </w:r>
      <w:r>
        <w:t xml:space="preserve"> means the time at which section 31(4) of the amending Act comes into operation;</w:t>
      </w:r>
    </w:p>
    <w:p>
      <w:pPr>
        <w:pStyle w:val="yDefstart"/>
      </w:pPr>
      <w:r>
        <w:tab/>
      </w:r>
      <w:r>
        <w:rPr>
          <w:rStyle w:val="CharDefText"/>
        </w:rPr>
        <w:t>transitional regulations</w:t>
      </w:r>
      <w:r>
        <w:t xml:space="preserve"> has the meaning given in clause 43(1).</w:t>
      </w:r>
    </w:p>
    <w:p>
      <w:pPr>
        <w:pStyle w:val="yFootnotesection"/>
      </w:pPr>
      <w:r>
        <w:tab/>
        <w:t>[Clause 37 inserted by No. 9 of 2014 s. 35.]</w:t>
      </w:r>
    </w:p>
    <w:p>
      <w:pPr>
        <w:pStyle w:val="yHeading5"/>
      </w:pPr>
      <w:bookmarkStart w:id="339" w:name="_Toc524061606"/>
      <w:r>
        <w:rPr>
          <w:rStyle w:val="CharSClsNo"/>
        </w:rPr>
        <w:t>38</w:t>
      </w:r>
      <w:r>
        <w:t>.</w:t>
      </w:r>
      <w:r>
        <w:tab/>
        <w:t>Directors and former directors</w:t>
      </w:r>
      <w:bookmarkEnd w:id="339"/>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pPr>
        <w:pStyle w:val="ySubsection"/>
      </w:pPr>
      <w:r>
        <w:tab/>
        <w:t>(3)</w:t>
      </w:r>
      <w:r>
        <w:tab/>
        <w:t>The board of directors of the KPA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38 inserted by No. 9 of 2014 s. 35.]</w:t>
      </w:r>
    </w:p>
    <w:p>
      <w:pPr>
        <w:pStyle w:val="yHeading5"/>
      </w:pPr>
      <w:bookmarkStart w:id="340" w:name="_Toc524061607"/>
      <w:r>
        <w:rPr>
          <w:rStyle w:val="CharSClsNo"/>
        </w:rPr>
        <w:t>39</w:t>
      </w:r>
      <w:r>
        <w:t>.</w:t>
      </w:r>
      <w:r>
        <w:tab/>
        <w:t>Powers of new board in anticipation of renaming</w:t>
      </w:r>
      <w:bookmarkEnd w:id="340"/>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39 inserted by No. 9 of 2014 s. 35.]</w:t>
      </w:r>
    </w:p>
    <w:p>
      <w:pPr>
        <w:pStyle w:val="yHeading5"/>
      </w:pPr>
      <w:bookmarkStart w:id="341" w:name="_Toc524061608"/>
      <w:r>
        <w:rPr>
          <w:rStyle w:val="CharSClsNo"/>
        </w:rPr>
        <w:t>40</w:t>
      </w:r>
      <w:r>
        <w:t>.</w:t>
      </w:r>
      <w:r>
        <w:tab/>
        <w:t>CEO and staff</w:t>
      </w:r>
      <w:bookmarkEnd w:id="341"/>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KPA.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39 include the power to appoint a person as the CEO of the KPA before the renaming time.</w:t>
      </w:r>
    </w:p>
    <w:p>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40 inserted by No. 9 of 2014 s. 35.]</w:t>
      </w:r>
    </w:p>
    <w:p>
      <w:pPr>
        <w:pStyle w:val="yHeading5"/>
      </w:pPr>
      <w:bookmarkStart w:id="342" w:name="_Toc524061609"/>
      <w:r>
        <w:rPr>
          <w:rStyle w:val="CharSClsNo"/>
        </w:rPr>
        <w:t>41</w:t>
      </w:r>
      <w:r>
        <w:t>.</w:t>
      </w:r>
      <w:r>
        <w:tab/>
        <w:t>Agreements, instruments and documents</w:t>
      </w:r>
      <w:bookmarkEnd w:id="342"/>
    </w:p>
    <w:p>
      <w:pPr>
        <w:pStyle w:val="ySubsection"/>
      </w:pPr>
      <w:r>
        <w:tab/>
        <w:t>(1)</w:t>
      </w:r>
      <w:r>
        <w:tab/>
        <w:t xml:space="preserve">In this clause — </w:t>
      </w:r>
    </w:p>
    <w:p>
      <w:pPr>
        <w:pStyle w:val="yDefstart"/>
      </w:pPr>
      <w:r>
        <w:tab/>
      </w:r>
      <w:r>
        <w:rPr>
          <w:rStyle w:val="CharDefText"/>
        </w:rPr>
        <w:t>former name</w:t>
      </w:r>
      <w:r>
        <w:t xml:space="preserve"> means “Broome Port Authority”;</w:t>
      </w:r>
    </w:p>
    <w:p>
      <w:pPr>
        <w:pStyle w:val="yDefstart"/>
      </w:pPr>
      <w:r>
        <w:tab/>
      </w:r>
      <w:r>
        <w:rPr>
          <w:rStyle w:val="CharDefText"/>
        </w:rPr>
        <w:t>new name</w:t>
      </w:r>
      <w:r>
        <w:t xml:space="preserve"> means “Kimberley Ports Authority”.</w:t>
      </w:r>
    </w:p>
    <w:p>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KPA is a party to the agreement or instrument under its new name; and</w:t>
      </w:r>
    </w:p>
    <w:p>
      <w:pPr>
        <w:pStyle w:val="yIndenta"/>
      </w:pPr>
      <w:r>
        <w:tab/>
        <w:t>(b)</w:t>
      </w:r>
      <w:r>
        <w:tab/>
        <w:t>the agreement or instrument has effect as if a reference in it to the KPA by its former name were amended to be a reference to the KPA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41 inserted by No. 9 of 2014 s. 35.]</w:t>
      </w:r>
    </w:p>
    <w:p>
      <w:pPr>
        <w:pStyle w:val="yHeading5"/>
      </w:pPr>
      <w:bookmarkStart w:id="343" w:name="_Toc524061610"/>
      <w:r>
        <w:rPr>
          <w:rStyle w:val="CharSClsNo"/>
        </w:rPr>
        <w:t>42</w:t>
      </w:r>
      <w:r>
        <w:t>.</w:t>
      </w:r>
      <w:r>
        <w:tab/>
        <w:t>Port authority to implement or facilitate renaming</w:t>
      </w:r>
      <w:bookmarkEnd w:id="343"/>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KPA.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38(3);</w:t>
      </w:r>
    </w:p>
    <w:p>
      <w:pPr>
        <w:pStyle w:val="yIndenta"/>
      </w:pPr>
      <w:r>
        <w:tab/>
        <w:t>(b)</w:t>
      </w:r>
      <w:r>
        <w:tab/>
        <w:t>any remuneration payable to a person appointed under clause 40(5);</w:t>
      </w:r>
    </w:p>
    <w:p>
      <w:pPr>
        <w:pStyle w:val="yIndenta"/>
      </w:pPr>
      <w:r>
        <w:tab/>
        <w:t>(c)</w:t>
      </w:r>
      <w:r>
        <w:tab/>
        <w:t>the costs of the appointment process under clause 40(5);</w:t>
      </w:r>
    </w:p>
    <w:p>
      <w:pPr>
        <w:pStyle w:val="yIndenta"/>
      </w:pPr>
      <w:r>
        <w:tab/>
        <w:t>(d)</w:t>
      </w:r>
      <w:r>
        <w:tab/>
        <w:t>any other costs incurred by the new board under clause 39.</w:t>
      </w:r>
    </w:p>
    <w:p>
      <w:pPr>
        <w:pStyle w:val="yFootnotesection"/>
      </w:pPr>
      <w:r>
        <w:tab/>
        <w:t>[Clause 42 inserted by No. 9 of 2014 s. 35.]</w:t>
      </w:r>
    </w:p>
    <w:p>
      <w:pPr>
        <w:pStyle w:val="yHeading5"/>
      </w:pPr>
      <w:bookmarkStart w:id="344" w:name="_Toc524061611"/>
      <w:r>
        <w:rPr>
          <w:rStyle w:val="CharSClsNo"/>
        </w:rPr>
        <w:t>43</w:t>
      </w:r>
      <w:r>
        <w:t>.</w:t>
      </w:r>
      <w:r>
        <w:tab/>
        <w:t>Transitional regulations</w:t>
      </w:r>
      <w:bookmarkEnd w:id="344"/>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KPA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43 inserted by No. 9 of 2014 s. 35.]</w:t>
      </w:r>
    </w:p>
    <w:p>
      <w:pPr>
        <w:pStyle w:val="yHeading4"/>
      </w:pPr>
      <w:bookmarkStart w:id="345" w:name="_Toc524061612"/>
      <w:r>
        <w:t>Subdivision 6</w:t>
      </w:r>
      <w:r>
        <w:rPr>
          <w:b w:val="0"/>
        </w:rPr>
        <w:t> — </w:t>
      </w:r>
      <w:r>
        <w:t>Provisions for certain directors</w:t>
      </w:r>
      <w:bookmarkEnd w:id="345"/>
    </w:p>
    <w:p>
      <w:pPr>
        <w:pStyle w:val="yFootnoteheading"/>
        <w:spacing w:after="120"/>
      </w:pPr>
      <w:r>
        <w:tab/>
        <w:t>[Heading inserted by No. 9 of 2014 s. 35.]</w:t>
      </w:r>
    </w:p>
    <w:p>
      <w:pPr>
        <w:pStyle w:val="yHeading5"/>
      </w:pPr>
      <w:bookmarkStart w:id="346" w:name="_Toc524061613"/>
      <w:r>
        <w:rPr>
          <w:rStyle w:val="CharSClsNo"/>
        </w:rPr>
        <w:t>44</w:t>
      </w:r>
      <w:r>
        <w:t>.</w:t>
      </w:r>
      <w:r>
        <w:tab/>
        <w:t>Certain directors to cease to hold office</w:t>
      </w:r>
      <w:bookmarkEnd w:id="346"/>
    </w:p>
    <w:p>
      <w:pPr>
        <w:pStyle w:val="ySubsection"/>
      </w:pPr>
      <w:r>
        <w:tab/>
        <w:t>(1)</w:t>
      </w:r>
      <w:r>
        <w:tab/>
        <w:t xml:space="preserve">In this clause — </w:t>
      </w:r>
    </w:p>
    <w:p>
      <w:pPr>
        <w:pStyle w:val="yDefstart"/>
      </w:pPr>
      <w:r>
        <w:tab/>
      </w:r>
      <w:r>
        <w:rPr>
          <w:rStyle w:val="CharDefText"/>
        </w:rPr>
        <w:t>commencement</w:t>
      </w:r>
      <w:r>
        <w:t xml:space="preserve"> means the coming into operation of section 33 of the amending Act.</w:t>
      </w:r>
    </w:p>
    <w:p>
      <w:pPr>
        <w:pStyle w:val="ySubsection"/>
      </w:pPr>
      <w:r>
        <w:tab/>
        <w:t>(2)</w:t>
      </w:r>
      <w:r>
        <w:tab/>
        <w:t xml:space="preserve">On commencement — </w:t>
      </w:r>
    </w:p>
    <w:p>
      <w:pPr>
        <w:pStyle w:val="yIndenta"/>
      </w:pPr>
      <w:r>
        <w:tab/>
        <w:t>(a)</w:t>
      </w:r>
      <w:r>
        <w:tab/>
        <w:t>the Company appointee and the Joint Venturers appointee, as defined in Schedule 6 clause 1.2 as enacted before commencement, cease to be directors of the Dampier Port Authority; and</w:t>
      </w:r>
    </w:p>
    <w:p>
      <w:pPr>
        <w:pStyle w:val="yIndenta"/>
      </w:pPr>
      <w:r>
        <w:tab/>
        <w:t>(b)</w:t>
      </w:r>
      <w:r>
        <w:tab/>
        <w:t>the first lessee appointee and the second lessee appointee, as defined in Schedule 6 clause 2.2 as enacted before commencement, cease to be directors of the Port Hedland Port Authority.</w:t>
      </w:r>
    </w:p>
    <w:p>
      <w:pPr>
        <w:pStyle w:val="yFootnotesection"/>
      </w:pPr>
      <w:r>
        <w:tab/>
        <w:t>[Clause 44 inserted by No. 9 of 2014 s. 35.]</w:t>
      </w:r>
    </w:p>
    <w:p>
      <w:pPr>
        <w:pStyle w:val="yHeading4"/>
      </w:pPr>
      <w:bookmarkStart w:id="347" w:name="_Toc524061614"/>
      <w:r>
        <w:t>Subdivision 7</w:t>
      </w:r>
      <w:r>
        <w:rPr>
          <w:b w:val="0"/>
        </w:rPr>
        <w:t> — </w:t>
      </w:r>
      <w:r>
        <w:t>General provisions</w:t>
      </w:r>
      <w:bookmarkEnd w:id="347"/>
    </w:p>
    <w:p>
      <w:pPr>
        <w:pStyle w:val="yFootnoteheading"/>
        <w:spacing w:after="120"/>
      </w:pPr>
      <w:r>
        <w:tab/>
        <w:t>[Heading inserted by No. 9 of 2014 s. 35.]</w:t>
      </w:r>
    </w:p>
    <w:p>
      <w:pPr>
        <w:pStyle w:val="yHeading5"/>
      </w:pPr>
      <w:bookmarkStart w:id="348" w:name="_Toc524061615"/>
      <w:r>
        <w:rPr>
          <w:rStyle w:val="CharSClsNo"/>
        </w:rPr>
        <w:t>45</w:t>
      </w:r>
      <w:r>
        <w:t>.</w:t>
      </w:r>
      <w:r>
        <w:tab/>
        <w:t>Terms used</w:t>
      </w:r>
      <w:bookmarkEnd w:id="348"/>
    </w:p>
    <w:p>
      <w:pPr>
        <w:pStyle w:val="ySubsection"/>
      </w:pPr>
      <w:r>
        <w:tab/>
      </w:r>
      <w:r>
        <w:tab/>
        <w:t xml:space="preserve">In this Subdivision — </w:t>
      </w:r>
    </w:p>
    <w:p>
      <w:pPr>
        <w:pStyle w:val="yDefstart"/>
      </w:pPr>
      <w:r>
        <w:tab/>
      </w:r>
      <w:r>
        <w:rPr>
          <w:rStyle w:val="CharDefText"/>
        </w:rPr>
        <w:t>affecting provisions</w:t>
      </w:r>
      <w:r>
        <w:t xml:space="preserve"> means — </w:t>
      </w:r>
    </w:p>
    <w:p>
      <w:pPr>
        <w:pStyle w:val="yDefpara"/>
      </w:pPr>
      <w:r>
        <w:tab/>
        <w:t>(a)</w:t>
      </w:r>
      <w:r>
        <w:tab/>
        <w:t>section 31 of the amending Act; and</w:t>
      </w:r>
    </w:p>
    <w:p>
      <w:pPr>
        <w:pStyle w:val="yDefpara"/>
      </w:pPr>
      <w:r>
        <w:tab/>
        <w:t>(b)</w:t>
      </w:r>
      <w:r>
        <w:tab/>
        <w:t>this Division and transitional regulations;</w:t>
      </w:r>
    </w:p>
    <w:p>
      <w:pPr>
        <w:pStyle w:val="yDefstart"/>
      </w:pPr>
      <w:r>
        <w:tab/>
      </w:r>
      <w:r>
        <w:rPr>
          <w:rStyle w:val="CharDefText"/>
        </w:rPr>
        <w:t>new board</w:t>
      </w:r>
      <w:r>
        <w:t xml:space="preserve"> has the meaning given in clause 2, 16, 23 or 37;</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Defstart"/>
      </w:pPr>
      <w:r>
        <w:tab/>
      </w:r>
      <w:r>
        <w:rPr>
          <w:rStyle w:val="CharDefText"/>
        </w:rPr>
        <w:t>transitional regulations</w:t>
      </w:r>
      <w:r>
        <w:t xml:space="preserve"> has the meaning given in clause 15(1), 22(1), 36(1) or 43(1).</w:t>
      </w:r>
    </w:p>
    <w:p>
      <w:pPr>
        <w:pStyle w:val="yFootnotesection"/>
      </w:pPr>
      <w:r>
        <w:tab/>
        <w:t>[Clause 45 inserted by No. 9 of 2014 s. 35.]</w:t>
      </w:r>
    </w:p>
    <w:p>
      <w:pPr>
        <w:pStyle w:val="yHeading5"/>
      </w:pPr>
      <w:bookmarkStart w:id="349" w:name="_Toc524061616"/>
      <w:r>
        <w:rPr>
          <w:rStyle w:val="CharSClsNo"/>
        </w:rPr>
        <w:t>46</w:t>
      </w:r>
      <w:r>
        <w:t>.</w:t>
      </w:r>
      <w:r>
        <w:tab/>
        <w:t>Exemption from State taxes</w:t>
      </w:r>
      <w:bookmarkEnd w:id="349"/>
    </w:p>
    <w:p>
      <w:pPr>
        <w:pStyle w:val="ySubsection"/>
      </w:pPr>
      <w:r>
        <w:tab/>
      </w:r>
      <w:r>
        <w:tab/>
        <w:t xml:space="preserve">State tax is not payable in relation to — </w:t>
      </w:r>
    </w:p>
    <w:p>
      <w:pPr>
        <w:pStyle w:val="yIndenta"/>
      </w:pPr>
      <w:r>
        <w:tab/>
        <w:t>(a)</w:t>
      </w:r>
      <w:r>
        <w:tab/>
        <w:t>anything that occurs by the operation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46 inserted by No. 9 of 2014 s. 35.]</w:t>
      </w:r>
    </w:p>
    <w:p>
      <w:pPr>
        <w:pStyle w:val="yHeading5"/>
      </w:pPr>
      <w:bookmarkStart w:id="350" w:name="_Toc524061617"/>
      <w:r>
        <w:rPr>
          <w:rStyle w:val="CharSClsNo"/>
        </w:rPr>
        <w:t>47</w:t>
      </w:r>
      <w:r>
        <w:t>.</w:t>
      </w:r>
      <w:r>
        <w:tab/>
        <w:t>Registration of documents</w:t>
      </w:r>
      <w:bookmarkEnd w:id="350"/>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47 inserted by No. 9 of 2014 s. 35.]</w:t>
      </w:r>
    </w:p>
    <w:p>
      <w:pPr>
        <w:pStyle w:val="yHeading5"/>
      </w:pPr>
      <w:bookmarkStart w:id="351" w:name="_Toc524061618"/>
      <w:r>
        <w:rPr>
          <w:rStyle w:val="CharSClsNo"/>
        </w:rPr>
        <w:t>48</w:t>
      </w:r>
      <w:r>
        <w:t>.</w:t>
      </w:r>
      <w:r>
        <w:tab/>
        <w:t>Matters that a new board can deal with</w:t>
      </w:r>
      <w:bookmarkEnd w:id="351"/>
    </w:p>
    <w:p>
      <w:pPr>
        <w:pStyle w:val="ySubsection"/>
      </w:pPr>
      <w:r>
        <w:tab/>
      </w:r>
      <w:r>
        <w:tab/>
        <w:t xml:space="preserve">The matters referred to in clauses 5(2), 18(2), 26(2) and 39(2) are — </w:t>
      </w:r>
    </w:p>
    <w:p>
      <w:pPr>
        <w:pStyle w:val="yIndenta"/>
      </w:pPr>
      <w:r>
        <w:tab/>
        <w:t>(a)</w:t>
      </w:r>
      <w:r>
        <w:tab/>
        <w:t>staff issues including organisational structure, reporting accountabilities and employee roles and responsibilities;</w:t>
      </w:r>
    </w:p>
    <w:p>
      <w:pPr>
        <w:pStyle w:val="yIndenta"/>
      </w:pPr>
      <w:r>
        <w:tab/>
        <w:t>(b)</w:t>
      </w:r>
      <w:r>
        <w:tab/>
        <w:t>preparation for staff transfer including confirmation of employee details and entitlements;</w:t>
      </w:r>
    </w:p>
    <w:p>
      <w:pPr>
        <w:pStyle w:val="yIndenta"/>
      </w:pPr>
      <w:r>
        <w:tab/>
        <w:t>(c)</w:t>
      </w:r>
      <w:r>
        <w:tab/>
        <w:t>recruitment of staff if necessary;</w:t>
      </w:r>
    </w:p>
    <w:p>
      <w:pPr>
        <w:pStyle w:val="yIndenta"/>
      </w:pPr>
      <w:r>
        <w:tab/>
        <w:t>(d)</w:t>
      </w:r>
      <w:r>
        <w:tab/>
        <w:t xml:space="preserve">identification and assessment of issues relating to — </w:t>
      </w:r>
    </w:p>
    <w:p>
      <w:pPr>
        <w:pStyle w:val="yIndenti0"/>
      </w:pPr>
      <w:r>
        <w:tab/>
        <w:t>(i)</w:t>
      </w:r>
      <w:r>
        <w:tab/>
        <w:t>port boundaries;</w:t>
      </w:r>
    </w:p>
    <w:p>
      <w:pPr>
        <w:pStyle w:val="yIndenti0"/>
      </w:pPr>
      <w:r>
        <w:tab/>
        <w:t>(ii)</w:t>
      </w:r>
      <w:r>
        <w:tab/>
        <w:t xml:space="preserve">agreements affecting the port; </w:t>
      </w:r>
    </w:p>
    <w:p>
      <w:pPr>
        <w:pStyle w:val="yIndenti0"/>
      </w:pPr>
      <w:r>
        <w:tab/>
        <w:t>(iii)</w:t>
      </w:r>
      <w:r>
        <w:tab/>
        <w:t>mining tenements over port areas;</w:t>
      </w:r>
    </w:p>
    <w:p>
      <w:pPr>
        <w:pStyle w:val="yIndenti0"/>
      </w:pPr>
      <w:r>
        <w:tab/>
        <w:t>(iv)</w:t>
      </w:r>
      <w:r>
        <w:tab/>
        <w:t>contaminated sites;</w:t>
      </w:r>
    </w:p>
    <w:p>
      <w:pPr>
        <w:pStyle w:val="yIndenti0"/>
      </w:pPr>
      <w:r>
        <w:tab/>
        <w:t>(v)</w:t>
      </w:r>
      <w:r>
        <w:tab/>
        <w:t xml:space="preserve">waters in the port reserved under the </w:t>
      </w:r>
      <w:r>
        <w:rPr>
          <w:i/>
        </w:rPr>
        <w:t>Conservation and Land Management Act 1984</w:t>
      </w:r>
      <w:r>
        <w:t xml:space="preserve"> Part II Division 3;</w:t>
      </w:r>
    </w:p>
    <w:p>
      <w:pPr>
        <w:pStyle w:val="yIndenti0"/>
      </w:pPr>
      <w:r>
        <w:tab/>
        <w:t>(vi)</w:t>
      </w:r>
      <w:r>
        <w:tab/>
        <w:t>native title issues;</w:t>
      </w:r>
    </w:p>
    <w:p>
      <w:pPr>
        <w:pStyle w:val="yIndenti0"/>
      </w:pPr>
      <w:r>
        <w:tab/>
        <w:t>(vii)</w:t>
      </w:r>
      <w:r>
        <w:tab/>
        <w:t>operating and maintenance costs;</w:t>
      </w:r>
    </w:p>
    <w:p>
      <w:pPr>
        <w:pStyle w:val="yIndenti0"/>
      </w:pPr>
      <w:r>
        <w:tab/>
        <w:t>(viii)</w:t>
      </w:r>
      <w:r>
        <w:tab/>
        <w:t>community service obligations;</w:t>
      </w:r>
    </w:p>
    <w:p>
      <w:pPr>
        <w:pStyle w:val="yIndenti0"/>
      </w:pPr>
      <w:r>
        <w:tab/>
        <w:t>(ix)</w:t>
      </w:r>
      <w:r>
        <w:tab/>
        <w:t xml:space="preserve">leases, licences and permits; </w:t>
      </w:r>
    </w:p>
    <w:p>
      <w:pPr>
        <w:pStyle w:val="yIndenti0"/>
      </w:pPr>
      <w:r>
        <w:tab/>
        <w:t>(x)</w:t>
      </w:r>
      <w:r>
        <w:tab/>
        <w:t xml:space="preserve">port fees and charges; </w:t>
      </w:r>
    </w:p>
    <w:p>
      <w:pPr>
        <w:pStyle w:val="yIndenti0"/>
      </w:pPr>
      <w:r>
        <w:tab/>
        <w:t>(xi)</w:t>
      </w:r>
      <w:r>
        <w:tab/>
        <w:t>existing legal and commercial disputes and contingent liabilities;</w:t>
      </w:r>
    </w:p>
    <w:p>
      <w:pPr>
        <w:pStyle w:val="yIndenti0"/>
      </w:pPr>
      <w:r>
        <w:tab/>
        <w:t>(xii)</w:t>
      </w:r>
      <w:r>
        <w:tab/>
        <w:t>long term commitments,</w:t>
      </w:r>
    </w:p>
    <w:p>
      <w:pPr>
        <w:pStyle w:val="yIndenta"/>
      </w:pPr>
      <w:r>
        <w:tab/>
      </w:r>
      <w:r>
        <w:tab/>
        <w:t>and resolution of those issues so far as that is within the new board’s powers;</w:t>
      </w:r>
    </w:p>
    <w:p>
      <w:pPr>
        <w:pStyle w:val="yIndenta"/>
      </w:pPr>
      <w:r>
        <w:tab/>
        <w:t>(e)</w:t>
      </w:r>
      <w:r>
        <w:tab/>
        <w:t>review, and if necessary modification, of the existing port operating model;</w:t>
      </w:r>
    </w:p>
    <w:p>
      <w:pPr>
        <w:pStyle w:val="yIndenta"/>
      </w:pPr>
      <w:r>
        <w:tab/>
        <w:t>(f)</w:t>
      </w:r>
      <w:r>
        <w:tab/>
        <w:t xml:space="preserve">harmonisation of internal policies, standards, procedures, processes and reporting requirements on services and systems including — </w:t>
      </w:r>
    </w:p>
    <w:p>
      <w:pPr>
        <w:pStyle w:val="yIndenti0"/>
      </w:pPr>
      <w:r>
        <w:tab/>
        <w:t>(i)</w:t>
      </w:r>
      <w:r>
        <w:tab/>
        <w:t>operating activities;</w:t>
      </w:r>
    </w:p>
    <w:p>
      <w:pPr>
        <w:pStyle w:val="yIndenti0"/>
      </w:pPr>
      <w:r>
        <w:tab/>
        <w:t>(ii)</w:t>
      </w:r>
      <w:r>
        <w:tab/>
        <w:t>administrative functions;</w:t>
      </w:r>
    </w:p>
    <w:p>
      <w:pPr>
        <w:pStyle w:val="yIndenti0"/>
      </w:pPr>
      <w:r>
        <w:tab/>
        <w:t>(iii)</w:t>
      </w:r>
      <w:r>
        <w:tab/>
        <w:t>pricing and marketing principles and practices;</w:t>
      </w:r>
    </w:p>
    <w:p>
      <w:pPr>
        <w:pStyle w:val="yIndenti0"/>
      </w:pPr>
      <w:r>
        <w:tab/>
        <w:t>(iv)</w:t>
      </w:r>
      <w:r>
        <w:tab/>
        <w:t>financial and accounting systems, including the chart of accounts;</w:t>
      </w:r>
    </w:p>
    <w:p>
      <w:pPr>
        <w:pStyle w:val="yIndenti0"/>
      </w:pPr>
      <w:r>
        <w:tab/>
        <w:t>(v)</w:t>
      </w:r>
      <w:r>
        <w:tab/>
        <w:t>human resource services;</w:t>
      </w:r>
    </w:p>
    <w:p>
      <w:pPr>
        <w:pStyle w:val="yIndenti0"/>
      </w:pPr>
      <w:r>
        <w:tab/>
        <w:t>(vi)</w:t>
      </w:r>
      <w:r>
        <w:tab/>
        <w:t>information and communication activities;</w:t>
      </w:r>
    </w:p>
    <w:p>
      <w:pPr>
        <w:pStyle w:val="yIndenta"/>
      </w:pPr>
      <w:r>
        <w:tab/>
        <w:t>(g)</w:t>
      </w:r>
      <w:r>
        <w:tab/>
        <w:t>development of a draft strategic development plan, a draft statement of corporate intent, a draft income and cash flow statement and a draft statement of financial position;</w:t>
      </w:r>
    </w:p>
    <w:p>
      <w:pPr>
        <w:pStyle w:val="yIndenta"/>
      </w:pPr>
      <w:r>
        <w:tab/>
        <w:t>(h)</w:t>
      </w:r>
      <w:r>
        <w:tab/>
        <w:t>development of any other plans that a port authority is required to have under any written law;</w:t>
      </w:r>
    </w:p>
    <w:p>
      <w:pPr>
        <w:pStyle w:val="yIndenta"/>
      </w:pPr>
      <w:r>
        <w:tab/>
        <w:t>(i)</w:t>
      </w:r>
      <w:r>
        <w:tab/>
        <w:t>budgetary matters;</w:t>
      </w:r>
    </w:p>
    <w:p>
      <w:pPr>
        <w:pStyle w:val="yIndenta"/>
      </w:pPr>
      <w:r>
        <w:tab/>
        <w:t>(j)</w:t>
      </w:r>
      <w:r>
        <w:tab/>
        <w:t xml:space="preserve">matters relating to the transfer of assets and liabilities including — </w:t>
      </w:r>
    </w:p>
    <w:p>
      <w:pPr>
        <w:pStyle w:val="yIndenti0"/>
      </w:pPr>
      <w:r>
        <w:tab/>
        <w:t>(i)</w:t>
      </w:r>
      <w:r>
        <w:tab/>
        <w:t>asset and liability inventories;</w:t>
      </w:r>
    </w:p>
    <w:p>
      <w:pPr>
        <w:pStyle w:val="yIndenti0"/>
      </w:pPr>
      <w:r>
        <w:tab/>
        <w:t>(ii)</w:t>
      </w:r>
      <w:r>
        <w:tab/>
        <w:t>valuation of assets and liabilities;</w:t>
      </w:r>
    </w:p>
    <w:p>
      <w:pPr>
        <w:pStyle w:val="yIndenti0"/>
      </w:pPr>
      <w:r>
        <w:tab/>
        <w:t>(iii)</w:t>
      </w:r>
      <w:r>
        <w:tab/>
        <w:t>processes for transfer;</w:t>
      </w:r>
    </w:p>
    <w:p>
      <w:pPr>
        <w:pStyle w:val="yIndenta"/>
      </w:pPr>
      <w:r>
        <w:tab/>
        <w:t>(k)</w:t>
      </w:r>
      <w:r>
        <w:tab/>
        <w:t>employment or engagement of persons to provide management, financial, legal or other services or advice.</w:t>
      </w:r>
    </w:p>
    <w:p>
      <w:pPr>
        <w:pStyle w:val="yFootnotesection"/>
      </w:pPr>
      <w:r>
        <w:tab/>
        <w:t>[Clause 48 inserted by No. 9 of 2014 s. 35.]</w:t>
      </w:r>
    </w:p>
    <w:p>
      <w:pPr>
        <w:pStyle w:val="yHeading5"/>
      </w:pPr>
      <w:bookmarkStart w:id="352" w:name="_Toc524061619"/>
      <w:r>
        <w:rPr>
          <w:rStyle w:val="CharSClsNo"/>
        </w:rPr>
        <w:t>49</w:t>
      </w:r>
      <w:r>
        <w:t>.</w:t>
      </w:r>
      <w:r>
        <w:tab/>
        <w:t>Operation of transitional regulations</w:t>
      </w:r>
      <w:bookmarkEnd w:id="352"/>
    </w:p>
    <w:p>
      <w:pPr>
        <w:pStyle w:val="ySubsection"/>
      </w:pPr>
      <w:r>
        <w:tab/>
      </w:r>
      <w:r>
        <w:tab/>
        <w:t xml:space="preserve">If transitional regulations contain a provision referred to in clause 15(3), 22(3), 36(3) or 43(3),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49 inserted by No. 9 of 2014 s. 35.]</w:t>
      </w:r>
    </w:p>
    <w:p>
      <w:pPr>
        <w:pStyle w:val="yHeading5"/>
      </w:pPr>
      <w:bookmarkStart w:id="353" w:name="_Toc524061620"/>
      <w:r>
        <w:rPr>
          <w:rStyle w:val="CharSClsNo"/>
        </w:rPr>
        <w:t>50</w:t>
      </w:r>
      <w:r>
        <w:t>.</w:t>
      </w:r>
      <w:r>
        <w:tab/>
        <w:t>Saving</w:t>
      </w:r>
      <w:bookmarkEnd w:id="353"/>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pPr>
      <w:r>
        <w:tab/>
        <w:t>(2)</w:t>
      </w:r>
      <w:r>
        <w:tab/>
        <w:t xml:space="preserve">This Division and transitional regulations are additional to any relevant provisions of the </w:t>
      </w:r>
      <w:r>
        <w:rPr>
          <w:i/>
        </w:rPr>
        <w:t>Interpretation Act 1984</w:t>
      </w:r>
      <w:r>
        <w:t>.</w:t>
      </w:r>
    </w:p>
    <w:p>
      <w:pPr>
        <w:pStyle w:val="yFootnotesection"/>
      </w:pPr>
      <w:r>
        <w:tab/>
        <w:t>[Clause 50 inserted by No. 9 of 2014 s. 35.]</w:t>
      </w:r>
    </w:p>
    <w:p>
      <w:pPr>
        <w:pStyle w:val="yHeading5"/>
      </w:pPr>
      <w:bookmarkStart w:id="354" w:name="_Toc524061621"/>
      <w:r>
        <w:rPr>
          <w:rStyle w:val="CharSClsNo"/>
        </w:rPr>
        <w:t>51</w:t>
      </w:r>
      <w:r>
        <w:t>.</w:t>
      </w:r>
      <w:r>
        <w:tab/>
        <w:t>Government agreements not affected</w:t>
      </w:r>
      <w:bookmarkEnd w:id="354"/>
    </w:p>
    <w:p>
      <w:pPr>
        <w:pStyle w:val="ySubsection"/>
      </w:pPr>
      <w:r>
        <w:tab/>
        <w:t>(1)</w:t>
      </w:r>
      <w:r>
        <w:tab/>
        <w:t>The affecting provisions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51 inserted by No. 9 of 2014 s. 35.]</w:t>
      </w:r>
    </w:p>
    <w:p>
      <w:pPr>
        <w:sectPr>
          <w:headerReference w:type="even" r:id="rId40"/>
          <w:headerReference w:type="default" r:id="rId41"/>
          <w:pgSz w:w="11906" w:h="16838" w:code="9"/>
          <w:pgMar w:top="2376" w:right="2405" w:bottom="3542" w:left="2405" w:header="706" w:footer="3380" w:gutter="0"/>
          <w:cols w:space="720"/>
          <w:noEndnote/>
          <w:docGrid w:linePitch="326"/>
        </w:sectPr>
      </w:pPr>
      <w:bookmarkStart w:id="355" w:name="_Toc368473236"/>
      <w:bookmarkStart w:id="356" w:name="_Toc368473361"/>
      <w:bookmarkStart w:id="357" w:name="_Toc368473486"/>
      <w:bookmarkStart w:id="358" w:name="_Toc368475228"/>
      <w:bookmarkStart w:id="359" w:name="_Toc368475406"/>
      <w:bookmarkStart w:id="360" w:name="_Toc368654807"/>
      <w:bookmarkStart w:id="361" w:name="_Toc369784459"/>
      <w:bookmarkStart w:id="362" w:name="_Toc369784584"/>
      <w:bookmarkStart w:id="363" w:name="_Toc369786161"/>
      <w:bookmarkStart w:id="364" w:name="_Toc369786285"/>
      <w:bookmarkStart w:id="365" w:name="_Toc369873156"/>
      <w:bookmarkStart w:id="366" w:name="_Toc387746329"/>
      <w:bookmarkStart w:id="367" w:name="_Toc387746453"/>
      <w:bookmarkStart w:id="368" w:name="_Toc388362707"/>
      <w:bookmarkStart w:id="369" w:name="_Toc388365899"/>
      <w:bookmarkStart w:id="370" w:name="_Toc390950126"/>
    </w:p>
    <w:p>
      <w:pPr>
        <w:pStyle w:val="yScheduleHeading"/>
      </w:pPr>
      <w:bookmarkStart w:id="371" w:name="_Toc524061622"/>
      <w:r>
        <w:rPr>
          <w:rStyle w:val="CharSchNo"/>
        </w:rPr>
        <w:t>Schedule 9</w:t>
      </w:r>
      <w:r>
        <w:t> — </w:t>
      </w:r>
      <w:bookmarkEnd w:id="355"/>
      <w:bookmarkEnd w:id="356"/>
      <w:bookmarkEnd w:id="357"/>
      <w:bookmarkEnd w:id="358"/>
      <w:bookmarkEnd w:id="359"/>
      <w:bookmarkEnd w:id="360"/>
      <w:bookmarkEnd w:id="361"/>
      <w:bookmarkEnd w:id="362"/>
      <w:r>
        <w:rPr>
          <w:rStyle w:val="CharSchText"/>
        </w:rPr>
        <w:t>Placing additional ports under a port authority’s control and management</w:t>
      </w:r>
      <w:bookmarkEnd w:id="363"/>
      <w:bookmarkEnd w:id="364"/>
      <w:bookmarkEnd w:id="365"/>
      <w:bookmarkEnd w:id="366"/>
      <w:bookmarkEnd w:id="367"/>
      <w:bookmarkEnd w:id="368"/>
      <w:bookmarkEnd w:id="369"/>
      <w:bookmarkEnd w:id="370"/>
      <w:bookmarkEnd w:id="371"/>
      <w:r>
        <w:t xml:space="preserve"> </w:t>
      </w:r>
    </w:p>
    <w:p>
      <w:pPr>
        <w:pStyle w:val="yShoulderClause"/>
      </w:pPr>
      <w:r>
        <w:t>[s. 4(2A)(b)]</w:t>
      </w:r>
    </w:p>
    <w:p>
      <w:pPr>
        <w:pStyle w:val="yFootnoteheading"/>
      </w:pPr>
      <w:r>
        <w:tab/>
        <w:t>[Heading inserted by No. 9 of 2014 s. 36.]</w:t>
      </w:r>
    </w:p>
    <w:p>
      <w:pPr>
        <w:pStyle w:val="yHeading5"/>
      </w:pPr>
      <w:bookmarkStart w:id="372" w:name="_Toc388362708"/>
      <w:bookmarkStart w:id="373" w:name="_Toc388365900"/>
      <w:bookmarkStart w:id="374" w:name="_Toc390950127"/>
      <w:bookmarkStart w:id="375" w:name="_Toc524061623"/>
      <w:r>
        <w:rPr>
          <w:rStyle w:val="CharSClsNo"/>
        </w:rPr>
        <w:t>1</w:t>
      </w:r>
      <w:r>
        <w:t>.</w:t>
      </w:r>
      <w:r>
        <w:tab/>
        <w:t>Terms used</w:t>
      </w:r>
      <w:bookmarkEnd w:id="372"/>
      <w:bookmarkEnd w:id="373"/>
      <w:bookmarkEnd w:id="374"/>
      <w:bookmarkEnd w:id="375"/>
    </w:p>
    <w:p>
      <w:pPr>
        <w:pStyle w:val="ySubsection"/>
      </w:pPr>
      <w:r>
        <w:tab/>
      </w:r>
      <w:r>
        <w:tab/>
        <w:t xml:space="preserve">In this Schedule — </w:t>
      </w:r>
    </w:p>
    <w:p>
      <w:pPr>
        <w:pStyle w:val="yDefstart"/>
      </w:pPr>
      <w:r>
        <w:tab/>
      </w:r>
      <w:r>
        <w:rPr>
          <w:rStyle w:val="CharDefText"/>
        </w:rPr>
        <w:t>Government agreement</w:t>
      </w:r>
      <w:r>
        <w:t xml:space="preserve"> has the meaning given in Schedule 8 clause 1;</w:t>
      </w:r>
    </w:p>
    <w:p>
      <w:pPr>
        <w:pStyle w:val="yDefstart"/>
        <w:rPr>
          <w:rStyle w:val="CharDefText"/>
          <w:b w:val="0"/>
          <w:i w:val="0"/>
        </w:rPr>
      </w:pPr>
      <w:r>
        <w:tab/>
      </w:r>
      <w:r>
        <w:rPr>
          <w:rStyle w:val="CharDefText"/>
        </w:rPr>
        <w:t xml:space="preserve">port </w:t>
      </w:r>
      <w:r>
        <w:rPr>
          <w:rStyle w:val="CharDefText"/>
          <w:b w:val="0"/>
          <w:i w:val="0"/>
        </w:rPr>
        <w:t>means a port other than a port named in regulations referred to in the</w:t>
      </w:r>
      <w:r>
        <w:rPr>
          <w:rStyle w:val="CharDefText"/>
          <w:b w:val="0"/>
        </w:rPr>
        <w:t xml:space="preserve"> Shipping and Pilotage Act 1967 </w:t>
      </w:r>
      <w:r>
        <w:rPr>
          <w:rStyle w:val="CharDefText"/>
          <w:b w:val="0"/>
          <w:i w:val="0"/>
        </w:rPr>
        <w:t>section 10(1a);</w:t>
      </w:r>
    </w:p>
    <w:p>
      <w:pPr>
        <w:pStyle w:val="yDefstart"/>
        <w:rPr>
          <w:rStyle w:val="CharDefText"/>
          <w:b w:val="0"/>
          <w:i w:val="0"/>
        </w:rPr>
      </w:pPr>
      <w:r>
        <w:rPr>
          <w:rStyle w:val="CharDefText"/>
          <w:b w:val="0"/>
        </w:rPr>
        <w:tab/>
      </w:r>
      <w:r>
        <w:rPr>
          <w:rStyle w:val="CharDefText"/>
        </w:rPr>
        <w:t xml:space="preserve">port addition </w:t>
      </w:r>
      <w:r>
        <w:rPr>
          <w:rStyle w:val="CharDefText"/>
          <w:b w:val="0"/>
          <w:i w:val="0"/>
        </w:rPr>
        <w:t>means the placing of a port under the control and management of a port authority by regulations referred to in clause 2(1), whether or not those regulations have come into operation.</w:t>
      </w:r>
    </w:p>
    <w:p>
      <w:pPr>
        <w:pStyle w:val="yFootnotesection"/>
        <w:rPr>
          <w:rStyle w:val="CharDefText"/>
          <w:b w:val="0"/>
          <w:snapToGrid/>
        </w:rPr>
      </w:pPr>
      <w:r>
        <w:tab/>
        <w:t>[Clause 1 inserted by No. 9 of 2014 s. 36.]</w:t>
      </w:r>
    </w:p>
    <w:p>
      <w:pPr>
        <w:pStyle w:val="yHeading5"/>
      </w:pPr>
      <w:bookmarkStart w:id="376" w:name="_Toc388362709"/>
      <w:bookmarkStart w:id="377" w:name="_Toc388365901"/>
      <w:bookmarkStart w:id="378" w:name="_Toc390950128"/>
      <w:bookmarkStart w:id="379" w:name="_Toc524061624"/>
      <w:r>
        <w:rPr>
          <w:rStyle w:val="CharSClsNo"/>
        </w:rPr>
        <w:t>2</w:t>
      </w:r>
      <w:r>
        <w:t>.</w:t>
      </w:r>
      <w:r>
        <w:tab/>
        <w:t>Regulations may place a port under the control and management of a port authority</w:t>
      </w:r>
      <w:bookmarkEnd w:id="376"/>
      <w:bookmarkEnd w:id="377"/>
      <w:bookmarkEnd w:id="378"/>
      <w:bookmarkEnd w:id="379"/>
    </w:p>
    <w:p>
      <w:pPr>
        <w:pStyle w:val="ySubsection"/>
      </w:pPr>
      <w:r>
        <w:tab/>
        <w:t>(1)</w:t>
      </w:r>
      <w:r>
        <w:tab/>
        <w:t>Regulations may place a port specified in the regulations under the control and management of a port authority specified in the regulations.</w:t>
      </w:r>
    </w:p>
    <w:p>
      <w:pPr>
        <w:pStyle w:val="ySubsection"/>
      </w:pPr>
      <w:r>
        <w:tab/>
        <w:t>(2)</w:t>
      </w:r>
      <w:r>
        <w:tab/>
        <w:t>Regulations may prescribe any matter that may be necessary or expedient to provide for, implement or facilitate a port addition.</w:t>
      </w:r>
    </w:p>
    <w:p>
      <w:pPr>
        <w:pStyle w:val="yFootnotesection"/>
        <w:rPr>
          <w:rStyle w:val="CharDefText"/>
          <w:b w:val="0"/>
          <w:i/>
        </w:rPr>
      </w:pPr>
      <w:bookmarkStart w:id="380" w:name="_Toc388362710"/>
      <w:bookmarkStart w:id="381" w:name="_Toc388365902"/>
      <w:bookmarkStart w:id="382" w:name="_Toc390950129"/>
      <w:r>
        <w:tab/>
        <w:t>[Clause 2 inserted by No. 9 of 2014 s. 36.]</w:t>
      </w:r>
    </w:p>
    <w:p>
      <w:pPr>
        <w:pStyle w:val="yHeading5"/>
      </w:pPr>
      <w:bookmarkStart w:id="383" w:name="_Toc524061625"/>
      <w:r>
        <w:rPr>
          <w:rStyle w:val="CharSClsNo"/>
        </w:rPr>
        <w:t>3</w:t>
      </w:r>
      <w:r>
        <w:t>.</w:t>
      </w:r>
      <w:r>
        <w:tab/>
        <w:t>Port authority to implement or facilitate port addition</w:t>
      </w:r>
      <w:bookmarkEnd w:id="380"/>
      <w:bookmarkEnd w:id="381"/>
      <w:bookmarkEnd w:id="382"/>
      <w:bookmarkEnd w:id="383"/>
    </w:p>
    <w:p>
      <w:pPr>
        <w:pStyle w:val="y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pPr>
        <w:pStyle w:val="ySubsection"/>
        <w:keepNext/>
      </w:pPr>
      <w:r>
        <w:tab/>
        <w:t>(2)</w:t>
      </w:r>
      <w:r>
        <w:tab/>
        <w:t>The function conferred on a port authority by subclause (1) is in addition to any other function that it has.</w:t>
      </w:r>
    </w:p>
    <w:p>
      <w:pPr>
        <w:pStyle w:val="yFootnotesection"/>
        <w:rPr>
          <w:rStyle w:val="CharDefText"/>
          <w:b w:val="0"/>
          <w:i/>
        </w:rPr>
      </w:pPr>
      <w:bookmarkStart w:id="384" w:name="_Toc388362711"/>
      <w:bookmarkStart w:id="385" w:name="_Toc388365903"/>
      <w:bookmarkStart w:id="386" w:name="_Toc390950130"/>
      <w:r>
        <w:tab/>
        <w:t>[Clause 3 inserted by No. 9 of 2014 s. 36.]</w:t>
      </w:r>
    </w:p>
    <w:p>
      <w:pPr>
        <w:pStyle w:val="yHeading5"/>
      </w:pPr>
      <w:bookmarkStart w:id="387" w:name="_Toc524061626"/>
      <w:r>
        <w:rPr>
          <w:rStyle w:val="CharSClsNo"/>
        </w:rPr>
        <w:t>4</w:t>
      </w:r>
      <w:r>
        <w:t>.</w:t>
      </w:r>
      <w:r>
        <w:tab/>
        <w:t>Government agreements not affected</w:t>
      </w:r>
      <w:bookmarkEnd w:id="384"/>
      <w:bookmarkEnd w:id="385"/>
      <w:bookmarkEnd w:id="386"/>
      <w:bookmarkEnd w:id="387"/>
    </w:p>
    <w:p>
      <w:pPr>
        <w:pStyle w:val="ySubsection"/>
      </w:pPr>
      <w:r>
        <w:tab/>
        <w:t>(1)</w:t>
      </w:r>
      <w:r>
        <w:tab/>
        <w:t>The provisions of this Schedule or regulations referred to in this Schedule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4 inserted by No. 9 of 2014 s. 36.]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6" w:h="16838" w:code="9"/>
          <w:pgMar w:top="2376" w:right="2405" w:bottom="3542" w:left="2405" w:header="706" w:footer="3380" w:gutter="0"/>
          <w:cols w:space="720"/>
          <w:noEndnote/>
          <w:docGrid w:linePitch="326"/>
        </w:sectPr>
      </w:pPr>
    </w:p>
    <w:p>
      <w:pPr>
        <w:pStyle w:val="nHeading2"/>
        <w:outlineLvl w:val="0"/>
      </w:pPr>
      <w:bookmarkStart w:id="388" w:name="_Toc524061627"/>
      <w:r>
        <w:t>Notes</w:t>
      </w:r>
      <w:bookmarkEnd w:id="388"/>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 </w:t>
      </w:r>
      <w:r>
        <w:rPr>
          <w:snapToGrid w:val="0"/>
          <w:vertAlign w:val="superscript"/>
        </w:rPr>
        <w:t>1a, 4, 6</w:t>
      </w:r>
      <w:r>
        <w:rPr>
          <w:snapToGrid w:val="0"/>
        </w:rPr>
        <w:t>.  The table also contains information about any reprint.</w:t>
      </w:r>
    </w:p>
    <w:p>
      <w:pPr>
        <w:pStyle w:val="nHeading3"/>
        <w:rPr>
          <w:snapToGrid w:val="0"/>
        </w:rPr>
      </w:pPr>
      <w:bookmarkStart w:id="389" w:name="_Toc524061628"/>
      <w:r>
        <w:rPr>
          <w:snapToGrid w:val="0"/>
        </w:rPr>
        <w:t>Compilation table</w:t>
      </w:r>
      <w:bookmarkEnd w:id="38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7</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rPr>
              <w:t>Dangerous Goods Safety Act 2004</w:t>
            </w:r>
            <w:r>
              <w:rPr>
                <w:bCs/>
                <w:i/>
                <w:snapToGrid w:val="0"/>
                <w:sz w:val="19"/>
              </w:rPr>
              <w:t xml:space="preserve"> </w:t>
            </w:r>
            <w:r>
              <w:rPr>
                <w:bCs/>
                <w:iCs/>
                <w:snapToGrid w:val="0"/>
                <w:sz w:val="19"/>
              </w:rPr>
              <w:t>s. 70</w:t>
            </w:r>
          </w:p>
        </w:tc>
        <w:tc>
          <w:tcPr>
            <w:tcW w:w="1134" w:type="dxa"/>
            <w:tcBorders>
              <w:top w:val="nil"/>
              <w:bottom w:val="nil"/>
            </w:tcBorders>
          </w:tcPr>
          <w:p>
            <w:pPr>
              <w:pStyle w:val="nTable"/>
              <w:spacing w:after="40"/>
              <w:rPr>
                <w:sz w:val="19"/>
              </w:rPr>
            </w:pPr>
            <w:r>
              <w:rPr>
                <w:bCs/>
                <w:snapToGrid w:val="0"/>
                <w:sz w:val="19"/>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rPr>
              <w:t xml:space="preserve">1 Mar 2008 (see s. 2 and </w:t>
            </w:r>
            <w:r>
              <w:rPr>
                <w:bCs/>
                <w:i/>
                <w:iCs/>
                <w:snapToGrid w:val="0"/>
                <w:sz w:val="19"/>
              </w:rPr>
              <w:t>Gazette</w:t>
            </w:r>
            <w:r>
              <w:rPr>
                <w:bCs/>
                <w:snapToGrid w:val="0"/>
                <w:sz w:val="19"/>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rPr>
              <w:t>Criminal Procedure and Appeals (Consequential and Other Provisions) Act 2004</w:t>
            </w:r>
            <w:r>
              <w:rPr>
                <w:snapToGrid w:val="0"/>
                <w:sz w:val="19"/>
              </w:rPr>
              <w:t xml:space="preserve"> s. 80</w:t>
            </w:r>
          </w:p>
        </w:tc>
        <w:tc>
          <w:tcPr>
            <w:tcW w:w="1134" w:type="dxa"/>
            <w:tcBorders>
              <w:top w:val="nil"/>
              <w:bottom w:val="nil"/>
            </w:tcBorders>
          </w:tcPr>
          <w:p>
            <w:pPr>
              <w:pStyle w:val="nTable"/>
              <w:spacing w:after="40"/>
              <w:rPr>
                <w:sz w:val="19"/>
              </w:rPr>
            </w:pPr>
            <w:r>
              <w:rPr>
                <w:snapToGrid w:val="0"/>
                <w:sz w:val="19"/>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8" w:type="dxa"/>
            <w:tcBorders>
              <w:top w:val="nil"/>
              <w:bottom w:val="nil"/>
            </w:tcBorders>
          </w:tcPr>
          <w:p>
            <w:pPr>
              <w:pStyle w:val="nTable"/>
              <w:spacing w:after="40"/>
              <w:ind w:right="113"/>
              <w:rPr>
                <w:i/>
                <w:snapToGrid w:val="0"/>
                <w:sz w:val="19"/>
              </w:rPr>
            </w:pPr>
            <w:r>
              <w:rPr>
                <w:i/>
                <w:snapToGrid w:val="0"/>
                <w:sz w:val="19"/>
              </w:rPr>
              <w:t>Planning and Development (Consequential and Transitional Provisions) Act 2005</w:t>
            </w:r>
            <w:r>
              <w:rPr>
                <w:snapToGrid w:val="0"/>
                <w:sz w:val="19"/>
              </w:rPr>
              <w:t xml:space="preserve"> s. 15</w:t>
            </w:r>
          </w:p>
        </w:tc>
        <w:tc>
          <w:tcPr>
            <w:tcW w:w="1134" w:type="dxa"/>
            <w:tcBorders>
              <w:top w:val="nil"/>
              <w:bottom w:val="nil"/>
            </w:tcBorders>
          </w:tcPr>
          <w:p>
            <w:pPr>
              <w:pStyle w:val="nTable"/>
              <w:spacing w:after="40"/>
              <w:rPr>
                <w:snapToGrid w:val="0"/>
                <w:sz w:val="19"/>
              </w:rPr>
            </w:pPr>
            <w:r>
              <w:rPr>
                <w:snapToGrid w:val="0"/>
                <w:sz w:val="19"/>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cantSplit/>
        </w:trPr>
        <w:tc>
          <w:tcPr>
            <w:tcW w:w="2268" w:type="dxa"/>
            <w:tcBorders>
              <w:top w:val="nil"/>
              <w:bottom w:val="nil"/>
            </w:tcBorders>
          </w:tcPr>
          <w:p>
            <w:pPr>
              <w:pStyle w:val="nTable"/>
              <w:spacing w:after="40"/>
              <w:ind w:right="113"/>
              <w:rPr>
                <w:i/>
                <w:snapToGrid w:val="0"/>
                <w:sz w:val="19"/>
              </w:rPr>
            </w:pPr>
            <w:r>
              <w:rPr>
                <w:i/>
                <w:snapToGrid w:val="0"/>
                <w:sz w:val="19"/>
              </w:rPr>
              <w:t xml:space="preserve">Financial Legislation Amendment and Repeal Act 2006 </w:t>
            </w:r>
            <w:r>
              <w:rPr>
                <w:snapToGrid w:val="0"/>
                <w:sz w:val="19"/>
              </w:rPr>
              <w:t>s. 4, 5(1), 11 and Sch. 1 cl. 131</w:t>
            </w:r>
          </w:p>
        </w:tc>
        <w:tc>
          <w:tcPr>
            <w:tcW w:w="1134" w:type="dxa"/>
            <w:tcBorders>
              <w:top w:val="nil"/>
              <w:bottom w:val="nil"/>
            </w:tcBorders>
          </w:tcPr>
          <w:p>
            <w:pPr>
              <w:pStyle w:val="nTable"/>
              <w:spacing w:after="40"/>
              <w:rPr>
                <w:snapToGrid w:val="0"/>
                <w:sz w:val="19"/>
              </w:rPr>
            </w:pPr>
            <w:r>
              <w:rPr>
                <w:snapToGrid w:val="0"/>
                <w:sz w:val="19"/>
              </w:rPr>
              <w:t xml:space="preserve">77 of 2006 </w:t>
            </w:r>
          </w:p>
        </w:tc>
        <w:tc>
          <w:tcPr>
            <w:tcW w:w="1134" w:type="dxa"/>
            <w:tcBorders>
              <w:top w:val="nil"/>
              <w:bottom w:val="nil"/>
            </w:tcBorders>
          </w:tcPr>
          <w:p>
            <w:pPr>
              <w:pStyle w:val="nTable"/>
              <w:spacing w:after="40"/>
              <w:rPr>
                <w:sz w:val="19"/>
              </w:rPr>
            </w:pPr>
            <w:r>
              <w:rPr>
                <w:snapToGrid w:val="0"/>
                <w:sz w:val="19"/>
              </w:rPr>
              <w:t>21 Dec 2006</w:t>
            </w:r>
          </w:p>
        </w:tc>
        <w:tc>
          <w:tcPr>
            <w:tcW w:w="2554" w:type="dxa"/>
            <w:tcBorders>
              <w:top w:val="nil"/>
              <w:bottom w:val="nil"/>
            </w:tcBorders>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90" w:type="dxa"/>
            <w:gridSpan w:val="4"/>
            <w:tcBorders>
              <w:top w:val="nil"/>
              <w:bottom w:val="nil"/>
            </w:tcBorders>
          </w:tcPr>
          <w:p>
            <w:pPr>
              <w:pStyle w:val="nTable"/>
              <w:spacing w:after="40"/>
              <w:rPr>
                <w:snapToGrid w:val="0"/>
                <w:sz w:val="19"/>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Public Sector Reform Act 2010</w:t>
            </w:r>
            <w:r>
              <w:rPr>
                <w:i/>
                <w:iCs/>
                <w:snapToGrid w:val="0"/>
                <w:sz w:val="19"/>
              </w:rPr>
              <w:t xml:space="preserve"> </w:t>
            </w:r>
            <w:r>
              <w:rPr>
                <w:snapToGrid w:val="0"/>
                <w:sz w:val="19"/>
              </w:rPr>
              <w:t>s. 81 and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napToGrid w:val="0"/>
                <w:sz w:val="19"/>
              </w:rPr>
              <w:t>1 Oct 2010</w:t>
            </w:r>
          </w:p>
        </w:tc>
        <w:tc>
          <w:tcPr>
            <w:tcW w:w="2554"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tcBorders>
              <w:top w:val="nil"/>
              <w:bottom w:val="nil"/>
            </w:tcBorders>
            <w:shd w:val="clear" w:color="auto" w:fill="auto"/>
          </w:tcPr>
          <w:p>
            <w:pPr>
              <w:pStyle w:val="nTable"/>
              <w:spacing w:after="40"/>
              <w:ind w:right="113"/>
              <w:rPr>
                <w:i/>
                <w:snapToGrid w:val="0"/>
                <w:sz w:val="19"/>
              </w:rPr>
            </w:pPr>
            <w:r>
              <w:rPr>
                <w:i/>
                <w:snapToGrid w:val="0"/>
                <w:sz w:val="19"/>
              </w:rPr>
              <w:t>Building Act 2011</w:t>
            </w:r>
            <w:r>
              <w:rPr>
                <w:snapToGrid w:val="0"/>
                <w:sz w:val="19"/>
              </w:rPr>
              <w:t xml:space="preserve"> s. 169</w:t>
            </w:r>
          </w:p>
        </w:tc>
        <w:tc>
          <w:tcPr>
            <w:tcW w:w="1134" w:type="dxa"/>
            <w:tcBorders>
              <w:top w:val="nil"/>
              <w:bottom w:val="nil"/>
            </w:tcBorders>
            <w:shd w:val="clear" w:color="auto" w:fill="auto"/>
          </w:tcPr>
          <w:p>
            <w:pPr>
              <w:pStyle w:val="nTable"/>
              <w:spacing w:after="40"/>
              <w:rPr>
                <w:snapToGrid w:val="0"/>
                <w:sz w:val="19"/>
              </w:rPr>
            </w:pPr>
            <w:r>
              <w:rPr>
                <w:snapToGrid w:val="0"/>
                <w:sz w:val="19"/>
              </w:rPr>
              <w:t>24 of 2011</w:t>
            </w:r>
          </w:p>
        </w:tc>
        <w:tc>
          <w:tcPr>
            <w:tcW w:w="1134" w:type="dxa"/>
            <w:tcBorders>
              <w:top w:val="nil"/>
              <w:bottom w:val="nil"/>
            </w:tcBorders>
            <w:shd w:val="clear" w:color="auto" w:fill="auto"/>
          </w:tcPr>
          <w:p>
            <w:pPr>
              <w:pStyle w:val="nTable"/>
              <w:spacing w:after="40"/>
              <w:rPr>
                <w:snapToGrid w:val="0"/>
                <w:sz w:val="19"/>
              </w:rPr>
            </w:pPr>
            <w:r>
              <w:rPr>
                <w:snapToGrid w:val="0"/>
                <w:sz w:val="19"/>
              </w:rPr>
              <w:t>11 Jul 2011</w:t>
            </w:r>
          </w:p>
        </w:tc>
        <w:tc>
          <w:tcPr>
            <w:tcW w:w="2554" w:type="dxa"/>
            <w:tcBorders>
              <w:top w:val="nil"/>
              <w:bottom w:val="nil"/>
            </w:tcBorders>
            <w:shd w:val="clear" w:color="auto" w:fill="auto"/>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7090" w:type="dxa"/>
            <w:gridSpan w:val="4"/>
            <w:tcBorders>
              <w:top w:val="nil"/>
              <w:bottom w:val="nil"/>
            </w:tcBorders>
            <w:shd w:val="clear" w:color="auto" w:fill="auto"/>
          </w:tcPr>
          <w:p>
            <w:pPr>
              <w:pStyle w:val="nTable"/>
              <w:spacing w:after="40"/>
              <w:rPr>
                <w:snapToGrid w:val="0"/>
                <w:sz w:val="19"/>
              </w:rPr>
            </w:pPr>
            <w:r>
              <w:rPr>
                <w:b/>
                <w:spacing w:val="-2"/>
                <w:sz w:val="19"/>
              </w:rPr>
              <w:t xml:space="preserve">Reprint 3: The </w:t>
            </w:r>
            <w:r>
              <w:rPr>
                <w:b/>
                <w:i/>
                <w:spacing w:val="-2"/>
                <w:sz w:val="19"/>
              </w:rPr>
              <w:t>Port Authorities Act 1999</w:t>
            </w:r>
            <w:r>
              <w:rPr>
                <w:b/>
                <w:spacing w:val="-2"/>
                <w:sz w:val="19"/>
              </w:rPr>
              <w:t xml:space="preserve"> as at 7 Sep 2012</w:t>
            </w:r>
            <w:r>
              <w:rPr>
                <w:spacing w:val="-2"/>
                <w:sz w:val="19"/>
              </w:rPr>
              <w:t xml:space="preserve"> (includes amendments listed above)</w:t>
            </w:r>
          </w:p>
        </w:tc>
      </w:tr>
      <w:tr>
        <w:trPr>
          <w:cantSplit/>
        </w:trPr>
        <w:tc>
          <w:tcPr>
            <w:tcW w:w="2268" w:type="dxa"/>
            <w:tcBorders>
              <w:top w:val="nil"/>
              <w:bottom w:val="single" w:sz="4" w:space="0" w:color="auto"/>
            </w:tcBorders>
            <w:shd w:val="clear" w:color="auto" w:fill="auto"/>
          </w:tcPr>
          <w:p>
            <w:pPr>
              <w:pStyle w:val="nTable"/>
              <w:spacing w:after="40"/>
              <w:ind w:right="113"/>
              <w:rPr>
                <w:i/>
                <w:snapToGrid w:val="0"/>
                <w:sz w:val="19"/>
              </w:rPr>
            </w:pPr>
            <w:r>
              <w:rPr>
                <w:i/>
                <w:snapToGrid w:val="0"/>
                <w:sz w:val="19"/>
              </w:rPr>
              <w:t>Ports Legislation Amendment Act 2014</w:t>
            </w:r>
          </w:p>
        </w:tc>
        <w:tc>
          <w:tcPr>
            <w:tcW w:w="1134" w:type="dxa"/>
            <w:tcBorders>
              <w:top w:val="nil"/>
              <w:bottom w:val="single" w:sz="4" w:space="0" w:color="auto"/>
            </w:tcBorders>
            <w:shd w:val="clear" w:color="auto" w:fill="auto"/>
          </w:tcPr>
          <w:p>
            <w:pPr>
              <w:pStyle w:val="nTable"/>
              <w:spacing w:after="40"/>
              <w:rPr>
                <w:snapToGrid w:val="0"/>
                <w:sz w:val="19"/>
              </w:rPr>
            </w:pPr>
            <w:r>
              <w:rPr>
                <w:snapToGrid w:val="0"/>
                <w:sz w:val="19"/>
              </w:rPr>
              <w:t>9 of 2014</w:t>
            </w:r>
          </w:p>
        </w:tc>
        <w:tc>
          <w:tcPr>
            <w:tcW w:w="1134" w:type="dxa"/>
            <w:tcBorders>
              <w:top w:val="nil"/>
              <w:bottom w:val="single" w:sz="4" w:space="0" w:color="auto"/>
            </w:tcBorders>
            <w:shd w:val="clear" w:color="auto" w:fill="auto"/>
          </w:tcPr>
          <w:p>
            <w:pPr>
              <w:pStyle w:val="nTable"/>
              <w:spacing w:after="40"/>
              <w:rPr>
                <w:snapToGrid w:val="0"/>
                <w:sz w:val="19"/>
              </w:rPr>
            </w:pPr>
            <w:r>
              <w:rPr>
                <w:snapToGrid w:val="0"/>
                <w:sz w:val="19"/>
              </w:rPr>
              <w:t>20 May 2014</w:t>
            </w:r>
          </w:p>
        </w:tc>
        <w:tc>
          <w:tcPr>
            <w:tcW w:w="2554" w:type="dxa"/>
            <w:tcBorders>
              <w:top w:val="nil"/>
              <w:bottom w:val="single" w:sz="4" w:space="0" w:color="auto"/>
            </w:tcBorders>
            <w:shd w:val="clear" w:color="auto" w:fill="auto"/>
          </w:tcPr>
          <w:p>
            <w:pPr>
              <w:pStyle w:val="nTable"/>
              <w:spacing w:after="40"/>
              <w:rPr>
                <w:snapToGrid w:val="0"/>
                <w:sz w:val="19"/>
              </w:rPr>
            </w:pPr>
            <w:r>
              <w:rPr>
                <w:snapToGrid w:val="0"/>
                <w:sz w:val="19"/>
              </w:rPr>
              <w:t>Heading to Pt. 2, s. 3, 4(3), 5(1), 7(1), 10, 28(1), 29, 30, 32 and 35: 21 May 2014 (see s. 2(1)(b));</w:t>
            </w:r>
            <w:r>
              <w:rPr>
                <w:snapToGrid w:val="0"/>
                <w:sz w:val="19"/>
              </w:rPr>
              <w:br/>
              <w:t>s. 4(1) and (2), 6, 7(2), 8, 9, 11</w:t>
            </w:r>
            <w:r>
              <w:rPr>
                <w:snapToGrid w:val="0"/>
                <w:sz w:val="19"/>
              </w:rPr>
              <w:noBreakHyphen/>
              <w:t xml:space="preserve">27 and 33: 31 May 2014 (see s. 2(1)(c) and </w:t>
            </w:r>
            <w:r>
              <w:rPr>
                <w:i/>
                <w:snapToGrid w:val="0"/>
                <w:sz w:val="19"/>
              </w:rPr>
              <w:t>Gazette</w:t>
            </w:r>
            <w:r>
              <w:rPr>
                <w:snapToGrid w:val="0"/>
                <w:sz w:val="19"/>
              </w:rPr>
              <w:t xml:space="preserve"> 30 May 2014 p. 1680):</w:t>
            </w:r>
            <w:r>
              <w:rPr>
                <w:snapToGrid w:val="0"/>
                <w:sz w:val="19"/>
              </w:rPr>
              <w:br/>
              <w:t>s. 4(4), 5(2), 28(2), 31(2)</w:t>
            </w:r>
            <w:r>
              <w:rPr>
                <w:snapToGrid w:val="0"/>
                <w:sz w:val="19"/>
              </w:rPr>
              <w:noBreakHyphen/>
              <w:t xml:space="preserve">(4), 34 and 36: 1 July 2014 (see s. 2(1)(c) and (2) and </w:t>
            </w:r>
            <w:r>
              <w:rPr>
                <w:i/>
                <w:snapToGrid w:val="0"/>
                <w:sz w:val="19"/>
              </w:rPr>
              <w:t xml:space="preserve">Gazette </w:t>
            </w:r>
            <w:r>
              <w:rPr>
                <w:snapToGrid w:val="0"/>
                <w:sz w:val="19"/>
              </w:rPr>
              <w:t>20 Jun 2014</w:t>
            </w:r>
            <w:r>
              <w:rPr>
                <w:i/>
                <w:snapToGrid w:val="0"/>
                <w:sz w:val="19"/>
              </w:rPr>
              <w:t xml:space="preserve"> </w:t>
            </w:r>
            <w:r>
              <w:rPr>
                <w:snapToGrid w:val="0"/>
                <w:sz w:val="19"/>
              </w:rPr>
              <w:t>p. 2023)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90" w:name="_Toc524061629"/>
      <w:r>
        <w:rPr>
          <w:snapToGrid w:val="0"/>
        </w:rPr>
        <w:t>Provisions that have not come into operation</w:t>
      </w:r>
      <w:bookmarkEnd w:id="39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napToGrid w:val="0"/>
                <w:sz w:val="19"/>
              </w:rPr>
            </w:pPr>
            <w:r>
              <w:rPr>
                <w:i/>
                <w:snapToGrid w:val="0"/>
                <w:sz w:val="19"/>
              </w:rPr>
              <w:t>Ports Legislation Amendment Act 2014</w:t>
            </w:r>
            <w:r>
              <w:rPr>
                <w:snapToGrid w:val="0"/>
                <w:sz w:val="19"/>
              </w:rPr>
              <w:t xml:space="preserve"> s. 31(1) </w:t>
            </w:r>
            <w:r>
              <w:rPr>
                <w:snapToGrid w:val="0"/>
                <w:sz w:val="19"/>
                <w:vertAlign w:val="superscript"/>
              </w:rPr>
              <w:t>8</w:t>
            </w:r>
          </w:p>
        </w:tc>
        <w:tc>
          <w:tcPr>
            <w:tcW w:w="1118" w:type="dxa"/>
          </w:tcPr>
          <w:p>
            <w:pPr>
              <w:pStyle w:val="nTable"/>
              <w:spacing w:after="40"/>
              <w:rPr>
                <w:snapToGrid w:val="0"/>
                <w:sz w:val="19"/>
              </w:rPr>
            </w:pPr>
            <w:r>
              <w:rPr>
                <w:snapToGrid w:val="0"/>
                <w:sz w:val="19"/>
              </w:rPr>
              <w:t>9 of 2014</w:t>
            </w:r>
          </w:p>
        </w:tc>
        <w:tc>
          <w:tcPr>
            <w:tcW w:w="1134" w:type="dxa"/>
          </w:tcPr>
          <w:p>
            <w:pPr>
              <w:pStyle w:val="nTable"/>
              <w:spacing w:after="40"/>
              <w:rPr>
                <w:snapToGrid w:val="0"/>
                <w:sz w:val="19"/>
              </w:rPr>
            </w:pPr>
            <w:r>
              <w:rPr>
                <w:snapToGrid w:val="0"/>
                <w:sz w:val="19"/>
              </w:rPr>
              <w:t>20 May 2014</w:t>
            </w:r>
          </w:p>
        </w:tc>
        <w:tc>
          <w:tcPr>
            <w:tcW w:w="2552" w:type="dxa"/>
          </w:tcPr>
          <w:p>
            <w:pPr>
              <w:pStyle w:val="nTable"/>
              <w:spacing w:after="40"/>
              <w:rPr>
                <w:snapToGrid w:val="0"/>
                <w:sz w:val="19"/>
              </w:rPr>
            </w:pPr>
            <w:r>
              <w:rPr>
                <w:snapToGrid w:val="0"/>
                <w:sz w:val="19"/>
              </w:rPr>
              <w:t>To be proclaimed (see s. 2(1)(c) and (2))</w:t>
            </w:r>
          </w:p>
        </w:tc>
      </w:tr>
    </w:tbl>
    <w:p>
      <w:pPr>
        <w:pStyle w:val="nSubsection"/>
        <w:keepNext/>
        <w:spacing w:before="120"/>
      </w:pPr>
      <w:r>
        <w:rPr>
          <w:vertAlign w:val="superscript"/>
        </w:rPr>
        <w:t>2</w:t>
      </w:r>
      <w:r>
        <w:tab/>
        <w:t xml:space="preserve">The </w:t>
      </w:r>
      <w:r>
        <w:rPr>
          <w:i/>
        </w:rPr>
        <w:t>Ports and Marine Legislation Amendment Act 2003</w:t>
      </w:r>
      <w:r>
        <w:t xml:space="preserve"> s. 4(2) reads as follows:</w:t>
      </w:r>
    </w:p>
    <w:p>
      <w:pPr>
        <w:pStyle w:val="BlankOpen"/>
      </w:pPr>
    </w:p>
    <w:p>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pPr>
        <w:pStyle w:val="BlankClose"/>
      </w:pP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6</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pPr>
      <w:r>
        <w:rPr>
          <w:vertAlign w:val="superscript"/>
        </w:rPr>
        <w:t>7</w:t>
      </w:r>
      <w:r>
        <w:tab/>
        <w:t xml:space="preserve">The </w:t>
      </w:r>
      <w:r>
        <w:rPr>
          <w:i/>
        </w:rPr>
        <w:t>Corporations (Consequential Amendments) Act (No. 3) 2003</w:t>
      </w:r>
      <w:r>
        <w:t xml:space="preserve"> s. 2</w:t>
      </w:r>
      <w:r>
        <w:noBreakHyphen/>
        <w:t>4 contain validation provisions.</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Ports Legislation Amendment Act 2014</w:t>
      </w:r>
      <w:r>
        <w:rPr>
          <w:snapToGrid w:val="0"/>
        </w:rPr>
        <w:t xml:space="preserve"> s. 31(1) had not come into operation.  It reads as follows:</w:t>
      </w:r>
    </w:p>
    <w:p>
      <w:pPr>
        <w:pStyle w:val="BlankOpen"/>
        <w:rPr>
          <w:snapToGrid w:val="0"/>
        </w:rPr>
      </w:pPr>
    </w:p>
    <w:p>
      <w:pPr>
        <w:pStyle w:val="nzHeading5"/>
      </w:pPr>
      <w:r>
        <w:rPr>
          <w:rStyle w:val="CharSectno"/>
        </w:rPr>
        <w:t>31</w:t>
      </w:r>
      <w:r>
        <w:t>.</w:t>
      </w:r>
      <w:r>
        <w:tab/>
        <w:t>Schedule 1 amended</w:t>
      </w:r>
    </w:p>
    <w:p>
      <w:pPr>
        <w:pStyle w:val="nzSubsection"/>
      </w:pPr>
      <w:r>
        <w:tab/>
        <w:t>(1)</w:t>
      </w:r>
      <w:r>
        <w:tab/>
        <w:t>In Schedule 1:</w:t>
      </w:r>
    </w:p>
    <w:p>
      <w:pPr>
        <w:pStyle w:val="nzIndenta"/>
      </w:pPr>
      <w:r>
        <w:tab/>
        <w:t>(a)</w:t>
      </w:r>
      <w:r>
        <w:tab/>
        <w:t>in item 3 column 2 delete “</w:t>
      </w:r>
      <w:r>
        <w:rPr>
          <w:sz w:val="22"/>
          <w:szCs w:val="22"/>
        </w:rPr>
        <w:t>Bunbury Port Authority</w:t>
      </w:r>
      <w:r>
        <w:t>” and insert:</w:t>
      </w:r>
    </w:p>
    <w:p>
      <w:pPr>
        <w:pStyle w:val="BlankOpen"/>
      </w:pPr>
    </w:p>
    <w:p>
      <w:pPr>
        <w:pStyle w:val="nzIndenta"/>
      </w:pPr>
      <w:r>
        <w:rPr>
          <w:sz w:val="22"/>
          <w:szCs w:val="22"/>
        </w:rPr>
        <w:tab/>
      </w:r>
      <w:r>
        <w:rPr>
          <w:sz w:val="22"/>
          <w:szCs w:val="22"/>
        </w:rPr>
        <w:tab/>
        <w:t>Southern Ports Authority</w:t>
      </w:r>
    </w:p>
    <w:p>
      <w:pPr>
        <w:pStyle w:val="BlankClose"/>
      </w:pPr>
    </w:p>
    <w:p>
      <w:pPr>
        <w:pStyle w:val="nzIndenta"/>
      </w:pPr>
      <w:r>
        <w:tab/>
        <w:t>(b)</w:t>
      </w:r>
      <w:r>
        <w:tab/>
        <w:t>in item 3 column 3 above “</w:t>
      </w:r>
      <w:r>
        <w:rPr>
          <w:sz w:val="22"/>
          <w:szCs w:val="22"/>
        </w:rPr>
        <w:t>Port of Bunbury</w:t>
      </w:r>
      <w:r>
        <w:t>” insert:</w:t>
      </w:r>
    </w:p>
    <w:p>
      <w:pPr>
        <w:pStyle w:val="BlankOpen"/>
      </w:pPr>
    </w:p>
    <w:p>
      <w:pPr>
        <w:pStyle w:val="nzIndenta"/>
      </w:pPr>
      <w:r>
        <w:rPr>
          <w:sz w:val="22"/>
          <w:szCs w:val="22"/>
        </w:rPr>
        <w:tab/>
      </w:r>
      <w:r>
        <w:rPr>
          <w:sz w:val="22"/>
          <w:szCs w:val="22"/>
        </w:rPr>
        <w:tab/>
        <w:t>Port of Albany</w:t>
      </w:r>
    </w:p>
    <w:p>
      <w:pPr>
        <w:pStyle w:val="BlankClose"/>
      </w:pPr>
    </w:p>
    <w:p>
      <w:pPr>
        <w:pStyle w:val="nzIndenta"/>
      </w:pPr>
      <w:r>
        <w:tab/>
        <w:t>(c)</w:t>
      </w:r>
      <w:r>
        <w:tab/>
        <w:t>in item 3 column 3 below “</w:t>
      </w:r>
      <w:r>
        <w:rPr>
          <w:sz w:val="22"/>
          <w:szCs w:val="22"/>
        </w:rPr>
        <w:t>Port of Bunbury</w:t>
      </w:r>
      <w:r>
        <w:t>” insert:</w:t>
      </w:r>
    </w:p>
    <w:p>
      <w:pPr>
        <w:pStyle w:val="BlankOpen"/>
      </w:pPr>
    </w:p>
    <w:p>
      <w:pPr>
        <w:pStyle w:val="nzIndenta"/>
      </w:pPr>
      <w:r>
        <w:rPr>
          <w:sz w:val="22"/>
          <w:szCs w:val="22"/>
        </w:rPr>
        <w:tab/>
      </w:r>
      <w:r>
        <w:rPr>
          <w:sz w:val="22"/>
          <w:szCs w:val="22"/>
        </w:rPr>
        <w:tab/>
        <w:t>Port of Esperance</w:t>
      </w:r>
    </w:p>
    <w:p>
      <w:pPr>
        <w:pStyle w:val="BlankClose"/>
      </w:pPr>
    </w:p>
    <w:p>
      <w:pPr>
        <w:pStyle w:val="nzIndenta"/>
      </w:pPr>
      <w:r>
        <w:tab/>
        <w:t>(d)</w:t>
      </w:r>
      <w:r>
        <w:tab/>
        <w:t>delete items 2 and 4.</w:t>
      </w:r>
    </w:p>
    <w:p>
      <w:pPr>
        <w:pStyle w:val="BlankClose"/>
      </w:pPr>
    </w:p>
    <w:p>
      <w:pPr>
        <w:pStyle w:val="BlankOpen"/>
        <w:rPr>
          <w:snapToGrid w:val="0"/>
        </w:rPr>
      </w:pPr>
    </w:p>
    <w:p>
      <w:pPr>
        <w:rPr>
          <w:sz w:val="20"/>
        </w:rPr>
      </w:pPr>
    </w:p>
    <w:p>
      <w:pPr>
        <w:rPr>
          <w:sz w:val="20"/>
        </w:rPr>
        <w:sectPr>
          <w:headerReference w:type="even" r:id="rId45"/>
          <w:headerReference w:type="default" r:id="rId46"/>
          <w:pgSz w:w="11906" w:h="16838" w:code="9"/>
          <w:pgMar w:top="2376" w:right="2404" w:bottom="3544" w:left="2404" w:header="720" w:footer="3380" w:gutter="0"/>
          <w:cols w:space="720"/>
          <w:noEndnote/>
          <w:docGrid w:linePitch="326"/>
        </w:sectPr>
      </w:pPr>
    </w:p>
    <w:p>
      <w:pPr>
        <w:pStyle w:val="nHeading2"/>
        <w:rPr>
          <w:sz w:val="28"/>
        </w:rPr>
      </w:pPr>
      <w:bookmarkStart w:id="391" w:name="_Toc524061630"/>
      <w:r>
        <w:rPr>
          <w:sz w:val="28"/>
        </w:rPr>
        <w:t>Defined terms</w:t>
      </w:r>
      <w:bookmarkEnd w:id="3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2" w:name="DefinedTerms"/>
      <w:bookmarkEnd w:id="392"/>
      <w:r>
        <w:t>account</w:t>
      </w:r>
      <w:r>
        <w:tab/>
        <w:t>79(1)</w:t>
      </w:r>
    </w:p>
    <w:p>
      <w:pPr>
        <w:pStyle w:val="DefinedTerms"/>
      </w:pPr>
      <w:r>
        <w:t>accounting standard</w:t>
      </w:r>
      <w:r>
        <w:tab/>
        <w:t>Sch. 5 cl. 1(2)</w:t>
      </w:r>
    </w:p>
    <w:p>
      <w:pPr>
        <w:pStyle w:val="DefinedTerms"/>
      </w:pPr>
      <w:r>
        <w:t>affecting provisions</w:t>
      </w:r>
      <w:r>
        <w:tab/>
        <w:t>Sch. 8 cl. 45</w:t>
      </w:r>
    </w:p>
    <w:p>
      <w:pPr>
        <w:pStyle w:val="DefinedTerms"/>
      </w:pPr>
      <w:r>
        <w:t>agreement</w:t>
      </w:r>
      <w:r>
        <w:tab/>
        <w:t>Sch. 8 cl. 1</w:t>
      </w:r>
    </w:p>
    <w:p>
      <w:pPr>
        <w:pStyle w:val="DefinedTerms"/>
      </w:pPr>
      <w:r>
        <w:t>amending Act</w:t>
      </w:r>
      <w:r>
        <w:tab/>
        <w:t>Sch. 8 cl. 1</w:t>
      </w:r>
    </w:p>
    <w:p>
      <w:pPr>
        <w:pStyle w:val="DefinedTerms"/>
      </w:pPr>
      <w:r>
        <w:t>approved</w:t>
      </w:r>
      <w:r>
        <w:tab/>
        <w:t>34A(1), 95(1)</w:t>
      </w:r>
    </w:p>
    <w:p>
      <w:pPr>
        <w:pStyle w:val="DefinedTerms"/>
      </w:pPr>
      <w:r>
        <w:t>area</w:t>
      </w:r>
      <w:r>
        <w:tab/>
        <w:t>24(3)</w:t>
      </w:r>
    </w:p>
    <w:p>
      <w:pPr>
        <w:pStyle w:val="DefinedTerms"/>
      </w:pPr>
      <w:r>
        <w:t>asset</w:t>
      </w:r>
      <w:r>
        <w:tab/>
        <w:t>Sch. 8 cl. 1</w:t>
      </w:r>
    </w:p>
    <w:p>
      <w:pPr>
        <w:pStyle w:val="DefinedTerms"/>
      </w:pPr>
      <w:r>
        <w:t>authorised officer</w:t>
      </w:r>
      <w:r>
        <w:tab/>
        <w:t>114A(2)</w:t>
      </w:r>
    </w:p>
    <w:p>
      <w:pPr>
        <w:pStyle w:val="DefinedTerms"/>
      </w:pPr>
      <w:r>
        <w:t>authorised person</w:t>
      </w:r>
      <w:r>
        <w:tab/>
        <w:t>123</w:t>
      </w:r>
    </w:p>
    <w:p>
      <w:pPr>
        <w:pStyle w:val="DefinedTerms"/>
      </w:pPr>
      <w:r>
        <w:t>board</w:t>
      </w:r>
      <w:r>
        <w:tab/>
        <w:t>3(1)</w:t>
      </w:r>
    </w:p>
    <w:p>
      <w:pPr>
        <w:pStyle w:val="DefinedTerms"/>
      </w:pPr>
      <w:r>
        <w:t>business arrangement</w:t>
      </w:r>
      <w:r>
        <w:tab/>
        <w:t>35(9)</w:t>
      </w:r>
    </w:p>
    <w:p>
      <w:pPr>
        <w:pStyle w:val="DefinedTerms"/>
      </w:pPr>
      <w:r>
        <w:t>CEO</w:t>
      </w:r>
      <w:r>
        <w:tab/>
        <w:t>3(1)</w:t>
      </w:r>
    </w:p>
    <w:p>
      <w:pPr>
        <w:pStyle w:val="DefinedTerms"/>
      </w:pPr>
      <w:r>
        <w:t>channel</w:t>
      </w:r>
      <w:r>
        <w:tab/>
        <w:t>3(1)</w:t>
      </w:r>
    </w:p>
    <w:p>
      <w:pPr>
        <w:pStyle w:val="DefinedTerms"/>
      </w:pPr>
      <w:r>
        <w:t>commencement</w:t>
      </w:r>
      <w:r>
        <w:tab/>
        <w:t>Sch. 8 cl. 44(1)</w:t>
      </w:r>
    </w:p>
    <w:p>
      <w:pPr>
        <w:pStyle w:val="DefinedTerms"/>
      </w:pPr>
      <w:r>
        <w:t>company</w:t>
      </w:r>
      <w:r>
        <w:tab/>
        <w:t>Sch. 5 cl. 1(2)</w:t>
      </w:r>
    </w:p>
    <w:p>
      <w:pPr>
        <w:pStyle w:val="DefinedTerms"/>
      </w:pPr>
      <w:r>
        <w:t>Company</w:t>
      </w:r>
      <w:r>
        <w:tab/>
        <w:t>Sch. 6 cl. 1</w:t>
      </w:r>
    </w:p>
    <w:p>
      <w:pPr>
        <w:pStyle w:val="DefinedTerms"/>
      </w:pPr>
      <w:r>
        <w:t>Company appointee</w:t>
      </w:r>
      <w:r>
        <w:tab/>
        <w:t>Sch. 6 cl. 1</w:t>
      </w:r>
    </w:p>
    <w:p>
      <w:pPr>
        <w:pStyle w:val="DefinedTerms"/>
      </w:pPr>
      <w:r>
        <w:t>consultation committee</w:t>
      </w:r>
      <w:r>
        <w:tab/>
        <w:t>14A(1)</w:t>
      </w:r>
    </w:p>
    <w:p>
      <w:pPr>
        <w:pStyle w:val="DefinedTerms"/>
      </w:pPr>
      <w:r>
        <w:t>continuing authority</w:t>
      </w:r>
      <w:r>
        <w:tab/>
        <w:t>Sch. 8 cl. 2 and 23</w:t>
      </w:r>
    </w:p>
    <w:p>
      <w:pPr>
        <w:pStyle w:val="DefinedTerms"/>
      </w:pPr>
      <w:r>
        <w:t>control</w:t>
      </w:r>
      <w:r>
        <w:tab/>
        <w:t>3(1)</w:t>
      </w:r>
    </w:p>
    <w:p>
      <w:pPr>
        <w:pStyle w:val="DefinedTerms"/>
      </w:pPr>
      <w:r>
        <w:t>Corporations Act</w:t>
      </w:r>
      <w:r>
        <w:tab/>
        <w:t>3(1)</w:t>
      </w:r>
    </w:p>
    <w:p>
      <w:pPr>
        <w:pStyle w:val="DefinedTerms"/>
      </w:pPr>
      <w:r>
        <w:t>Crown land</w:t>
      </w:r>
      <w:r>
        <w:tab/>
        <w:t>3(1)</w:t>
      </w:r>
    </w:p>
    <w:p>
      <w:pPr>
        <w:pStyle w:val="DefinedTerms"/>
      </w:pPr>
      <w:r>
        <w:t>damage</w:t>
      </w:r>
      <w:r>
        <w:tab/>
        <w:t>3(1)</w:t>
      </w:r>
    </w:p>
    <w:p>
      <w:pPr>
        <w:pStyle w:val="DefinedTerms"/>
      </w:pPr>
      <w:r>
        <w:t>Dampier Solar Salt Industry Agreement</w:t>
      </w:r>
      <w:r>
        <w:tab/>
        <w:t>Sch. 6 cl. 1</w:t>
      </w:r>
    </w:p>
    <w:p>
      <w:pPr>
        <w:pStyle w:val="DefinedTerms"/>
      </w:pPr>
      <w:r>
        <w:t>dangerous thing</w:t>
      </w:r>
      <w:r>
        <w:tab/>
        <w:t>3(1)</w:t>
      </w:r>
    </w:p>
    <w:p>
      <w:pPr>
        <w:pStyle w:val="DefinedTerms"/>
      </w:pPr>
      <w:r>
        <w:t>debt paper</w:t>
      </w:r>
      <w:r>
        <w:tab/>
        <w:t>85(4)</w:t>
      </w:r>
    </w:p>
    <w:p>
      <w:pPr>
        <w:pStyle w:val="DefinedTerms"/>
      </w:pPr>
      <w:r>
        <w:t>director</w:t>
      </w:r>
      <w:r>
        <w:tab/>
        <w:t>3(1)</w:t>
      </w:r>
    </w:p>
    <w:p>
      <w:pPr>
        <w:pStyle w:val="DefinedTerms"/>
      </w:pPr>
      <w:r>
        <w:t>dividend function</w:t>
      </w:r>
      <w:r>
        <w:tab/>
        <w:t>Sch. 8 cl. 14(1) and 35(1)</w:t>
      </w:r>
    </w:p>
    <w:p>
      <w:pPr>
        <w:pStyle w:val="DefinedTerms"/>
      </w:pPr>
      <w:r>
        <w:t>document</w:t>
      </w:r>
      <w:r>
        <w:tab/>
        <w:t>75(5)</w:t>
      </w:r>
    </w:p>
    <w:p>
      <w:pPr>
        <w:pStyle w:val="DefinedTerms"/>
      </w:pPr>
      <w:r>
        <w:t>eligible person</w:t>
      </w:r>
      <w:r>
        <w:tab/>
        <w:t>102(1)</w:t>
      </w:r>
    </w:p>
    <w:p>
      <w:pPr>
        <w:pStyle w:val="DefinedTerms"/>
      </w:pPr>
      <w:r>
        <w:t>executive officer</w:t>
      </w:r>
      <w:r>
        <w:tab/>
        <w:t>3(1)</w:t>
      </w:r>
    </w:p>
    <w:p>
      <w:pPr>
        <w:pStyle w:val="DefinedTerms"/>
      </w:pPr>
      <w:r>
        <w:t>financial records</w:t>
      </w:r>
      <w:r>
        <w:tab/>
        <w:t>Sch. 5 cl. 1(2)</w:t>
      </w:r>
    </w:p>
    <w:p>
      <w:pPr>
        <w:pStyle w:val="DefinedTerms"/>
      </w:pPr>
      <w:r>
        <w:t>financial year</w:t>
      </w:r>
      <w:r>
        <w:tab/>
        <w:t>Sch. 5 cl. 1(1)</w:t>
      </w:r>
    </w:p>
    <w:p>
      <w:pPr>
        <w:pStyle w:val="DefinedTerms"/>
      </w:pPr>
      <w:r>
        <w:t>first lessee</w:t>
      </w:r>
      <w:r>
        <w:tab/>
        <w:t>Sch. 6 cl. 2</w:t>
      </w:r>
    </w:p>
    <w:p>
      <w:pPr>
        <w:pStyle w:val="DefinedTerms"/>
      </w:pPr>
      <w:r>
        <w:t>first lessee appointee</w:t>
      </w:r>
      <w:r>
        <w:tab/>
        <w:t>Sch. 6 cl. 2</w:t>
      </w:r>
    </w:p>
    <w:p>
      <w:pPr>
        <w:pStyle w:val="DefinedTerms"/>
      </w:pPr>
      <w:r>
        <w:t>former directors</w:t>
      </w:r>
      <w:r>
        <w:tab/>
        <w:t>Sch. 8 cl. 13(1) and 34(1)</w:t>
      </w:r>
    </w:p>
    <w:p>
      <w:pPr>
        <w:pStyle w:val="DefinedTerms"/>
      </w:pPr>
      <w:r>
        <w:t>former name</w:t>
      </w:r>
      <w:r>
        <w:tab/>
        <w:t>Sch. 8 cl. 11(1), 20(1), 32(1) and 41(1)</w:t>
      </w:r>
    </w:p>
    <w:p>
      <w:pPr>
        <w:pStyle w:val="DefinedTerms"/>
      </w:pPr>
      <w:r>
        <w:t>goods</w:t>
      </w:r>
      <w:r>
        <w:tab/>
        <w:t>3(1)</w:t>
      </w:r>
    </w:p>
    <w:p>
      <w:pPr>
        <w:pStyle w:val="DefinedTerms"/>
      </w:pPr>
      <w:r>
        <w:t>Government</w:t>
      </w:r>
      <w:r>
        <w:tab/>
        <w:t>34A(1)</w:t>
      </w:r>
    </w:p>
    <w:p>
      <w:pPr>
        <w:pStyle w:val="DefinedTerms"/>
      </w:pPr>
      <w:r>
        <w:t>Government agreement</w:t>
      </w:r>
      <w:r>
        <w:tab/>
        <w:t>Sch. 8 cl. 1</w:t>
      </w:r>
    </w:p>
    <w:p>
      <w:pPr>
        <w:pStyle w:val="DefinedTerms"/>
      </w:pPr>
      <w:r>
        <w:t>harbour master</w:t>
      </w:r>
      <w:r>
        <w:tab/>
        <w:t>3(1)</w:t>
      </w:r>
    </w:p>
    <w:p>
      <w:pPr>
        <w:pStyle w:val="DefinedTerms"/>
      </w:pPr>
      <w:r>
        <w:t xml:space="preserve">hedging arrangement </w:t>
      </w:r>
      <w:r>
        <w:tab/>
        <w:t>87(3)</w:t>
      </w:r>
    </w:p>
    <w:p>
      <w:pPr>
        <w:pStyle w:val="DefinedTerms"/>
      </w:pPr>
      <w:r>
        <w:t>information</w:t>
      </w:r>
      <w:r>
        <w:tab/>
        <w:t>75(5)</w:t>
      </w:r>
    </w:p>
    <w:p>
      <w:pPr>
        <w:pStyle w:val="DefinedTerms"/>
      </w:pPr>
      <w:r>
        <w:t>interest rate</w:t>
      </w:r>
      <w:r>
        <w:tab/>
        <w:t>87(3), 87(2)</w:t>
      </w:r>
    </w:p>
    <w:p>
      <w:pPr>
        <w:pStyle w:val="DefinedTerms"/>
      </w:pPr>
      <w:r>
        <w:t>Iron Ore (Hamersley Range) Agreement</w:t>
      </w:r>
      <w:r>
        <w:tab/>
        <w:t>Sch. 6 cl. 1</w:t>
      </w:r>
    </w:p>
    <w:p>
      <w:pPr>
        <w:pStyle w:val="DefinedTerms"/>
      </w:pPr>
      <w:r>
        <w:t>jetty</w:t>
      </w:r>
      <w:r>
        <w:tab/>
        <w:t>3(1)</w:t>
      </w:r>
    </w:p>
    <w:p>
      <w:pPr>
        <w:pStyle w:val="DefinedTerms"/>
      </w:pPr>
      <w:r>
        <w:t>Joint Venturers</w:t>
      </w:r>
      <w:r>
        <w:tab/>
        <w:t>Sch. 6 cl. 1</w:t>
      </w:r>
    </w:p>
    <w:p>
      <w:pPr>
        <w:pStyle w:val="DefinedTerms"/>
      </w:pPr>
      <w:r>
        <w:t>Joint Venturers appointee</w:t>
      </w:r>
      <w:r>
        <w:tab/>
        <w:t>Sch. 6 cl. 1</w:t>
      </w:r>
    </w:p>
    <w:p>
      <w:pPr>
        <w:pStyle w:val="DefinedTerms"/>
      </w:pPr>
      <w:r>
        <w:t>KPA</w:t>
      </w:r>
      <w:r>
        <w:tab/>
        <w:t>Sch. 8 cl. 37</w:t>
      </w:r>
    </w:p>
    <w:p>
      <w:pPr>
        <w:pStyle w:val="DefinedTerms"/>
      </w:pPr>
      <w:r>
        <w:t>last financial year</w:t>
      </w:r>
      <w:r>
        <w:tab/>
        <w:t>Sch. 8 cl. 13(5) and 34(5)</w:t>
      </w:r>
    </w:p>
    <w:p>
      <w:pPr>
        <w:pStyle w:val="DefinedTerms"/>
      </w:pPr>
      <w:r>
        <w:t>latest draft plan</w:t>
      </w:r>
      <w:r>
        <w:tab/>
        <w:t>54(2)</w:t>
      </w:r>
    </w:p>
    <w:p>
      <w:pPr>
        <w:pStyle w:val="DefinedTerms"/>
      </w:pPr>
      <w:r>
        <w:t>latest draft statement</w:t>
      </w:r>
      <w:r>
        <w:tab/>
        <w:t>63(2)</w:t>
      </w:r>
    </w:p>
    <w:p>
      <w:pPr>
        <w:pStyle w:val="DefinedTerms"/>
      </w:pPr>
      <w:r>
        <w:t>liability</w:t>
      </w:r>
      <w:r>
        <w:tab/>
        <w:t>Sch. 8 cl. 1</w:t>
      </w:r>
    </w:p>
    <w:p>
      <w:pPr>
        <w:pStyle w:val="DefinedTerms"/>
      </w:pPr>
      <w:r>
        <w:t>management</w:t>
      </w:r>
      <w:r>
        <w:tab/>
        <w:t>3(1)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 of staff</w:t>
      </w:r>
      <w:r>
        <w:tab/>
        <w:t>3(1)</w:t>
      </w:r>
    </w:p>
    <w:p>
      <w:pPr>
        <w:pStyle w:val="DefinedTerms"/>
      </w:pPr>
      <w:r>
        <w:t>members of staff</w:t>
      </w:r>
      <w:r>
        <w:tab/>
        <w:t>19(3), 21(4)</w:t>
      </w:r>
    </w:p>
    <w:p>
      <w:pPr>
        <w:pStyle w:val="DefinedTerms"/>
      </w:pPr>
      <w:r>
        <w:t>merger</w:t>
      </w:r>
      <w:r>
        <w:tab/>
        <w:t>Sch. 8 cl. 2 and 23</w:t>
      </w:r>
    </w:p>
    <w:p>
      <w:pPr>
        <w:pStyle w:val="DefinedTerms"/>
      </w:pPr>
      <w:r>
        <w:t>merger time</w:t>
      </w:r>
      <w:r>
        <w:tab/>
        <w:t>Sch. 8 cl. 2 and 23</w:t>
      </w:r>
    </w:p>
    <w:p>
      <w:pPr>
        <w:pStyle w:val="DefinedTerms"/>
      </w:pPr>
      <w:r>
        <w:t>merging authority</w:t>
      </w:r>
      <w:r>
        <w:tab/>
        <w:t>Sch. 8 cl. 2 and 23</w:t>
      </w:r>
    </w:p>
    <w:p>
      <w:pPr>
        <w:pStyle w:val="DefinedTerms"/>
      </w:pPr>
      <w:r>
        <w:t>Ministerial appointee</w:t>
      </w:r>
      <w:r>
        <w:tab/>
        <w:t>Sch. 6 cl. 1 and 2</w:t>
      </w:r>
    </w:p>
    <w:p>
      <w:pPr>
        <w:pStyle w:val="DefinedTerms"/>
      </w:pPr>
      <w:r>
        <w:t>mooring</w:t>
      </w:r>
      <w:r>
        <w:tab/>
        <w:t>3(1)</w:t>
      </w:r>
    </w:p>
    <w:p>
      <w:pPr>
        <w:pStyle w:val="DefinedTerms"/>
      </w:pPr>
      <w:r>
        <w:t>movement</w:t>
      </w:r>
      <w:r>
        <w:tab/>
        <w:t>3(1)</w:t>
      </w:r>
    </w:p>
    <w:p>
      <w:pPr>
        <w:pStyle w:val="DefinedTerms"/>
      </w:pPr>
      <w:r>
        <w:t>MWPA</w:t>
      </w:r>
      <w:r>
        <w:tab/>
        <w:t>Sch. 8 cl. 16</w:t>
      </w:r>
    </w:p>
    <w:p>
      <w:pPr>
        <w:pStyle w:val="DefinedTerms"/>
      </w:pPr>
      <w:r>
        <w:t>navigational aid</w:t>
      </w:r>
      <w:r>
        <w:tab/>
        <w:t>3(1)</w:t>
      </w:r>
    </w:p>
    <w:p>
      <w:pPr>
        <w:pStyle w:val="DefinedTerms"/>
      </w:pPr>
      <w:r>
        <w:t>new board</w:t>
      </w:r>
      <w:r>
        <w:tab/>
        <w:t>Sch. 8 cl. 2, 16, 23, 37 and 45</w:t>
      </w:r>
    </w:p>
    <w:p>
      <w:pPr>
        <w:pStyle w:val="DefinedTerms"/>
      </w:pPr>
      <w:r>
        <w:t>new name</w:t>
      </w:r>
      <w:r>
        <w:tab/>
        <w:t>Sch. 8 cl. 11(1), 20(1), 32(1) and 41(1)</w:t>
      </w:r>
    </w:p>
    <w:p>
      <w:pPr>
        <w:pStyle w:val="DefinedTerms"/>
      </w:pPr>
      <w:r>
        <w:t>new owner</w:t>
      </w:r>
      <w:r>
        <w:tab/>
        <w:t>46(1)</w:t>
      </w:r>
    </w:p>
    <w:p>
      <w:pPr>
        <w:pStyle w:val="DefinedTerms"/>
      </w:pPr>
      <w:r>
        <w:t>North West Gas Development (Woodside) Agreement</w:t>
      </w:r>
      <w:r>
        <w:tab/>
        <w:t>Sch. 6 cl. 1</w:t>
      </w:r>
    </w:p>
    <w:p>
      <w:pPr>
        <w:pStyle w:val="DefinedTerms"/>
      </w:pPr>
      <w:r>
        <w:t>notifiable interest</w:t>
      </w:r>
      <w:r>
        <w:tab/>
        <w:t>12(3)</w:t>
      </w:r>
    </w:p>
    <w:p>
      <w:pPr>
        <w:pStyle w:val="DefinedTerms"/>
      </w:pPr>
      <w:r>
        <w:t>officer</w:t>
      </w:r>
      <w:r>
        <w:tab/>
        <w:t>Sch. 3 cl. 2(1)</w:t>
      </w:r>
    </w:p>
    <w:p>
      <w:pPr>
        <w:pStyle w:val="DefinedTerms"/>
      </w:pPr>
      <w:r>
        <w:t>owner</w:t>
      </w:r>
      <w:r>
        <w:tab/>
        <w:t>3(1), 105(1)</w:t>
      </w:r>
    </w:p>
    <w:p>
      <w:pPr>
        <w:pStyle w:val="DefinedTerms"/>
      </w:pPr>
      <w:r>
        <w:t>participate</w:t>
      </w:r>
      <w:r>
        <w:tab/>
        <w:t>35(9)</w:t>
      </w:r>
    </w:p>
    <w:p>
      <w:pPr>
        <w:pStyle w:val="DefinedTerms"/>
      </w:pPr>
      <w:r>
        <w:t>port</w:t>
      </w:r>
      <w:r>
        <w:tab/>
        <w:t>3(1), Sch. 6 cl. 2</w:t>
      </w:r>
    </w:p>
    <w:p>
      <w:pPr>
        <w:pStyle w:val="DefinedTerms"/>
      </w:pPr>
      <w:r>
        <w:t>port activities</w:t>
      </w:r>
      <w:r>
        <w:tab/>
        <w:t>3(1), 35(9)</w:t>
      </w:r>
    </w:p>
    <w:p>
      <w:pPr>
        <w:pStyle w:val="DefinedTerms"/>
      </w:pPr>
      <w:r>
        <w:t>port authority</w:t>
      </w:r>
      <w:r>
        <w:tab/>
        <w:t>3(1), 38(1), 123, Sch. 8 cl. 16 and 37</w:t>
      </w:r>
    </w:p>
    <w:p>
      <w:pPr>
        <w:pStyle w:val="DefinedTerms"/>
      </w:pPr>
      <w:r>
        <w:t>port charges</w:t>
      </w:r>
      <w:r>
        <w:tab/>
        <w:t>3(1), 115(1)</w:t>
      </w:r>
    </w:p>
    <w:p>
      <w:pPr>
        <w:pStyle w:val="DefinedTerms"/>
      </w:pPr>
      <w:r>
        <w:t>port facilities</w:t>
      </w:r>
      <w:r>
        <w:tab/>
        <w:t>3(1)</w:t>
      </w:r>
    </w:p>
    <w:p>
      <w:pPr>
        <w:pStyle w:val="DefinedTerms"/>
      </w:pPr>
      <w:r>
        <w:t>port land</w:t>
      </w:r>
      <w:r>
        <w:tab/>
        <w:t>3(1)</w:t>
      </w:r>
    </w:p>
    <w:p>
      <w:pPr>
        <w:pStyle w:val="DefinedTerms"/>
      </w:pPr>
      <w:r>
        <w:t>port operations</w:t>
      </w:r>
      <w:r>
        <w:tab/>
        <w:t>3(1)</w:t>
      </w:r>
    </w:p>
    <w:p>
      <w:pPr>
        <w:pStyle w:val="DefinedTerms"/>
      </w:pPr>
      <w:r>
        <w:t>port property</w:t>
      </w:r>
      <w:r>
        <w:tab/>
        <w:t>3(1)</w:t>
      </w:r>
    </w:p>
    <w:p>
      <w:pPr>
        <w:pStyle w:val="DefinedTerms"/>
      </w:pPr>
      <w:r>
        <w:t>port security</w:t>
      </w:r>
      <w:r>
        <w:tab/>
        <w:t>3(1)</w:t>
      </w:r>
    </w:p>
    <w:p>
      <w:pPr>
        <w:pStyle w:val="DefinedTerms"/>
      </w:pPr>
      <w:r>
        <w:t>port services</w:t>
      </w:r>
      <w:r>
        <w:tab/>
        <w:t>3(1), 35(9)</w:t>
      </w:r>
    </w:p>
    <w:p>
      <w:pPr>
        <w:pStyle w:val="DefinedTerms"/>
      </w:pPr>
      <w:r>
        <w:t>port works</w:t>
      </w:r>
      <w:r>
        <w:tab/>
        <w:t>3(1), 35(9)</w:t>
      </w:r>
    </w:p>
    <w:p>
      <w:pPr>
        <w:pStyle w:val="DefinedTerms"/>
      </w:pPr>
      <w:r>
        <w:t>potential supplier</w:t>
      </w:r>
      <w:r>
        <w:tab/>
        <w:t>3(1)</w:t>
      </w:r>
    </w:p>
    <w:p>
      <w:pPr>
        <w:pStyle w:val="DefinedTerms"/>
      </w:pPr>
      <w:r>
        <w:t>PPA</w:t>
      </w:r>
      <w:r>
        <w:tab/>
        <w:t>Sch. 8 cl. 23</w:t>
      </w:r>
    </w:p>
    <w:p>
      <w:pPr>
        <w:pStyle w:val="DefinedTerms"/>
      </w:pPr>
      <w:r>
        <w:t>prescribed day</w:t>
      </w:r>
      <w:r>
        <w:tab/>
        <w:t>Sch. 5 cl. 34(1)</w:t>
      </w:r>
    </w:p>
    <w:p>
      <w:pPr>
        <w:pStyle w:val="DefinedTerms"/>
      </w:pPr>
      <w:r>
        <w:t>prescribed thing</w:t>
      </w:r>
      <w:r>
        <w:tab/>
        <w:t>113(1A)</w:t>
      </w:r>
    </w:p>
    <w:p>
      <w:pPr>
        <w:pStyle w:val="DefinedTerms"/>
      </w:pPr>
      <w:r>
        <w:t>Public Bank Account</w:t>
      </w:r>
      <w:r>
        <w:tab/>
        <w:t>79(1)</w:t>
      </w:r>
    </w:p>
    <w:p>
      <w:pPr>
        <w:pStyle w:val="DefinedTerms"/>
      </w:pPr>
      <w:r>
        <w:t>public service officer</w:t>
      </w:r>
      <w:r>
        <w:tab/>
        <w:t>11(2)</w:t>
      </w:r>
    </w:p>
    <w:p>
      <w:pPr>
        <w:pStyle w:val="DefinedTerms"/>
      </w:pPr>
      <w:r>
        <w:t>regulations</w:t>
      </w:r>
      <w:r>
        <w:tab/>
        <w:t>Sch. 5 cl. 1(1)</w:t>
      </w:r>
    </w:p>
    <w:p>
      <w:pPr>
        <w:pStyle w:val="DefinedTerms"/>
      </w:pPr>
      <w:r>
        <w:t>relevant act</w:t>
      </w:r>
      <w:r>
        <w:tab/>
        <w:t>Sch. 8 cl. 10(1) and 31(1)</w:t>
      </w:r>
    </w:p>
    <w:p>
      <w:pPr>
        <w:pStyle w:val="DefinedTerms"/>
      </w:pPr>
      <w:r>
        <w:t>relevant officials</w:t>
      </w:r>
      <w:r>
        <w:tab/>
        <w:t>Sch. 8 cl. 45</w:t>
      </w:r>
    </w:p>
    <w:p>
      <w:pPr>
        <w:pStyle w:val="DefinedTerms"/>
      </w:pPr>
      <w:r>
        <w:t>renaming</w:t>
      </w:r>
      <w:r>
        <w:tab/>
        <w:t>Sch. 8 cl. 16 and 37</w:t>
      </w:r>
    </w:p>
    <w:p>
      <w:pPr>
        <w:pStyle w:val="DefinedTerms"/>
      </w:pPr>
      <w:r>
        <w:t>renaming time</w:t>
      </w:r>
      <w:r>
        <w:tab/>
        <w:t>Sch. 8 cl. 16 and 37</w:t>
      </w:r>
    </w:p>
    <w:p>
      <w:pPr>
        <w:pStyle w:val="DefinedTerms"/>
      </w:pPr>
      <w:r>
        <w:t>reporting board</w:t>
      </w:r>
      <w:r>
        <w:tab/>
        <w:t>Sch. 8 cl. 34(1)</w:t>
      </w:r>
    </w:p>
    <w:p>
      <w:pPr>
        <w:pStyle w:val="DefinedTerms"/>
      </w:pPr>
      <w:r>
        <w:t>reporting board,</w:t>
      </w:r>
      <w:r>
        <w:tab/>
        <w:t>Sch. 8 cl. 13(1)</w:t>
      </w:r>
    </w:p>
    <w:p>
      <w:pPr>
        <w:pStyle w:val="DefinedTerms"/>
      </w:pPr>
      <w:r>
        <w:t>reporting provisions</w:t>
      </w:r>
      <w:r>
        <w:tab/>
        <w:t>Sch. 8 cl. 13(1) and 34(1)</w:t>
      </w:r>
    </w:p>
    <w:p>
      <w:pPr>
        <w:pStyle w:val="DefinedTerms"/>
      </w:pPr>
      <w:r>
        <w:t>right</w:t>
      </w:r>
      <w:r>
        <w:tab/>
        <w:t>Sch. 8 cl. 1</w:t>
      </w:r>
    </w:p>
    <w:p>
      <w:pPr>
        <w:pStyle w:val="DefinedTerms"/>
      </w:pPr>
      <w:r>
        <w:t>Salt Company</w:t>
      </w:r>
      <w:r>
        <w:tab/>
        <w:t>Sch. 6 cl. 1</w:t>
      </w:r>
    </w:p>
    <w:p>
      <w:pPr>
        <w:pStyle w:val="DefinedTerms"/>
      </w:pPr>
      <w:r>
        <w:t>second lessee</w:t>
      </w:r>
      <w:r>
        <w:tab/>
        <w:t>Sch. 6 cl. 2</w:t>
      </w:r>
    </w:p>
    <w:p>
      <w:pPr>
        <w:pStyle w:val="DefinedTerms"/>
      </w:pPr>
      <w:r>
        <w:t>second lessee appointee</w:t>
      </w:r>
      <w:r>
        <w:tab/>
        <w:t>Sch. 6 cl. 2</w:t>
      </w:r>
    </w:p>
    <w:p>
      <w:pPr>
        <w:pStyle w:val="DefinedTerms"/>
      </w:pPr>
      <w:r>
        <w:t>sell</w:t>
      </w:r>
      <w:r>
        <w:tab/>
        <w:t>27(3)</w:t>
      </w:r>
    </w:p>
    <w:p>
      <w:pPr>
        <w:pStyle w:val="DefinedTerms"/>
      </w:pPr>
      <w:r>
        <w:t>SPA</w:t>
      </w:r>
      <w:r>
        <w:tab/>
        <w:t>Sch. 8 cl. 2</w:t>
      </w:r>
    </w:p>
    <w:p>
      <w:pPr>
        <w:pStyle w:val="DefinedTerms"/>
      </w:pPr>
      <w:r>
        <w:t>State tax</w:t>
      </w:r>
      <w:r>
        <w:tab/>
        <w:t>Sch. 8 cl. 45</w:t>
      </w:r>
    </w:p>
    <w:p>
      <w:pPr>
        <w:pStyle w:val="DefinedTerms"/>
      </w:pPr>
      <w:r>
        <w:t>subsidiary</w:t>
      </w:r>
      <w:r>
        <w:tab/>
        <w:t>3(1)</w:t>
      </w:r>
    </w:p>
    <w:p>
      <w:pPr>
        <w:pStyle w:val="DefinedTerms"/>
      </w:pPr>
      <w:r>
        <w:t>subsisting</w:t>
      </w:r>
      <w:r>
        <w:tab/>
        <w:t>Sch. 8 cl. 11(1) and 32(1)</w:t>
      </w:r>
    </w:p>
    <w:p>
      <w:pPr>
        <w:pStyle w:val="DefinedTerms"/>
      </w:pPr>
      <w:r>
        <w:t xml:space="preserve"> third party</w:t>
      </w:r>
      <w:r>
        <w:tab/>
        <w:t>46(1)</w:t>
      </w:r>
    </w:p>
    <w:p>
      <w:pPr>
        <w:pStyle w:val="DefinedTerms"/>
      </w:pPr>
      <w:r>
        <w:t>transaction</w:t>
      </w:r>
      <w:r>
        <w:tab/>
        <w:t>42</w:t>
      </w:r>
    </w:p>
    <w:p>
      <w:pPr>
        <w:pStyle w:val="DefinedTerms"/>
      </w:pPr>
      <w:r>
        <w:t>transitional regulations</w:t>
      </w:r>
      <w:r>
        <w:tab/>
        <w:t>Sch. 8 cl. 2, 15(1), 16, 22(1),</w:t>
      </w:r>
      <w:r>
        <w:br/>
      </w:r>
      <w:r>
        <w:tab/>
        <w:t>23, 36(1), 37, 43(1) and 45</w:t>
      </w:r>
    </w:p>
    <w:p>
      <w:pPr>
        <w:pStyle w:val="DefinedTerms"/>
      </w:pPr>
      <w:r>
        <w:t>Treasurer</w:t>
      </w:r>
      <w:r>
        <w:tab/>
        <w:t>3(1)</w:t>
      </w:r>
    </w:p>
    <w:p>
      <w:pPr>
        <w:pStyle w:val="DefinedTerms"/>
      </w:pPr>
      <w:r>
        <w:t>Treasury Corporation</w:t>
      </w:r>
      <w:r>
        <w:tab/>
        <w:t>87(3)</w:t>
      </w:r>
    </w:p>
    <w:p>
      <w:pPr>
        <w:pStyle w:val="DefinedTerms"/>
      </w:pPr>
      <w:r>
        <w:t>under compulsory pilotage</w:t>
      </w:r>
      <w:r>
        <w:tab/>
        <w:t>95(1)</w:t>
      </w:r>
    </w:p>
    <w:p>
      <w:pPr>
        <w:pStyle w:val="DefinedTerms"/>
      </w:pPr>
      <w:r>
        <w:t>vessel</w:t>
      </w:r>
      <w:r>
        <w:tab/>
        <w:t>3(1)</w:t>
      </w:r>
    </w:p>
    <w:p>
      <w:pPr>
        <w:pStyle w:val="DefinedTerms"/>
      </w:pPr>
      <w:r>
        <w:t>vested</w:t>
      </w:r>
      <w:r>
        <w:tab/>
        <w:t>3(1)</w:t>
      </w:r>
    </w:p>
    <w:p>
      <w:pPr>
        <w:rPr>
          <w:sz w:val="20"/>
        </w:rPr>
      </w:pPr>
    </w:p>
    <w:p>
      <w:pPr>
        <w:rPr>
          <w:sz w:val="20"/>
        </w:rPr>
        <w:sectPr>
          <w:headerReference w:type="even" r:id="rId47"/>
          <w:headerReference w:type="default" r:id="rId48"/>
          <w:footerReference w:type="even" r:id="rId49"/>
          <w:footerReference w:type="default" r:id="rId50"/>
          <w:headerReference w:type="first" r:id="rId51"/>
          <w:footerReference w:type="first" r:id="rId52"/>
          <w:pgSz w:w="11906" w:h="16838" w:code="9"/>
          <w:pgMar w:top="2376" w:right="2404" w:bottom="3544" w:left="2404" w:header="720" w:footer="3380" w:gutter="0"/>
          <w:cols w:space="720"/>
          <w:noEndnote/>
          <w:docGrid w:linePitch="326"/>
        </w:sectPr>
      </w:pPr>
    </w:p>
    <w:p>
      <w:pPr>
        <w:rPr>
          <w:sz w:val="20"/>
        </w:rPr>
      </w:pPr>
    </w:p>
    <w:sectPr>
      <w:headerReference w:type="even" r:id="rId53"/>
      <w:headerReference w:type="default" r:id="rId5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 authorities and ports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 authorities and ports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duties of CEO</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General duties of CEO</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Financial administration and audit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Financial administration and audit</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Pilbara Ports Authority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Pilbara Ports Authority</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Purposes for which, or matters about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Port of Port Hedland</w:t>
            </w:r>
            <w:r>
              <w:rPr>
                <w:noProof/>
              </w:rPr>
              <w:cr/>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Purposes for which, or matters about which, regulations may be made</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Port of Port Hedland</w:t>
            </w:r>
            <w:r>
              <w:rPr>
                <w:noProof/>
              </w:rPr>
              <w:cr/>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51</w:instrText>
            </w:r>
          </w:fldSimple>
          <w:r>
            <w:instrText xml:space="preserve"> </w:instrText>
          </w:r>
          <w:r>
            <w:fldChar w:fldCharType="separate"/>
          </w:r>
          <w:r>
            <w:rPr>
              <w:noProof/>
            </w:rPr>
            <w:t>51</w:t>
          </w:r>
          <w:r>
            <w:fldChar w:fldCharType="end"/>
          </w: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51</w:instrText>
            </w:r>
          </w:fldSimple>
          <w:r>
            <w:instrText xml:space="preserve"> </w:instrText>
          </w:r>
          <w:r>
            <w:fldChar w:fldCharType="separate"/>
          </w:r>
          <w:r>
            <w:rPr>
              <w:noProof/>
            </w:rPr>
            <w:t>51</w:t>
          </w:r>
          <w: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TextLeft"/>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c>
        <w:tcPr>
          <w:tcW w:w="7160" w:type="dxa"/>
          <w:gridSpan w:val="2"/>
        </w:tcPr>
        <w:p>
          <w:pPr>
            <w:pStyle w:val="HeaderNumberRight"/>
          </w:pPr>
        </w:p>
      </w:tc>
    </w:tr>
  </w:tbl>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TextLeft"/>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c>
        <w:tcPr>
          <w:tcW w:w="7160" w:type="dxa"/>
          <w:gridSpan w:val="2"/>
        </w:tcPr>
        <w:p>
          <w:pPr>
            <w:pStyle w:val="HeaderNumberRight"/>
          </w:pPr>
          <w:r>
            <w:t>Defined terms</w:t>
          </w:r>
        </w:p>
      </w:tc>
    </w:tr>
  </w:tbl>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Right"/>
            <w:ind w:right="17"/>
            <w:jc w:val="left"/>
          </w:pPr>
          <w:r>
            <w:t>Defined Terms</w:t>
          </w:r>
        </w:p>
      </w:tc>
    </w:tr>
  </w:tbl>
  <w:p>
    <w:pPr>
      <w:pStyle w:val="HeaderTextLeft"/>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gridCol w:w="152"/>
    </w:tblGrid>
    <w:tr>
      <w:trPr>
        <w:gridAfter w:val="1"/>
        <w:wAfter w:w="152" w:type="dxa"/>
        <w:cantSplit/>
      </w:trPr>
      <w:tc>
        <w:tcPr>
          <w:tcW w:w="7160" w:type="dxa"/>
          <w:gridSpan w:val="2"/>
        </w:tcPr>
        <w:p>
          <w:pPr>
            <w:pStyle w:val="HeaderActNameRight"/>
          </w:pPr>
          <w:fldSimple w:instr=" Styleref &quot;Name of Act/Reg&quot; ">
            <w:r>
              <w:rPr>
                <w:noProof/>
              </w:rPr>
              <w:t>Port Authorities Act 1999</w:t>
            </w:r>
          </w:fldSimple>
        </w:p>
      </w:tc>
    </w:tr>
    <w:tr>
      <w:trPr>
        <w:gridAfter w:val="1"/>
        <w:wAfter w:w="152" w:type="dxa"/>
      </w:trPr>
      <w:tc>
        <w:tcPr>
          <w:tcW w:w="5760" w:type="dxa"/>
        </w:tcPr>
        <w:p>
          <w:pPr>
            <w:pStyle w:val="HeaderTextRight"/>
          </w:pPr>
        </w:p>
      </w:tc>
      <w:tc>
        <w:tcPr>
          <w:tcW w:w="1400" w:type="dxa"/>
        </w:tcPr>
        <w:p>
          <w:pPr>
            <w:pStyle w:val="HeaderNumberRight"/>
          </w:pPr>
        </w:p>
      </w:tc>
    </w:tr>
    <w:tr>
      <w:trPr>
        <w:gridAfter w:val="1"/>
        <w:wAfter w:w="152" w:type="dxa"/>
      </w:trPr>
      <w:tc>
        <w:tcPr>
          <w:tcW w:w="5760" w:type="dxa"/>
        </w:tcPr>
        <w:p>
          <w:pPr>
            <w:pStyle w:val="HeaderTextRight"/>
          </w:pPr>
        </w:p>
      </w:tc>
      <w:tc>
        <w:tcPr>
          <w:tcW w:w="1400" w:type="dxa"/>
        </w:tcPr>
        <w:p>
          <w:pPr>
            <w:pStyle w:val="HeaderNumberRight"/>
          </w:pPr>
        </w:p>
      </w:tc>
    </w:tr>
    <w:tr>
      <w:trPr>
        <w:cantSplit/>
      </w:trPr>
      <w:tc>
        <w:tcPr>
          <w:tcW w:w="7312" w:type="dxa"/>
          <w:gridSpan w:val="3"/>
        </w:tcPr>
        <w:p>
          <w:pPr>
            <w:pStyle w:val="HeaderSectionRigh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AFC3E8A"/>
    <w:multiLevelType w:val="multilevel"/>
    <w:tmpl w:val="05B090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8"/>
  </w:num>
  <w:num w:numId="14">
    <w:abstractNumId w:val="18"/>
  </w:num>
  <w:num w:numId="15">
    <w:abstractNumId w:val="14"/>
  </w:num>
  <w:num w:numId="16">
    <w:abstractNumId w:val="15"/>
  </w:num>
  <w:num w:numId="17">
    <w:abstractNumId w:val="19"/>
  </w:num>
  <w:num w:numId="1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9140300"/>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 w:name="WAFER_20140619140300" w:val="RemoveTocBookmarks,RemoveUnusedBookmarks,RemoveLanguageTags,UsedStyles,ResetPageSize,UpdateArrangement"/>
    <w:docVar w:name="WAFER_20140619140300_GUID" w:val="0f63522f-108f-440c-9e01-c5650111a4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1.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2.png"/><Relationship Id="rId47" Type="http://schemas.openxmlformats.org/officeDocument/2006/relationships/header" Target="header28.xml"/><Relationship Id="rId50" Type="http://schemas.openxmlformats.org/officeDocument/2006/relationships/footer" Target="footer11.xml"/><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3.xml"/><Relationship Id="rId54" Type="http://schemas.openxmlformats.org/officeDocument/2006/relationships/header" Target="header3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6.xml"/><Relationship Id="rId53" Type="http://schemas.openxmlformats.org/officeDocument/2006/relationships/header" Target="header3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5.xml"/><Relationship Id="rId52"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4.xml"/><Relationship Id="rId48" Type="http://schemas.openxmlformats.org/officeDocument/2006/relationships/header" Target="header29.xm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eader" Target="header30.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80C1A-54C1-4A1E-AE13-630C8698F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190</Pages>
  <Words>47387</Words>
  <Characters>224144</Characters>
  <Application>Microsoft Office Word</Application>
  <DocSecurity>0</DocSecurity>
  <Lines>5898</Lines>
  <Paragraphs>3879</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267652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1999 - 03-d0-01</dc:title>
  <dc:subject/>
  <dc:creator/>
  <cp:keywords/>
  <dc:description/>
  <cp:lastModifiedBy>svcMRProcess</cp:lastModifiedBy>
  <cp:revision>4</cp:revision>
  <cp:lastPrinted>2012-09-11T05:57:00Z</cp:lastPrinted>
  <dcterms:created xsi:type="dcterms:W3CDTF">2018-09-06T21:25:00Z</dcterms:created>
  <dcterms:modified xsi:type="dcterms:W3CDTF">2018-09-06T21:25:00Z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20140701</vt:lpwstr>
  </property>
  <property fmtid="{D5CDD505-2E9C-101B-9397-08002B2CF9AE}" pid="4" name="DocumentType">
    <vt:lpwstr>Act</vt:lpwstr>
  </property>
  <property fmtid="{D5CDD505-2E9C-101B-9397-08002B2CF9AE}" pid="5" name="OwlsUID">
    <vt:i4>1946</vt:i4>
  </property>
  <property fmtid="{D5CDD505-2E9C-101B-9397-08002B2CF9AE}" pid="6" name="AsAtDate">
    <vt:lpwstr>01 Jul 2014</vt:lpwstr>
  </property>
  <property fmtid="{D5CDD505-2E9C-101B-9397-08002B2CF9AE}" pid="7" name="Suffix">
    <vt:lpwstr>03-d0-01</vt:lpwstr>
  </property>
  <property fmtid="{D5CDD505-2E9C-101B-9397-08002B2CF9AE}" pid="8" name="ReprintNo">
    <vt:lpwstr>3</vt:lpwstr>
  </property>
  <property fmtid="{D5CDD505-2E9C-101B-9397-08002B2CF9AE}" pid="9" name="ReprintedAsAt">
    <vt:filetime>2012-09-06T16:00:00Z</vt:filetime>
  </property>
</Properties>
</file>