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_Toc424293082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_Toc424293083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_Toc424293085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Determinations having an interpretive effect</w:t>
      </w:r>
    </w:p>
    <w:p>
      <w:pPr>
        <w:pStyle w:val="TOC8"/>
        <w:rPr>
          <w:rFonts w:asciiTheme="minorHAnsi" w:eastAsiaTheme="minorEastAsia" w:hAnsiTheme="minorHAnsi" w:cstheme="minorBidi"/>
          <w:szCs w:val="22"/>
        </w:rPr>
      </w:pPr>
      <w:r>
        <w:t>5</w:t>
      </w:r>
      <w:r>
        <w:rPr>
          <w:snapToGrid w:val="0"/>
        </w:rPr>
        <w:t>.</w:t>
      </w:r>
      <w:r>
        <w:rPr>
          <w:snapToGrid w:val="0"/>
        </w:rPr>
        <w:tab/>
        <w:t>Eligibility as a senior</w:t>
      </w:r>
      <w:r>
        <w:tab/>
      </w:r>
      <w:r>
        <w:fldChar w:fldCharType="begin"/>
      </w:r>
      <w:r>
        <w:instrText xml:space="preserve"> PAGEREF _Toc424293087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concession cards for persons not otherwise eligible</w:t>
      </w:r>
      <w:r>
        <w:tab/>
      </w:r>
      <w:r>
        <w:fldChar w:fldCharType="begin"/>
      </w:r>
      <w:r>
        <w:instrText xml:space="preserve"> PAGEREF _Toc424293088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of a person as regards land</w:t>
      </w:r>
      <w:r>
        <w:tab/>
      </w:r>
      <w:r>
        <w:fldChar w:fldCharType="begin"/>
      </w:r>
      <w:r>
        <w:instrText xml:space="preserve"> PAGEREF _Toc424293089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Administration</w:t>
      </w:r>
    </w:p>
    <w:p>
      <w:pPr>
        <w:pStyle w:val="TOC8"/>
        <w:rPr>
          <w:rFonts w:asciiTheme="minorHAnsi" w:eastAsiaTheme="minorEastAsia" w:hAnsiTheme="minorHAnsi" w:cstheme="minorBidi"/>
          <w:szCs w:val="22"/>
        </w:rPr>
      </w:pPr>
      <w:r>
        <w:t>8</w:t>
      </w:r>
      <w:r>
        <w:rPr>
          <w:snapToGrid w:val="0"/>
        </w:rPr>
        <w:t>.</w:t>
      </w:r>
      <w:r>
        <w:rPr>
          <w:snapToGrid w:val="0"/>
        </w:rPr>
        <w:tab/>
        <w:t>Purposes</w:t>
      </w:r>
      <w:r>
        <w:tab/>
      </w:r>
      <w:r>
        <w:fldChar w:fldCharType="begin"/>
      </w:r>
      <w:r>
        <w:instrText xml:space="preserve"> PAGEREF _Toc424293091 \h </w:instrText>
      </w:r>
      <w:r>
        <w:fldChar w:fldCharType="separate"/>
      </w:r>
      <w:r>
        <w:t>9</w:t>
      </w:r>
      <w:r>
        <w:fldChar w:fldCharType="end"/>
      </w:r>
    </w:p>
    <w:p>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_Toc424293092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of functions</w:t>
      </w:r>
      <w:r>
        <w:tab/>
      </w:r>
      <w:r>
        <w:fldChar w:fldCharType="begin"/>
      </w:r>
      <w:r>
        <w:instrText xml:space="preserve"> PAGEREF _Toc424293093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w:t>
      </w:r>
      <w:r>
        <w:tab/>
      </w:r>
      <w:r>
        <w:fldChar w:fldCharType="begin"/>
      </w:r>
      <w:r>
        <w:instrText xml:space="preserve"> PAGEREF _Toc424293094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Review of determinations</w:t>
      </w:r>
    </w:p>
    <w:p>
      <w:pPr>
        <w:pStyle w:val="TOC8"/>
        <w:rPr>
          <w:rFonts w:asciiTheme="minorHAnsi" w:eastAsiaTheme="minorEastAsia" w:hAnsiTheme="minorHAnsi" w:cstheme="minorBidi"/>
          <w:szCs w:val="22"/>
        </w:rPr>
      </w:pPr>
      <w:r>
        <w:t>12</w:t>
      </w:r>
      <w:r>
        <w:rPr>
          <w:snapToGrid w:val="0"/>
        </w:rPr>
        <w:t>.</w:t>
      </w:r>
      <w:r>
        <w:rPr>
          <w:snapToGrid w:val="0"/>
        </w:rPr>
        <w:tab/>
        <w:t>Determination may be referred for review</w:t>
      </w:r>
      <w:r>
        <w:tab/>
      </w:r>
      <w:r>
        <w:fldChar w:fldCharType="begin"/>
      </w:r>
      <w:r>
        <w:instrText xml:space="preserve"> PAGEREF _Toc424293096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Investigation by authorised review officer</w:t>
      </w:r>
      <w:r>
        <w:tab/>
      </w:r>
      <w:r>
        <w:fldChar w:fldCharType="begin"/>
      </w:r>
      <w:r>
        <w:instrText xml:space="preserve"> PAGEREF _Toc424293097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review or complaint</w:t>
      </w:r>
      <w:r>
        <w:tab/>
      </w:r>
      <w:r>
        <w:fldChar w:fldCharType="begin"/>
      </w:r>
      <w:r>
        <w:instrText xml:space="preserve"> PAGEREF _Toc424293098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Compensation for errors</w:t>
      </w:r>
      <w:r>
        <w:tab/>
      </w:r>
      <w:r>
        <w:fldChar w:fldCharType="begin"/>
      </w:r>
      <w:r>
        <w:instrText xml:space="preserve"> PAGEREF _Toc424293099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Reimbursement</w:t>
      </w:r>
    </w:p>
    <w:p>
      <w:pPr>
        <w:pStyle w:val="TOC8"/>
        <w:rPr>
          <w:rFonts w:asciiTheme="minorHAnsi" w:eastAsiaTheme="minorEastAsia" w:hAnsiTheme="minorHAnsi" w:cstheme="minorBidi"/>
          <w:szCs w:val="22"/>
        </w:rPr>
      </w:pPr>
      <w:r>
        <w:t>16</w:t>
      </w:r>
      <w:r>
        <w:rPr>
          <w:snapToGrid w:val="0"/>
        </w:rPr>
        <w:t>.</w:t>
      </w:r>
      <w:r>
        <w:rPr>
          <w:snapToGrid w:val="0"/>
        </w:rPr>
        <w:tab/>
        <w:t>Claims by administrative authorities</w:t>
      </w:r>
      <w:r>
        <w:tab/>
      </w:r>
      <w:r>
        <w:fldChar w:fldCharType="begin"/>
      </w:r>
      <w:r>
        <w:instrText xml:space="preserve"> PAGEREF _Toc424293101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claims for reimbursement</w:t>
      </w:r>
      <w:r>
        <w:tab/>
      </w:r>
      <w:r>
        <w:fldChar w:fldCharType="begin"/>
      </w:r>
      <w:r>
        <w:instrText xml:space="preserve"> PAGEREF _Toc424293102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Transitional provisions</w:t>
      </w:r>
    </w:p>
    <w:p>
      <w:pPr>
        <w:pStyle w:val="TOC8"/>
        <w:rPr>
          <w:rFonts w:asciiTheme="minorHAnsi" w:eastAsiaTheme="minorEastAsia" w:hAnsiTheme="minorHAnsi" w:cstheme="minorBidi"/>
          <w:szCs w:val="22"/>
        </w:rPr>
      </w:pPr>
      <w:r>
        <w:t>18</w:t>
      </w:r>
      <w:r>
        <w:rPr>
          <w:snapToGrid w:val="0"/>
        </w:rPr>
        <w:t>.</w:t>
      </w:r>
      <w:r>
        <w:rPr>
          <w:snapToGrid w:val="0"/>
        </w:rPr>
        <w:tab/>
        <w:t>Existing registrations</w:t>
      </w:r>
      <w:r>
        <w:tab/>
      </w:r>
      <w:r>
        <w:fldChar w:fldCharType="begin"/>
      </w:r>
      <w:r>
        <w:instrText xml:space="preserve"> PAGEREF _Toc424293104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Continued deferment of past rates and charges</w:t>
      </w:r>
      <w:r>
        <w:tab/>
      </w:r>
      <w:r>
        <w:fldChar w:fldCharType="begin"/>
      </w:r>
      <w:r>
        <w:instrText xml:space="preserve"> PAGEREF _Toc424293105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_Toc424293106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_Toc424293107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Eligibility and entitlement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Eligibility</w:t>
      </w:r>
    </w:p>
    <w:p>
      <w:pPr>
        <w:pStyle w:val="TOC8"/>
        <w:rPr>
          <w:rFonts w:asciiTheme="minorHAnsi" w:eastAsiaTheme="minorEastAsia" w:hAnsiTheme="minorHAnsi" w:cstheme="minorBidi"/>
          <w:szCs w:val="22"/>
        </w:rPr>
      </w:pPr>
      <w:r>
        <w:t>22</w:t>
      </w:r>
      <w:r>
        <w:rPr>
          <w:snapToGrid w:val="0"/>
        </w:rPr>
        <w:t>.</w:t>
      </w:r>
      <w:r>
        <w:rPr>
          <w:snapToGrid w:val="0"/>
        </w:rPr>
        <w:tab/>
        <w:t>Seniors may apply for registration</w:t>
      </w:r>
      <w:r>
        <w:tab/>
      </w:r>
      <w:r>
        <w:fldChar w:fldCharType="begin"/>
      </w:r>
      <w:r>
        <w:instrText xml:space="preserve"> PAGEREF _Toc424293110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Pensioners eligible to apply for registration</w:t>
      </w:r>
      <w:r>
        <w:tab/>
      </w:r>
      <w:r>
        <w:fldChar w:fldCharType="begin"/>
      </w:r>
      <w:r>
        <w:instrText xml:space="preserve"> PAGEREF _Toc424293111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persons prescribed as eligible</w:t>
      </w:r>
      <w:r>
        <w:tab/>
      </w:r>
      <w:r>
        <w:fldChar w:fldCharType="begin"/>
      </w:r>
      <w:r>
        <w:instrText xml:space="preserve"> PAGEREF _Toc424293112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Means tests</w:t>
      </w:r>
      <w:r>
        <w:tab/>
      </w:r>
      <w:r>
        <w:fldChar w:fldCharType="begin"/>
      </w:r>
      <w:r>
        <w:instrText xml:space="preserve"> PAGEREF _Toc424293113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of eligibility, production of relevant card or authorisation</w:t>
      </w:r>
      <w:r>
        <w:tab/>
      </w:r>
      <w:r>
        <w:fldChar w:fldCharType="begin"/>
      </w:r>
      <w:r>
        <w:instrText xml:space="preserve"> PAGEREF _Toc424293114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Entitlement</w:t>
      </w:r>
    </w:p>
    <w:p>
      <w:pPr>
        <w:pStyle w:val="TOC8"/>
        <w:rPr>
          <w:rFonts w:asciiTheme="minorHAnsi" w:eastAsiaTheme="minorEastAsia" w:hAnsiTheme="minorHAnsi" w:cstheme="minorBidi"/>
          <w:szCs w:val="22"/>
        </w:rPr>
      </w:pPr>
      <w:r>
        <w:t>27</w:t>
      </w:r>
      <w:r>
        <w:rPr>
          <w:snapToGrid w:val="0"/>
        </w:rPr>
        <w:t>.</w:t>
      </w:r>
      <w:r>
        <w:rPr>
          <w:snapToGrid w:val="0"/>
        </w:rPr>
        <w:tab/>
        <w:t>Concept of land belonging to a person</w:t>
      </w:r>
      <w:r>
        <w:tab/>
      </w:r>
      <w:r>
        <w:fldChar w:fldCharType="begin"/>
      </w:r>
      <w:r>
        <w:instrText xml:space="preserve"> PAGEREF _Toc424293116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Proportionate interests</w:t>
      </w:r>
      <w:r>
        <w:tab/>
      </w:r>
      <w:r>
        <w:fldChar w:fldCharType="begin"/>
      </w:r>
      <w:r>
        <w:instrText xml:space="preserve"> PAGEREF _Toc424293117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Relevant interests</w:t>
      </w:r>
      <w:r>
        <w:tab/>
      </w:r>
      <w:r>
        <w:fldChar w:fldCharType="begin"/>
      </w:r>
      <w:r>
        <w:instrText xml:space="preserve"> PAGEREF _Toc424293118 \h </w:instrText>
      </w:r>
      <w:r>
        <w:fldChar w:fldCharType="separate"/>
      </w:r>
      <w:r>
        <w:t>32</w:t>
      </w:r>
      <w:r>
        <w:fldChar w:fldCharType="end"/>
      </w:r>
    </w:p>
    <w:p>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_Toc424293119 \h </w:instrText>
      </w:r>
      <w:r>
        <w:fldChar w:fldCharType="separate"/>
      </w:r>
      <w:r>
        <w:t>33</w:t>
      </w:r>
      <w:r>
        <w:fldChar w:fldCharType="end"/>
      </w:r>
    </w:p>
    <w:p>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_Toc424293120 \h </w:instrText>
      </w:r>
      <w:r>
        <w:fldChar w:fldCharType="separate"/>
      </w:r>
      <w:r>
        <w:t>35</w:t>
      </w:r>
      <w:r>
        <w:fldChar w:fldCharType="end"/>
      </w:r>
    </w:p>
    <w:p>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_Toc424293121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Ordinary place of residence, not in actual occupation</w:t>
      </w:r>
      <w:r>
        <w:tab/>
      </w:r>
      <w:r>
        <w:fldChar w:fldCharType="begin"/>
      </w:r>
      <w:r>
        <w:instrText xml:space="preserve"> PAGEREF _Toc424293122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cases of former joint occupation</w:t>
      </w:r>
      <w:r>
        <w:tab/>
      </w:r>
      <w:r>
        <w:fldChar w:fldCharType="begin"/>
      </w:r>
      <w:r>
        <w:instrText xml:space="preserve"> PAGEREF _Toc424293123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registration process</w:t>
      </w:r>
    </w:p>
    <w:p>
      <w:pPr>
        <w:pStyle w:val="TOC8"/>
        <w:rPr>
          <w:rFonts w:asciiTheme="minorHAnsi" w:eastAsiaTheme="minorEastAsia" w:hAnsiTheme="minorHAnsi" w:cstheme="minorBidi"/>
          <w:szCs w:val="22"/>
        </w:rPr>
      </w:pPr>
      <w:r>
        <w:t>32</w:t>
      </w:r>
      <w:r>
        <w:rPr>
          <w:snapToGrid w:val="0"/>
        </w:rPr>
        <w:t>.</w:t>
      </w:r>
      <w:r>
        <w:rPr>
          <w:snapToGrid w:val="0"/>
        </w:rPr>
        <w:tab/>
        <w:t>Registration</w:t>
      </w:r>
      <w:r>
        <w:tab/>
      </w:r>
      <w:r>
        <w:fldChar w:fldCharType="begin"/>
      </w:r>
      <w:r>
        <w:instrText xml:space="preserve"> PAGEREF _Toc424293125 \h </w:instrText>
      </w:r>
      <w:r>
        <w:fldChar w:fldCharType="separate"/>
      </w:r>
      <w:r>
        <w:t>41</w:t>
      </w:r>
      <w:r>
        <w:fldChar w:fldCharType="end"/>
      </w:r>
    </w:p>
    <w:p>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_Toc424293126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_Toc424293127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Change in circumstances of registered person</w:t>
      </w:r>
      <w:r>
        <w:tab/>
      </w:r>
      <w:r>
        <w:fldChar w:fldCharType="begin"/>
      </w:r>
      <w:r>
        <w:instrText xml:space="preserve"> PAGEREF _Toc424293128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registration</w:t>
      </w:r>
      <w:r>
        <w:tab/>
      </w:r>
      <w:r>
        <w:fldChar w:fldCharType="begin"/>
      </w:r>
      <w:r>
        <w:instrText xml:space="preserve"> PAGEREF _Toc424293129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Amendment or cancellation of registration</w:t>
      </w:r>
      <w:r>
        <w:tab/>
      </w:r>
      <w:r>
        <w:fldChar w:fldCharType="begin"/>
      </w:r>
      <w:r>
        <w:instrText xml:space="preserve"> PAGEREF _Toc424293130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_Toc424293132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allowed rebate or deferment incorrectly</w:t>
      </w:r>
      <w:r>
        <w:tab/>
      </w:r>
      <w:r>
        <w:fldChar w:fldCharType="begin"/>
      </w:r>
      <w:r>
        <w:instrText xml:space="preserve"> PAGEREF _Toc424293133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Rebates</w:t>
      </w:r>
    </w:p>
    <w:p>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_Toc424293135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of payment of rebated amount</w:t>
      </w:r>
      <w:r>
        <w:tab/>
      </w:r>
      <w:r>
        <w:fldChar w:fldCharType="begin"/>
      </w:r>
      <w:r>
        <w:instrText xml:space="preserve"> PAGEREF _Toc424293136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_Toc424293137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4 — Deferment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Where charges may be deferred</w:t>
      </w:r>
    </w:p>
    <w:p>
      <w:pPr>
        <w:pStyle w:val="TOC8"/>
        <w:rPr>
          <w:rFonts w:asciiTheme="minorHAnsi" w:eastAsiaTheme="minorEastAsia" w:hAnsiTheme="minorHAnsi" w:cstheme="minorBidi"/>
          <w:szCs w:val="22"/>
        </w:rPr>
      </w:pPr>
      <w:r>
        <w:t>43</w:t>
      </w:r>
      <w:r>
        <w:rPr>
          <w:snapToGrid w:val="0"/>
        </w:rPr>
        <w:t>.</w:t>
      </w:r>
      <w:r>
        <w:rPr>
          <w:snapToGrid w:val="0"/>
        </w:rPr>
        <w:tab/>
        <w:t>Circumstances where deferment may be allowed</w:t>
      </w:r>
      <w:r>
        <w:tab/>
      </w:r>
      <w:r>
        <w:fldChar w:fldCharType="begin"/>
      </w:r>
      <w:r>
        <w:instrText xml:space="preserve"> PAGEREF _Toc424293140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Deferred payment of rates by eligible pensioner</w:t>
      </w:r>
      <w:r>
        <w:tab/>
      </w:r>
      <w:r>
        <w:fldChar w:fldCharType="begin"/>
      </w:r>
      <w:r>
        <w:instrText xml:space="preserve"> PAGEREF _Toc424293141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_Toc424293142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Continuing liability for payment of deferred charges to be a charge on the land</w:t>
      </w:r>
      <w:r>
        <w:tab/>
      </w:r>
      <w:r>
        <w:fldChar w:fldCharType="begin"/>
      </w:r>
      <w:r>
        <w:instrText xml:space="preserve"> PAGEREF _Toc424293143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Where charges may not be deferred</w:t>
      </w:r>
    </w:p>
    <w:p>
      <w:pPr>
        <w:pStyle w:val="TOC8"/>
        <w:rPr>
          <w:rFonts w:asciiTheme="minorHAnsi" w:eastAsiaTheme="minorEastAsia" w:hAnsiTheme="minorHAnsi" w:cstheme="minorBidi"/>
          <w:szCs w:val="22"/>
        </w:rPr>
      </w:pPr>
      <w:r>
        <w:t>47</w:t>
      </w:r>
      <w:r>
        <w:rPr>
          <w:snapToGrid w:val="0"/>
        </w:rPr>
        <w:t>.</w:t>
      </w:r>
      <w:r>
        <w:rPr>
          <w:snapToGrid w:val="0"/>
        </w:rPr>
        <w:tab/>
        <w:t>Charges likely not to be recoverable</w:t>
      </w:r>
      <w:r>
        <w:tab/>
      </w:r>
      <w:r>
        <w:fldChar w:fldCharType="begin"/>
      </w:r>
      <w:r>
        <w:instrText xml:space="preserve"> PAGEREF _Toc424293145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48</w:t>
      </w:r>
      <w:r>
        <w:rPr>
          <w:snapToGrid w:val="0"/>
        </w:rPr>
        <w:t>.</w:t>
      </w:r>
      <w:r>
        <w:rPr>
          <w:snapToGrid w:val="0"/>
        </w:rPr>
        <w:tab/>
        <w:t>Registration of documents</w:t>
      </w:r>
      <w:r>
        <w:tab/>
      </w:r>
      <w:r>
        <w:fldChar w:fldCharType="begin"/>
      </w:r>
      <w:r>
        <w:instrText xml:space="preserve"> PAGEREF _Toc424293147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_Toc424293148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_Toc424293149 \h </w:instrText>
      </w:r>
      <w:r>
        <w:fldChar w:fldCharType="separate"/>
      </w:r>
      <w:r>
        <w:t>71</w:t>
      </w:r>
      <w:r>
        <w:fldChar w:fldCharType="end"/>
      </w:r>
    </w:p>
    <w:p>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_Toc424293150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section 40</w:t>
      </w:r>
      <w:r>
        <w:tab/>
      </w:r>
      <w:r>
        <w:fldChar w:fldCharType="begin"/>
      </w:r>
      <w:r>
        <w:instrText xml:space="preserve"> PAGEREF _Toc424293153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_Toc424293155 \h </w:instrText>
      </w:r>
      <w:r>
        <w:fldChar w:fldCharType="separate"/>
      </w:r>
      <w:r>
        <w:t>74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_Toc424293156 \h </w:instrText>
      </w:r>
      <w:r>
        <w:fldChar w:fldCharType="separate"/>
      </w:r>
      <w:r>
        <w:t>77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3" w:name="_Toc424293080"/>
      <w:r>
        <w:rPr>
          <w:rStyle w:val="CharPartNo"/>
        </w:rPr>
        <w:t>Part 1</w:t>
      </w:r>
      <w:r>
        <w:t> — </w:t>
      </w:r>
      <w:r>
        <w:rPr>
          <w:rStyle w:val="CharPartText"/>
        </w:rPr>
        <w:t>Administration</w:t>
      </w:r>
      <w:bookmarkEnd w:id="3"/>
    </w:p>
    <w:p>
      <w:pPr>
        <w:pStyle w:val="Heading3"/>
        <w:spacing w:before="200"/>
      </w:pPr>
      <w:bookmarkStart w:id="4" w:name="_Toc424293081"/>
      <w:r>
        <w:rPr>
          <w:rStyle w:val="CharDivNo"/>
        </w:rPr>
        <w:t>Division 1</w:t>
      </w:r>
      <w:r>
        <w:rPr>
          <w:snapToGrid w:val="0"/>
        </w:rPr>
        <w:t> — </w:t>
      </w:r>
      <w:r>
        <w:rPr>
          <w:rStyle w:val="CharDivText"/>
        </w:rPr>
        <w:t>Preliminary</w:t>
      </w:r>
      <w:bookmarkEnd w:id="4"/>
    </w:p>
    <w:p>
      <w:pPr>
        <w:pStyle w:val="Heading5"/>
        <w:spacing w:before="180"/>
        <w:rPr>
          <w:snapToGrid w:val="0"/>
        </w:rPr>
      </w:pPr>
      <w:bookmarkStart w:id="5" w:name="_Toc424293082"/>
      <w:r>
        <w:rPr>
          <w:rStyle w:val="CharSectno"/>
        </w:rPr>
        <w:t>1</w:t>
      </w:r>
      <w:r>
        <w:rPr>
          <w:snapToGrid w:val="0"/>
        </w:rPr>
        <w:t>.</w:t>
      </w:r>
      <w:r>
        <w:rPr>
          <w:snapToGrid w:val="0"/>
        </w:rPr>
        <w:tab/>
        <w:t>Short title</w:t>
      </w:r>
      <w:bookmarkEnd w:id="5"/>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6" w:name="_Toc424293083"/>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7" w:name="_Toc424293084"/>
      <w:r>
        <w:rPr>
          <w:rStyle w:val="CharDivNo"/>
        </w:rPr>
        <w:t>Division 2</w:t>
      </w:r>
      <w:r>
        <w:rPr>
          <w:snapToGrid w:val="0"/>
        </w:rPr>
        <w:t> — </w:t>
      </w:r>
      <w:r>
        <w:rPr>
          <w:rStyle w:val="CharDivText"/>
        </w:rPr>
        <w:t>Interpretation</w:t>
      </w:r>
      <w:bookmarkEnd w:id="7"/>
    </w:p>
    <w:p>
      <w:pPr>
        <w:pStyle w:val="Heading5"/>
        <w:spacing w:before="180"/>
        <w:rPr>
          <w:snapToGrid w:val="0"/>
        </w:rPr>
      </w:pPr>
      <w:bookmarkStart w:id="8" w:name="_Toc424293085"/>
      <w:r>
        <w:rPr>
          <w:rStyle w:val="CharSectno"/>
        </w:rPr>
        <w:t>3</w:t>
      </w:r>
      <w:r>
        <w:rPr>
          <w:snapToGrid w:val="0"/>
        </w:rPr>
        <w:t>.</w:t>
      </w:r>
      <w:r>
        <w:rPr>
          <w:snapToGrid w:val="0"/>
        </w:rPr>
        <w:tab/>
        <w:t>Terms used</w:t>
      </w:r>
      <w:bookmarkEnd w:id="8"/>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 or</w:t>
      </w:r>
    </w:p>
    <w:p>
      <w:pPr>
        <w:pStyle w:val="Defsubpara"/>
        <w:keepLines w:val="0"/>
        <w:rPr>
          <w:snapToGrid w:val="0"/>
        </w:rPr>
      </w:pPr>
      <w:r>
        <w:rPr>
          <w:snapToGrid w:val="0"/>
        </w:rPr>
        <w:tab/>
        <w:t>(ii)</w:t>
      </w:r>
      <w:r>
        <w:rPr>
          <w:snapToGrid w:val="0"/>
        </w:rPr>
        <w:tab/>
        <w:t>a pensioner concession card; or</w:t>
      </w:r>
    </w:p>
    <w:p>
      <w:pPr>
        <w:pStyle w:val="Defsubpara"/>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 and</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w:t>
      </w:r>
    </w:p>
    <w:p>
      <w:pPr>
        <w:pStyle w:val="Heading3"/>
      </w:pPr>
      <w:bookmarkStart w:id="9" w:name="_Toc424293086"/>
      <w:r>
        <w:rPr>
          <w:rStyle w:val="CharDivNo"/>
        </w:rPr>
        <w:t>Division 3</w:t>
      </w:r>
      <w:r>
        <w:rPr>
          <w:snapToGrid w:val="0"/>
        </w:rPr>
        <w:t> — </w:t>
      </w:r>
      <w:r>
        <w:rPr>
          <w:rStyle w:val="CharDivText"/>
        </w:rPr>
        <w:t>Determinations having an interpretive effect</w:t>
      </w:r>
      <w:bookmarkEnd w:id="9"/>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10" w:name="_Toc424293087"/>
      <w:r>
        <w:rPr>
          <w:rStyle w:val="CharSectno"/>
        </w:rPr>
        <w:t>5</w:t>
      </w:r>
      <w:r>
        <w:rPr>
          <w:snapToGrid w:val="0"/>
        </w:rPr>
        <w:t>.</w:t>
      </w:r>
      <w:r>
        <w:rPr>
          <w:snapToGrid w:val="0"/>
        </w:rPr>
        <w:tab/>
        <w:t>Eligibility as a senior</w:t>
      </w:r>
      <w:bookmarkEnd w:id="10"/>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11" w:name="_Toc424293088"/>
      <w:r>
        <w:rPr>
          <w:rStyle w:val="CharSectno"/>
        </w:rPr>
        <w:t>6</w:t>
      </w:r>
      <w:r>
        <w:rPr>
          <w:snapToGrid w:val="0"/>
        </w:rPr>
        <w:t>.</w:t>
      </w:r>
      <w:r>
        <w:rPr>
          <w:snapToGrid w:val="0"/>
        </w:rPr>
        <w:tab/>
        <w:t>State concession cards for persons not otherwise eligible</w:t>
      </w:r>
      <w:bookmarkEnd w:id="11"/>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12" w:name="_Toc424293089"/>
      <w:r>
        <w:rPr>
          <w:rStyle w:val="CharSectno"/>
        </w:rPr>
        <w:t>7</w:t>
      </w:r>
      <w:r>
        <w:rPr>
          <w:snapToGrid w:val="0"/>
        </w:rPr>
        <w:t>.</w:t>
      </w:r>
      <w:r>
        <w:rPr>
          <w:snapToGrid w:val="0"/>
        </w:rPr>
        <w:tab/>
        <w:t>Entitlement of a person as regards land</w:t>
      </w:r>
      <w:bookmarkEnd w:id="12"/>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13" w:name="_Toc424293090"/>
      <w:r>
        <w:rPr>
          <w:rStyle w:val="CharDivNo"/>
        </w:rPr>
        <w:t>Division 4</w:t>
      </w:r>
      <w:r>
        <w:rPr>
          <w:snapToGrid w:val="0"/>
        </w:rPr>
        <w:t> — </w:t>
      </w:r>
      <w:r>
        <w:rPr>
          <w:rStyle w:val="CharDivText"/>
        </w:rPr>
        <w:t>Administration</w:t>
      </w:r>
      <w:bookmarkEnd w:id="13"/>
    </w:p>
    <w:p>
      <w:pPr>
        <w:pStyle w:val="Heading5"/>
        <w:spacing w:before="240"/>
        <w:rPr>
          <w:snapToGrid w:val="0"/>
        </w:rPr>
      </w:pPr>
      <w:bookmarkStart w:id="14" w:name="_Toc424293091"/>
      <w:r>
        <w:rPr>
          <w:rStyle w:val="CharSectno"/>
        </w:rPr>
        <w:t>8</w:t>
      </w:r>
      <w:r>
        <w:rPr>
          <w:snapToGrid w:val="0"/>
        </w:rPr>
        <w:t>.</w:t>
      </w:r>
      <w:r>
        <w:rPr>
          <w:snapToGrid w:val="0"/>
        </w:rPr>
        <w:tab/>
        <w:t>Purposes</w:t>
      </w:r>
      <w:bookmarkEnd w:id="14"/>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15" w:name="_Toc424293092"/>
      <w:r>
        <w:rPr>
          <w:rStyle w:val="CharSectno"/>
        </w:rPr>
        <w:t>9</w:t>
      </w:r>
      <w:r>
        <w:t>.</w:t>
      </w:r>
      <w:r>
        <w:tab/>
        <w:t>Ministerial directions and procedural manuals</w:t>
      </w:r>
      <w:bookmarkEnd w:id="15"/>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16" w:name="_Toc424293093"/>
      <w:r>
        <w:rPr>
          <w:rStyle w:val="CharSectno"/>
        </w:rPr>
        <w:t>10</w:t>
      </w:r>
      <w:r>
        <w:rPr>
          <w:snapToGrid w:val="0"/>
        </w:rPr>
        <w:t>.</w:t>
      </w:r>
      <w:r>
        <w:rPr>
          <w:snapToGrid w:val="0"/>
        </w:rPr>
        <w:tab/>
        <w:t>Delegation of functions</w:t>
      </w:r>
      <w:bookmarkEnd w:id="16"/>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17" w:name="_Toc424293094"/>
      <w:r>
        <w:rPr>
          <w:rStyle w:val="CharSectno"/>
        </w:rPr>
        <w:t>11</w:t>
      </w:r>
      <w:r>
        <w:rPr>
          <w:snapToGrid w:val="0"/>
        </w:rPr>
        <w:t>.</w:t>
      </w:r>
      <w:r>
        <w:rPr>
          <w:snapToGrid w:val="0"/>
        </w:rPr>
        <w:tab/>
        <w:t>Minister to have access to information</w:t>
      </w:r>
      <w:bookmarkEnd w:id="17"/>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8" w:name="_Toc424293095"/>
      <w:r>
        <w:rPr>
          <w:rStyle w:val="CharDivNo"/>
        </w:rPr>
        <w:t>Division 5</w:t>
      </w:r>
      <w:r>
        <w:rPr>
          <w:snapToGrid w:val="0"/>
        </w:rPr>
        <w:t> — </w:t>
      </w:r>
      <w:r>
        <w:rPr>
          <w:rStyle w:val="CharDivText"/>
        </w:rPr>
        <w:t>Review of determinations</w:t>
      </w:r>
      <w:bookmarkEnd w:id="18"/>
    </w:p>
    <w:p>
      <w:pPr>
        <w:pStyle w:val="Heading5"/>
        <w:rPr>
          <w:snapToGrid w:val="0"/>
        </w:rPr>
      </w:pPr>
      <w:bookmarkStart w:id="19" w:name="_Toc424293096"/>
      <w:r>
        <w:rPr>
          <w:rStyle w:val="CharSectno"/>
        </w:rPr>
        <w:t>12</w:t>
      </w:r>
      <w:r>
        <w:rPr>
          <w:snapToGrid w:val="0"/>
        </w:rPr>
        <w:t>.</w:t>
      </w:r>
      <w:r>
        <w:rPr>
          <w:snapToGrid w:val="0"/>
        </w:rPr>
        <w:tab/>
        <w:t>Determination may be referred for review</w:t>
      </w:r>
      <w:bookmarkEnd w:id="19"/>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0" w:name="_Toc424293097"/>
      <w:r>
        <w:rPr>
          <w:rStyle w:val="CharSectno"/>
        </w:rPr>
        <w:t>13</w:t>
      </w:r>
      <w:r>
        <w:rPr>
          <w:snapToGrid w:val="0"/>
        </w:rPr>
        <w:t>.</w:t>
      </w:r>
      <w:r>
        <w:rPr>
          <w:snapToGrid w:val="0"/>
        </w:rPr>
        <w:tab/>
        <w:t>Investigation by authorised review officer</w:t>
      </w:r>
      <w:bookmarkEnd w:id="20"/>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1" w:name="_Toc424293098"/>
      <w:r>
        <w:rPr>
          <w:rStyle w:val="CharSectno"/>
        </w:rPr>
        <w:t>14</w:t>
      </w:r>
      <w:r>
        <w:rPr>
          <w:snapToGrid w:val="0"/>
        </w:rPr>
        <w:t>.</w:t>
      </w:r>
      <w:r>
        <w:rPr>
          <w:snapToGrid w:val="0"/>
        </w:rPr>
        <w:tab/>
        <w:t>Effect of review or complaint</w:t>
      </w:r>
      <w:bookmarkEnd w:id="2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2" w:name="_Toc424293099"/>
      <w:r>
        <w:rPr>
          <w:rStyle w:val="CharSectno"/>
        </w:rPr>
        <w:t>15</w:t>
      </w:r>
      <w:r>
        <w:rPr>
          <w:snapToGrid w:val="0"/>
        </w:rPr>
        <w:t>.</w:t>
      </w:r>
      <w:r>
        <w:rPr>
          <w:snapToGrid w:val="0"/>
        </w:rPr>
        <w:tab/>
        <w:t>Compensation for errors</w:t>
      </w:r>
      <w:bookmarkEnd w:id="22"/>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23" w:name="_Toc424293100"/>
      <w:r>
        <w:rPr>
          <w:rStyle w:val="CharDivNo"/>
        </w:rPr>
        <w:t>Division 6</w:t>
      </w:r>
      <w:r>
        <w:rPr>
          <w:snapToGrid w:val="0"/>
        </w:rPr>
        <w:t> — </w:t>
      </w:r>
      <w:r>
        <w:rPr>
          <w:rStyle w:val="CharDivText"/>
        </w:rPr>
        <w:t>Reimbursement</w:t>
      </w:r>
      <w:bookmarkEnd w:id="23"/>
    </w:p>
    <w:p>
      <w:pPr>
        <w:pStyle w:val="Heading5"/>
        <w:rPr>
          <w:snapToGrid w:val="0"/>
        </w:rPr>
      </w:pPr>
      <w:bookmarkStart w:id="24" w:name="_Toc424293101"/>
      <w:r>
        <w:rPr>
          <w:rStyle w:val="CharSectno"/>
        </w:rPr>
        <w:t>16</w:t>
      </w:r>
      <w:r>
        <w:rPr>
          <w:snapToGrid w:val="0"/>
        </w:rPr>
        <w:t>.</w:t>
      </w:r>
      <w:r>
        <w:rPr>
          <w:snapToGrid w:val="0"/>
        </w:rPr>
        <w:tab/>
        <w:t>Claims by administrative authorities</w:t>
      </w:r>
      <w:bookmarkEnd w:id="24"/>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25" w:name="_Toc424293102"/>
      <w:r>
        <w:rPr>
          <w:rStyle w:val="CharSectno"/>
        </w:rPr>
        <w:t>17</w:t>
      </w:r>
      <w:r>
        <w:rPr>
          <w:snapToGrid w:val="0"/>
        </w:rPr>
        <w:t>.</w:t>
      </w:r>
      <w:r>
        <w:rPr>
          <w:snapToGrid w:val="0"/>
        </w:rPr>
        <w:tab/>
        <w:t>Payment of claims for reimbursement</w:t>
      </w:r>
      <w:bookmarkEnd w:id="25"/>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26" w:name="_Toc424293103"/>
      <w:r>
        <w:rPr>
          <w:rStyle w:val="CharDivNo"/>
        </w:rPr>
        <w:t>Division 7</w:t>
      </w:r>
      <w:r>
        <w:rPr>
          <w:snapToGrid w:val="0"/>
        </w:rPr>
        <w:t> — </w:t>
      </w:r>
      <w:r>
        <w:rPr>
          <w:rStyle w:val="CharDivText"/>
        </w:rPr>
        <w:t>Transitional provisions</w:t>
      </w:r>
      <w:bookmarkEnd w:id="26"/>
    </w:p>
    <w:p>
      <w:pPr>
        <w:pStyle w:val="Heading5"/>
        <w:rPr>
          <w:snapToGrid w:val="0"/>
        </w:rPr>
      </w:pPr>
      <w:bookmarkStart w:id="27" w:name="_Toc424293104"/>
      <w:r>
        <w:rPr>
          <w:rStyle w:val="CharSectno"/>
        </w:rPr>
        <w:t>18</w:t>
      </w:r>
      <w:r>
        <w:rPr>
          <w:snapToGrid w:val="0"/>
        </w:rPr>
        <w:t>.</w:t>
      </w:r>
      <w:r>
        <w:rPr>
          <w:snapToGrid w:val="0"/>
        </w:rPr>
        <w:tab/>
        <w:t>Existing registrations</w:t>
      </w:r>
      <w:bookmarkEnd w:id="27"/>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8" w:name="_Toc424293105"/>
      <w:r>
        <w:rPr>
          <w:rStyle w:val="CharSectno"/>
        </w:rPr>
        <w:t>19</w:t>
      </w:r>
      <w:r>
        <w:rPr>
          <w:snapToGrid w:val="0"/>
        </w:rPr>
        <w:t>.</w:t>
      </w:r>
      <w:r>
        <w:rPr>
          <w:snapToGrid w:val="0"/>
        </w:rPr>
        <w:tab/>
        <w:t>Continued deferment of past rates and charges</w:t>
      </w:r>
      <w:bookmarkEnd w:id="28"/>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9" w:name="_Toc424293106"/>
      <w:r>
        <w:rPr>
          <w:rStyle w:val="CharSectno"/>
        </w:rPr>
        <w:t>20</w:t>
      </w:r>
      <w:r>
        <w:rPr>
          <w:snapToGrid w:val="0"/>
        </w:rPr>
        <w:t>.</w:t>
      </w:r>
      <w:r>
        <w:rPr>
          <w:snapToGrid w:val="0"/>
        </w:rPr>
        <w:tab/>
        <w:t>Rebates or deferments previously allowable to continue to have effect on future rates and charges</w:t>
      </w:r>
      <w:bookmarkEnd w:id="29"/>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0" w:name="_Toc424293107"/>
      <w:r>
        <w:rPr>
          <w:rStyle w:val="CharSectno"/>
        </w:rPr>
        <w:t>21</w:t>
      </w:r>
      <w:r>
        <w:rPr>
          <w:snapToGrid w:val="0"/>
        </w:rPr>
        <w:t>.</w:t>
      </w:r>
      <w:r>
        <w:rPr>
          <w:snapToGrid w:val="0"/>
        </w:rPr>
        <w:tab/>
        <w:t>Transitional effect of existing registrations, rebates allowable, and continued deferment</w:t>
      </w:r>
      <w:bookmarkEnd w:id="30"/>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1" w:name="_Toc424293108"/>
      <w:r>
        <w:rPr>
          <w:rStyle w:val="CharPartNo"/>
        </w:rPr>
        <w:t>Part 2</w:t>
      </w:r>
      <w:r>
        <w:t> — </w:t>
      </w:r>
      <w:r>
        <w:rPr>
          <w:rStyle w:val="CharPartText"/>
        </w:rPr>
        <w:t>Eligibility and entitlement</w:t>
      </w:r>
      <w:bookmarkEnd w:id="31"/>
    </w:p>
    <w:p>
      <w:pPr>
        <w:pStyle w:val="Heading3"/>
        <w:spacing w:before="200"/>
      </w:pPr>
      <w:bookmarkStart w:id="32" w:name="_Toc424293109"/>
      <w:r>
        <w:rPr>
          <w:rStyle w:val="CharDivNo"/>
        </w:rPr>
        <w:t>Division 1</w:t>
      </w:r>
      <w:r>
        <w:rPr>
          <w:snapToGrid w:val="0"/>
        </w:rPr>
        <w:t> — </w:t>
      </w:r>
      <w:r>
        <w:rPr>
          <w:rStyle w:val="CharDivText"/>
        </w:rPr>
        <w:t>Eligibility</w:t>
      </w:r>
      <w:bookmarkEnd w:id="32"/>
    </w:p>
    <w:p>
      <w:pPr>
        <w:pStyle w:val="Heading5"/>
        <w:spacing w:before="180"/>
        <w:rPr>
          <w:snapToGrid w:val="0"/>
        </w:rPr>
      </w:pPr>
      <w:bookmarkStart w:id="33" w:name="_Toc424293110"/>
      <w:r>
        <w:rPr>
          <w:rStyle w:val="CharSectno"/>
        </w:rPr>
        <w:t>22</w:t>
      </w:r>
      <w:r>
        <w:rPr>
          <w:snapToGrid w:val="0"/>
        </w:rPr>
        <w:t>.</w:t>
      </w:r>
      <w:r>
        <w:rPr>
          <w:snapToGrid w:val="0"/>
        </w:rPr>
        <w:tab/>
        <w:t>Seniors may apply for registration</w:t>
      </w:r>
      <w:bookmarkEnd w:id="33"/>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34" w:name="_Toc424293111"/>
      <w:r>
        <w:rPr>
          <w:rStyle w:val="CharSectno"/>
        </w:rPr>
        <w:t>23</w:t>
      </w:r>
      <w:r>
        <w:rPr>
          <w:snapToGrid w:val="0"/>
        </w:rPr>
        <w:t>.</w:t>
      </w:r>
      <w:r>
        <w:rPr>
          <w:snapToGrid w:val="0"/>
        </w:rPr>
        <w:tab/>
        <w:t>Pensioners eligible to apply for registration</w:t>
      </w:r>
      <w:bookmarkEnd w:id="34"/>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35" w:name="_Toc424293112"/>
      <w:r>
        <w:rPr>
          <w:rStyle w:val="CharSectno"/>
        </w:rPr>
        <w:t>24</w:t>
      </w:r>
      <w:r>
        <w:rPr>
          <w:snapToGrid w:val="0"/>
        </w:rPr>
        <w:t>.</w:t>
      </w:r>
      <w:r>
        <w:rPr>
          <w:snapToGrid w:val="0"/>
        </w:rPr>
        <w:tab/>
        <w:t>Other persons prescribed as eligible</w:t>
      </w:r>
      <w:bookmarkEnd w:id="35"/>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6" w:name="_Toc424293113"/>
      <w:r>
        <w:rPr>
          <w:rStyle w:val="CharSectno"/>
        </w:rPr>
        <w:t>25</w:t>
      </w:r>
      <w:r>
        <w:rPr>
          <w:snapToGrid w:val="0"/>
        </w:rPr>
        <w:t>.</w:t>
      </w:r>
      <w:r>
        <w:rPr>
          <w:snapToGrid w:val="0"/>
        </w:rPr>
        <w:tab/>
        <w:t>Means tests</w:t>
      </w:r>
      <w:bookmarkEnd w:id="3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7" w:name="_Toc424293114"/>
      <w:r>
        <w:rPr>
          <w:rStyle w:val="CharSectno"/>
        </w:rPr>
        <w:t>26</w:t>
      </w:r>
      <w:r>
        <w:rPr>
          <w:snapToGrid w:val="0"/>
        </w:rPr>
        <w:t>.</w:t>
      </w:r>
      <w:r>
        <w:rPr>
          <w:snapToGrid w:val="0"/>
        </w:rPr>
        <w:tab/>
        <w:t>Evidence of eligibility, production of relevant card or authorisation</w:t>
      </w:r>
      <w:bookmarkEnd w:id="37"/>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38" w:name="_Toc424293115"/>
      <w:r>
        <w:rPr>
          <w:rStyle w:val="CharDivNo"/>
        </w:rPr>
        <w:t>Division 2</w:t>
      </w:r>
      <w:r>
        <w:rPr>
          <w:snapToGrid w:val="0"/>
        </w:rPr>
        <w:t> — </w:t>
      </w:r>
      <w:r>
        <w:rPr>
          <w:rStyle w:val="CharDivText"/>
        </w:rPr>
        <w:t>Entitlement</w:t>
      </w:r>
      <w:bookmarkEnd w:id="38"/>
    </w:p>
    <w:p>
      <w:pPr>
        <w:pStyle w:val="Heading5"/>
        <w:rPr>
          <w:snapToGrid w:val="0"/>
        </w:rPr>
      </w:pPr>
      <w:bookmarkStart w:id="39" w:name="_Toc424293116"/>
      <w:r>
        <w:rPr>
          <w:rStyle w:val="CharSectno"/>
        </w:rPr>
        <w:t>27</w:t>
      </w:r>
      <w:r>
        <w:rPr>
          <w:snapToGrid w:val="0"/>
        </w:rPr>
        <w:t>.</w:t>
      </w:r>
      <w:r>
        <w:rPr>
          <w:snapToGrid w:val="0"/>
        </w:rPr>
        <w:tab/>
        <w:t>Concept of land belonging to a person</w:t>
      </w:r>
      <w:bookmarkEnd w:id="39"/>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0" w:name="_Toc424293117"/>
      <w:r>
        <w:rPr>
          <w:rStyle w:val="CharSectno"/>
        </w:rPr>
        <w:t>28</w:t>
      </w:r>
      <w:r>
        <w:rPr>
          <w:snapToGrid w:val="0"/>
        </w:rPr>
        <w:t>.</w:t>
      </w:r>
      <w:r>
        <w:rPr>
          <w:snapToGrid w:val="0"/>
        </w:rPr>
        <w:tab/>
        <w:t>Proportionate interests</w:t>
      </w:r>
      <w:bookmarkEnd w:id="40"/>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41" w:name="_Toc424293118"/>
      <w:r>
        <w:rPr>
          <w:rStyle w:val="CharSectno"/>
        </w:rPr>
        <w:t>29</w:t>
      </w:r>
      <w:r>
        <w:rPr>
          <w:snapToGrid w:val="0"/>
        </w:rPr>
        <w:t>.</w:t>
      </w:r>
      <w:r>
        <w:rPr>
          <w:snapToGrid w:val="0"/>
        </w:rPr>
        <w:tab/>
        <w:t>Relevant interests</w:t>
      </w:r>
      <w:bookmarkEnd w:id="41"/>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42" w:name="_Toc424293119"/>
      <w:r>
        <w:rPr>
          <w:rStyle w:val="CharSectno"/>
        </w:rPr>
        <w:t>29A</w:t>
      </w:r>
      <w:r>
        <w:t>.</w:t>
      </w:r>
      <w:r>
        <w:tab/>
        <w:t>Relevant interest — resident of retirement village</w:t>
      </w:r>
      <w:bookmarkEnd w:id="42"/>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43" w:name="_Toc424293120"/>
      <w:r>
        <w:rPr>
          <w:rStyle w:val="CharSectno"/>
        </w:rPr>
        <w:t>29B</w:t>
      </w:r>
      <w:r>
        <w:t>.</w:t>
      </w:r>
      <w:r>
        <w:tab/>
        <w:t>Relevant interest — owner</w:t>
      </w:r>
      <w:r>
        <w:noBreakHyphen/>
        <w:t>occupier of caravan or park home</w:t>
      </w:r>
      <w:bookmarkEnd w:id="43"/>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44" w:name="_Toc424293121"/>
      <w:r>
        <w:rPr>
          <w:rStyle w:val="CharSectno"/>
        </w:rPr>
        <w:t>29C</w:t>
      </w:r>
      <w:r>
        <w:t>.</w:t>
      </w:r>
      <w:r>
        <w:tab/>
        <w:t>Relevant interest — owner</w:t>
      </w:r>
      <w:r>
        <w:noBreakHyphen/>
        <w:t>occupier of relocatable home</w:t>
      </w:r>
      <w:bookmarkEnd w:id="44"/>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45" w:name="_Toc424293122"/>
      <w:r>
        <w:rPr>
          <w:rStyle w:val="CharSectno"/>
        </w:rPr>
        <w:t>30</w:t>
      </w:r>
      <w:r>
        <w:rPr>
          <w:snapToGrid w:val="0"/>
        </w:rPr>
        <w:t>.</w:t>
      </w:r>
      <w:r>
        <w:rPr>
          <w:snapToGrid w:val="0"/>
        </w:rPr>
        <w:tab/>
        <w:t>Ordinary place of residence, not in actual occupation</w:t>
      </w:r>
      <w:bookmarkEnd w:id="45"/>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46" w:name="_Toc424293123"/>
      <w:r>
        <w:rPr>
          <w:rStyle w:val="CharSectno"/>
        </w:rPr>
        <w:t>31</w:t>
      </w:r>
      <w:r>
        <w:rPr>
          <w:snapToGrid w:val="0"/>
        </w:rPr>
        <w:t>.</w:t>
      </w:r>
      <w:r>
        <w:rPr>
          <w:snapToGrid w:val="0"/>
        </w:rPr>
        <w:tab/>
        <w:t>Certain cases of former joint occupation</w:t>
      </w:r>
      <w:bookmarkEnd w:id="46"/>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47" w:name="_Toc424293124"/>
      <w:r>
        <w:rPr>
          <w:rStyle w:val="CharDivNo"/>
        </w:rPr>
        <w:t>Division 3</w:t>
      </w:r>
      <w:r>
        <w:rPr>
          <w:snapToGrid w:val="0"/>
        </w:rPr>
        <w:t> — </w:t>
      </w:r>
      <w:r>
        <w:rPr>
          <w:rStyle w:val="CharDivText"/>
        </w:rPr>
        <w:t>The registration process</w:t>
      </w:r>
      <w:bookmarkEnd w:id="47"/>
    </w:p>
    <w:p>
      <w:pPr>
        <w:pStyle w:val="Heading5"/>
        <w:rPr>
          <w:snapToGrid w:val="0"/>
        </w:rPr>
      </w:pPr>
      <w:bookmarkStart w:id="48" w:name="_Toc424293125"/>
      <w:r>
        <w:rPr>
          <w:rStyle w:val="CharSectno"/>
        </w:rPr>
        <w:t>32</w:t>
      </w:r>
      <w:r>
        <w:rPr>
          <w:snapToGrid w:val="0"/>
        </w:rPr>
        <w:t>.</w:t>
      </w:r>
      <w:r>
        <w:rPr>
          <w:snapToGrid w:val="0"/>
        </w:rPr>
        <w:tab/>
        <w:t>Registration</w:t>
      </w:r>
      <w:bookmarkEnd w:id="48"/>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49" w:name="_Toc424293126"/>
      <w:r>
        <w:rPr>
          <w:rStyle w:val="CharSectno"/>
        </w:rPr>
        <w:t>32A</w:t>
      </w:r>
      <w:r>
        <w:t>.</w:t>
      </w:r>
      <w:r>
        <w:tab/>
        <w:t>Entitlement of surviving spouse or de facto partner</w:t>
      </w:r>
      <w:bookmarkEnd w:id="49"/>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50" w:name="_Toc424293127"/>
      <w:r>
        <w:rPr>
          <w:rStyle w:val="CharSectno"/>
        </w:rPr>
        <w:t>33</w:t>
      </w:r>
      <w:r>
        <w:rPr>
          <w:snapToGrid w:val="0"/>
        </w:rPr>
        <w:t>.</w:t>
      </w:r>
      <w:r>
        <w:rPr>
          <w:snapToGrid w:val="0"/>
        </w:rPr>
        <w:tab/>
        <w:t>Effect of registration</w:t>
      </w:r>
      <w:bookmarkEnd w:id="50"/>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51" w:name="_Toc424293128"/>
      <w:r>
        <w:rPr>
          <w:rStyle w:val="CharSectno"/>
        </w:rPr>
        <w:t>35</w:t>
      </w:r>
      <w:r>
        <w:rPr>
          <w:snapToGrid w:val="0"/>
        </w:rPr>
        <w:t>.</w:t>
      </w:r>
      <w:r>
        <w:rPr>
          <w:snapToGrid w:val="0"/>
        </w:rPr>
        <w:tab/>
        <w:t>Change in circumstances of registered person</w:t>
      </w:r>
      <w:bookmarkEnd w:id="51"/>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2" w:name="_Toc424293129"/>
      <w:r>
        <w:rPr>
          <w:rStyle w:val="CharSectno"/>
        </w:rPr>
        <w:t>36</w:t>
      </w:r>
      <w:r>
        <w:rPr>
          <w:snapToGrid w:val="0"/>
        </w:rPr>
        <w:t>.</w:t>
      </w:r>
      <w:r>
        <w:rPr>
          <w:snapToGrid w:val="0"/>
        </w:rPr>
        <w:tab/>
        <w:t>Review of registration</w:t>
      </w:r>
      <w:bookmarkEnd w:id="52"/>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3" w:name="_Toc424293130"/>
      <w:r>
        <w:rPr>
          <w:rStyle w:val="CharSectno"/>
        </w:rPr>
        <w:t>37</w:t>
      </w:r>
      <w:r>
        <w:rPr>
          <w:snapToGrid w:val="0"/>
        </w:rPr>
        <w:t>.</w:t>
      </w:r>
      <w:r>
        <w:rPr>
          <w:snapToGrid w:val="0"/>
        </w:rPr>
        <w:tab/>
        <w:t>Amendment or cancellation of registration</w:t>
      </w:r>
      <w:bookmarkEnd w:id="53"/>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54" w:name="_Toc424293131"/>
      <w:r>
        <w:rPr>
          <w:rStyle w:val="CharDivNo"/>
        </w:rPr>
        <w:t>Division 4</w:t>
      </w:r>
      <w:r>
        <w:rPr>
          <w:snapToGrid w:val="0"/>
        </w:rPr>
        <w:t> — </w:t>
      </w:r>
      <w:r>
        <w:rPr>
          <w:rStyle w:val="CharDivText"/>
        </w:rPr>
        <w:t>Miscellaneous</w:t>
      </w:r>
      <w:bookmarkEnd w:id="54"/>
    </w:p>
    <w:p>
      <w:pPr>
        <w:pStyle w:val="Heading5"/>
        <w:rPr>
          <w:snapToGrid w:val="0"/>
        </w:rPr>
      </w:pPr>
      <w:bookmarkStart w:id="55" w:name="_Toc424293132"/>
      <w:r>
        <w:rPr>
          <w:rStyle w:val="CharSectno"/>
        </w:rPr>
        <w:t>38</w:t>
      </w:r>
      <w:r>
        <w:rPr>
          <w:snapToGrid w:val="0"/>
        </w:rPr>
        <w:t>.</w:t>
      </w:r>
      <w:r>
        <w:rPr>
          <w:snapToGrid w:val="0"/>
        </w:rPr>
        <w:tab/>
        <w:t>Offences</w:t>
      </w:r>
      <w:bookmarkEnd w:id="55"/>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6" w:name="_Toc424293133"/>
      <w:r>
        <w:rPr>
          <w:rStyle w:val="CharSectno"/>
        </w:rPr>
        <w:t>39</w:t>
      </w:r>
      <w:r>
        <w:rPr>
          <w:snapToGrid w:val="0"/>
        </w:rPr>
        <w:t>.</w:t>
      </w:r>
      <w:r>
        <w:rPr>
          <w:snapToGrid w:val="0"/>
        </w:rPr>
        <w:tab/>
        <w:t>Persons allowed rebate or deferment incorrectly</w:t>
      </w:r>
      <w:bookmarkEnd w:id="56"/>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7" w:name="_Toc424293134"/>
      <w:r>
        <w:rPr>
          <w:rStyle w:val="CharPartNo"/>
        </w:rPr>
        <w:t>Part 3</w:t>
      </w:r>
      <w:r>
        <w:rPr>
          <w:rStyle w:val="CharDivNo"/>
        </w:rPr>
        <w:t> </w:t>
      </w:r>
      <w:r>
        <w:t>—</w:t>
      </w:r>
      <w:r>
        <w:rPr>
          <w:rStyle w:val="CharDivText"/>
        </w:rPr>
        <w:t> </w:t>
      </w:r>
      <w:r>
        <w:rPr>
          <w:rStyle w:val="CharPartText"/>
        </w:rPr>
        <w:t>Rebates</w:t>
      </w:r>
      <w:bookmarkEnd w:id="57"/>
    </w:p>
    <w:p>
      <w:pPr>
        <w:pStyle w:val="Heading5"/>
      </w:pPr>
      <w:bookmarkStart w:id="58" w:name="_Toc424293135"/>
      <w:r>
        <w:rPr>
          <w:rStyle w:val="CharSectno"/>
        </w:rPr>
        <w:t>40</w:t>
      </w:r>
      <w:r>
        <w:t>.</w:t>
      </w:r>
      <w:r>
        <w:tab/>
        <w:t>Rebates to registered persons</w:t>
      </w:r>
      <w:bookmarkEnd w:id="58"/>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w:t>
      </w:r>
    </w:p>
    <w:p>
      <w:pPr>
        <w:pStyle w:val="Heading5"/>
        <w:rPr>
          <w:snapToGrid w:val="0"/>
        </w:rPr>
      </w:pPr>
      <w:bookmarkStart w:id="59" w:name="_Toc424293136"/>
      <w:r>
        <w:rPr>
          <w:rStyle w:val="CharSectno"/>
        </w:rPr>
        <w:t>41</w:t>
      </w:r>
      <w:r>
        <w:rPr>
          <w:snapToGrid w:val="0"/>
        </w:rPr>
        <w:t>.</w:t>
      </w:r>
      <w:r>
        <w:rPr>
          <w:snapToGrid w:val="0"/>
        </w:rPr>
        <w:tab/>
        <w:t>Effect of payment of rebated amount</w:t>
      </w:r>
      <w:bookmarkEnd w:id="59"/>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60" w:name="_Toc424293137"/>
      <w:r>
        <w:rPr>
          <w:rStyle w:val="CharSectno"/>
        </w:rPr>
        <w:t>42</w:t>
      </w:r>
      <w:r>
        <w:rPr>
          <w:snapToGrid w:val="0"/>
        </w:rPr>
        <w:t>.</w:t>
      </w:r>
      <w:r>
        <w:rPr>
          <w:snapToGrid w:val="0"/>
        </w:rPr>
        <w:tab/>
        <w:t>Charges for periods preceding, or for improvements made or services provided subsequent to, registration</w:t>
      </w:r>
      <w:bookmarkEnd w:id="60"/>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61" w:name="_Toc424293138"/>
      <w:r>
        <w:rPr>
          <w:rStyle w:val="CharPartNo"/>
        </w:rPr>
        <w:t>Part 4</w:t>
      </w:r>
      <w:r>
        <w:t> — </w:t>
      </w:r>
      <w:r>
        <w:rPr>
          <w:rStyle w:val="CharPartText"/>
        </w:rPr>
        <w:t>Deferment</w:t>
      </w:r>
      <w:bookmarkEnd w:id="61"/>
    </w:p>
    <w:p>
      <w:pPr>
        <w:pStyle w:val="Heading3"/>
      </w:pPr>
      <w:bookmarkStart w:id="62" w:name="_Toc424293139"/>
      <w:r>
        <w:rPr>
          <w:rStyle w:val="CharDivNo"/>
        </w:rPr>
        <w:t>Division 1</w:t>
      </w:r>
      <w:r>
        <w:rPr>
          <w:snapToGrid w:val="0"/>
        </w:rPr>
        <w:t> — </w:t>
      </w:r>
      <w:r>
        <w:rPr>
          <w:rStyle w:val="CharDivText"/>
        </w:rPr>
        <w:t>Where charges may be deferred</w:t>
      </w:r>
      <w:bookmarkEnd w:id="62"/>
    </w:p>
    <w:p>
      <w:pPr>
        <w:pStyle w:val="Heading5"/>
        <w:rPr>
          <w:snapToGrid w:val="0"/>
        </w:rPr>
      </w:pPr>
      <w:bookmarkStart w:id="63" w:name="_Toc424293140"/>
      <w:r>
        <w:rPr>
          <w:rStyle w:val="CharSectno"/>
        </w:rPr>
        <w:t>43</w:t>
      </w:r>
      <w:r>
        <w:rPr>
          <w:snapToGrid w:val="0"/>
        </w:rPr>
        <w:t>.</w:t>
      </w:r>
      <w:r>
        <w:rPr>
          <w:snapToGrid w:val="0"/>
        </w:rPr>
        <w:tab/>
        <w:t>Circumstances where deferment may be allowed</w:t>
      </w:r>
      <w:bookmarkEnd w:id="63"/>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64" w:name="_Toc424293141"/>
      <w:r>
        <w:rPr>
          <w:rStyle w:val="CharSectno"/>
        </w:rPr>
        <w:t>44</w:t>
      </w:r>
      <w:r>
        <w:rPr>
          <w:snapToGrid w:val="0"/>
        </w:rPr>
        <w:t>.</w:t>
      </w:r>
      <w:r>
        <w:rPr>
          <w:snapToGrid w:val="0"/>
        </w:rPr>
        <w:tab/>
        <w:t>Deferred payment of rates by eligible pensioner</w:t>
      </w:r>
      <w:bookmarkEnd w:id="64"/>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65" w:name="_Toc424293142"/>
      <w:r>
        <w:rPr>
          <w:rStyle w:val="CharSectno"/>
        </w:rPr>
        <w:t>45</w:t>
      </w:r>
      <w:r>
        <w:rPr>
          <w:snapToGrid w:val="0"/>
        </w:rPr>
        <w:t>.</w:t>
      </w:r>
      <w:r>
        <w:rPr>
          <w:snapToGrid w:val="0"/>
        </w:rPr>
        <w:tab/>
        <w:t>Where charges may remain deferred in favour of a spouse</w:t>
      </w:r>
      <w:r>
        <w:t xml:space="preserve"> or de facto partner</w:t>
      </w:r>
      <w:bookmarkEnd w:id="65"/>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66" w:name="_Toc424293143"/>
      <w:r>
        <w:rPr>
          <w:rStyle w:val="CharSectno"/>
        </w:rPr>
        <w:t>46</w:t>
      </w:r>
      <w:r>
        <w:rPr>
          <w:snapToGrid w:val="0"/>
        </w:rPr>
        <w:t>.</w:t>
      </w:r>
      <w:r>
        <w:rPr>
          <w:snapToGrid w:val="0"/>
        </w:rPr>
        <w:tab/>
        <w:t>Continuing liability for payment of deferred charges to be a charge on the land</w:t>
      </w:r>
      <w:bookmarkEnd w:id="66"/>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67" w:name="_Toc424293144"/>
      <w:r>
        <w:rPr>
          <w:rStyle w:val="CharDivNo"/>
        </w:rPr>
        <w:t>Division 2</w:t>
      </w:r>
      <w:r>
        <w:rPr>
          <w:snapToGrid w:val="0"/>
        </w:rPr>
        <w:t> — </w:t>
      </w:r>
      <w:r>
        <w:rPr>
          <w:rStyle w:val="CharDivText"/>
        </w:rPr>
        <w:t>Where charges may not be deferred</w:t>
      </w:r>
      <w:bookmarkEnd w:id="67"/>
    </w:p>
    <w:p>
      <w:pPr>
        <w:pStyle w:val="Heading5"/>
        <w:spacing w:before="180"/>
        <w:rPr>
          <w:snapToGrid w:val="0"/>
        </w:rPr>
      </w:pPr>
      <w:bookmarkStart w:id="68" w:name="_Toc424293145"/>
      <w:r>
        <w:rPr>
          <w:rStyle w:val="CharSectno"/>
        </w:rPr>
        <w:t>47</w:t>
      </w:r>
      <w:r>
        <w:rPr>
          <w:snapToGrid w:val="0"/>
        </w:rPr>
        <w:t>.</w:t>
      </w:r>
      <w:r>
        <w:rPr>
          <w:snapToGrid w:val="0"/>
        </w:rPr>
        <w:tab/>
        <w:t>Charges likely not to be recoverable</w:t>
      </w:r>
      <w:bookmarkEnd w:id="68"/>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9" w:name="_Toc424293146"/>
      <w:r>
        <w:rPr>
          <w:rStyle w:val="CharPartNo"/>
        </w:rPr>
        <w:t>Part 5</w:t>
      </w:r>
      <w:r>
        <w:rPr>
          <w:rStyle w:val="CharDivNo"/>
        </w:rPr>
        <w:t> </w:t>
      </w:r>
      <w:r>
        <w:t>—</w:t>
      </w:r>
      <w:r>
        <w:rPr>
          <w:rStyle w:val="CharDivText"/>
        </w:rPr>
        <w:t> </w:t>
      </w:r>
      <w:r>
        <w:rPr>
          <w:rStyle w:val="CharPartText"/>
        </w:rPr>
        <w:t>General</w:t>
      </w:r>
      <w:bookmarkEnd w:id="69"/>
    </w:p>
    <w:p>
      <w:pPr>
        <w:pStyle w:val="Heading5"/>
        <w:rPr>
          <w:snapToGrid w:val="0"/>
        </w:rPr>
      </w:pPr>
      <w:bookmarkStart w:id="70" w:name="_Toc424293147"/>
      <w:r>
        <w:rPr>
          <w:rStyle w:val="CharSectno"/>
        </w:rPr>
        <w:t>48</w:t>
      </w:r>
      <w:r>
        <w:rPr>
          <w:snapToGrid w:val="0"/>
        </w:rPr>
        <w:t>.</w:t>
      </w:r>
      <w:r>
        <w:rPr>
          <w:snapToGrid w:val="0"/>
        </w:rPr>
        <w:tab/>
        <w:t>Registration of documents</w:t>
      </w:r>
      <w:bookmarkEnd w:id="70"/>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71" w:name="_Toc424293148"/>
      <w:r>
        <w:rPr>
          <w:rStyle w:val="CharSectno"/>
        </w:rPr>
        <w:t>49</w:t>
      </w:r>
      <w:r>
        <w:rPr>
          <w:snapToGrid w:val="0"/>
        </w:rPr>
        <w:t>.</w:t>
      </w:r>
      <w:r>
        <w:rPr>
          <w:snapToGrid w:val="0"/>
        </w:rPr>
        <w:tab/>
        <w:t xml:space="preserve">Recovery of deferred charges not prevented by </w:t>
      </w:r>
      <w:r>
        <w:rPr>
          <w:i/>
          <w:snapToGrid w:val="0"/>
        </w:rPr>
        <w:t>Limitation Act 2005</w:t>
      </w:r>
      <w:bookmarkEnd w:id="71"/>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72" w:name="_Toc424293149"/>
      <w:r>
        <w:rPr>
          <w:rStyle w:val="CharSectno"/>
        </w:rPr>
        <w:t>50</w:t>
      </w:r>
      <w:r>
        <w:rPr>
          <w:snapToGrid w:val="0"/>
        </w:rPr>
        <w:t>.</w:t>
      </w:r>
      <w:r>
        <w:rPr>
          <w:snapToGrid w:val="0"/>
        </w:rPr>
        <w:tab/>
        <w:t>Regulations</w:t>
      </w:r>
      <w:bookmarkEnd w:id="7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73" w:name="_Toc424293150"/>
      <w:r>
        <w:rPr>
          <w:rStyle w:val="CharSectno"/>
        </w:rPr>
        <w:t>53</w:t>
      </w:r>
      <w:r>
        <w:t>.</w:t>
      </w:r>
      <w:r>
        <w:tab/>
        <w:t>Transitional provisions</w:t>
      </w:r>
      <w:bookmarkEnd w:id="73"/>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25"/>
          <w:headerReference w:type="default" r:id="rId26"/>
          <w:foot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74" w:name="_Toc424293151"/>
      <w:r>
        <w:rPr>
          <w:rStyle w:val="CharSchNo"/>
        </w:rPr>
        <w:t>Schedule 1</w:t>
      </w:r>
      <w:r>
        <w:t> — </w:t>
      </w:r>
      <w:r>
        <w:rPr>
          <w:rStyle w:val="CharSchText"/>
        </w:rPr>
        <w:t>Transitional provisions</w:t>
      </w:r>
      <w:bookmarkEnd w:id="74"/>
    </w:p>
    <w:p>
      <w:pPr>
        <w:pStyle w:val="yShoulderClause"/>
      </w:pPr>
      <w:r>
        <w:t>[s. 53]</w:t>
      </w:r>
    </w:p>
    <w:p>
      <w:pPr>
        <w:pStyle w:val="yFootnoteheading"/>
      </w:pPr>
      <w:r>
        <w:tab/>
        <w:t>[Heading inserted by No. 31 of 2006 s. 39.]</w:t>
      </w:r>
    </w:p>
    <w:p>
      <w:pPr>
        <w:pStyle w:val="yHeading3"/>
        <w:outlineLvl w:val="9"/>
      </w:pPr>
      <w:bookmarkStart w:id="75" w:name="_Toc424293152"/>
      <w:r>
        <w:rPr>
          <w:rStyle w:val="CharSDivNo"/>
        </w:rPr>
        <w:t>Division 1</w:t>
      </w:r>
      <w:r>
        <w:rPr>
          <w:b w:val="0"/>
        </w:rPr>
        <w:t> — </w:t>
      </w:r>
      <w:r>
        <w:rPr>
          <w:rStyle w:val="CharSDivText"/>
        </w:rPr>
        <w:t xml:space="preserve">Provision for </w:t>
      </w:r>
      <w:r>
        <w:rPr>
          <w:rStyle w:val="CharSDivText"/>
          <w:i/>
        </w:rPr>
        <w:t>Revenue Laws Amendment Act 2006</w:t>
      </w:r>
      <w:bookmarkEnd w:id="75"/>
    </w:p>
    <w:p>
      <w:pPr>
        <w:pStyle w:val="yFootnoteheading"/>
      </w:pPr>
      <w:r>
        <w:tab/>
        <w:t>[Heading inserted by No. 31 of 2006 s. 39.]</w:t>
      </w:r>
    </w:p>
    <w:p>
      <w:pPr>
        <w:pStyle w:val="yHeading5"/>
        <w:outlineLvl w:val="9"/>
      </w:pPr>
      <w:bookmarkStart w:id="76" w:name="_Toc424293153"/>
      <w:r>
        <w:rPr>
          <w:rStyle w:val="CharSClsNo"/>
        </w:rPr>
        <w:t>1</w:t>
      </w:r>
      <w:r>
        <w:t>.</w:t>
      </w:r>
      <w:r>
        <w:rPr>
          <w:b w:val="0"/>
        </w:rPr>
        <w:tab/>
      </w:r>
      <w:r>
        <w:t>Application of section 40</w:t>
      </w:r>
      <w:bookmarkEnd w:id="7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78" w:name="_Toc424293154"/>
      <w:r>
        <w:t>Notes</w:t>
      </w:r>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9" w:name="_Toc424293155"/>
      <w:r>
        <w:rPr>
          <w:snapToGrid w:val="0"/>
        </w:rP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spacing w:after="40"/>
              <w:ind w:right="113"/>
            </w:pPr>
            <w:r>
              <w:rPr>
                <w:i/>
              </w:rPr>
              <w:t>Revenue Laws Amendment (Assessment) Act 1998</w:t>
            </w:r>
            <w:r>
              <w:t xml:space="preserve"> Pt. 4</w:t>
            </w:r>
            <w:r>
              <w:rPr>
                <w:vertAlign w:val="superscript"/>
              </w:rPr>
              <w:t> 7</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8, 9</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10</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11</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12</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single" w:sz="4" w:space="0" w:color="auto"/>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bl>
    <w:p>
      <w:pPr>
        <w:pStyle w:val="nSubsection"/>
        <w:spacing w:before="1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widowControl w:val="0"/>
        <w:spacing w:before="120" w:after="40"/>
      </w:pPr>
      <w:bookmarkStart w:id="80" w:name="_Toc424293156"/>
      <w:r>
        <w:t>Provisions that have not come into operation</w:t>
      </w:r>
      <w:bookmarkEnd w:id="8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226(4)</w:t>
            </w:r>
            <w:r>
              <w:rPr>
                <w:snapToGrid w:val="0"/>
                <w:vertAlign w:val="superscript"/>
              </w:rPr>
              <w:t> 13</w:t>
            </w:r>
          </w:p>
        </w:tc>
        <w:tc>
          <w:tcPr>
            <w:tcW w:w="1134" w:type="dxa"/>
            <w:tcBorders>
              <w:top w:val="single" w:sz="4" w:space="0" w:color="auto"/>
              <w:bottom w:val="single" w:sz="4" w:space="0" w:color="auto"/>
            </w:tcBorders>
          </w:tcPr>
          <w:p>
            <w:pPr>
              <w:pStyle w:val="nTable"/>
              <w:spacing w:after="40"/>
              <w:rPr>
                <w:snapToGrid w:val="0"/>
              </w:rPr>
            </w:pPr>
            <w:r>
              <w:rPr>
                <w:snapToGrid w:val="0"/>
              </w:rPr>
              <w:t>25 of 2012</w:t>
            </w:r>
          </w:p>
        </w:tc>
        <w:tc>
          <w:tcPr>
            <w:tcW w:w="1134" w:type="dxa"/>
            <w:tcBorders>
              <w:top w:val="single" w:sz="4" w:space="0" w:color="auto"/>
              <w:bottom w:val="single" w:sz="4" w:space="0" w:color="auto"/>
            </w:tcBorders>
          </w:tcPr>
          <w:p>
            <w:pPr>
              <w:pStyle w:val="nTable"/>
              <w:spacing w:after="40"/>
              <w:rPr>
                <w:snapToGrid w:val="0"/>
              </w:rPr>
            </w:pPr>
            <w:r>
              <w:rPr>
                <w:snapToGrid w:val="0"/>
              </w:rPr>
              <w:t>3 Sep 2012</w:t>
            </w:r>
          </w:p>
        </w:tc>
        <w:tc>
          <w:tcPr>
            <w:tcW w:w="2551" w:type="dxa"/>
            <w:tcBorders>
              <w:top w:val="single" w:sz="4" w:space="0" w:color="auto"/>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Water Services Legislation Amendment and Repeal Act 2012</w:t>
      </w:r>
      <w:r>
        <w:rPr>
          <w:snapToGrid w:val="0"/>
        </w:rPr>
        <w:t xml:space="preserve"> s. 226(4) had not come into operation.  It reads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w:t>
      </w:r>
    </w:p>
    <w:p>
      <w:pPr>
        <w:pStyle w:val="DefinedTerms"/>
      </w:pPr>
      <w:r>
        <w:t>first payment</w:t>
      </w:r>
      <w:r>
        <w:tab/>
        <w:t>32A(4A)</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 means test</w:t>
      </w:r>
      <w:r>
        <w:tab/>
        <w:t>3(1)</w:t>
      </w:r>
    </w:p>
    <w:p>
      <w:pPr>
        <w:pStyle w:val="DefinedTerms"/>
      </w:pPr>
      <w:r>
        <w:t>pensioner concession card</w:t>
      </w:r>
      <w:r>
        <w:tab/>
        <w:t>3(1)</w:t>
      </w:r>
    </w:p>
    <w:p>
      <w:pPr>
        <w:pStyle w:val="DefinedTerms"/>
      </w:pPr>
      <w:r>
        <w:t>period 1</w:t>
      </w:r>
      <w:r>
        <w:tab/>
        <w:t>32A(2)</w:t>
      </w:r>
    </w:p>
    <w:p>
      <w:pPr>
        <w:pStyle w:val="DefinedTerms"/>
      </w:pPr>
      <w:r>
        <w:t>period 2</w:t>
      </w:r>
      <w:r>
        <w:tab/>
        <w:t>32A(2)</w:t>
      </w:r>
    </w:p>
    <w:p>
      <w:pPr>
        <w:pStyle w:val="DefinedTerms"/>
      </w:pPr>
      <w:r>
        <w:t>prescribed charge</w:t>
      </w:r>
      <w:r>
        <w:tab/>
        <w:t>3(1)</w:t>
      </w:r>
    </w:p>
    <w:p>
      <w:pPr>
        <w:pStyle w:val="DefinedTerms"/>
      </w:pPr>
      <w:r>
        <w:t>prescribed licensee</w:t>
      </w:r>
      <w:r>
        <w:tab/>
        <w:t>16(5)</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Corporation</w:t>
      </w:r>
      <w:r>
        <w:tab/>
        <w:t>3(1)</w:t>
      </w:r>
    </w:p>
    <w:p>
      <w:pPr>
        <w:pStyle w:val="DefinedTerms"/>
      </w:pPr>
      <w:r>
        <w:t>Water Corporation charge</w:t>
      </w:r>
      <w:r>
        <w:tab/>
        <w:t>3(1)</w:t>
      </w:r>
    </w:p>
    <w:p>
      <w:pPr>
        <w:pStyle w:val="DefinedTerms"/>
      </w:pPr>
      <w:r>
        <w:t>year</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6"/>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0114219"/>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A889A-DB2E-41FA-A15E-636BEFABF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21054</Words>
  <Characters>99796</Characters>
  <Application>Microsoft Office Word</Application>
  <DocSecurity>0</DocSecurity>
  <Lines>2772</Lines>
  <Paragraphs>1491</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1992 - 04-c0-01</dc:title>
  <dc:subject/>
  <dc:creator/>
  <cp:keywords/>
  <dc:description/>
  <cp:lastModifiedBy>svcMRProcess</cp:lastModifiedBy>
  <cp:revision>4</cp:revision>
  <cp:lastPrinted>2013-10-04T05:58:00Z</cp:lastPrinted>
  <dcterms:created xsi:type="dcterms:W3CDTF">2020-02-19T23:48:00Z</dcterms:created>
  <dcterms:modified xsi:type="dcterms:W3CDTF">2020-02-19T23:48:00Z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670</vt:i4>
  </property>
  <property fmtid="{D5CDD505-2E9C-101B-9397-08002B2CF9AE}" pid="6" name="ReprintNo">
    <vt:lpwstr>4</vt:lpwstr>
  </property>
  <property fmtid="{D5CDD505-2E9C-101B-9397-08002B2CF9AE}" pid="7" name="ReprintedAsAt">
    <vt:filetime>2013-10-03T16:00:00Z</vt:filetime>
  </property>
  <property fmtid="{D5CDD505-2E9C-101B-9397-08002B2CF9AE}" pid="8" name="AsAtDate">
    <vt:lpwstr>01 Jul 2014</vt:lpwstr>
  </property>
  <property fmtid="{D5CDD505-2E9C-101B-9397-08002B2CF9AE}" pid="9" name="Suffix">
    <vt:lpwstr>04-c0-01</vt:lpwstr>
  </property>
</Properties>
</file>