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Salaries and Allowances Act 1975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Salaries and Allowances Act 1975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The Tribunal</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_Toc391901258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_Toc391901259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_Toc391901260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Establishment of Tribunal</w:t>
      </w:r>
      <w:r>
        <w:tab/>
      </w:r>
      <w:r>
        <w:fldChar w:fldCharType="begin"/>
      </w:r>
      <w:r>
        <w:instrText xml:space="preserve"> PAGEREF _Toc391901261 \h </w:instrText>
      </w:r>
      <w:r>
        <w:fldChar w:fldCharType="separate"/>
      </w:r>
      <w:r>
        <w:t>3</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Inquiry into and determination of remuneration of Governor</w:t>
      </w:r>
      <w:r>
        <w:tab/>
      </w:r>
      <w:r>
        <w:fldChar w:fldCharType="begin"/>
      </w:r>
      <w:r>
        <w:instrText xml:space="preserve"> PAGEREF _Toc391901262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Other inquiries into and determinations of remuneration</w:t>
      </w:r>
      <w:r>
        <w:tab/>
      </w:r>
      <w:r>
        <w:fldChar w:fldCharType="begin"/>
      </w:r>
      <w:r>
        <w:instrText xml:space="preserve"> PAGEREF _Toc391901263 \h </w:instrText>
      </w:r>
      <w:r>
        <w:fldChar w:fldCharType="separate"/>
      </w:r>
      <w:r>
        <w:t>6</w:t>
      </w:r>
      <w:r>
        <w:fldChar w:fldCharType="end"/>
      </w:r>
    </w:p>
    <w:p>
      <w:pPr>
        <w:pStyle w:val="TOC8"/>
        <w:rPr>
          <w:rFonts w:asciiTheme="minorHAnsi" w:eastAsiaTheme="minorEastAsia" w:hAnsiTheme="minorHAnsi" w:cstheme="minorBidi"/>
          <w:szCs w:val="22"/>
        </w:rPr>
      </w:pPr>
      <w:r>
        <w:t>6A.</w:t>
      </w:r>
      <w:r>
        <w:tab/>
        <w:t xml:space="preserve">Tribunal’s functions under </w:t>
      </w:r>
      <w:r>
        <w:rPr>
          <w:i/>
        </w:rPr>
        <w:t>Parliamentary Superannuation Act 1970</w:t>
      </w:r>
      <w:r>
        <w:tab/>
      </w:r>
      <w:r>
        <w:fldChar w:fldCharType="begin"/>
      </w:r>
      <w:r>
        <w:instrText xml:space="preserve"> PAGEREF _Toc391901264 \h </w:instrText>
      </w:r>
      <w:r>
        <w:fldChar w:fldCharType="separate"/>
      </w:r>
      <w:r>
        <w:t>10</w:t>
      </w:r>
      <w:r>
        <w:fldChar w:fldCharType="end"/>
      </w:r>
    </w:p>
    <w:p>
      <w:pPr>
        <w:pStyle w:val="TOC8"/>
        <w:rPr>
          <w:rFonts w:asciiTheme="minorHAnsi" w:eastAsiaTheme="minorEastAsia" w:hAnsiTheme="minorHAnsi" w:cstheme="minorBidi"/>
          <w:szCs w:val="22"/>
        </w:rPr>
      </w:pPr>
      <w:r>
        <w:t>6AA.</w:t>
      </w:r>
      <w:r>
        <w:tab/>
        <w:t>Redundancy benefits for members of Parliament</w:t>
      </w:r>
      <w:r>
        <w:tab/>
      </w:r>
      <w:r>
        <w:fldChar w:fldCharType="begin"/>
      </w:r>
      <w:r>
        <w:instrText xml:space="preserve"> PAGEREF _Toc391901265 \h </w:instrText>
      </w:r>
      <w:r>
        <w:fldChar w:fldCharType="separate"/>
      </w:r>
      <w:r>
        <w:t>10</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Determinations relating to entitlements of former Premiers, Ministers and members of Parliament</w:t>
      </w:r>
      <w:r>
        <w:tab/>
      </w:r>
      <w:r>
        <w:fldChar w:fldCharType="begin"/>
      </w:r>
      <w:r>
        <w:instrText xml:space="preserve"> PAGEREF _Toc391901266 \h </w:instrText>
      </w:r>
      <w:r>
        <w:fldChar w:fldCharType="separate"/>
      </w:r>
      <w:r>
        <w:t>11</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Forfeiture of former office entitlements</w:t>
      </w:r>
      <w:r>
        <w:tab/>
      </w:r>
      <w:r>
        <w:fldChar w:fldCharType="begin"/>
      </w:r>
      <w:r>
        <w:instrText xml:space="preserve"> PAGEREF _Toc391901267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Inquiry into and report on judicial salaries</w:t>
      </w:r>
      <w:r>
        <w:tab/>
      </w:r>
      <w:r>
        <w:fldChar w:fldCharType="begin"/>
      </w:r>
      <w:r>
        <w:instrText xml:space="preserve"> PAGEREF _Toc391901268 \h </w:instrText>
      </w:r>
      <w:r>
        <w:fldChar w:fldCharType="separate"/>
      </w:r>
      <w:r>
        <w:t>12</w:t>
      </w:r>
      <w:r>
        <w:fldChar w:fldCharType="end"/>
      </w:r>
    </w:p>
    <w:p>
      <w:pPr>
        <w:pStyle w:val="TOC8"/>
        <w:rPr>
          <w:rFonts w:asciiTheme="minorHAnsi" w:eastAsiaTheme="minorEastAsia" w:hAnsiTheme="minorHAnsi" w:cstheme="minorBidi"/>
          <w:szCs w:val="22"/>
        </w:rPr>
      </w:pPr>
      <w:r>
        <w:t>7A.</w:t>
      </w:r>
      <w:r>
        <w:tab/>
        <w:t>Determinations as to remuneration of local government CEOs</w:t>
      </w:r>
      <w:r>
        <w:tab/>
      </w:r>
      <w:r>
        <w:fldChar w:fldCharType="begin"/>
      </w:r>
      <w:r>
        <w:instrText xml:space="preserve"> PAGEREF _Toc391901269 \h </w:instrText>
      </w:r>
      <w:r>
        <w:fldChar w:fldCharType="separate"/>
      </w:r>
      <w:r>
        <w:t>14</w:t>
      </w:r>
      <w:r>
        <w:fldChar w:fldCharType="end"/>
      </w:r>
    </w:p>
    <w:p>
      <w:pPr>
        <w:pStyle w:val="TOC8"/>
        <w:rPr>
          <w:rFonts w:asciiTheme="minorHAnsi" w:eastAsiaTheme="minorEastAsia" w:hAnsiTheme="minorHAnsi" w:cstheme="minorBidi"/>
          <w:szCs w:val="22"/>
        </w:rPr>
      </w:pPr>
      <w:r>
        <w:t>7B.</w:t>
      </w:r>
      <w:r>
        <w:tab/>
        <w:t>Determinations as to fees and allowances of local government councillors</w:t>
      </w:r>
      <w:r>
        <w:tab/>
      </w:r>
      <w:r>
        <w:fldChar w:fldCharType="begin"/>
      </w:r>
      <w:r>
        <w:instrText xml:space="preserve"> PAGEREF _Toc391901270 \h </w:instrText>
      </w:r>
      <w:r>
        <w:fldChar w:fldCharType="separate"/>
      </w:r>
      <w:r>
        <w:t>14</w:t>
      </w:r>
      <w:r>
        <w:fldChar w:fldCharType="end"/>
      </w:r>
    </w:p>
    <w:p>
      <w:pPr>
        <w:pStyle w:val="TOC8"/>
        <w:rPr>
          <w:rFonts w:asciiTheme="minorHAnsi" w:eastAsiaTheme="minorEastAsia" w:hAnsiTheme="minorHAnsi" w:cstheme="minorBidi"/>
          <w:szCs w:val="22"/>
        </w:rPr>
      </w:pPr>
      <w:r>
        <w:t>8.</w:t>
      </w:r>
      <w:r>
        <w:tab/>
        <w:t>Tribunal to report and make a determination annually</w:t>
      </w:r>
      <w:r>
        <w:tab/>
      </w:r>
      <w:r>
        <w:fldChar w:fldCharType="begin"/>
      </w:r>
      <w:r>
        <w:instrText xml:space="preserve"> PAGEREF _Toc391901271 \h </w:instrText>
      </w:r>
      <w:r>
        <w:fldChar w:fldCharType="separate"/>
      </w:r>
      <w:r>
        <w:t>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Meetings of Tribunal</w:t>
      </w:r>
      <w:r>
        <w:tab/>
      </w:r>
      <w:r>
        <w:fldChar w:fldCharType="begin"/>
      </w:r>
      <w:r>
        <w:instrText xml:space="preserve"> PAGEREF _Toc391901272 \h </w:instrText>
      </w:r>
      <w:r>
        <w:fldChar w:fldCharType="separate"/>
      </w:r>
      <w:r>
        <w:t>15</w:t>
      </w:r>
      <w:r>
        <w:fldChar w:fldCharType="end"/>
      </w:r>
    </w:p>
    <w:p>
      <w:pPr>
        <w:pStyle w:val="TOC8"/>
        <w:rPr>
          <w:rFonts w:asciiTheme="minorHAnsi" w:eastAsiaTheme="minorEastAsia" w:hAnsiTheme="minorHAnsi" w:cstheme="minorBidi"/>
          <w:szCs w:val="22"/>
        </w:rPr>
      </w:pPr>
      <w:r>
        <w:t>10A.</w:t>
      </w:r>
      <w:r>
        <w:tab/>
        <w:t>Tribunal to have regard to government financial matters</w:t>
      </w:r>
      <w:r>
        <w:tab/>
      </w:r>
      <w:r>
        <w:fldChar w:fldCharType="begin"/>
      </w:r>
      <w:r>
        <w:instrText xml:space="preserve"> PAGEREF _Toc391901273 \h </w:instrText>
      </w:r>
      <w:r>
        <w:fldChar w:fldCharType="separate"/>
      </w:r>
      <w:r>
        <w:t>18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Method of inquiry by Tribunal</w:t>
      </w:r>
      <w:r>
        <w:tab/>
      </w:r>
      <w:r>
        <w:fldChar w:fldCharType="begin"/>
      </w:r>
      <w:r>
        <w:instrText xml:space="preserve"> PAGEREF _Toc391901274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Fees and allowances</w:t>
      </w:r>
      <w:r>
        <w:tab/>
      </w:r>
      <w:r>
        <w:fldChar w:fldCharType="begin"/>
      </w:r>
      <w:r>
        <w:instrText xml:space="preserve"> PAGEREF _Toc391901275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Part IA — General</w:t>
      </w:r>
    </w:p>
    <w:p>
      <w:pPr>
        <w:pStyle w:val="TOC8"/>
        <w:rPr>
          <w:rFonts w:asciiTheme="minorHAnsi" w:eastAsiaTheme="minorEastAsia" w:hAnsiTheme="minorHAnsi" w:cstheme="minorBidi"/>
          <w:szCs w:val="22"/>
        </w:rPr>
      </w:pPr>
      <w:r>
        <w:t>11A</w:t>
      </w:r>
      <w:r>
        <w:rPr>
          <w:snapToGrid w:val="0"/>
        </w:rPr>
        <w:t>.</w:t>
      </w:r>
      <w:r>
        <w:rPr>
          <w:snapToGrid w:val="0"/>
        </w:rPr>
        <w:tab/>
        <w:t>Arrangements for payment of travelling expenses by Treasurer</w:t>
      </w:r>
      <w:r>
        <w:tab/>
      </w:r>
      <w:r>
        <w:fldChar w:fldCharType="begin"/>
      </w:r>
      <w:r>
        <w:instrText xml:space="preserve"> PAGEREF _Toc391901277 \h </w:instrText>
      </w:r>
      <w:r>
        <w:fldChar w:fldCharType="separate"/>
      </w:r>
      <w:r>
        <w:t>20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w:t>
      </w:r>
      <w:r>
        <w:tab/>
      </w:r>
      <w:r>
        <w:fldChar w:fldCharType="begin"/>
      </w:r>
      <w:r>
        <w:instrText xml:space="preserve"> PAGEREF _Toc391901278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Schedule 1 — Offences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_Toc391901281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pPr>
      <w:r>
        <w:t xml:space="preserve">Salaries and Allowances Act 1975 </w:t>
      </w:r>
    </w:p>
    <w:p>
      <w:pPr>
        <w:pStyle w:val="LongTitle"/>
        <w:rPr>
          <w:snapToGrid w:val="0"/>
        </w:rPr>
      </w:pPr>
      <w:r>
        <w:rPr>
          <w:snapToGrid w:val="0"/>
        </w:rPr>
        <w:t xml:space="preserve">An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 </w:t>
      </w:r>
      <w:r>
        <w:rPr>
          <w:snapToGrid w:val="0"/>
          <w:vertAlign w:val="superscript"/>
        </w:rPr>
        <w:t>2</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by No. 34 of 1980 s. 2; No. 58 of 1986 s. 14; No. 19 of 1989 s. 7; No. 68 of 1992 s. 4(3).] </w:t>
      </w:r>
    </w:p>
    <w:p>
      <w:pPr>
        <w:pStyle w:val="Heading2"/>
      </w:pPr>
      <w:bookmarkStart w:id="1" w:name="_Toc391901257"/>
      <w:r>
        <w:rPr>
          <w:rStyle w:val="CharPartNo"/>
        </w:rPr>
        <w:t>Part I</w:t>
      </w:r>
      <w:r>
        <w:rPr>
          <w:rStyle w:val="CharDivNo"/>
        </w:rPr>
        <w:t> </w:t>
      </w:r>
      <w:r>
        <w:t>—</w:t>
      </w:r>
      <w:r>
        <w:rPr>
          <w:rStyle w:val="CharDivText"/>
        </w:rPr>
        <w:t> </w:t>
      </w:r>
      <w:r>
        <w:rPr>
          <w:rStyle w:val="CharPartText"/>
        </w:rPr>
        <w:t>The Tribunal</w:t>
      </w:r>
      <w:bookmarkEnd w:id="1"/>
      <w:r>
        <w:rPr>
          <w:rStyle w:val="CharPartText"/>
        </w:rPr>
        <w:t xml:space="preserve"> </w:t>
      </w:r>
    </w:p>
    <w:p>
      <w:pPr>
        <w:pStyle w:val="Heading5"/>
        <w:rPr>
          <w:snapToGrid w:val="0"/>
        </w:rPr>
      </w:pPr>
      <w:bookmarkStart w:id="2" w:name="_Toc391901258"/>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 </w:t>
      </w:r>
      <w:r>
        <w:rPr>
          <w:snapToGrid w:val="0"/>
          <w:vertAlign w:val="superscript"/>
        </w:rPr>
        <w:t>1</w:t>
      </w:r>
      <w:r>
        <w:rPr>
          <w:snapToGrid w:val="0"/>
        </w:rPr>
        <w:t>.</w:t>
      </w:r>
    </w:p>
    <w:p>
      <w:pPr>
        <w:pStyle w:val="Footnotesection"/>
      </w:pPr>
      <w:r>
        <w:tab/>
        <w:t xml:space="preserve">[Section 1 amended by No. 34 of 1980 s. 3.] </w:t>
      </w:r>
    </w:p>
    <w:p>
      <w:pPr>
        <w:pStyle w:val="Heading5"/>
        <w:rPr>
          <w:snapToGrid w:val="0"/>
        </w:rPr>
      </w:pPr>
      <w:bookmarkStart w:id="3" w:name="_Toc391901259"/>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r>
        <w:rPr>
          <w:snapToGrid w:val="0"/>
          <w:vertAlign w:val="superscript"/>
        </w:rPr>
        <w:t xml:space="preserve"> 1</w:t>
      </w:r>
      <w:r>
        <w:rPr>
          <w:snapToGrid w:val="0"/>
        </w:rPr>
        <w:t>.</w:t>
      </w:r>
    </w:p>
    <w:p>
      <w:pPr>
        <w:pStyle w:val="Ednotesection"/>
      </w:pPr>
      <w:r>
        <w:t>[</w:t>
      </w:r>
      <w:r>
        <w:rPr>
          <w:b/>
        </w:rPr>
        <w:t>3.</w:t>
      </w:r>
      <w:r>
        <w:tab/>
        <w:t xml:space="preserve">Deleted by No. 58 of 1986 s. 15.] </w:t>
      </w:r>
    </w:p>
    <w:p>
      <w:pPr>
        <w:pStyle w:val="Heading5"/>
        <w:rPr>
          <w:snapToGrid w:val="0"/>
        </w:rPr>
      </w:pPr>
      <w:bookmarkStart w:id="4" w:name="_Toc391901260"/>
      <w:r>
        <w:rPr>
          <w:rStyle w:val="CharSectno"/>
        </w:rPr>
        <w:t>4</w:t>
      </w:r>
      <w:r>
        <w:rPr>
          <w:snapToGrid w:val="0"/>
        </w:rPr>
        <w:t>.</w:t>
      </w:r>
      <w:r>
        <w:rPr>
          <w:snapToGrid w:val="0"/>
        </w:rPr>
        <w:tab/>
        <w:t>Terms used</w:t>
      </w:r>
      <w:bookmarkEnd w:id="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temporarily in place of the Chairman pursuant to section 34 of the </w:t>
      </w:r>
      <w:r>
        <w:rPr>
          <w:i/>
        </w:rPr>
        <w:t>Interpretation Act 1918</w:t>
      </w:r>
      <w:r>
        <w:t xml:space="preserve"> </w:t>
      </w:r>
      <w:r>
        <w:rPr>
          <w:vertAlign w:val="superscript"/>
        </w:rPr>
        <w:t>3</w:t>
      </w:r>
      <w:r>
        <w:t>;</w:t>
      </w:r>
    </w:p>
    <w:p>
      <w:pPr>
        <w:pStyle w:val="Defstart"/>
      </w:pPr>
      <w:r>
        <w:rPr>
          <w:b/>
        </w:rPr>
        <w:tab/>
      </w:r>
      <w:r>
        <w:rPr>
          <w:rStyle w:val="CharDefText"/>
        </w:rPr>
        <w:t>member</w:t>
      </w:r>
      <w:r>
        <w:t xml:space="preserve"> means a member of the Tribunal and includes a person appointed temporarily in place of a member under section 34 of the </w:t>
      </w:r>
      <w:r>
        <w:rPr>
          <w:i/>
        </w:rPr>
        <w:t>Interpretation Act 1918</w:t>
      </w:r>
      <w:r>
        <w:t xml:space="preserve"> </w:t>
      </w:r>
      <w:r>
        <w:rPr>
          <w:vertAlign w:val="superscript"/>
        </w:rPr>
        <w:t>3</w:t>
      </w:r>
      <w:r>
        <w:t>;</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 xml:space="preserve">[Section 4 amended by No. 78 of 1984 s. 20; No. 34 of 1986 s. 4; No. 19 of 1989 s. 8; No. 38 of 1990 s. 7; No. 68 of 1992 s. 4(1) and (2); No. 56 of 2006 s. 6.] </w:t>
      </w:r>
    </w:p>
    <w:p>
      <w:pPr>
        <w:pStyle w:val="Heading5"/>
        <w:rPr>
          <w:snapToGrid w:val="0"/>
        </w:rPr>
      </w:pPr>
      <w:bookmarkStart w:id="5" w:name="_Toc391901261"/>
      <w:r>
        <w:rPr>
          <w:rStyle w:val="CharSectno"/>
        </w:rPr>
        <w:t>5</w:t>
      </w:r>
      <w:r>
        <w:rPr>
          <w:snapToGrid w:val="0"/>
        </w:rPr>
        <w:t>.</w:t>
      </w:r>
      <w:r>
        <w:rPr>
          <w:snapToGrid w:val="0"/>
        </w:rPr>
        <w:tab/>
        <w:t>Establishment of Tribunal</w:t>
      </w:r>
      <w:bookmarkEnd w:id="5"/>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by No. 63 of 1978 s. 2; No. 42 of 1997 s. 8; No. 18 of 2009 s. 78.] </w:t>
      </w:r>
    </w:p>
    <w:p>
      <w:pPr>
        <w:pStyle w:val="Heading5"/>
        <w:rPr>
          <w:snapToGrid w:val="0"/>
        </w:rPr>
      </w:pPr>
      <w:bookmarkStart w:id="6" w:name="_Toc391901262"/>
      <w:r>
        <w:rPr>
          <w:rStyle w:val="CharSectno"/>
        </w:rPr>
        <w:t>5A</w:t>
      </w:r>
      <w:r>
        <w:rPr>
          <w:snapToGrid w:val="0"/>
        </w:rPr>
        <w:t>.</w:t>
      </w:r>
      <w:r>
        <w:rPr>
          <w:snapToGrid w:val="0"/>
        </w:rPr>
        <w:tab/>
        <w:t>Inquiry into and determination of remuneration of Governor</w:t>
      </w:r>
      <w:bookmarkEnd w:id="6"/>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w:t>
      </w:r>
      <w:r>
        <w:rPr>
          <w:snapToGrid w:val="0"/>
          <w:vertAlign w:val="superscript"/>
        </w:rPr>
        <w:t>1</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by No. 19 of 1989 s. 9; amended by No. 77 of 2006 s. 4.] </w:t>
      </w:r>
    </w:p>
    <w:p>
      <w:pPr>
        <w:pStyle w:val="Heading5"/>
        <w:rPr>
          <w:snapToGrid w:val="0"/>
        </w:rPr>
      </w:pPr>
      <w:bookmarkStart w:id="7" w:name="_Toc391901263"/>
      <w:r>
        <w:rPr>
          <w:rStyle w:val="CharSectno"/>
        </w:rPr>
        <w:t>6</w:t>
      </w:r>
      <w:r>
        <w:rPr>
          <w:snapToGrid w:val="0"/>
        </w:rPr>
        <w:t>.</w:t>
      </w:r>
      <w:r>
        <w:rPr>
          <w:snapToGrid w:val="0"/>
        </w:rPr>
        <w:tab/>
        <w:t>Other inquiries into and determinations of remuneration</w:t>
      </w:r>
      <w:bookmarkEnd w:id="7"/>
      <w:r>
        <w:rPr>
          <w:snapToGrid w:val="0"/>
        </w:rPr>
        <w:t xml:space="preserve"> </w:t>
      </w:r>
    </w:p>
    <w:p>
      <w:pPr>
        <w:pStyle w:val="Subsection"/>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p>
    <w:p>
      <w:pPr>
        <w:pStyle w:val="Indenta"/>
        <w:rPr>
          <w:snapToGrid w:val="0"/>
        </w:rPr>
      </w:pPr>
      <w:r>
        <w:rPr>
          <w:snapToGrid w:val="0"/>
        </w:rPr>
        <w:tab/>
        <w:t>(c)</w:t>
      </w:r>
      <w:r>
        <w:rPr>
          <w:snapToGrid w:val="0"/>
        </w:rPr>
        <w:tab/>
        <w:t>Clerk of the Legislative Council or Clerk of the Legislative Assembly or the Deputy Clerk of either House;</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rPr>
          <w:rStyle w:val="CharDefText"/>
        </w:rPr>
        <w:t>the 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or electoral region of a member becomes inapplicable, or, in the opinion of the Chairman, inequitable as a consequence of </w:t>
      </w:r>
      <w:r>
        <w:t>a subsequent division of the State into electoral districts and electoral regions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t xml:space="preserve">Where a member of Parliament (not being a Minister of the Crown, a Parliamentary Secretary appointed under section 44A(1) of the </w:t>
      </w:r>
      <w:r>
        <w:rPr>
          <w:i/>
          <w:snapToGrid w:val="0"/>
        </w:rPr>
        <w:t>Constitution Acts Amendment Act 1899</w:t>
      </w:r>
      <w:r>
        <w:rPr>
          <w:snapToGrid w:val="0"/>
        </w:rPr>
        <w:t>, or the Parliamentary Secretary of the Cabinet) travels in this State or elsewhere in order to perform any duty or function as a representative of the Government or of a Minister of the Crown —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ind w:left="890" w:hanging="890"/>
      </w:pPr>
      <w:r>
        <w:tab/>
        <w:t xml:space="preserve">[Section 6 amended by No. 33 of 1979 s. 2; No. 34 of 1980 s. 5; No. 78 of 1984 s. 21; No. 40 of 1987 s. 104; No. 38 of 1990 s. 8; No. 49 of 1991 s. 3; No. 68 of 1992 s. 4(3) and 5; No. 6 of 1993 s. 11; No. 1 of 1995 s. 37; No. 49 of 1996 s. 64; No. 36 of 2000 </w:t>
      </w:r>
      <w:r>
        <w:rPr>
          <w:spacing w:val="-2"/>
        </w:rPr>
        <w:t>s</w:t>
      </w:r>
      <w:r>
        <w:t>. 57; No. 22 of 2001 s. 3; No. 1 of 2005 s. 10(2); No. 56 of 2006 s. 7; No. 77 of 2006 s. 4; amended in Gazette 15 Aug 2003 p. 3691.]</w:t>
      </w:r>
    </w:p>
    <w:p>
      <w:pPr>
        <w:pStyle w:val="Heading5"/>
        <w:spacing w:before="180"/>
      </w:pPr>
      <w:bookmarkStart w:id="8" w:name="_Toc391901264"/>
      <w:r>
        <w:rPr>
          <w:rStyle w:val="CharSectno"/>
        </w:rPr>
        <w:t>6A</w:t>
      </w:r>
      <w:r>
        <w:t>.</w:t>
      </w:r>
      <w:r>
        <w:tab/>
        <w:t xml:space="preserve">Tribunal’s functions under </w:t>
      </w:r>
      <w:r>
        <w:rPr>
          <w:i/>
        </w:rPr>
        <w:t>Parliamentary Superannuation Act 1970</w:t>
      </w:r>
      <w:bookmarkEnd w:id="8"/>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by No. 37 of 2000 s. 20.]</w:t>
      </w:r>
    </w:p>
    <w:p>
      <w:pPr>
        <w:pStyle w:val="Heading5"/>
        <w:spacing w:before="180"/>
      </w:pPr>
      <w:bookmarkStart w:id="9" w:name="_Toc391901265"/>
      <w:r>
        <w:rPr>
          <w:rStyle w:val="CharSectno"/>
        </w:rPr>
        <w:t>6AA</w:t>
      </w:r>
      <w:r>
        <w:t>.</w:t>
      </w:r>
      <w:r>
        <w:tab/>
        <w:t>Redundancy benefits for members of Parliament</w:t>
      </w:r>
      <w:bookmarkEnd w:id="9"/>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by No. 37 of 2000 s. 20; amended by No. 77 of 2006 s. 4.]</w:t>
      </w:r>
    </w:p>
    <w:p>
      <w:pPr>
        <w:pStyle w:val="Heading5"/>
        <w:rPr>
          <w:snapToGrid w:val="0"/>
        </w:rPr>
      </w:pPr>
      <w:bookmarkStart w:id="10" w:name="_Toc391901266"/>
      <w:r>
        <w:rPr>
          <w:rStyle w:val="CharSectno"/>
        </w:rPr>
        <w:t>6B</w:t>
      </w:r>
      <w:r>
        <w:rPr>
          <w:snapToGrid w:val="0"/>
        </w:rPr>
        <w:t>.</w:t>
      </w:r>
      <w:r>
        <w:rPr>
          <w:snapToGrid w:val="0"/>
        </w:rPr>
        <w:tab/>
        <w:t>Determinations relating to entitlements of former Premiers, Ministers and members of Parliament</w:t>
      </w:r>
      <w:bookmarkEnd w:id="10"/>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by No. 13 of 1987 s. 3; amended by No. 6 of 1993 s. 11; No. 73 of 1994 s. 4; No. 49 of 1996 s. 64; No. 77 of 2006 s. 4.] </w:t>
      </w:r>
    </w:p>
    <w:p>
      <w:pPr>
        <w:pStyle w:val="Heading5"/>
        <w:rPr>
          <w:snapToGrid w:val="0"/>
        </w:rPr>
      </w:pPr>
      <w:bookmarkStart w:id="11" w:name="_Toc391901267"/>
      <w:r>
        <w:rPr>
          <w:rStyle w:val="CharSectno"/>
        </w:rPr>
        <w:t>6C</w:t>
      </w:r>
      <w:r>
        <w:rPr>
          <w:snapToGrid w:val="0"/>
        </w:rPr>
        <w:t>.</w:t>
      </w:r>
      <w:r>
        <w:rPr>
          <w:snapToGrid w:val="0"/>
        </w:rPr>
        <w:tab/>
        <w:t>Forfeiture of former office entitlements</w:t>
      </w:r>
      <w:bookmarkEnd w:id="1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by No. 45 of 1995 s. 4</w:t>
      </w:r>
      <w:r>
        <w:rPr>
          <w:vertAlign w:val="superscript"/>
        </w:rPr>
        <w:t xml:space="preserve"> </w:t>
      </w:r>
      <w:r>
        <w:rPr>
          <w:i w:val="0"/>
          <w:iCs/>
          <w:vertAlign w:val="superscript"/>
        </w:rPr>
        <w:t>4</w:t>
      </w:r>
      <w:r>
        <w:t xml:space="preserve">.] </w:t>
      </w:r>
    </w:p>
    <w:p>
      <w:pPr>
        <w:pStyle w:val="Heading5"/>
        <w:rPr>
          <w:snapToGrid w:val="0"/>
        </w:rPr>
      </w:pPr>
      <w:bookmarkStart w:id="12" w:name="_Toc391901268"/>
      <w:r>
        <w:rPr>
          <w:rStyle w:val="CharSectno"/>
        </w:rPr>
        <w:t>7</w:t>
      </w:r>
      <w:r>
        <w:rPr>
          <w:snapToGrid w:val="0"/>
        </w:rPr>
        <w:t>.</w:t>
      </w:r>
      <w:r>
        <w:rPr>
          <w:snapToGrid w:val="0"/>
        </w:rPr>
        <w:tab/>
        <w:t>Inquiry into and report on judicial salaries</w:t>
      </w:r>
      <w:bookmarkEnd w:id="12"/>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and Crime Commission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 xml:space="preserve">[Section 7 amended by No. 89 of 1975 s. 3; No. 33 of 1979 s. 3; No. 34 of 1980 s. 6; No. 68 of 1992 s. 4(3) and 6; No. 14 of 1994 s. 20; No. 29 of 1996 s. 26; No. 23 of 1997 s. 19; No. 48 of 2003 s. 62; No. 78 of 2003 s. 74(2); No. 45 of 2004 s. 37; No. 8 of 2009 s. 114.] </w:t>
      </w:r>
    </w:p>
    <w:p>
      <w:pPr>
        <w:pStyle w:val="Heading5"/>
      </w:pPr>
      <w:bookmarkStart w:id="13" w:name="_Toc391901269"/>
      <w:r>
        <w:rPr>
          <w:rStyle w:val="CharSectno"/>
        </w:rPr>
        <w:t>7A</w:t>
      </w:r>
      <w:r>
        <w:t>.</w:t>
      </w:r>
      <w:r>
        <w:tab/>
        <w:t>Determinations as to remuneration of local government CEOs</w:t>
      </w:r>
      <w:bookmarkEnd w:id="13"/>
    </w:p>
    <w:p>
      <w:pPr>
        <w:pStyle w:val="Subsection"/>
      </w:pPr>
      <w:r>
        <w:tab/>
        <w:t>(1)</w:t>
      </w:r>
      <w:r>
        <w:tab/>
        <w:t>The Tribunal is to, from time to time as provided by this Act, inquire into and determine, the amount of remuneration, or the minimum and maximum amounts of remuneration, to be paid or provided to chief executive officers of local governments.</w:t>
      </w:r>
    </w:p>
    <w:p>
      <w:pPr>
        <w:pStyle w:val="Subsection"/>
      </w:pPr>
      <w:r>
        <w:tab/>
        <w:t>(2)</w:t>
      </w:r>
      <w:r>
        <w:tab/>
        <w:t>Section 6(2) and (3) apply to a determination under this section.</w:t>
      </w:r>
    </w:p>
    <w:p>
      <w:pPr>
        <w:pStyle w:val="Footnotesection"/>
      </w:pPr>
      <w:r>
        <w:tab/>
        <w:t>[Section 7A inserted by No. 2 of 2012 s. 38.]</w:t>
      </w:r>
    </w:p>
    <w:p>
      <w:pPr>
        <w:pStyle w:val="Heading5"/>
      </w:pPr>
      <w:bookmarkStart w:id="14" w:name="_Toc391901270"/>
      <w:r>
        <w:rPr>
          <w:rStyle w:val="CharSectno"/>
        </w:rPr>
        <w:t>7B</w:t>
      </w:r>
      <w:r>
        <w:t>.</w:t>
      </w:r>
      <w:r>
        <w:tab/>
        <w:t>Determinations as to fees and allowances of local government councillors</w:t>
      </w:r>
      <w:bookmarkEnd w:id="14"/>
    </w:p>
    <w:p>
      <w:pPr>
        <w:pStyle w:val="Subsection"/>
      </w:pPr>
      <w:r>
        <w:tab/>
        <w:t>(1)</w:t>
      </w:r>
      <w:r>
        <w:tab/>
        <w:t xml:space="preserve">In this section — </w:t>
      </w:r>
    </w:p>
    <w:p>
      <w:pPr>
        <w:pStyle w:val="Defstart"/>
      </w:pPr>
      <w:r>
        <w:tab/>
      </w:r>
      <w:r>
        <w:rPr>
          <w:rStyle w:val="CharDefText"/>
        </w:rPr>
        <w:t>elected council member</w:t>
      </w:r>
      <w:r>
        <w:t xml:space="preserve"> means a person elected under the </w:t>
      </w:r>
      <w:r>
        <w:rPr>
          <w:i/>
        </w:rPr>
        <w:t>Local Government Act 1995</w:t>
      </w:r>
      <w:r>
        <w:t xml:space="preserve"> as a member of the council of a local government.</w:t>
      </w:r>
    </w:p>
    <w:p>
      <w:pPr>
        <w:pStyle w:val="Subsection"/>
      </w:pPr>
      <w:r>
        <w:tab/>
        <w:t>(2)</w:t>
      </w:r>
      <w:r>
        <w:tab/>
        <w:t xml:space="preserve">The Tribunal is to, from time to time as provided by this Act, inquire into and determine — </w:t>
      </w:r>
    </w:p>
    <w:p>
      <w:pPr>
        <w:pStyle w:val="Indenta"/>
      </w:pPr>
      <w:r>
        <w:tab/>
        <w:t>(a)</w:t>
      </w:r>
      <w:r>
        <w:tab/>
        <w:t xml:space="preserve">the amount of fees, or the minimum and maximum amounts of fees, to be paid under the </w:t>
      </w:r>
      <w:r>
        <w:rPr>
          <w:i/>
        </w:rPr>
        <w:t>Local Government Act 1995</w:t>
      </w:r>
      <w:r>
        <w:t xml:space="preserve"> to elected council members for attendance at meetings; and</w:t>
      </w:r>
    </w:p>
    <w:p>
      <w:pPr>
        <w:pStyle w:val="Indenta"/>
      </w:pPr>
      <w:r>
        <w:tab/>
        <w:t>(b)</w:t>
      </w:r>
      <w:r>
        <w:tab/>
        <w:t xml:space="preserve">the amount of expenses, or the minimum and maximum amounts of expenses, to be reimbursed under the </w:t>
      </w:r>
      <w:r>
        <w:rPr>
          <w:i/>
        </w:rPr>
        <w:t>Local Government Act 1995</w:t>
      </w:r>
      <w:r>
        <w:t xml:space="preserve"> to elected council members; and</w:t>
      </w:r>
    </w:p>
    <w:p>
      <w:pPr>
        <w:pStyle w:val="Indenta"/>
      </w:pPr>
      <w:r>
        <w:tab/>
        <w:t>(c)</w:t>
      </w:r>
      <w:r>
        <w:tab/>
        <w:t xml:space="preserve">the amount of allowances, or the minimum and maximum amounts of allowances, to be paid under the </w:t>
      </w:r>
      <w:r>
        <w:rPr>
          <w:i/>
        </w:rPr>
        <w:t xml:space="preserve">Local Government Act 1995 </w:t>
      </w:r>
      <w:r>
        <w:t>to elected council members.</w:t>
      </w:r>
    </w:p>
    <w:p>
      <w:pPr>
        <w:pStyle w:val="Subsection"/>
      </w:pPr>
      <w:r>
        <w:tab/>
        <w:t>(3)</w:t>
      </w:r>
      <w:r>
        <w:tab/>
        <w:t>Section 6(2) and (3) apply to a determination under this section.</w:t>
      </w:r>
    </w:p>
    <w:p>
      <w:pPr>
        <w:pStyle w:val="Footnotesection"/>
      </w:pPr>
      <w:r>
        <w:tab/>
        <w:t>[Section 7B inserted by No. 2 of 2012 s. 39.]</w:t>
      </w:r>
    </w:p>
    <w:p>
      <w:pPr>
        <w:pStyle w:val="Heading5"/>
        <w:spacing w:before="180"/>
      </w:pPr>
      <w:bookmarkStart w:id="15" w:name="_Toc391901271"/>
      <w:r>
        <w:rPr>
          <w:rStyle w:val="CharSectno"/>
        </w:rPr>
        <w:t>8</w:t>
      </w:r>
      <w:r>
        <w:t>.</w:t>
      </w:r>
      <w:r>
        <w:tab/>
        <w:t>Tribunal to report and make a determination annually</w:t>
      </w:r>
      <w:bookmarkEnd w:id="15"/>
    </w:p>
    <w:p>
      <w:pPr>
        <w:pStyle w:val="Subsection"/>
      </w:pPr>
      <w:r>
        <w:tab/>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 and</w:t>
      </w:r>
    </w:p>
    <w:p>
      <w:pPr>
        <w:pStyle w:val="Indenta"/>
      </w:pPr>
      <w:r>
        <w:tab/>
        <w:t>(b)</w:t>
      </w:r>
      <w:r>
        <w:tab/>
        <w:t>not more than a year elapses between one report under section 7(1) and another; and</w:t>
      </w:r>
    </w:p>
    <w:p>
      <w:pPr>
        <w:pStyle w:val="Indenta"/>
      </w:pPr>
      <w:r>
        <w:tab/>
        <w:t>(c)</w:t>
      </w:r>
      <w:r>
        <w:tab/>
        <w:t>not more than a year elapses between one determination under section 7A and another; and</w:t>
      </w:r>
    </w:p>
    <w:p>
      <w:pPr>
        <w:pStyle w:val="Indenta"/>
      </w:pPr>
      <w:r>
        <w:tab/>
        <w:t>(d)</w:t>
      </w:r>
      <w:r>
        <w:tab/>
        <w:t>not more than a year elapses between one determination under section 7B(2) and another.</w:t>
      </w:r>
    </w:p>
    <w:p>
      <w:pPr>
        <w:pStyle w:val="Footnotesection"/>
      </w:pPr>
      <w:r>
        <w:tab/>
        <w:t>[Section 8 inserted by No. 37 of 2000 s. 21; amended by No. 49 of 2004 s. 13; No. 2 of 2012 s. 40.]</w:t>
      </w:r>
    </w:p>
    <w:p>
      <w:pPr>
        <w:pStyle w:val="Heading5"/>
        <w:rPr>
          <w:snapToGrid w:val="0"/>
        </w:rPr>
      </w:pPr>
      <w:bookmarkStart w:id="16" w:name="_Toc391901272"/>
      <w:r>
        <w:rPr>
          <w:rStyle w:val="CharSectno"/>
        </w:rPr>
        <w:t>9</w:t>
      </w:r>
      <w:r>
        <w:rPr>
          <w:snapToGrid w:val="0"/>
        </w:rPr>
        <w:t>.</w:t>
      </w:r>
      <w:r>
        <w:rPr>
          <w:snapToGrid w:val="0"/>
        </w:rPr>
        <w:tab/>
        <w:t>Meetings of Tribunal</w:t>
      </w:r>
      <w:bookmarkEnd w:id="16"/>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w:t>
      </w:r>
    </w:p>
    <w:p>
      <w:pPr>
        <w:pStyle w:val="Indenta"/>
        <w:rPr>
          <w:snapToGrid w:val="0"/>
        </w:rPr>
      </w:pPr>
      <w:r>
        <w:rPr>
          <w:snapToGrid w:val="0"/>
        </w:rPr>
        <w:tab/>
        <w:t>(b)</w:t>
      </w:r>
      <w:r>
        <w:rPr>
          <w:snapToGrid w:val="0"/>
        </w:rPr>
        <w:tab/>
        <w:t>2 members constitute a quorum;</w:t>
      </w:r>
    </w:p>
    <w:p>
      <w:pPr>
        <w:pStyle w:val="Indenta"/>
        <w:rPr>
          <w:snapToGrid w:val="0"/>
        </w:rPr>
      </w:pPr>
      <w:r>
        <w:rPr>
          <w:snapToGrid w:val="0"/>
        </w:rPr>
        <w:tab/>
        <w:t>(c)</w:t>
      </w:r>
      <w:r>
        <w:rPr>
          <w:snapToGrid w:val="0"/>
        </w:rPr>
        <w:tab/>
        <w:t>all questions shall be decided by a majority of the votes of the members present and voting;</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17" w:name="_Toc391901274"/>
      <w:r>
        <w:rPr>
          <w:rStyle w:val="CharSectno"/>
        </w:rPr>
        <w:t>10</w:t>
      </w:r>
      <w:r>
        <w:rPr>
          <w:snapToGrid w:val="0"/>
        </w:rPr>
        <w:t>.</w:t>
      </w:r>
      <w:r>
        <w:rPr>
          <w:snapToGrid w:val="0"/>
        </w:rPr>
        <w:tab/>
        <w:t>Method of inquiry by Tribunal</w:t>
      </w:r>
      <w:bookmarkEnd w:id="17"/>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w:t>
      </w:r>
    </w:p>
    <w:p>
      <w:pPr>
        <w:pStyle w:val="Indenta"/>
        <w:rPr>
          <w:snapToGrid w:val="0"/>
        </w:rPr>
      </w:pPr>
      <w:r>
        <w:rPr>
          <w:snapToGrid w:val="0"/>
        </w:rPr>
        <w:tab/>
        <w:t>(b)</w:t>
      </w:r>
      <w:r>
        <w:rPr>
          <w:snapToGrid w:val="0"/>
        </w:rPr>
        <w:tab/>
        <w:t>the Tribunal may receive written or oral statements;</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w:t>
      </w:r>
    </w:p>
    <w:p>
      <w:pPr>
        <w:pStyle w:val="Indenta"/>
      </w:pPr>
      <w:r>
        <w:rPr>
          <w:snapToGrid w:val="0"/>
        </w:rPr>
        <w:tab/>
        <w:t>(b)</w:t>
      </w:r>
      <w:r>
        <w:rPr>
          <w:snapToGrid w:val="0"/>
        </w:rPr>
        <w:tab/>
        <w:t xml:space="preserve">appoint a person nominated from time to time in writing by the </w:t>
      </w:r>
      <w:r>
        <w:t>Public Sector Commissioner</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 </w:t>
      </w:r>
    </w:p>
    <w:p>
      <w:pPr>
        <w:pStyle w:val="Indenti"/>
      </w:pPr>
      <w:r>
        <w:tab/>
        <w:t>(i)</w:t>
      </w:r>
      <w:r>
        <w:tab/>
        <w:t>the remuneration to be paid or provided to chief executive officers of local governments referred to in section 7A; or</w:t>
      </w:r>
    </w:p>
    <w:p>
      <w:pPr>
        <w:pStyle w:val="Indenti"/>
      </w:pPr>
      <w:r>
        <w:tab/>
        <w:t>(ii)</w:t>
      </w:r>
      <w:r>
        <w:tab/>
        <w:t>the fees, expenses and allowances to be paid to elected council members referred to in section 7B.</w:t>
      </w:r>
    </w:p>
    <w:p>
      <w:pPr>
        <w:pStyle w:val="Footnotesection"/>
      </w:pPr>
      <w:r>
        <w:tab/>
        <w:t xml:space="preserve">[Section 10 amended by No. 33 of 1979 s. 4; No. 38 of 1990 s. 9; No. 68 of 1992 s. 4(3); No. 32 of 1994 s. 19; No. 73 of 1994 s. 4; No. 49 of 2004 s. 13; No. 39 of 2010 s. 83; No. 2 of 2012 s. 41.] </w:t>
      </w:r>
    </w:p>
    <w:p>
      <w:pPr>
        <w:pStyle w:val="Heading5"/>
      </w:pPr>
      <w:bookmarkStart w:id="18" w:name="_Toc388361571"/>
      <w:bookmarkStart w:id="19" w:name="_Toc388363290"/>
      <w:bookmarkStart w:id="20" w:name="_Toc391889684"/>
      <w:bookmarkStart w:id="21" w:name="_Toc391901273"/>
      <w:bookmarkStart w:id="22" w:name="_Toc391901275"/>
      <w:r>
        <w:rPr>
          <w:rStyle w:val="CharSectno"/>
        </w:rPr>
        <w:t>10A</w:t>
      </w:r>
      <w:r>
        <w:t>.</w:t>
      </w:r>
      <w:r>
        <w:tab/>
        <w:t>Tribunal to have regard to government financial matters</w:t>
      </w:r>
      <w:bookmarkEnd w:id="18"/>
      <w:bookmarkEnd w:id="19"/>
      <w:bookmarkEnd w:id="20"/>
      <w:bookmarkEnd w:id="21"/>
    </w:p>
    <w:p>
      <w:pPr>
        <w:pStyle w:val="Subsection"/>
        <w:keepNext/>
      </w:pPr>
      <w:r>
        <w:tab/>
        <w:t>(1)</w:t>
      </w:r>
      <w:r>
        <w:tab/>
        <w:t xml:space="preserve">In this section — </w:t>
      </w:r>
    </w:p>
    <w:p>
      <w:pPr>
        <w:pStyle w:val="Defstart"/>
      </w:pPr>
      <w:r>
        <w:tab/>
      </w:r>
      <w:r>
        <w:rPr>
          <w:b/>
          <w:i/>
        </w:rPr>
        <w:t>Government Financial Projections Statement</w:t>
      </w:r>
      <w:r>
        <w:t xml:space="preserve"> means whichever is the most recent of the following — </w:t>
      </w:r>
    </w:p>
    <w:p>
      <w:pPr>
        <w:pStyle w:val="Defpara"/>
      </w:pPr>
      <w:r>
        <w:tab/>
        <w:t>(a)</w:t>
      </w:r>
      <w:r>
        <w:tab/>
        <w:t xml:space="preserve">the most recent Government Financial Projections Statement that is — </w:t>
      </w:r>
    </w:p>
    <w:p>
      <w:pPr>
        <w:pStyle w:val="Indenti"/>
      </w:pPr>
      <w:r>
        <w:tab/>
        <w:t>(i)</w:t>
      </w:r>
      <w:r>
        <w:tab/>
        <w:t xml:space="preserve">released under the </w:t>
      </w:r>
      <w:r>
        <w:rPr>
          <w:i/>
        </w:rPr>
        <w:t>Government Financial Responsibility Act 2000</w:t>
      </w:r>
      <w:r>
        <w:t xml:space="preserve"> section 12(1); and</w:t>
      </w:r>
    </w:p>
    <w:p>
      <w:pPr>
        <w:pStyle w:val="Indenti"/>
      </w:pPr>
      <w:r>
        <w:tab/>
        <w:t>(ii)</w:t>
      </w:r>
      <w:r>
        <w:tab/>
        <w:t>made publicly available in the budget papers tabled in the Legislative Assembly under the title “Economic and Fiscal Outlook” or, if the regulations prescribe another part of the budget papers, that other part;</w:t>
      </w:r>
    </w:p>
    <w:p>
      <w:pPr>
        <w:pStyle w:val="Defpara"/>
      </w:pPr>
      <w:r>
        <w:tab/>
        <w:t>(b)</w:t>
      </w:r>
      <w:r>
        <w:tab/>
        <w:t xml:space="preserve">the most recent Government Mid-year Financial Projections Statement that is — </w:t>
      </w:r>
    </w:p>
    <w:p>
      <w:pPr>
        <w:pStyle w:val="Indenti"/>
      </w:pPr>
      <w:r>
        <w:tab/>
        <w:t>(i)</w:t>
      </w:r>
      <w:r>
        <w:tab/>
        <w:t xml:space="preserve">released under the </w:t>
      </w:r>
      <w:r>
        <w:rPr>
          <w:i/>
        </w:rPr>
        <w:t>Government Financial Responsibility Act 2000</w:t>
      </w:r>
      <w:r>
        <w:t xml:space="preserve"> section 13(1); and</w:t>
      </w:r>
    </w:p>
    <w:p>
      <w:pPr>
        <w:pStyle w:val="Indenti"/>
      </w:pPr>
      <w:r>
        <w:tab/>
        <w:t>(ii)</w:t>
      </w:r>
      <w:r>
        <w:tab/>
        <w:t>made publicly available under section 9 of that Act;</w:t>
      </w:r>
    </w:p>
    <w:p>
      <w:pPr>
        <w:pStyle w:val="Defstart"/>
      </w:pPr>
      <w:r>
        <w:tab/>
      </w:r>
      <w:r>
        <w:rPr>
          <w:rStyle w:val="CharDefText"/>
        </w:rPr>
        <w:t xml:space="preserve">Public Sector Wages Policy Statement </w:t>
      </w:r>
      <w:r>
        <w:t xml:space="preserve">means — </w:t>
      </w:r>
    </w:p>
    <w:p>
      <w:pPr>
        <w:pStyle w:val="Defpara"/>
      </w:pPr>
      <w:r>
        <w:tab/>
        <w:t>(a)</w:t>
      </w:r>
      <w:r>
        <w:tab/>
        <w:t>the Public Sector Wages Policy Statement 2014 issued by the State government that applies to industrial agreements expiring after 1 November 2013; or</w:t>
      </w:r>
    </w:p>
    <w:p>
      <w:pPr>
        <w:pStyle w:val="Defpara"/>
      </w:pPr>
      <w:r>
        <w:tab/>
        <w:t>(b)</w:t>
      </w:r>
      <w:r>
        <w:tab/>
        <w:t>if any Public Sector Wages Policy Statement is issued in substitution for that statement, the later statement.</w:t>
      </w:r>
    </w:p>
    <w:p>
      <w:pPr>
        <w:pStyle w:val="Subsection"/>
      </w:pPr>
      <w:r>
        <w:tab/>
        <w:t>(2)</w:t>
      </w:r>
      <w:r>
        <w:tab/>
        <w:t xml:space="preserve">In making a determination under section 6(1)(a), (ab), (d) or (e) the Tribunal must take into consideration the following — </w:t>
      </w:r>
    </w:p>
    <w:p>
      <w:pPr>
        <w:pStyle w:val="Indenta"/>
      </w:pPr>
      <w:r>
        <w:tab/>
        <w:t>(a)</w:t>
      </w:r>
      <w:r>
        <w:tab/>
        <w:t>any Public Sector Wages Policy Statement, irrespective of whether or not the statement applies to a person or office in respect of whom or which the determination is made;</w:t>
      </w:r>
    </w:p>
    <w:p>
      <w:pPr>
        <w:pStyle w:val="Indenta"/>
      </w:pPr>
      <w:r>
        <w:tab/>
        <w:t>(b)</w:t>
      </w:r>
      <w:r>
        <w:tab/>
        <w:t xml:space="preserve">the financial position and fiscal strategy of the State as set out in the following — </w:t>
      </w:r>
    </w:p>
    <w:p>
      <w:pPr>
        <w:pStyle w:val="Indenti"/>
      </w:pPr>
      <w:r>
        <w:tab/>
        <w:t>(i)</w:t>
      </w:r>
      <w:r>
        <w:tab/>
        <w:t xml:space="preserve">the most recent Government Financial Strategy Statement released under the </w:t>
      </w:r>
      <w:r>
        <w:rPr>
          <w:i/>
        </w:rPr>
        <w:t>Government Financial Responsibility Act 2000</w:t>
      </w:r>
      <w:r>
        <w:t xml:space="preserve"> section 11(1) and made publicly available under section 9 of that Act;</w:t>
      </w:r>
    </w:p>
    <w:p>
      <w:pPr>
        <w:pStyle w:val="Indenti"/>
      </w:pPr>
      <w:r>
        <w:tab/>
        <w:t>(ii)</w:t>
      </w:r>
      <w:r>
        <w:tab/>
        <w:t>the Government Financial Projections Statement;</w:t>
      </w:r>
    </w:p>
    <w:p>
      <w:pPr>
        <w:pStyle w:val="Indenti"/>
      </w:pPr>
      <w:r>
        <w:tab/>
        <w:t>(iii)</w:t>
      </w:r>
      <w:r>
        <w:tab/>
        <w:t>any submissions made to the Tribunal on behalf of the State government.</w:t>
      </w:r>
    </w:p>
    <w:p>
      <w:pPr>
        <w:pStyle w:val="Footnotesection"/>
        <w:spacing w:before="100"/>
        <w:ind w:left="890" w:hanging="890"/>
      </w:pPr>
      <w:r>
        <w:tab/>
        <w:t>[Section 10A inserted by No. 8 of 2014 s. 19.]</w:t>
      </w:r>
    </w:p>
    <w:p>
      <w:pPr>
        <w:pStyle w:val="Heading5"/>
        <w:rPr>
          <w:snapToGrid w:val="0"/>
        </w:rPr>
      </w:pPr>
      <w:r>
        <w:rPr>
          <w:rStyle w:val="CharSectno"/>
        </w:rPr>
        <w:t>11</w:t>
      </w:r>
      <w:r>
        <w:rPr>
          <w:snapToGrid w:val="0"/>
        </w:rPr>
        <w:t>.</w:t>
      </w:r>
      <w:r>
        <w:rPr>
          <w:snapToGrid w:val="0"/>
        </w:rPr>
        <w:tab/>
        <w:t>Fees and allowances</w:t>
      </w:r>
      <w:bookmarkEnd w:id="22"/>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23" w:name="_Toc391901276"/>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General</w:t>
      </w:r>
      <w:bookmarkEnd w:id="23"/>
      <w:r>
        <w:rPr>
          <w:rStyle w:val="CharPartText"/>
        </w:rPr>
        <w:t xml:space="preserve"> </w:t>
      </w:r>
    </w:p>
    <w:p>
      <w:pPr>
        <w:pStyle w:val="Footnoteheading"/>
        <w:ind w:left="890"/>
        <w:rPr>
          <w:snapToGrid w:val="0"/>
        </w:rPr>
      </w:pPr>
      <w:r>
        <w:rPr>
          <w:snapToGrid w:val="0"/>
        </w:rPr>
        <w:tab/>
        <w:t xml:space="preserve">[Heading inserted by No. 34 of 1980 s. 7.] </w:t>
      </w:r>
    </w:p>
    <w:p>
      <w:pPr>
        <w:pStyle w:val="Heading5"/>
        <w:rPr>
          <w:snapToGrid w:val="0"/>
        </w:rPr>
      </w:pPr>
      <w:bookmarkStart w:id="24" w:name="_Toc391901277"/>
      <w:r>
        <w:rPr>
          <w:rStyle w:val="CharSectno"/>
        </w:rPr>
        <w:t>11A</w:t>
      </w:r>
      <w:r>
        <w:rPr>
          <w:snapToGrid w:val="0"/>
        </w:rPr>
        <w:t>.</w:t>
      </w:r>
      <w:r>
        <w:rPr>
          <w:snapToGrid w:val="0"/>
        </w:rPr>
        <w:tab/>
        <w:t>Arrangements for payment of travelling expenses by Treasurer</w:t>
      </w:r>
      <w:bookmarkEnd w:id="24"/>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by No. 34 of 1980 s. 7; amended by No. 6 of 1993 s. 11; No. 49 of 1996 s. 64; No. 36 of 2000 s. 26; No. 77 of 2006 s. 4.] </w:t>
      </w:r>
    </w:p>
    <w:p>
      <w:pPr>
        <w:pStyle w:val="Heading5"/>
        <w:rPr>
          <w:snapToGrid w:val="0"/>
        </w:rPr>
      </w:pPr>
      <w:bookmarkStart w:id="25" w:name="_Toc391901278"/>
      <w:r>
        <w:rPr>
          <w:rStyle w:val="CharSectno"/>
        </w:rPr>
        <w:t>12</w:t>
      </w:r>
      <w:r>
        <w:rPr>
          <w:snapToGrid w:val="0"/>
        </w:rPr>
        <w:t>.</w:t>
      </w:r>
      <w:r>
        <w:rPr>
          <w:snapToGrid w:val="0"/>
        </w:rPr>
        <w:tab/>
        <w:t>Regulations</w:t>
      </w:r>
      <w:bookmarkEnd w:id="25"/>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by No. 37 of 2000 s. 22.]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6" w:name="_Toc391901279"/>
      <w:r>
        <w:rPr>
          <w:rStyle w:val="CharSchNo"/>
        </w:rPr>
        <w:t>Schedule 1</w:t>
      </w:r>
      <w:r>
        <w:t> — </w:t>
      </w:r>
      <w:r>
        <w:rPr>
          <w:rStyle w:val="CharSchText"/>
        </w:rPr>
        <w:t>Offences</w:t>
      </w:r>
      <w:bookmarkEnd w:id="26"/>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by No. 45 of 1995 s. 5.]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7" w:name="_Toc391901280"/>
      <w:r>
        <w:t>Notes</w:t>
      </w:r>
      <w:bookmarkEnd w:id="27"/>
    </w:p>
    <w:p>
      <w:pPr>
        <w:pStyle w:val="nSubsection"/>
        <w:rPr>
          <w:snapToGrid w:val="0"/>
        </w:rPr>
      </w:pPr>
      <w:r>
        <w:rPr>
          <w:snapToGrid w:val="0"/>
          <w:vertAlign w:val="superscript"/>
        </w:rPr>
        <w:t>1</w:t>
      </w:r>
      <w:r>
        <w:rPr>
          <w:snapToGrid w:val="0"/>
        </w:rPr>
        <w:tab/>
        <w:t xml:space="preserve">This is a compilation of the </w:t>
      </w:r>
      <w:r>
        <w:rPr>
          <w:i/>
          <w:noProof/>
          <w:snapToGrid w:val="0"/>
        </w:rPr>
        <w:t>Salaries and Allowances Act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8" w:name="_Toc391901281"/>
      <w:r>
        <w:t>Compilation table</w:t>
      </w:r>
      <w:bookmarkEnd w:id="28"/>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19"/>
        <w:gridCol w:w="1115"/>
        <w:gridCol w:w="19"/>
        <w:gridCol w:w="1115"/>
        <w:gridCol w:w="19"/>
        <w:gridCol w:w="2532"/>
        <w:gridCol w:w="24"/>
      </w:tblGrid>
      <w:tr>
        <w:trPr>
          <w:gridBefore w:val="1"/>
          <w:wBefore w:w="21" w:type="dxa"/>
          <w:cantSplit/>
          <w:tblHeader/>
        </w:trPr>
        <w:tc>
          <w:tcPr>
            <w:tcW w:w="2267" w:type="dxa"/>
            <w:gridSpan w:val="2"/>
            <w:tcBorders>
              <w:top w:val="single" w:sz="8" w:space="0" w:color="auto"/>
              <w:bottom w:val="single" w:sz="8" w:space="0" w:color="auto"/>
            </w:tcBorders>
            <w:shd w:val="clear" w:color="auto" w:fill="auto"/>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6"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21" w:type="dxa"/>
          <w:cantSplit/>
        </w:trPr>
        <w:tc>
          <w:tcPr>
            <w:tcW w:w="2267" w:type="dxa"/>
            <w:gridSpan w:val="2"/>
            <w:tcBorders>
              <w:top w:val="single" w:sz="8" w:space="0" w:color="auto"/>
            </w:tcBorders>
          </w:tcPr>
          <w:p>
            <w:pPr>
              <w:pStyle w:val="nTable"/>
              <w:spacing w:after="40"/>
              <w:ind w:right="170"/>
              <w:rPr>
                <w:sz w:val="19"/>
                <w:vertAlign w:val="superscript"/>
              </w:rPr>
            </w:pPr>
            <w:r>
              <w:rPr>
                <w:i/>
                <w:sz w:val="19"/>
              </w:rPr>
              <w:t>Salaries and Allowances Tribunal Act 1975</w:t>
            </w:r>
            <w:r>
              <w:rPr>
                <w:sz w:val="19"/>
                <w:vertAlign w:val="superscript"/>
              </w:rPr>
              <w:t> 5</w:t>
            </w:r>
          </w:p>
        </w:tc>
        <w:tc>
          <w:tcPr>
            <w:tcW w:w="1134" w:type="dxa"/>
            <w:gridSpan w:val="2"/>
            <w:tcBorders>
              <w:top w:val="single" w:sz="8" w:space="0" w:color="auto"/>
            </w:tcBorders>
          </w:tcPr>
          <w:p>
            <w:pPr>
              <w:pStyle w:val="nTable"/>
              <w:spacing w:after="40"/>
              <w:rPr>
                <w:sz w:val="19"/>
              </w:rPr>
            </w:pPr>
            <w:r>
              <w:rPr>
                <w:sz w:val="19"/>
              </w:rPr>
              <w:t>27 of 1975</w:t>
            </w:r>
          </w:p>
        </w:tc>
        <w:tc>
          <w:tcPr>
            <w:tcW w:w="1134" w:type="dxa"/>
            <w:gridSpan w:val="2"/>
            <w:tcBorders>
              <w:top w:val="single" w:sz="8" w:space="0" w:color="auto"/>
            </w:tcBorders>
          </w:tcPr>
          <w:p>
            <w:pPr>
              <w:pStyle w:val="nTable"/>
              <w:spacing w:after="40"/>
              <w:rPr>
                <w:sz w:val="19"/>
              </w:rPr>
            </w:pPr>
            <w:r>
              <w:rPr>
                <w:sz w:val="19"/>
              </w:rPr>
              <w:t>16 May 1975</w:t>
            </w:r>
          </w:p>
        </w:tc>
        <w:tc>
          <w:tcPr>
            <w:tcW w:w="2556" w:type="dxa"/>
            <w:gridSpan w:val="2"/>
            <w:tcBorders>
              <w:top w:val="single" w:sz="8" w:space="0" w:color="auto"/>
            </w:tcBorders>
          </w:tcPr>
          <w:p>
            <w:pPr>
              <w:pStyle w:val="nTable"/>
              <w:spacing w:after="40"/>
              <w:rPr>
                <w:sz w:val="19"/>
              </w:rPr>
            </w:pPr>
            <w:r>
              <w:rPr>
                <w:sz w:val="19"/>
              </w:rPr>
              <w:t xml:space="preserve">Act other than s. 13: 16 May 1975 (see s. 2(1)); </w:t>
            </w:r>
            <w:r>
              <w:rPr>
                <w:sz w:val="19"/>
              </w:rPr>
              <w:br/>
              <w:t xml:space="preserve">s. 13: 8 Aug 1975 (see s. 2(2) and </w:t>
            </w:r>
            <w:r>
              <w:rPr>
                <w:i/>
                <w:sz w:val="19"/>
              </w:rPr>
              <w:t>Gazette</w:t>
            </w:r>
            <w:r>
              <w:rPr>
                <w:sz w:val="19"/>
              </w:rPr>
              <w:t xml:space="preserve"> 12 Aug 1975 p. 2951)</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1975</w:t>
            </w:r>
          </w:p>
        </w:tc>
        <w:tc>
          <w:tcPr>
            <w:tcW w:w="1134" w:type="dxa"/>
            <w:gridSpan w:val="2"/>
          </w:tcPr>
          <w:p>
            <w:pPr>
              <w:pStyle w:val="nTable"/>
              <w:spacing w:after="40"/>
              <w:rPr>
                <w:sz w:val="19"/>
              </w:rPr>
            </w:pPr>
            <w:r>
              <w:rPr>
                <w:sz w:val="19"/>
              </w:rPr>
              <w:t>89 of 1975</w:t>
            </w:r>
          </w:p>
        </w:tc>
        <w:tc>
          <w:tcPr>
            <w:tcW w:w="1134" w:type="dxa"/>
            <w:gridSpan w:val="2"/>
          </w:tcPr>
          <w:p>
            <w:pPr>
              <w:pStyle w:val="nTable"/>
              <w:spacing w:after="40"/>
              <w:rPr>
                <w:sz w:val="19"/>
              </w:rPr>
            </w:pPr>
            <w:r>
              <w:rPr>
                <w:sz w:val="19"/>
              </w:rPr>
              <w:t>20 Nov 1975</w:t>
            </w:r>
          </w:p>
        </w:tc>
        <w:tc>
          <w:tcPr>
            <w:tcW w:w="2556" w:type="dxa"/>
            <w:gridSpan w:val="2"/>
          </w:tcPr>
          <w:p>
            <w:pPr>
              <w:pStyle w:val="nTable"/>
              <w:spacing w:after="40"/>
              <w:rPr>
                <w:sz w:val="19"/>
              </w:rPr>
            </w:pPr>
            <w:r>
              <w:rPr>
                <w:sz w:val="19"/>
              </w:rPr>
              <w:t>19 Sep 1975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1978</w:t>
            </w:r>
          </w:p>
        </w:tc>
        <w:tc>
          <w:tcPr>
            <w:tcW w:w="1134" w:type="dxa"/>
            <w:gridSpan w:val="2"/>
          </w:tcPr>
          <w:p>
            <w:pPr>
              <w:pStyle w:val="nTable"/>
              <w:spacing w:after="40"/>
              <w:rPr>
                <w:sz w:val="19"/>
              </w:rPr>
            </w:pPr>
            <w:r>
              <w:rPr>
                <w:sz w:val="19"/>
              </w:rPr>
              <w:t>63 of 1978</w:t>
            </w:r>
          </w:p>
        </w:tc>
        <w:tc>
          <w:tcPr>
            <w:tcW w:w="1134" w:type="dxa"/>
            <w:gridSpan w:val="2"/>
          </w:tcPr>
          <w:p>
            <w:pPr>
              <w:pStyle w:val="nTable"/>
              <w:spacing w:after="40"/>
              <w:rPr>
                <w:sz w:val="19"/>
              </w:rPr>
            </w:pPr>
            <w:r>
              <w:rPr>
                <w:sz w:val="19"/>
              </w:rPr>
              <w:t>22 Sep 1978</w:t>
            </w:r>
          </w:p>
        </w:tc>
        <w:tc>
          <w:tcPr>
            <w:tcW w:w="2556" w:type="dxa"/>
            <w:gridSpan w:val="2"/>
          </w:tcPr>
          <w:p>
            <w:pPr>
              <w:pStyle w:val="nTable"/>
              <w:spacing w:after="40"/>
              <w:rPr>
                <w:sz w:val="19"/>
              </w:rPr>
            </w:pPr>
            <w:r>
              <w:rPr>
                <w:sz w:val="19"/>
              </w:rPr>
              <w:t>22 Sep 1978</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1979</w:t>
            </w:r>
          </w:p>
        </w:tc>
        <w:tc>
          <w:tcPr>
            <w:tcW w:w="1134" w:type="dxa"/>
            <w:gridSpan w:val="2"/>
          </w:tcPr>
          <w:p>
            <w:pPr>
              <w:pStyle w:val="nTable"/>
              <w:spacing w:after="40"/>
              <w:rPr>
                <w:sz w:val="19"/>
              </w:rPr>
            </w:pPr>
            <w:r>
              <w:rPr>
                <w:sz w:val="19"/>
              </w:rPr>
              <w:t>33 of 1979</w:t>
            </w:r>
          </w:p>
        </w:tc>
        <w:tc>
          <w:tcPr>
            <w:tcW w:w="1134" w:type="dxa"/>
            <w:gridSpan w:val="2"/>
          </w:tcPr>
          <w:p>
            <w:pPr>
              <w:pStyle w:val="nTable"/>
              <w:spacing w:after="40"/>
              <w:rPr>
                <w:sz w:val="19"/>
              </w:rPr>
            </w:pPr>
            <w:r>
              <w:rPr>
                <w:sz w:val="19"/>
              </w:rPr>
              <w:t>11 Oct 1979</w:t>
            </w:r>
          </w:p>
        </w:tc>
        <w:tc>
          <w:tcPr>
            <w:tcW w:w="2556" w:type="dxa"/>
            <w:gridSpan w:val="2"/>
          </w:tcPr>
          <w:p>
            <w:pPr>
              <w:pStyle w:val="nTable"/>
              <w:spacing w:after="40"/>
              <w:rPr>
                <w:sz w:val="19"/>
              </w:rPr>
            </w:pPr>
            <w:r>
              <w:rPr>
                <w:sz w:val="19"/>
              </w:rPr>
              <w:t>11 Oct 1979</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Amendment Act 1980</w:t>
            </w:r>
          </w:p>
        </w:tc>
        <w:tc>
          <w:tcPr>
            <w:tcW w:w="1134" w:type="dxa"/>
            <w:gridSpan w:val="2"/>
          </w:tcPr>
          <w:p>
            <w:pPr>
              <w:pStyle w:val="nTable"/>
              <w:spacing w:after="40"/>
              <w:rPr>
                <w:sz w:val="19"/>
              </w:rPr>
            </w:pPr>
            <w:r>
              <w:rPr>
                <w:sz w:val="19"/>
              </w:rPr>
              <w:t>34 of 1980</w:t>
            </w:r>
          </w:p>
        </w:tc>
        <w:tc>
          <w:tcPr>
            <w:tcW w:w="1134" w:type="dxa"/>
            <w:gridSpan w:val="2"/>
          </w:tcPr>
          <w:p>
            <w:pPr>
              <w:pStyle w:val="nTable"/>
              <w:spacing w:after="40"/>
              <w:rPr>
                <w:sz w:val="19"/>
              </w:rPr>
            </w:pPr>
            <w:r>
              <w:rPr>
                <w:sz w:val="19"/>
              </w:rPr>
              <w:t>5 Nov 1980</w:t>
            </w:r>
          </w:p>
        </w:tc>
        <w:tc>
          <w:tcPr>
            <w:tcW w:w="2556" w:type="dxa"/>
            <w:gridSpan w:val="2"/>
          </w:tcPr>
          <w:p>
            <w:pPr>
              <w:pStyle w:val="nTable"/>
              <w:spacing w:after="40"/>
              <w:rPr>
                <w:sz w:val="19"/>
              </w:rPr>
            </w:pPr>
            <w:r>
              <w:rPr>
                <w:sz w:val="19"/>
              </w:rPr>
              <w:t>5 Nov 1980</w:t>
            </w:r>
          </w:p>
        </w:tc>
      </w:tr>
      <w:tr>
        <w:trPr>
          <w:gridBefore w:val="1"/>
          <w:wBefore w:w="21" w:type="dxa"/>
          <w:cantSplit/>
        </w:trPr>
        <w:tc>
          <w:tcPr>
            <w:tcW w:w="2267" w:type="dxa"/>
            <w:gridSpan w:val="2"/>
          </w:tcPr>
          <w:p>
            <w:pPr>
              <w:pStyle w:val="nTable"/>
              <w:spacing w:after="40"/>
              <w:ind w:right="170"/>
              <w:rPr>
                <w:sz w:val="19"/>
              </w:rPr>
            </w:pPr>
            <w:r>
              <w:rPr>
                <w:i/>
                <w:sz w:val="19"/>
              </w:rPr>
              <w:t>Acts Amendment and Repeal (Disqualification for Parliament) Act 1984</w:t>
            </w:r>
            <w:r>
              <w:rPr>
                <w:sz w:val="19"/>
              </w:rPr>
              <w:t xml:space="preserve"> Pt. X</w:t>
            </w:r>
          </w:p>
        </w:tc>
        <w:tc>
          <w:tcPr>
            <w:tcW w:w="1134" w:type="dxa"/>
            <w:gridSpan w:val="2"/>
          </w:tcPr>
          <w:p>
            <w:pPr>
              <w:pStyle w:val="nTable"/>
              <w:spacing w:after="40"/>
              <w:rPr>
                <w:sz w:val="19"/>
              </w:rPr>
            </w:pPr>
            <w:r>
              <w:rPr>
                <w:sz w:val="19"/>
              </w:rPr>
              <w:t>78 of 1984</w:t>
            </w:r>
          </w:p>
        </w:tc>
        <w:tc>
          <w:tcPr>
            <w:tcW w:w="1134" w:type="dxa"/>
            <w:gridSpan w:val="2"/>
          </w:tcPr>
          <w:p>
            <w:pPr>
              <w:pStyle w:val="nTable"/>
              <w:spacing w:after="40"/>
              <w:rPr>
                <w:sz w:val="19"/>
              </w:rPr>
            </w:pPr>
            <w:r>
              <w:rPr>
                <w:sz w:val="19"/>
              </w:rPr>
              <w:t>14 Nov 1984</w:t>
            </w:r>
          </w:p>
        </w:tc>
        <w:tc>
          <w:tcPr>
            <w:tcW w:w="255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1986</w:t>
            </w:r>
          </w:p>
        </w:tc>
        <w:tc>
          <w:tcPr>
            <w:tcW w:w="1134" w:type="dxa"/>
            <w:gridSpan w:val="2"/>
          </w:tcPr>
          <w:p>
            <w:pPr>
              <w:pStyle w:val="nTable"/>
              <w:keepNext/>
              <w:spacing w:after="40"/>
              <w:rPr>
                <w:sz w:val="19"/>
              </w:rPr>
            </w:pPr>
            <w:r>
              <w:rPr>
                <w:sz w:val="19"/>
              </w:rPr>
              <w:t>34 of 1986</w:t>
            </w:r>
          </w:p>
        </w:tc>
        <w:tc>
          <w:tcPr>
            <w:tcW w:w="1134" w:type="dxa"/>
            <w:gridSpan w:val="2"/>
          </w:tcPr>
          <w:p>
            <w:pPr>
              <w:pStyle w:val="nTable"/>
              <w:keepNext/>
              <w:spacing w:after="40"/>
              <w:rPr>
                <w:sz w:val="19"/>
              </w:rPr>
            </w:pPr>
            <w:r>
              <w:rPr>
                <w:sz w:val="19"/>
              </w:rPr>
              <w:t>1 Aug 1986</w:t>
            </w:r>
          </w:p>
        </w:tc>
        <w:tc>
          <w:tcPr>
            <w:tcW w:w="2556" w:type="dxa"/>
            <w:gridSpan w:val="2"/>
          </w:tcPr>
          <w:p>
            <w:pPr>
              <w:pStyle w:val="nTable"/>
              <w:keepNext/>
              <w:spacing w:after="40"/>
              <w:rPr>
                <w:sz w:val="19"/>
              </w:rPr>
            </w:pPr>
            <w:r>
              <w:rPr>
                <w:sz w:val="19"/>
              </w:rPr>
              <w:t>1 Aug 1986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1986</w:t>
            </w:r>
            <w:r>
              <w:rPr>
                <w:sz w:val="19"/>
              </w:rPr>
              <w:t xml:space="preserve"> Pt. II</w:t>
            </w:r>
          </w:p>
        </w:tc>
        <w:tc>
          <w:tcPr>
            <w:tcW w:w="1134" w:type="dxa"/>
            <w:gridSpan w:val="2"/>
          </w:tcPr>
          <w:p>
            <w:pPr>
              <w:pStyle w:val="nTable"/>
              <w:keepNext/>
              <w:spacing w:after="40"/>
              <w:rPr>
                <w:sz w:val="19"/>
              </w:rPr>
            </w:pPr>
            <w:r>
              <w:rPr>
                <w:sz w:val="19"/>
              </w:rPr>
              <w:t>58 of 1986</w:t>
            </w:r>
          </w:p>
        </w:tc>
        <w:tc>
          <w:tcPr>
            <w:tcW w:w="1134" w:type="dxa"/>
            <w:gridSpan w:val="2"/>
          </w:tcPr>
          <w:p>
            <w:pPr>
              <w:pStyle w:val="nTable"/>
              <w:spacing w:after="40"/>
              <w:rPr>
                <w:sz w:val="19"/>
              </w:rPr>
            </w:pPr>
            <w:r>
              <w:rPr>
                <w:sz w:val="19"/>
              </w:rPr>
              <w:t>26 Nov 1986</w:t>
            </w:r>
          </w:p>
        </w:tc>
        <w:tc>
          <w:tcPr>
            <w:tcW w:w="2556" w:type="dxa"/>
            <w:gridSpan w:val="2"/>
          </w:tcPr>
          <w:p>
            <w:pPr>
              <w:pStyle w:val="nTable"/>
              <w:spacing w:after="40"/>
              <w:rPr>
                <w:sz w:val="19"/>
              </w:rPr>
            </w:pPr>
            <w:r>
              <w:rPr>
                <w:sz w:val="19"/>
              </w:rPr>
              <w:t>24 Dec 1986</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1987</w:t>
            </w:r>
          </w:p>
        </w:tc>
        <w:tc>
          <w:tcPr>
            <w:tcW w:w="1134" w:type="dxa"/>
            <w:gridSpan w:val="2"/>
          </w:tcPr>
          <w:p>
            <w:pPr>
              <w:pStyle w:val="nTable"/>
              <w:spacing w:after="40"/>
              <w:rPr>
                <w:sz w:val="19"/>
              </w:rPr>
            </w:pPr>
            <w:r>
              <w:rPr>
                <w:sz w:val="19"/>
              </w:rPr>
              <w:t>13 of 1987</w:t>
            </w:r>
          </w:p>
        </w:tc>
        <w:tc>
          <w:tcPr>
            <w:tcW w:w="1134" w:type="dxa"/>
            <w:gridSpan w:val="2"/>
          </w:tcPr>
          <w:p>
            <w:pPr>
              <w:pStyle w:val="nTable"/>
              <w:spacing w:after="40"/>
              <w:rPr>
                <w:sz w:val="19"/>
              </w:rPr>
            </w:pPr>
            <w:r>
              <w:rPr>
                <w:sz w:val="19"/>
              </w:rPr>
              <w:t>25 Jun 1987</w:t>
            </w:r>
          </w:p>
        </w:tc>
        <w:tc>
          <w:tcPr>
            <w:tcW w:w="2556" w:type="dxa"/>
            <w:gridSpan w:val="2"/>
          </w:tcPr>
          <w:p>
            <w:pPr>
              <w:pStyle w:val="nTable"/>
              <w:spacing w:after="40"/>
              <w:rPr>
                <w:sz w:val="19"/>
              </w:rPr>
            </w:pPr>
            <w:r>
              <w:rPr>
                <w:sz w:val="19"/>
              </w:rPr>
              <w:t>25 Jun 1987 (see s. 2)</w:t>
            </w:r>
          </w:p>
        </w:tc>
      </w:tr>
      <w:tr>
        <w:trPr>
          <w:gridBefore w:val="1"/>
          <w:wBefore w:w="21" w:type="dxa"/>
          <w:cantSplit/>
        </w:trPr>
        <w:tc>
          <w:tcPr>
            <w:tcW w:w="2267" w:type="dxa"/>
            <w:gridSpan w:val="2"/>
          </w:tcPr>
          <w:p>
            <w:pPr>
              <w:pStyle w:val="nTable"/>
              <w:spacing w:after="40"/>
              <w:ind w:right="170"/>
              <w:rPr>
                <w:sz w:val="19"/>
              </w:rPr>
            </w:pPr>
            <w:r>
              <w:rPr>
                <w:i/>
                <w:sz w:val="19"/>
              </w:rPr>
              <w:t>Acts Amendment (Electoral Reform) Act 1987</w:t>
            </w:r>
            <w:r>
              <w:rPr>
                <w:sz w:val="19"/>
              </w:rPr>
              <w:t xml:space="preserve"> Pt. VII</w:t>
            </w:r>
          </w:p>
        </w:tc>
        <w:tc>
          <w:tcPr>
            <w:tcW w:w="1134" w:type="dxa"/>
            <w:gridSpan w:val="2"/>
          </w:tcPr>
          <w:p>
            <w:pPr>
              <w:pStyle w:val="nTable"/>
              <w:spacing w:after="40"/>
              <w:rPr>
                <w:sz w:val="19"/>
              </w:rPr>
            </w:pPr>
            <w:r>
              <w:rPr>
                <w:sz w:val="19"/>
              </w:rPr>
              <w:t>40 of 1987</w:t>
            </w:r>
          </w:p>
        </w:tc>
        <w:tc>
          <w:tcPr>
            <w:tcW w:w="1134" w:type="dxa"/>
            <w:gridSpan w:val="2"/>
          </w:tcPr>
          <w:p>
            <w:pPr>
              <w:pStyle w:val="nTable"/>
              <w:spacing w:after="40"/>
              <w:rPr>
                <w:sz w:val="19"/>
              </w:rPr>
            </w:pPr>
            <w:r>
              <w:rPr>
                <w:sz w:val="19"/>
              </w:rPr>
              <w:t>12 Jul 1987</w:t>
            </w:r>
          </w:p>
        </w:tc>
        <w:tc>
          <w:tcPr>
            <w:tcW w:w="255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1987</w:t>
            </w:r>
            <w:r>
              <w:rPr>
                <w:sz w:val="19"/>
              </w:rPr>
              <w:t xml:space="preserve"> Pt. II</w:t>
            </w:r>
          </w:p>
        </w:tc>
        <w:tc>
          <w:tcPr>
            <w:tcW w:w="1134" w:type="dxa"/>
            <w:gridSpan w:val="2"/>
          </w:tcPr>
          <w:p>
            <w:pPr>
              <w:pStyle w:val="nTable"/>
              <w:spacing w:after="40"/>
              <w:rPr>
                <w:sz w:val="19"/>
              </w:rPr>
            </w:pPr>
            <w:r>
              <w:rPr>
                <w:sz w:val="19"/>
              </w:rPr>
              <w:t>103 of 1987</w:t>
            </w:r>
          </w:p>
        </w:tc>
        <w:tc>
          <w:tcPr>
            <w:tcW w:w="1134" w:type="dxa"/>
            <w:gridSpan w:val="2"/>
          </w:tcPr>
          <w:p>
            <w:pPr>
              <w:pStyle w:val="nTable"/>
              <w:spacing w:after="40"/>
              <w:rPr>
                <w:sz w:val="19"/>
              </w:rPr>
            </w:pPr>
            <w:r>
              <w:rPr>
                <w:sz w:val="19"/>
              </w:rPr>
              <w:t>16 Dec 1987</w:t>
            </w:r>
          </w:p>
        </w:tc>
        <w:tc>
          <w:tcPr>
            <w:tcW w:w="2556" w:type="dxa"/>
            <w:gridSpan w:val="2"/>
          </w:tcPr>
          <w:p>
            <w:pPr>
              <w:pStyle w:val="nTable"/>
              <w:spacing w:after="40"/>
              <w:rPr>
                <w:sz w:val="19"/>
              </w:rPr>
            </w:pPr>
            <w:r>
              <w:rPr>
                <w:sz w:val="19"/>
              </w:rPr>
              <w:t>16 Dec 1987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and Transitional Arrangements Act 1988</w:t>
            </w:r>
            <w:r>
              <w:rPr>
                <w:sz w:val="19"/>
              </w:rPr>
              <w:t xml:space="preserve"> Pt. 2</w:t>
            </w:r>
          </w:p>
        </w:tc>
        <w:tc>
          <w:tcPr>
            <w:tcW w:w="1134" w:type="dxa"/>
            <w:gridSpan w:val="2"/>
          </w:tcPr>
          <w:p>
            <w:pPr>
              <w:pStyle w:val="nTable"/>
              <w:spacing w:after="40"/>
              <w:rPr>
                <w:sz w:val="19"/>
              </w:rPr>
            </w:pPr>
            <w:r>
              <w:rPr>
                <w:sz w:val="19"/>
              </w:rPr>
              <w:t>6 of 1988</w:t>
            </w:r>
          </w:p>
        </w:tc>
        <w:tc>
          <w:tcPr>
            <w:tcW w:w="1134" w:type="dxa"/>
            <w:gridSpan w:val="2"/>
          </w:tcPr>
          <w:p>
            <w:pPr>
              <w:pStyle w:val="nTable"/>
              <w:spacing w:after="40"/>
              <w:rPr>
                <w:sz w:val="19"/>
              </w:rPr>
            </w:pPr>
            <w:r>
              <w:rPr>
                <w:sz w:val="19"/>
              </w:rPr>
              <w:t>30 Jun 1988</w:t>
            </w:r>
          </w:p>
        </w:tc>
        <w:tc>
          <w:tcPr>
            <w:tcW w:w="2556" w:type="dxa"/>
            <w:gridSpan w:val="2"/>
          </w:tcPr>
          <w:p>
            <w:pPr>
              <w:pStyle w:val="nTable"/>
              <w:spacing w:after="40"/>
              <w:rPr>
                <w:sz w:val="19"/>
              </w:rPr>
            </w:pPr>
            <w:r>
              <w:rPr>
                <w:sz w:val="19"/>
              </w:rPr>
              <w:t>30 Jun 1988 (see s. 2(1))</w:t>
            </w:r>
          </w:p>
        </w:tc>
      </w:tr>
      <w:tr>
        <w:trPr>
          <w:gridBefore w:val="1"/>
          <w:wBefore w:w="21" w:type="dxa"/>
          <w:cantSplit/>
        </w:trPr>
        <w:tc>
          <w:tcPr>
            <w:tcW w:w="7091"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16 Nov 1988</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z w:val="19"/>
              </w:rPr>
            </w:pPr>
            <w:r>
              <w:rPr>
                <w:i/>
                <w:sz w:val="19"/>
              </w:rPr>
              <w:t>Acts Amendment (Remuneration of Governor) Act 1989</w:t>
            </w:r>
            <w:r>
              <w:rPr>
                <w:sz w:val="19"/>
              </w:rPr>
              <w:t xml:space="preserve"> Pt. 3</w:t>
            </w:r>
          </w:p>
        </w:tc>
        <w:tc>
          <w:tcPr>
            <w:tcW w:w="1134" w:type="dxa"/>
            <w:gridSpan w:val="2"/>
          </w:tcPr>
          <w:p>
            <w:pPr>
              <w:pStyle w:val="nTable"/>
              <w:spacing w:after="40"/>
              <w:rPr>
                <w:sz w:val="19"/>
              </w:rPr>
            </w:pPr>
            <w:r>
              <w:rPr>
                <w:sz w:val="19"/>
              </w:rPr>
              <w:t>19 of 1989</w:t>
            </w:r>
          </w:p>
        </w:tc>
        <w:tc>
          <w:tcPr>
            <w:tcW w:w="1134" w:type="dxa"/>
            <w:gridSpan w:val="2"/>
          </w:tcPr>
          <w:p>
            <w:pPr>
              <w:pStyle w:val="nTable"/>
              <w:spacing w:after="40"/>
              <w:rPr>
                <w:sz w:val="19"/>
              </w:rPr>
            </w:pPr>
            <w:r>
              <w:rPr>
                <w:sz w:val="19"/>
              </w:rPr>
              <w:t>1 Dec 1989</w:t>
            </w:r>
          </w:p>
        </w:tc>
        <w:tc>
          <w:tcPr>
            <w:tcW w:w="2556" w:type="dxa"/>
            <w:gridSpan w:val="2"/>
          </w:tcPr>
          <w:p>
            <w:pPr>
              <w:pStyle w:val="nTable"/>
              <w:spacing w:after="40"/>
              <w:rPr>
                <w:sz w:val="19"/>
              </w:rPr>
            </w:pPr>
            <w:r>
              <w:rPr>
                <w:sz w:val="19"/>
              </w:rPr>
              <w:t>1 Dec 1989 (see s. 2(1))</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1989</w:t>
            </w:r>
            <w:r>
              <w:rPr>
                <w:sz w:val="19"/>
              </w:rPr>
              <w:t xml:space="preserve"> Pt. 5</w:t>
            </w:r>
          </w:p>
        </w:tc>
        <w:tc>
          <w:tcPr>
            <w:tcW w:w="1134" w:type="dxa"/>
            <w:gridSpan w:val="2"/>
          </w:tcPr>
          <w:p>
            <w:pPr>
              <w:pStyle w:val="nTable"/>
              <w:spacing w:after="40"/>
              <w:rPr>
                <w:sz w:val="19"/>
              </w:rPr>
            </w:pPr>
            <w:r>
              <w:rPr>
                <w:sz w:val="19"/>
              </w:rPr>
              <w:t>31 of 1989</w:t>
            </w:r>
          </w:p>
        </w:tc>
        <w:tc>
          <w:tcPr>
            <w:tcW w:w="1134" w:type="dxa"/>
            <w:gridSpan w:val="2"/>
          </w:tcPr>
          <w:p>
            <w:pPr>
              <w:pStyle w:val="nTable"/>
              <w:spacing w:after="40"/>
              <w:rPr>
                <w:sz w:val="19"/>
              </w:rPr>
            </w:pPr>
            <w:r>
              <w:rPr>
                <w:sz w:val="19"/>
              </w:rPr>
              <w:t>15 Dec 1989</w:t>
            </w:r>
          </w:p>
        </w:tc>
        <w:tc>
          <w:tcPr>
            <w:tcW w:w="2556" w:type="dxa"/>
            <w:gridSpan w:val="2"/>
          </w:tcPr>
          <w:p>
            <w:pPr>
              <w:pStyle w:val="nTable"/>
              <w:spacing w:after="40"/>
              <w:rPr>
                <w:sz w:val="19"/>
              </w:rPr>
            </w:pPr>
            <w:r>
              <w:rPr>
                <w:sz w:val="19"/>
              </w:rPr>
              <w:t>15 Dec 1989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Secretaries) Act 1990</w:t>
            </w:r>
            <w:r>
              <w:rPr>
                <w:sz w:val="19"/>
              </w:rPr>
              <w:t xml:space="preserve"> Pt. 3 </w:t>
            </w:r>
          </w:p>
        </w:tc>
        <w:tc>
          <w:tcPr>
            <w:tcW w:w="1134" w:type="dxa"/>
            <w:gridSpan w:val="2"/>
          </w:tcPr>
          <w:p>
            <w:pPr>
              <w:pStyle w:val="nTable"/>
              <w:keepNext/>
              <w:spacing w:after="40"/>
              <w:rPr>
                <w:sz w:val="19"/>
              </w:rPr>
            </w:pPr>
            <w:r>
              <w:rPr>
                <w:sz w:val="19"/>
              </w:rPr>
              <w:t>38 of 1990</w:t>
            </w:r>
          </w:p>
        </w:tc>
        <w:tc>
          <w:tcPr>
            <w:tcW w:w="1134" w:type="dxa"/>
            <w:gridSpan w:val="2"/>
          </w:tcPr>
          <w:p>
            <w:pPr>
              <w:pStyle w:val="nTable"/>
              <w:keepNext/>
              <w:spacing w:after="40"/>
              <w:rPr>
                <w:sz w:val="19"/>
              </w:rPr>
            </w:pPr>
            <w:r>
              <w:rPr>
                <w:sz w:val="19"/>
              </w:rPr>
              <w:t>8 Nov 1990</w:t>
            </w:r>
          </w:p>
        </w:tc>
        <w:tc>
          <w:tcPr>
            <w:tcW w:w="2556" w:type="dxa"/>
            <w:gridSpan w:val="2"/>
          </w:tcPr>
          <w:p>
            <w:pPr>
              <w:pStyle w:val="nTable"/>
              <w:keepNext/>
              <w:spacing w:after="40"/>
              <w:rPr>
                <w:sz w:val="19"/>
              </w:rPr>
            </w:pPr>
            <w:r>
              <w:rPr>
                <w:sz w:val="19"/>
              </w:rPr>
              <w:t>8 Nov 1990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1991</w:t>
            </w:r>
          </w:p>
        </w:tc>
        <w:tc>
          <w:tcPr>
            <w:tcW w:w="1134" w:type="dxa"/>
            <w:gridSpan w:val="2"/>
          </w:tcPr>
          <w:p>
            <w:pPr>
              <w:pStyle w:val="nTable"/>
              <w:spacing w:after="40"/>
              <w:rPr>
                <w:sz w:val="19"/>
              </w:rPr>
            </w:pPr>
            <w:r>
              <w:rPr>
                <w:sz w:val="19"/>
              </w:rPr>
              <w:t>49 of 1991</w:t>
            </w:r>
          </w:p>
        </w:tc>
        <w:tc>
          <w:tcPr>
            <w:tcW w:w="1134" w:type="dxa"/>
            <w:gridSpan w:val="2"/>
          </w:tcPr>
          <w:p>
            <w:pPr>
              <w:pStyle w:val="nTable"/>
              <w:spacing w:after="40"/>
              <w:rPr>
                <w:sz w:val="19"/>
              </w:rPr>
            </w:pPr>
            <w:r>
              <w:rPr>
                <w:sz w:val="19"/>
              </w:rPr>
              <w:t>17 Dec 1991</w:t>
            </w:r>
          </w:p>
        </w:tc>
        <w:tc>
          <w:tcPr>
            <w:tcW w:w="2556" w:type="dxa"/>
            <w:gridSpan w:val="2"/>
          </w:tcPr>
          <w:p>
            <w:pPr>
              <w:pStyle w:val="nTable"/>
              <w:spacing w:after="40"/>
              <w:rPr>
                <w:sz w:val="19"/>
              </w:rPr>
            </w:pPr>
            <w:r>
              <w:rPr>
                <w:sz w:val="19"/>
              </w:rPr>
              <w:t>17 Dec 1991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1992</w:t>
            </w:r>
          </w:p>
        </w:tc>
        <w:tc>
          <w:tcPr>
            <w:tcW w:w="1134" w:type="dxa"/>
            <w:gridSpan w:val="2"/>
          </w:tcPr>
          <w:p>
            <w:pPr>
              <w:pStyle w:val="nTable"/>
              <w:spacing w:after="40"/>
              <w:rPr>
                <w:sz w:val="19"/>
              </w:rPr>
            </w:pPr>
            <w:r>
              <w:rPr>
                <w:sz w:val="19"/>
              </w:rPr>
              <w:t>68 of 1992</w:t>
            </w:r>
          </w:p>
        </w:tc>
        <w:tc>
          <w:tcPr>
            <w:tcW w:w="1134" w:type="dxa"/>
            <w:gridSpan w:val="2"/>
          </w:tcPr>
          <w:p>
            <w:pPr>
              <w:pStyle w:val="nTable"/>
              <w:spacing w:after="40"/>
              <w:rPr>
                <w:sz w:val="19"/>
              </w:rPr>
            </w:pPr>
            <w:r>
              <w:rPr>
                <w:sz w:val="19"/>
              </w:rPr>
              <w:t>11 Dec 1992</w:t>
            </w:r>
          </w:p>
        </w:tc>
        <w:tc>
          <w:tcPr>
            <w:tcW w:w="2556" w:type="dxa"/>
            <w:gridSpan w:val="2"/>
          </w:tcPr>
          <w:p>
            <w:pPr>
              <w:pStyle w:val="nTable"/>
              <w:spacing w:after="40"/>
              <w:rPr>
                <w:sz w:val="19"/>
              </w:rPr>
            </w:pPr>
            <w:r>
              <w:rPr>
                <w:sz w:val="19"/>
              </w:rPr>
              <w:t>11 Dec 1992 (see s. 2)</w:t>
            </w:r>
          </w:p>
        </w:tc>
      </w:tr>
      <w:tr>
        <w:trPr>
          <w:gridBefore w:val="1"/>
          <w:wBefore w:w="21" w:type="dxa"/>
          <w:cantSplit/>
        </w:trPr>
        <w:tc>
          <w:tcPr>
            <w:tcW w:w="2267" w:type="dxa"/>
            <w:gridSpan w:val="2"/>
          </w:tcPr>
          <w:p>
            <w:pPr>
              <w:pStyle w:val="nTable"/>
              <w:spacing w:after="40"/>
              <w:ind w:right="17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6" w:type="dxa"/>
            <w:gridSpan w:val="2"/>
          </w:tcPr>
          <w:p>
            <w:pPr>
              <w:pStyle w:val="nTable"/>
              <w:spacing w:after="40"/>
              <w:rPr>
                <w:sz w:val="19"/>
              </w:rPr>
            </w:pPr>
            <w:r>
              <w:rPr>
                <w:sz w:val="19"/>
              </w:rPr>
              <w:t>1 Jul 1993 (see s. 2(1))</w:t>
            </w:r>
          </w:p>
        </w:tc>
      </w:tr>
      <w:tr>
        <w:trPr>
          <w:gridBefore w:val="1"/>
          <w:wBefore w:w="21" w:type="dxa"/>
          <w:cantSplit/>
        </w:trPr>
        <w:tc>
          <w:tcPr>
            <w:tcW w:w="2267" w:type="dxa"/>
            <w:gridSpan w:val="2"/>
          </w:tcPr>
          <w:p>
            <w:pPr>
              <w:pStyle w:val="nTable"/>
              <w:spacing w:after="40"/>
              <w:ind w:right="170"/>
              <w:rPr>
                <w:sz w:val="19"/>
              </w:rPr>
            </w:pPr>
            <w:r>
              <w:rPr>
                <w:i/>
                <w:sz w:val="19"/>
              </w:rPr>
              <w:t>Acts Amendment (Official Corruption Commission) Act 1994</w:t>
            </w:r>
            <w:r>
              <w:rPr>
                <w:sz w:val="19"/>
              </w:rPr>
              <w:t xml:space="preserve"> s. 20</w:t>
            </w:r>
          </w:p>
        </w:tc>
        <w:tc>
          <w:tcPr>
            <w:tcW w:w="1134" w:type="dxa"/>
            <w:gridSpan w:val="2"/>
          </w:tcPr>
          <w:p>
            <w:pPr>
              <w:pStyle w:val="nTable"/>
              <w:spacing w:after="40"/>
              <w:rPr>
                <w:sz w:val="19"/>
              </w:rPr>
            </w:pPr>
            <w:r>
              <w:rPr>
                <w:sz w:val="19"/>
              </w:rPr>
              <w:t>14 of 1994</w:t>
            </w:r>
          </w:p>
        </w:tc>
        <w:tc>
          <w:tcPr>
            <w:tcW w:w="1134" w:type="dxa"/>
            <w:gridSpan w:val="2"/>
          </w:tcPr>
          <w:p>
            <w:pPr>
              <w:pStyle w:val="nTable"/>
              <w:spacing w:after="40"/>
              <w:rPr>
                <w:sz w:val="19"/>
              </w:rPr>
            </w:pPr>
            <w:r>
              <w:rPr>
                <w:sz w:val="19"/>
              </w:rPr>
              <w:t>22 Apr 1994</w:t>
            </w:r>
          </w:p>
        </w:tc>
        <w:tc>
          <w:tcPr>
            <w:tcW w:w="2556" w:type="dxa"/>
            <w:gridSpan w:val="2"/>
          </w:tcPr>
          <w:p>
            <w:pPr>
              <w:pStyle w:val="nTable"/>
              <w:spacing w:after="40"/>
              <w:rPr>
                <w:sz w:val="19"/>
              </w:rPr>
            </w:pPr>
            <w:r>
              <w:rPr>
                <w:sz w:val="19"/>
              </w:rPr>
              <w:t xml:space="preserve">24 May 1994 (see s. 2 and </w:t>
            </w:r>
            <w:r>
              <w:rPr>
                <w:i/>
                <w:sz w:val="19"/>
              </w:rPr>
              <w:t>Gazette</w:t>
            </w:r>
            <w:r>
              <w:rPr>
                <w:sz w:val="19"/>
              </w:rPr>
              <w:t xml:space="preserve"> 24 May 1994 p. 2193)</w:t>
            </w:r>
          </w:p>
        </w:tc>
      </w:tr>
      <w:tr>
        <w:trPr>
          <w:gridBefore w:val="1"/>
          <w:wBefore w:w="21" w:type="dxa"/>
          <w:cantSplit/>
        </w:trPr>
        <w:tc>
          <w:tcPr>
            <w:tcW w:w="7091"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26 Apr 1994</w:t>
            </w:r>
            <w:r>
              <w:rPr>
                <w:sz w:val="19"/>
              </w:rPr>
              <w:t xml:space="preserve"> (includes amendments listed above except the </w:t>
            </w:r>
            <w:r>
              <w:rPr>
                <w:i/>
                <w:sz w:val="19"/>
              </w:rPr>
              <w:t>Acts Amendment (Official Corruption Commission) Act 1994</w:t>
            </w:r>
            <w:r>
              <w:rPr>
                <w:sz w:val="19"/>
              </w:rPr>
              <w:t>)</w:t>
            </w:r>
          </w:p>
        </w:tc>
      </w:tr>
      <w:tr>
        <w:trPr>
          <w:gridBefore w:val="1"/>
          <w:wBefore w:w="21" w:type="dxa"/>
          <w:cantSplit/>
        </w:trPr>
        <w:tc>
          <w:tcPr>
            <w:tcW w:w="2267" w:type="dxa"/>
            <w:gridSpan w:val="2"/>
          </w:tcPr>
          <w:p>
            <w:pPr>
              <w:pStyle w:val="nTable"/>
              <w:spacing w:after="40"/>
              <w:ind w:right="170"/>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7" w:type="dxa"/>
            <w:gridSpan w:val="2"/>
          </w:tcPr>
          <w:p>
            <w:pPr>
              <w:pStyle w:val="nTable"/>
              <w:spacing w:after="40"/>
              <w:ind w:right="170"/>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6" w:type="dxa"/>
            <w:gridSpan w:val="2"/>
          </w:tcPr>
          <w:p>
            <w:pPr>
              <w:pStyle w:val="nTable"/>
              <w:spacing w:after="40"/>
              <w:rPr>
                <w:sz w:val="19"/>
              </w:rPr>
            </w:pPr>
            <w:r>
              <w:rPr>
                <w:sz w:val="19"/>
              </w:rPr>
              <w:t>9 Dec 1994 (see s. 2)</w:t>
            </w:r>
          </w:p>
        </w:tc>
      </w:tr>
      <w:tr>
        <w:trPr>
          <w:gridBefore w:val="1"/>
          <w:wBefore w:w="21" w:type="dxa"/>
          <w:cantSplit/>
        </w:trPr>
        <w:tc>
          <w:tcPr>
            <w:tcW w:w="2267" w:type="dxa"/>
            <w:gridSpan w:val="2"/>
          </w:tcPr>
          <w:p>
            <w:pPr>
              <w:pStyle w:val="nTable"/>
              <w:spacing w:after="40"/>
              <w:ind w:right="170"/>
              <w:rPr>
                <w:sz w:val="19"/>
              </w:rPr>
            </w:pPr>
            <w:r>
              <w:rPr>
                <w:i/>
                <w:sz w:val="19"/>
              </w:rPr>
              <w:t>Industrial Legislation Amendment Act 1995</w:t>
            </w:r>
            <w:r>
              <w:rPr>
                <w:sz w:val="19"/>
              </w:rPr>
              <w:t xml:space="preserve"> s. 37</w:t>
            </w:r>
          </w:p>
        </w:tc>
        <w:tc>
          <w:tcPr>
            <w:tcW w:w="1134" w:type="dxa"/>
            <w:gridSpan w:val="2"/>
          </w:tcPr>
          <w:p>
            <w:pPr>
              <w:pStyle w:val="nTable"/>
              <w:spacing w:after="40"/>
              <w:rPr>
                <w:sz w:val="19"/>
              </w:rPr>
            </w:pPr>
            <w:r>
              <w:rPr>
                <w:sz w:val="19"/>
              </w:rPr>
              <w:t>1 of 1995</w:t>
            </w:r>
          </w:p>
        </w:tc>
        <w:tc>
          <w:tcPr>
            <w:tcW w:w="1134" w:type="dxa"/>
            <w:gridSpan w:val="2"/>
          </w:tcPr>
          <w:p>
            <w:pPr>
              <w:pStyle w:val="nTable"/>
              <w:spacing w:after="40"/>
              <w:rPr>
                <w:sz w:val="19"/>
              </w:rPr>
            </w:pPr>
            <w:r>
              <w:rPr>
                <w:sz w:val="19"/>
              </w:rPr>
              <w:t>9 May 1995</w:t>
            </w:r>
          </w:p>
        </w:tc>
        <w:tc>
          <w:tcPr>
            <w:tcW w:w="2556" w:type="dxa"/>
            <w:gridSpan w:val="2"/>
          </w:tcPr>
          <w:p>
            <w:pPr>
              <w:pStyle w:val="nTable"/>
              <w:spacing w:after="40"/>
              <w:rPr>
                <w:sz w:val="19"/>
              </w:rPr>
            </w:pPr>
            <w:r>
              <w:rPr>
                <w:sz w:val="19"/>
              </w:rPr>
              <w:t>9 May 1995 (see s. 2(1))</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1995</w:t>
            </w:r>
            <w:r>
              <w:rPr>
                <w:sz w:val="19"/>
                <w:vertAlign w:val="superscript"/>
              </w:rPr>
              <w:t> 4</w:t>
            </w:r>
          </w:p>
        </w:tc>
        <w:tc>
          <w:tcPr>
            <w:tcW w:w="1134" w:type="dxa"/>
            <w:gridSpan w:val="2"/>
          </w:tcPr>
          <w:p>
            <w:pPr>
              <w:pStyle w:val="nTable"/>
              <w:spacing w:after="40"/>
              <w:rPr>
                <w:sz w:val="19"/>
              </w:rPr>
            </w:pPr>
            <w:r>
              <w:rPr>
                <w:sz w:val="19"/>
              </w:rPr>
              <w:t>45 of 1995</w:t>
            </w:r>
          </w:p>
        </w:tc>
        <w:tc>
          <w:tcPr>
            <w:tcW w:w="1134" w:type="dxa"/>
            <w:gridSpan w:val="2"/>
          </w:tcPr>
          <w:p>
            <w:pPr>
              <w:pStyle w:val="nTable"/>
              <w:spacing w:after="40"/>
              <w:rPr>
                <w:sz w:val="19"/>
              </w:rPr>
            </w:pPr>
            <w:r>
              <w:rPr>
                <w:sz w:val="19"/>
              </w:rPr>
              <w:t>18 Oct 1995</w:t>
            </w:r>
          </w:p>
        </w:tc>
        <w:tc>
          <w:tcPr>
            <w:tcW w:w="2556" w:type="dxa"/>
            <w:gridSpan w:val="2"/>
          </w:tcPr>
          <w:p>
            <w:pPr>
              <w:pStyle w:val="nTable"/>
              <w:spacing w:after="40"/>
              <w:rPr>
                <w:sz w:val="19"/>
              </w:rPr>
            </w:pPr>
            <w:r>
              <w:rPr>
                <w:sz w:val="19"/>
              </w:rPr>
              <w:t>18 Oct 1995 (see s. 2)</w:t>
            </w:r>
          </w:p>
        </w:tc>
      </w:tr>
      <w:tr>
        <w:trPr>
          <w:gridBefore w:val="1"/>
          <w:wBefore w:w="21" w:type="dxa"/>
          <w:cantSplit/>
        </w:trPr>
        <w:tc>
          <w:tcPr>
            <w:tcW w:w="2267" w:type="dxa"/>
            <w:gridSpan w:val="2"/>
          </w:tcPr>
          <w:p>
            <w:pPr>
              <w:pStyle w:val="nTable"/>
              <w:spacing w:after="40"/>
              <w:ind w:right="170"/>
              <w:rPr>
                <w:sz w:val="19"/>
              </w:rPr>
            </w:pPr>
            <w:r>
              <w:rPr>
                <w:i/>
                <w:sz w:val="19"/>
              </w:rPr>
              <w:t>Official Corruption Commission Amendment Act 1996</w:t>
            </w:r>
            <w:r>
              <w:rPr>
                <w:sz w:val="19"/>
              </w:rPr>
              <w:t xml:space="preserve"> s. 26</w:t>
            </w:r>
          </w:p>
        </w:tc>
        <w:tc>
          <w:tcPr>
            <w:tcW w:w="1134" w:type="dxa"/>
            <w:gridSpan w:val="2"/>
          </w:tcPr>
          <w:p>
            <w:pPr>
              <w:pStyle w:val="nTable"/>
              <w:keepNext/>
              <w:spacing w:after="40"/>
              <w:rPr>
                <w:sz w:val="19"/>
              </w:rPr>
            </w:pPr>
            <w:r>
              <w:rPr>
                <w:sz w:val="19"/>
              </w:rPr>
              <w:t>29 of 1996</w:t>
            </w:r>
          </w:p>
        </w:tc>
        <w:tc>
          <w:tcPr>
            <w:tcW w:w="1134" w:type="dxa"/>
            <w:gridSpan w:val="2"/>
          </w:tcPr>
          <w:p>
            <w:pPr>
              <w:pStyle w:val="nTable"/>
              <w:keepNext/>
              <w:spacing w:after="40"/>
              <w:rPr>
                <w:sz w:val="19"/>
              </w:rPr>
            </w:pPr>
            <w:r>
              <w:rPr>
                <w:sz w:val="19"/>
              </w:rPr>
              <w:t>28 Aug 1996</w:t>
            </w:r>
          </w:p>
        </w:tc>
        <w:tc>
          <w:tcPr>
            <w:tcW w:w="2556" w:type="dxa"/>
            <w:gridSpan w:val="2"/>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gridBefore w:val="1"/>
          <w:wBefore w:w="21" w:type="dxa"/>
          <w:cantSplit/>
        </w:trPr>
        <w:tc>
          <w:tcPr>
            <w:tcW w:w="2267" w:type="dxa"/>
            <w:gridSpan w:val="2"/>
          </w:tcPr>
          <w:p>
            <w:pPr>
              <w:pStyle w:val="nTable"/>
              <w:spacing w:after="40"/>
              <w:ind w:right="17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6" w:type="dxa"/>
            <w:gridSpan w:val="2"/>
          </w:tcPr>
          <w:p>
            <w:pPr>
              <w:pStyle w:val="nTable"/>
              <w:spacing w:after="40"/>
              <w:rPr>
                <w:sz w:val="19"/>
              </w:rPr>
            </w:pPr>
            <w:r>
              <w:rPr>
                <w:sz w:val="19"/>
              </w:rPr>
              <w:t>25 Oct 1996 (see s. 2(1))</w:t>
            </w:r>
          </w:p>
        </w:tc>
      </w:tr>
      <w:tr>
        <w:trPr>
          <w:gridBefore w:val="1"/>
          <w:wBefore w:w="21" w:type="dxa"/>
          <w:cantSplit/>
        </w:trPr>
        <w:tc>
          <w:tcPr>
            <w:tcW w:w="2267" w:type="dxa"/>
            <w:gridSpan w:val="2"/>
          </w:tcPr>
          <w:p>
            <w:pPr>
              <w:pStyle w:val="nTable"/>
              <w:spacing w:after="40"/>
              <w:ind w:right="170"/>
              <w:rPr>
                <w:sz w:val="19"/>
              </w:rPr>
            </w:pPr>
            <w:r>
              <w:rPr>
                <w:i/>
                <w:sz w:val="19"/>
              </w:rPr>
              <w:t>Acts Amendment (Auxiliary Judges) Act 1997</w:t>
            </w:r>
            <w:r>
              <w:rPr>
                <w:sz w:val="19"/>
              </w:rPr>
              <w:t xml:space="preserve"> Pt. 9</w:t>
            </w:r>
          </w:p>
        </w:tc>
        <w:tc>
          <w:tcPr>
            <w:tcW w:w="1134" w:type="dxa"/>
            <w:gridSpan w:val="2"/>
          </w:tcPr>
          <w:p>
            <w:pPr>
              <w:pStyle w:val="nTable"/>
              <w:spacing w:after="40"/>
              <w:rPr>
                <w:sz w:val="19"/>
              </w:rPr>
            </w:pPr>
            <w:r>
              <w:rPr>
                <w:sz w:val="19"/>
              </w:rPr>
              <w:t>23 of 1997</w:t>
            </w:r>
          </w:p>
        </w:tc>
        <w:tc>
          <w:tcPr>
            <w:tcW w:w="1134" w:type="dxa"/>
            <w:gridSpan w:val="2"/>
          </w:tcPr>
          <w:p>
            <w:pPr>
              <w:pStyle w:val="nTable"/>
              <w:spacing w:after="40"/>
              <w:rPr>
                <w:sz w:val="19"/>
              </w:rPr>
            </w:pPr>
            <w:r>
              <w:rPr>
                <w:sz w:val="19"/>
              </w:rPr>
              <w:t>18 Sep 1997</w:t>
            </w:r>
          </w:p>
        </w:tc>
        <w:tc>
          <w:tcPr>
            <w:tcW w:w="2556" w:type="dxa"/>
            <w:gridSpan w:val="2"/>
          </w:tcPr>
          <w:p>
            <w:pPr>
              <w:pStyle w:val="nTable"/>
              <w:spacing w:after="40"/>
              <w:rPr>
                <w:sz w:val="19"/>
              </w:rPr>
            </w:pPr>
            <w:r>
              <w:rPr>
                <w:sz w:val="19"/>
              </w:rPr>
              <w:t>18 Sep 1997 (see s. 2)</w:t>
            </w:r>
          </w:p>
        </w:tc>
      </w:tr>
      <w:tr>
        <w:trPr>
          <w:gridBefore w:val="1"/>
          <w:wBefore w:w="21" w:type="dxa"/>
          <w:cantSplit/>
        </w:trPr>
        <w:tc>
          <w:tcPr>
            <w:tcW w:w="2267" w:type="dxa"/>
            <w:gridSpan w:val="2"/>
          </w:tcPr>
          <w:p>
            <w:pPr>
              <w:pStyle w:val="nTable"/>
              <w:spacing w:after="40"/>
              <w:ind w:right="170"/>
              <w:rPr>
                <w:sz w:val="19"/>
              </w:rPr>
            </w:pPr>
            <w:r>
              <w:rPr>
                <w:i/>
                <w:sz w:val="19"/>
              </w:rPr>
              <w:t>Equal Opportunity Amendment Act (No. 3) 1997</w:t>
            </w:r>
            <w:r>
              <w:rPr>
                <w:sz w:val="19"/>
              </w:rPr>
              <w:t xml:space="preserve"> s. 8</w:t>
            </w:r>
          </w:p>
        </w:tc>
        <w:tc>
          <w:tcPr>
            <w:tcW w:w="1134" w:type="dxa"/>
            <w:gridSpan w:val="2"/>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56" w:type="dxa"/>
            <w:gridSpan w:val="2"/>
          </w:tcPr>
          <w:p>
            <w:pPr>
              <w:pStyle w:val="nTable"/>
              <w:spacing w:after="40"/>
              <w:rPr>
                <w:sz w:val="19"/>
              </w:rPr>
            </w:pPr>
            <w:r>
              <w:rPr>
                <w:sz w:val="19"/>
              </w:rPr>
              <w:t>6 Jan 1998 (see s. 2(1))</w:t>
            </w:r>
          </w:p>
        </w:tc>
      </w:tr>
      <w:tr>
        <w:trPr>
          <w:gridBefore w:val="1"/>
          <w:wBefore w:w="21" w:type="dxa"/>
          <w:cantSplit/>
        </w:trPr>
        <w:tc>
          <w:tcPr>
            <w:tcW w:w="7091"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8 Sep 2000</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z w:val="19"/>
              </w:rPr>
            </w:pPr>
            <w:r>
              <w:rPr>
                <w:i/>
                <w:sz w:val="19"/>
              </w:rPr>
              <w:t xml:space="preserve">Electoral Amendment Act 2000 </w:t>
            </w:r>
            <w:r>
              <w:rPr>
                <w:sz w:val="19"/>
              </w:rPr>
              <w:t>s. 26 and 57</w:t>
            </w:r>
          </w:p>
        </w:tc>
        <w:tc>
          <w:tcPr>
            <w:tcW w:w="1134" w:type="dxa"/>
            <w:gridSpan w:val="2"/>
          </w:tcPr>
          <w:p>
            <w:pPr>
              <w:pStyle w:val="nTable"/>
              <w:spacing w:after="40"/>
              <w:rPr>
                <w:sz w:val="19"/>
              </w:rPr>
            </w:pPr>
            <w:r>
              <w:rPr>
                <w:sz w:val="19"/>
              </w:rPr>
              <w:t>36 of 2000</w:t>
            </w:r>
          </w:p>
        </w:tc>
        <w:tc>
          <w:tcPr>
            <w:tcW w:w="1134" w:type="dxa"/>
            <w:gridSpan w:val="2"/>
          </w:tcPr>
          <w:p>
            <w:pPr>
              <w:pStyle w:val="nTable"/>
              <w:spacing w:after="40"/>
              <w:rPr>
                <w:sz w:val="19"/>
              </w:rPr>
            </w:pPr>
            <w:r>
              <w:rPr>
                <w:sz w:val="19"/>
              </w:rPr>
              <w:t>10 Oct 2000</w:t>
            </w:r>
          </w:p>
        </w:tc>
        <w:tc>
          <w:tcPr>
            <w:tcW w:w="2556" w:type="dxa"/>
            <w:gridSpan w:val="2"/>
          </w:tcPr>
          <w:p>
            <w:pPr>
              <w:pStyle w:val="nTable"/>
              <w:spacing w:after="40"/>
              <w:rPr>
                <w:sz w:val="19"/>
              </w:rPr>
            </w:pPr>
            <w:r>
              <w:rPr>
                <w:sz w:val="19"/>
              </w:rPr>
              <w:t xml:space="preserve">21 Oct 2000 (see s. 2 and </w:t>
            </w:r>
            <w:r>
              <w:rPr>
                <w:i/>
                <w:sz w:val="19"/>
              </w:rPr>
              <w:t>Gazette</w:t>
            </w:r>
            <w:r>
              <w:rPr>
                <w:sz w:val="19"/>
              </w:rPr>
              <w:t xml:space="preserve"> 20 Oct 2000 p. 5899)</w:t>
            </w:r>
          </w:p>
        </w:tc>
      </w:tr>
      <w:tr>
        <w:trPr>
          <w:gridBefore w:val="1"/>
          <w:wBefore w:w="21" w:type="dxa"/>
          <w:cantSplit/>
        </w:trPr>
        <w:tc>
          <w:tcPr>
            <w:tcW w:w="2267" w:type="dxa"/>
            <w:gridSpan w:val="2"/>
          </w:tcPr>
          <w:p>
            <w:pPr>
              <w:pStyle w:val="nTable"/>
              <w:spacing w:after="40"/>
              <w:ind w:right="170"/>
              <w:rPr>
                <w:i/>
                <w:sz w:val="19"/>
              </w:rPr>
            </w:pPr>
            <w:r>
              <w:rPr>
                <w:i/>
                <w:sz w:val="19"/>
              </w:rPr>
              <w:t xml:space="preserve">Parliamentary Superannuation Legislation Amendment Act 2000 </w:t>
            </w:r>
            <w:r>
              <w:rPr>
                <w:sz w:val="19"/>
              </w:rPr>
              <w:t>Pt. 3</w:t>
            </w:r>
          </w:p>
        </w:tc>
        <w:tc>
          <w:tcPr>
            <w:tcW w:w="1134" w:type="dxa"/>
            <w:gridSpan w:val="2"/>
          </w:tcPr>
          <w:p>
            <w:pPr>
              <w:pStyle w:val="nTable"/>
              <w:spacing w:after="40"/>
              <w:rPr>
                <w:sz w:val="19"/>
              </w:rPr>
            </w:pPr>
            <w:r>
              <w:rPr>
                <w:sz w:val="19"/>
              </w:rPr>
              <w:t>37 of 2000</w:t>
            </w:r>
          </w:p>
        </w:tc>
        <w:tc>
          <w:tcPr>
            <w:tcW w:w="1134" w:type="dxa"/>
            <w:gridSpan w:val="2"/>
          </w:tcPr>
          <w:p>
            <w:pPr>
              <w:pStyle w:val="nTable"/>
              <w:spacing w:after="40"/>
              <w:rPr>
                <w:sz w:val="19"/>
              </w:rPr>
            </w:pPr>
            <w:r>
              <w:rPr>
                <w:sz w:val="19"/>
              </w:rPr>
              <w:t>10 Oct 2000</w:t>
            </w:r>
          </w:p>
        </w:tc>
        <w:tc>
          <w:tcPr>
            <w:tcW w:w="2556" w:type="dxa"/>
            <w:gridSpan w:val="2"/>
          </w:tcPr>
          <w:p>
            <w:pPr>
              <w:pStyle w:val="nTable"/>
              <w:spacing w:after="40"/>
              <w:rPr>
                <w:sz w:val="19"/>
              </w:rPr>
            </w:pPr>
            <w:r>
              <w:rPr>
                <w:sz w:val="19"/>
              </w:rPr>
              <w:t>10 Oct 2000 (see s. 2)</w:t>
            </w:r>
          </w:p>
        </w:tc>
      </w:tr>
      <w:tr>
        <w:trPr>
          <w:gridBefore w:val="1"/>
          <w:wBefore w:w="21" w:type="dxa"/>
          <w:cantSplit/>
        </w:trPr>
        <w:tc>
          <w:tcPr>
            <w:tcW w:w="2267" w:type="dxa"/>
            <w:gridSpan w:val="2"/>
          </w:tcPr>
          <w:p>
            <w:pPr>
              <w:pStyle w:val="nTable"/>
              <w:spacing w:after="40"/>
              <w:ind w:right="170"/>
              <w:rPr>
                <w:i/>
                <w:sz w:val="19"/>
              </w:rPr>
            </w:pPr>
            <w:r>
              <w:rPr>
                <w:i/>
                <w:sz w:val="19"/>
              </w:rPr>
              <w:t>Salaries and Allowances Amendment Act 2001</w:t>
            </w:r>
          </w:p>
        </w:tc>
        <w:tc>
          <w:tcPr>
            <w:tcW w:w="1134" w:type="dxa"/>
            <w:gridSpan w:val="2"/>
          </w:tcPr>
          <w:p>
            <w:pPr>
              <w:pStyle w:val="nTable"/>
              <w:spacing w:after="40"/>
              <w:rPr>
                <w:sz w:val="19"/>
              </w:rPr>
            </w:pPr>
            <w:r>
              <w:rPr>
                <w:sz w:val="19"/>
              </w:rPr>
              <w:t>22 of 2001</w:t>
            </w:r>
          </w:p>
        </w:tc>
        <w:tc>
          <w:tcPr>
            <w:tcW w:w="1134" w:type="dxa"/>
            <w:gridSpan w:val="2"/>
          </w:tcPr>
          <w:p>
            <w:pPr>
              <w:pStyle w:val="nTable"/>
              <w:spacing w:after="40"/>
              <w:rPr>
                <w:sz w:val="19"/>
              </w:rPr>
            </w:pPr>
            <w:r>
              <w:rPr>
                <w:sz w:val="19"/>
              </w:rPr>
              <w:t>26 Nov 2001</w:t>
            </w:r>
          </w:p>
        </w:tc>
        <w:tc>
          <w:tcPr>
            <w:tcW w:w="2556" w:type="dxa"/>
            <w:gridSpan w:val="2"/>
          </w:tcPr>
          <w:p>
            <w:pPr>
              <w:pStyle w:val="nTable"/>
              <w:spacing w:after="40"/>
              <w:rPr>
                <w:sz w:val="19"/>
              </w:rPr>
            </w:pPr>
            <w:r>
              <w:rPr>
                <w:sz w:val="19"/>
              </w:rPr>
              <w:t>26 Nov 2001 (see s. 2)</w:t>
            </w:r>
          </w:p>
        </w:tc>
      </w:tr>
      <w:tr>
        <w:trPr>
          <w:gridBefore w:val="1"/>
          <w:wBefore w:w="21" w:type="dxa"/>
          <w:cantSplit/>
        </w:trPr>
        <w:tc>
          <w:tcPr>
            <w:tcW w:w="2267" w:type="dxa"/>
            <w:gridSpan w:val="2"/>
          </w:tcPr>
          <w:p>
            <w:pPr>
              <w:pStyle w:val="nTable"/>
              <w:spacing w:after="40"/>
              <w:ind w:right="170"/>
              <w:rPr>
                <w:sz w:val="19"/>
              </w:rPr>
            </w:pPr>
            <w:r>
              <w:rPr>
                <w:i/>
                <w:sz w:val="19"/>
              </w:rPr>
              <w:t>Corruption and Crime Commission Act 2003</w:t>
            </w:r>
            <w:r>
              <w:rPr>
                <w:sz w:val="19"/>
              </w:rPr>
              <w:t xml:space="preserve"> s. 62</w:t>
            </w:r>
          </w:p>
        </w:tc>
        <w:tc>
          <w:tcPr>
            <w:tcW w:w="1134" w:type="dxa"/>
            <w:gridSpan w:val="2"/>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5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1" w:type="dxa"/>
          <w:cantSplit/>
        </w:trPr>
        <w:tc>
          <w:tcPr>
            <w:tcW w:w="4535" w:type="dxa"/>
            <w:gridSpan w:val="6"/>
          </w:tcPr>
          <w:p>
            <w:pPr>
              <w:pStyle w:val="nTable"/>
              <w:spacing w:after="40"/>
              <w:rPr>
                <w:sz w:val="19"/>
              </w:rPr>
            </w:pPr>
            <w:r>
              <w:rPr>
                <w:i/>
                <w:spacing w:val="-2"/>
                <w:sz w:val="19"/>
              </w:rPr>
              <w:t>Labour Relations Reform (Consequential Amendments) Regulations 2003</w:t>
            </w:r>
            <w:r>
              <w:rPr>
                <w:spacing w:val="-2"/>
                <w:sz w:val="19"/>
              </w:rPr>
              <w:t xml:space="preserve"> r. 17 published in </w:t>
            </w:r>
            <w:r>
              <w:rPr>
                <w:i/>
                <w:spacing w:val="-2"/>
                <w:sz w:val="19"/>
              </w:rPr>
              <w:t>Gazette</w:t>
            </w:r>
            <w:r>
              <w:rPr>
                <w:spacing w:val="-2"/>
                <w:sz w:val="19"/>
              </w:rPr>
              <w:t xml:space="preserve"> </w:t>
            </w:r>
            <w:r>
              <w:rPr>
                <w:sz w:val="19"/>
              </w:rPr>
              <w:t>15 Aug 2003 p. 3685</w:t>
            </w:r>
            <w:r>
              <w:rPr>
                <w:sz w:val="19"/>
              </w:rPr>
              <w:noBreakHyphen/>
              <w:t>92</w:t>
            </w:r>
          </w:p>
        </w:tc>
        <w:tc>
          <w:tcPr>
            <w:tcW w:w="2556" w:type="dxa"/>
            <w:gridSpan w:val="2"/>
          </w:tcPr>
          <w:p>
            <w:pPr>
              <w:pStyle w:val="nTable"/>
              <w:spacing w:after="40"/>
              <w:rPr>
                <w:sz w:val="19"/>
              </w:rPr>
            </w:pPr>
            <w:r>
              <w:rPr>
                <w:spacing w:val="-2"/>
                <w:sz w:val="19"/>
              </w:rPr>
              <w:t>15 Sep 2003 (see r. 2)</w:t>
            </w:r>
          </w:p>
        </w:tc>
      </w:tr>
      <w:tr>
        <w:trPr>
          <w:gridBefore w:val="1"/>
          <w:wBefore w:w="21" w:type="dxa"/>
          <w:cantSplit/>
        </w:trPr>
        <w:tc>
          <w:tcPr>
            <w:tcW w:w="2267" w:type="dxa"/>
            <w:gridSpan w:val="2"/>
          </w:tcPr>
          <w:p>
            <w:pPr>
              <w:pStyle w:val="nTable"/>
              <w:spacing w:after="40"/>
              <w:ind w:right="170"/>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6" w:type="dxa"/>
            <w:gridSpan w:val="2"/>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gridBefore w:val="1"/>
          <w:wBefore w:w="21" w:type="dxa"/>
          <w:cantSplit/>
        </w:trPr>
        <w:tc>
          <w:tcPr>
            <w:tcW w:w="2267" w:type="dxa"/>
            <w:gridSpan w:val="2"/>
          </w:tcPr>
          <w:p>
            <w:pPr>
              <w:pStyle w:val="nTable"/>
              <w:spacing w:after="40"/>
              <w:ind w:right="170"/>
              <w:rPr>
                <w:i/>
                <w:sz w:val="19"/>
              </w:rPr>
            </w:pPr>
            <w:r>
              <w:rPr>
                <w:i/>
                <w:snapToGrid w:val="0"/>
                <w:sz w:val="19"/>
              </w:rPr>
              <w:t>Acts Amendment (Court of Appeal) Act 2004</w:t>
            </w:r>
            <w:r>
              <w:rPr>
                <w:snapToGrid w:val="0"/>
                <w:sz w:val="19"/>
              </w:rPr>
              <w:t xml:space="preserve"> s. 37</w:t>
            </w:r>
          </w:p>
        </w:tc>
        <w:tc>
          <w:tcPr>
            <w:tcW w:w="1134" w:type="dxa"/>
            <w:gridSpan w:val="2"/>
          </w:tcPr>
          <w:p>
            <w:pPr>
              <w:pStyle w:val="nTable"/>
              <w:spacing w:after="40"/>
              <w:rPr>
                <w:sz w:val="19"/>
              </w:rPr>
            </w:pPr>
            <w:r>
              <w:rPr>
                <w:snapToGrid w:val="0"/>
                <w:sz w:val="19"/>
              </w:rPr>
              <w:t>45 of 2004</w:t>
            </w:r>
          </w:p>
        </w:tc>
        <w:tc>
          <w:tcPr>
            <w:tcW w:w="1134" w:type="dxa"/>
            <w:gridSpan w:val="2"/>
          </w:tcPr>
          <w:p>
            <w:pPr>
              <w:pStyle w:val="nTable"/>
              <w:spacing w:after="40"/>
              <w:rPr>
                <w:sz w:val="19"/>
              </w:rPr>
            </w:pPr>
            <w:r>
              <w:rPr>
                <w:sz w:val="19"/>
              </w:rPr>
              <w:t>9 Nov 2004</w:t>
            </w:r>
          </w:p>
        </w:tc>
        <w:tc>
          <w:tcPr>
            <w:tcW w:w="2556" w:type="dxa"/>
            <w:gridSpan w:val="2"/>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Before w:val="1"/>
          <w:wBefore w:w="21" w:type="dxa"/>
          <w:cantSplit/>
        </w:trPr>
        <w:tc>
          <w:tcPr>
            <w:tcW w:w="2267" w:type="dxa"/>
            <w:gridSpan w:val="2"/>
          </w:tcPr>
          <w:p>
            <w:pPr>
              <w:pStyle w:val="nTable"/>
              <w:spacing w:after="40"/>
              <w:ind w:right="170"/>
              <w:rPr>
                <w:i/>
                <w:snapToGrid w:val="0"/>
                <w:sz w:val="19"/>
              </w:rPr>
            </w:pPr>
            <w:r>
              <w:rPr>
                <w:i/>
                <w:snapToGrid w:val="0"/>
                <w:sz w:val="19"/>
              </w:rPr>
              <w:t>Local Government Amendment Act 2004</w:t>
            </w:r>
            <w:r>
              <w:rPr>
                <w:snapToGrid w:val="0"/>
                <w:sz w:val="19"/>
              </w:rPr>
              <w:t xml:space="preserve"> s. 13</w:t>
            </w:r>
          </w:p>
        </w:tc>
        <w:tc>
          <w:tcPr>
            <w:tcW w:w="1134" w:type="dxa"/>
            <w:gridSpan w:val="2"/>
          </w:tcPr>
          <w:p>
            <w:pPr>
              <w:pStyle w:val="nTable"/>
              <w:spacing w:after="40"/>
              <w:rPr>
                <w:snapToGrid w:val="0"/>
                <w:sz w:val="19"/>
              </w:rPr>
            </w:pPr>
            <w:r>
              <w:rPr>
                <w:sz w:val="19"/>
              </w:rPr>
              <w:t>49 of 2004</w:t>
            </w:r>
          </w:p>
        </w:tc>
        <w:tc>
          <w:tcPr>
            <w:tcW w:w="1134" w:type="dxa"/>
            <w:gridSpan w:val="2"/>
          </w:tcPr>
          <w:p>
            <w:pPr>
              <w:pStyle w:val="nTable"/>
              <w:spacing w:after="40"/>
              <w:rPr>
                <w:sz w:val="19"/>
              </w:rPr>
            </w:pPr>
            <w:r>
              <w:rPr>
                <w:sz w:val="19"/>
              </w:rPr>
              <w:t>12 Nov 2004</w:t>
            </w:r>
          </w:p>
        </w:tc>
        <w:tc>
          <w:tcPr>
            <w:tcW w:w="2556" w:type="dxa"/>
            <w:gridSpan w:val="2"/>
          </w:tcPr>
          <w:p>
            <w:pPr>
              <w:pStyle w:val="nTable"/>
              <w:spacing w:after="40"/>
              <w:rPr>
                <w:snapToGrid w:val="0"/>
                <w:sz w:val="19"/>
              </w:rPr>
            </w:pPr>
            <w:r>
              <w:rPr>
                <w:sz w:val="19"/>
              </w:rPr>
              <w:t xml:space="preserve">1 Apr 2005 (see s. 2 and </w:t>
            </w:r>
            <w:r>
              <w:rPr>
                <w:i/>
                <w:sz w:val="19"/>
              </w:rPr>
              <w:t>Gazette</w:t>
            </w:r>
            <w:r>
              <w:rPr>
                <w:sz w:val="19"/>
              </w:rPr>
              <w:t xml:space="preserve"> 31 Mar 2005 p. 1029)</w:t>
            </w:r>
          </w:p>
        </w:tc>
      </w:tr>
      <w:tr>
        <w:trPr>
          <w:gridBefore w:val="1"/>
          <w:wBefore w:w="21" w:type="dxa"/>
          <w:cantSplit/>
        </w:trPr>
        <w:tc>
          <w:tcPr>
            <w:tcW w:w="2267" w:type="dxa"/>
            <w:gridSpan w:val="2"/>
          </w:tcPr>
          <w:p>
            <w:pPr>
              <w:pStyle w:val="nTable"/>
              <w:spacing w:after="40"/>
              <w:ind w:right="170"/>
              <w:rPr>
                <w:i/>
                <w:snapToGrid w:val="0"/>
                <w:sz w:val="19"/>
              </w:rPr>
            </w:pPr>
            <w:r>
              <w:rPr>
                <w:i/>
                <w:snapToGrid w:val="0"/>
                <w:sz w:val="19"/>
              </w:rPr>
              <w:t>Electoral Amendment and Repeal Act 2005</w:t>
            </w:r>
            <w:r>
              <w:rPr>
                <w:snapToGrid w:val="0"/>
                <w:sz w:val="19"/>
              </w:rPr>
              <w:t xml:space="preserve"> s. 10</w:t>
            </w:r>
          </w:p>
        </w:tc>
        <w:tc>
          <w:tcPr>
            <w:tcW w:w="1134" w:type="dxa"/>
            <w:gridSpan w:val="2"/>
          </w:tcPr>
          <w:p>
            <w:pPr>
              <w:pStyle w:val="nTable"/>
              <w:spacing w:after="40"/>
              <w:rPr>
                <w:sz w:val="19"/>
              </w:rPr>
            </w:pPr>
            <w:r>
              <w:rPr>
                <w:snapToGrid w:val="0"/>
                <w:sz w:val="19"/>
              </w:rPr>
              <w:t>1 of 2005</w:t>
            </w:r>
          </w:p>
        </w:tc>
        <w:tc>
          <w:tcPr>
            <w:tcW w:w="1134" w:type="dxa"/>
            <w:gridSpan w:val="2"/>
          </w:tcPr>
          <w:p>
            <w:pPr>
              <w:pStyle w:val="nTable"/>
              <w:spacing w:after="40"/>
              <w:rPr>
                <w:sz w:val="19"/>
              </w:rPr>
            </w:pPr>
            <w:r>
              <w:rPr>
                <w:sz w:val="19"/>
              </w:rPr>
              <w:t>20 May 2005</w:t>
            </w:r>
          </w:p>
        </w:tc>
        <w:tc>
          <w:tcPr>
            <w:tcW w:w="2556" w:type="dxa"/>
            <w:gridSpan w:val="2"/>
          </w:tcPr>
          <w:p>
            <w:pPr>
              <w:pStyle w:val="nTable"/>
              <w:spacing w:after="40"/>
              <w:rPr>
                <w:sz w:val="19"/>
              </w:rPr>
            </w:pPr>
            <w:r>
              <w:rPr>
                <w:snapToGrid w:val="0"/>
                <w:sz w:val="19"/>
              </w:rPr>
              <w:t>20 May 2005 (see s. 2)</w:t>
            </w:r>
          </w:p>
        </w:tc>
      </w:tr>
      <w:tr>
        <w:trPr>
          <w:gridBefore w:val="1"/>
          <w:wBefore w:w="21" w:type="dxa"/>
          <w:cantSplit/>
        </w:trPr>
        <w:tc>
          <w:tcPr>
            <w:tcW w:w="7091" w:type="dxa"/>
            <w:gridSpan w:val="8"/>
          </w:tcPr>
          <w:p>
            <w:pPr>
              <w:pStyle w:val="nTable"/>
              <w:spacing w:after="40"/>
              <w:rPr>
                <w:snapToGrid w:val="0"/>
                <w:sz w:val="19"/>
              </w:rPr>
            </w:pPr>
            <w:r>
              <w:rPr>
                <w:b/>
                <w:sz w:val="19"/>
              </w:rPr>
              <w:t xml:space="preserve">Reprint 4: The </w:t>
            </w:r>
            <w:r>
              <w:rPr>
                <w:b/>
                <w:i/>
                <w:sz w:val="19"/>
              </w:rPr>
              <w:t>Salaries and Allowances Act 1975</w:t>
            </w:r>
            <w:r>
              <w:rPr>
                <w:b/>
                <w:sz w:val="19"/>
              </w:rPr>
              <w:t xml:space="preserve"> as at 10 Jun 2005</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napToGrid w:val="0"/>
                <w:sz w:val="19"/>
              </w:rPr>
            </w:pPr>
            <w:r>
              <w:rPr>
                <w:i/>
                <w:snapToGrid w:val="0"/>
                <w:sz w:val="19"/>
              </w:rPr>
              <w:t>Parliamentary Legislation Amendment Act 2006</w:t>
            </w:r>
            <w:r>
              <w:rPr>
                <w:snapToGrid w:val="0"/>
                <w:sz w:val="19"/>
              </w:rPr>
              <w:t xml:space="preserve"> Pt. 3</w:t>
            </w:r>
          </w:p>
        </w:tc>
        <w:tc>
          <w:tcPr>
            <w:tcW w:w="1134" w:type="dxa"/>
            <w:gridSpan w:val="2"/>
          </w:tcPr>
          <w:p>
            <w:pPr>
              <w:pStyle w:val="nTable"/>
              <w:spacing w:after="40"/>
              <w:rPr>
                <w:sz w:val="19"/>
              </w:rPr>
            </w:pPr>
            <w:r>
              <w:rPr>
                <w:snapToGrid w:val="0"/>
                <w:sz w:val="19"/>
              </w:rPr>
              <w:t>56 of 2006</w:t>
            </w:r>
          </w:p>
        </w:tc>
        <w:tc>
          <w:tcPr>
            <w:tcW w:w="1134" w:type="dxa"/>
            <w:gridSpan w:val="2"/>
          </w:tcPr>
          <w:p>
            <w:pPr>
              <w:pStyle w:val="nTable"/>
              <w:spacing w:after="40"/>
              <w:rPr>
                <w:sz w:val="19"/>
              </w:rPr>
            </w:pPr>
            <w:r>
              <w:rPr>
                <w:sz w:val="19"/>
              </w:rPr>
              <w:t>16 Nov 2006</w:t>
            </w:r>
          </w:p>
        </w:tc>
        <w:tc>
          <w:tcPr>
            <w:tcW w:w="2556" w:type="dxa"/>
            <w:gridSpan w:val="2"/>
          </w:tcPr>
          <w:p>
            <w:pPr>
              <w:pStyle w:val="nTable"/>
              <w:spacing w:after="40"/>
              <w:rPr>
                <w:sz w:val="19"/>
              </w:rPr>
            </w:pPr>
            <w:r>
              <w:rPr>
                <w:snapToGrid w:val="0"/>
                <w:sz w:val="19"/>
              </w:rPr>
              <w:t>17 Nov 2006 (see s. 2)</w:t>
            </w:r>
          </w:p>
        </w:tc>
      </w:tr>
      <w:tr>
        <w:trPr>
          <w:gridBefore w:val="1"/>
          <w:wBefore w:w="21" w:type="dxa"/>
          <w:cantSplit/>
        </w:trPr>
        <w:tc>
          <w:tcPr>
            <w:tcW w:w="2267" w:type="dxa"/>
            <w:gridSpan w:val="2"/>
          </w:tcPr>
          <w:p>
            <w:pPr>
              <w:pStyle w:val="nTable"/>
              <w:spacing w:after="40"/>
              <w:ind w:right="170"/>
              <w:rPr>
                <w:i/>
                <w:snapToGrid w:val="0"/>
                <w:sz w:val="19"/>
              </w:rPr>
            </w:pPr>
            <w:r>
              <w:rPr>
                <w:i/>
                <w:snapToGrid w:val="0"/>
                <w:sz w:val="19"/>
              </w:rPr>
              <w:t>Financial Legislation Amendment and Repeal Act 2006</w:t>
            </w:r>
            <w:r>
              <w:rPr>
                <w:snapToGrid w:val="0"/>
                <w:sz w:val="19"/>
              </w:rPr>
              <w:t xml:space="preserve"> s. 4</w:t>
            </w:r>
          </w:p>
        </w:tc>
        <w:tc>
          <w:tcPr>
            <w:tcW w:w="1134" w:type="dxa"/>
            <w:gridSpan w:val="2"/>
          </w:tcPr>
          <w:p>
            <w:pPr>
              <w:pStyle w:val="nTable"/>
              <w:spacing w:after="40"/>
              <w:rPr>
                <w:snapToGrid w:val="0"/>
                <w:sz w:val="19"/>
              </w:rPr>
            </w:pPr>
            <w:r>
              <w:rPr>
                <w:snapToGrid w:val="0"/>
                <w:sz w:val="19"/>
              </w:rPr>
              <w:t>77 of 2006</w:t>
            </w:r>
          </w:p>
        </w:tc>
        <w:tc>
          <w:tcPr>
            <w:tcW w:w="1134" w:type="dxa"/>
            <w:gridSpan w:val="2"/>
          </w:tcPr>
          <w:p>
            <w:pPr>
              <w:pStyle w:val="nTable"/>
              <w:spacing w:after="40"/>
              <w:rPr>
                <w:sz w:val="19"/>
              </w:rPr>
            </w:pPr>
            <w:r>
              <w:rPr>
                <w:sz w:val="19"/>
              </w:rPr>
              <w:t>21 Dec 2006</w:t>
            </w:r>
          </w:p>
        </w:tc>
        <w:tc>
          <w:tcPr>
            <w:tcW w:w="2556" w:type="dxa"/>
            <w:gridSpan w:val="2"/>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gridAfter w:val="1"/>
          <w:wAfter w:w="24" w:type="dxa"/>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114</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24" w:type="dxa"/>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78</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17 Sep 2009 (see s. 2(b))</w:t>
            </w:r>
          </w:p>
        </w:tc>
      </w:tr>
      <w:tr>
        <w:trPr>
          <w:gridAfter w:val="1"/>
          <w:wAfter w:w="24" w:type="dxa"/>
          <w:cantSplit/>
        </w:trPr>
        <w:tc>
          <w:tcPr>
            <w:tcW w:w="7088" w:type="dxa"/>
            <w:gridSpan w:val="8"/>
          </w:tcPr>
          <w:p>
            <w:pPr>
              <w:pStyle w:val="nTable"/>
              <w:spacing w:after="40"/>
              <w:rPr>
                <w:sz w:val="19"/>
              </w:rPr>
            </w:pPr>
            <w:r>
              <w:rPr>
                <w:b/>
                <w:sz w:val="19"/>
              </w:rPr>
              <w:t xml:space="preserve">Reprint 5: The </w:t>
            </w:r>
            <w:r>
              <w:rPr>
                <w:b/>
                <w:i/>
                <w:sz w:val="19"/>
              </w:rPr>
              <w:t>Salaries and Allowances Act 1975</w:t>
            </w:r>
            <w:r>
              <w:rPr>
                <w:b/>
                <w:sz w:val="19"/>
              </w:rPr>
              <w:t xml:space="preserve"> as at 2 Jul 2010 </w:t>
            </w:r>
            <w:r>
              <w:rPr>
                <w:sz w:val="19"/>
              </w:rPr>
              <w:t>(includes amendments listed above)</w:t>
            </w:r>
          </w:p>
        </w:tc>
      </w:tr>
      <w:tr>
        <w:trPr>
          <w:gridAfter w:val="1"/>
          <w:wAfter w:w="24" w:type="dxa"/>
          <w:cantSplit/>
        </w:trPr>
        <w:tc>
          <w:tcPr>
            <w:tcW w:w="2269" w:type="dxa"/>
            <w:gridSpan w:val="2"/>
          </w:tcPr>
          <w:p>
            <w:pPr>
              <w:pStyle w:val="nTable"/>
              <w:spacing w:after="40"/>
              <w:rPr>
                <w:iCs/>
                <w:snapToGrid w:val="0"/>
                <w:sz w:val="19"/>
              </w:rPr>
            </w:pPr>
            <w:r>
              <w:rPr>
                <w:i/>
                <w:snapToGrid w:val="0"/>
                <w:sz w:val="19"/>
              </w:rPr>
              <w:t>Public Sector Reform Act 2010</w:t>
            </w:r>
            <w:r>
              <w:rPr>
                <w:iCs/>
                <w:snapToGrid w:val="0"/>
                <w:sz w:val="19"/>
              </w:rPr>
              <w:t xml:space="preserve"> s. 83</w:t>
            </w:r>
          </w:p>
        </w:tc>
        <w:tc>
          <w:tcPr>
            <w:tcW w:w="1134" w:type="dxa"/>
            <w:gridSpan w:val="2"/>
          </w:tcPr>
          <w:p>
            <w:pPr>
              <w:pStyle w:val="nTable"/>
              <w:spacing w:after="40"/>
              <w:rPr>
                <w:sz w:val="19"/>
              </w:rPr>
            </w:pPr>
            <w:r>
              <w:rPr>
                <w:snapToGrid w:val="0"/>
                <w:sz w:val="19"/>
              </w:rPr>
              <w:t>39 of 2010</w:t>
            </w:r>
          </w:p>
        </w:tc>
        <w:tc>
          <w:tcPr>
            <w:tcW w:w="1134" w:type="dxa"/>
            <w:gridSpan w:val="2"/>
          </w:tcPr>
          <w:p>
            <w:pPr>
              <w:pStyle w:val="nTable"/>
              <w:spacing w:after="40"/>
              <w:rPr>
                <w:sz w:val="19"/>
              </w:rPr>
            </w:pPr>
            <w:r>
              <w:rPr>
                <w:sz w:val="19"/>
              </w:rPr>
              <w:t>1 Oct 2010</w:t>
            </w:r>
          </w:p>
        </w:tc>
        <w:tc>
          <w:tcPr>
            <w:tcW w:w="2551" w:type="dxa"/>
            <w:gridSpan w:val="2"/>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gridAfter w:val="1"/>
          <w:wAfter w:w="24" w:type="dxa"/>
          <w:cantSplit/>
        </w:trPr>
        <w:tc>
          <w:tcPr>
            <w:tcW w:w="2269" w:type="dxa"/>
            <w:gridSpan w:val="2"/>
            <w:shd w:val="clear" w:color="auto" w:fill="auto"/>
          </w:tcPr>
          <w:p>
            <w:pPr>
              <w:pStyle w:val="nTable"/>
              <w:spacing w:after="40"/>
              <w:rPr>
                <w:i/>
                <w:snapToGrid w:val="0"/>
                <w:sz w:val="19"/>
              </w:rPr>
            </w:pPr>
            <w:r>
              <w:rPr>
                <w:i/>
                <w:snapToGrid w:val="0"/>
                <w:sz w:val="19"/>
              </w:rPr>
              <w:t xml:space="preserve">Local Government Amendment Act 2012 </w:t>
            </w:r>
            <w:r>
              <w:rPr>
                <w:snapToGrid w:val="0"/>
                <w:sz w:val="19"/>
              </w:rPr>
              <w:t>Pt. 4 (s. 38-41)</w:t>
            </w:r>
          </w:p>
        </w:tc>
        <w:tc>
          <w:tcPr>
            <w:tcW w:w="1134" w:type="dxa"/>
            <w:gridSpan w:val="2"/>
            <w:shd w:val="clear" w:color="auto" w:fill="auto"/>
          </w:tcPr>
          <w:p>
            <w:pPr>
              <w:pStyle w:val="nTable"/>
              <w:spacing w:after="40"/>
              <w:rPr>
                <w:snapToGrid w:val="0"/>
                <w:sz w:val="19"/>
              </w:rPr>
            </w:pPr>
            <w:r>
              <w:rPr>
                <w:snapToGrid w:val="0"/>
                <w:sz w:val="19"/>
              </w:rPr>
              <w:t>2 of 2012</w:t>
            </w:r>
          </w:p>
        </w:tc>
        <w:tc>
          <w:tcPr>
            <w:tcW w:w="1134" w:type="dxa"/>
            <w:gridSpan w:val="2"/>
            <w:shd w:val="clear" w:color="auto" w:fill="auto"/>
          </w:tcPr>
          <w:p>
            <w:pPr>
              <w:pStyle w:val="nTable"/>
              <w:spacing w:after="40"/>
              <w:rPr>
                <w:sz w:val="19"/>
              </w:rPr>
            </w:pPr>
            <w:r>
              <w:rPr>
                <w:sz w:val="19"/>
              </w:rPr>
              <w:t>4 Apr 2012</w:t>
            </w:r>
          </w:p>
        </w:tc>
        <w:tc>
          <w:tcPr>
            <w:tcW w:w="2551" w:type="dxa"/>
            <w:gridSpan w:val="2"/>
            <w:shd w:val="clear" w:color="auto" w:fill="auto"/>
          </w:tcPr>
          <w:p>
            <w:pPr>
              <w:pStyle w:val="nTable"/>
              <w:spacing w:after="40"/>
              <w:rPr>
                <w:i/>
                <w:snapToGrid w:val="0"/>
                <w:sz w:val="19"/>
              </w:rPr>
            </w:pPr>
            <w:r>
              <w:rPr>
                <w:snapToGrid w:val="0"/>
                <w:sz w:val="19"/>
              </w:rPr>
              <w:t xml:space="preserve">s. 38, 40(a), (c) and 41 to the extent that it inserts s. 10(4)(c)(i): 21 Apr 2012 (see s. 2(b) and </w:t>
            </w:r>
            <w:r>
              <w:rPr>
                <w:i/>
                <w:snapToGrid w:val="0"/>
                <w:sz w:val="19"/>
              </w:rPr>
              <w:t>Gazette</w:t>
            </w:r>
            <w:r>
              <w:rPr>
                <w:snapToGrid w:val="0"/>
                <w:sz w:val="19"/>
              </w:rPr>
              <w:t xml:space="preserve"> 20 Apr 2012 p. 1695);</w:t>
            </w:r>
            <w:r>
              <w:rPr>
                <w:snapToGrid w:val="0"/>
                <w:sz w:val="19"/>
              </w:rPr>
              <w:br/>
              <w:t xml:space="preserve">s. 39, 40(b) and 41 to the extent that it inserts s. 10(4)(c)(ii): 9 Feb 2013 (see s. 2(b) and </w:t>
            </w:r>
            <w:r>
              <w:rPr>
                <w:i/>
                <w:snapToGrid w:val="0"/>
                <w:sz w:val="19"/>
              </w:rPr>
              <w:t xml:space="preserve">Gazette </w:t>
            </w:r>
            <w:r>
              <w:rPr>
                <w:snapToGrid w:val="0"/>
                <w:sz w:val="19"/>
              </w:rPr>
              <w:t>8 Feb 2013 p. 863)</w:t>
            </w:r>
          </w:p>
        </w:tc>
      </w:tr>
      <w:tr>
        <w:trPr>
          <w:gridAfter w:val="1"/>
          <w:wAfter w:w="24" w:type="dxa"/>
          <w:cantSplit/>
        </w:trPr>
        <w:tc>
          <w:tcPr>
            <w:tcW w:w="2269" w:type="dxa"/>
            <w:gridSpan w:val="2"/>
            <w:tcBorders>
              <w:bottom w:val="single" w:sz="4" w:space="0" w:color="auto"/>
            </w:tcBorders>
            <w:shd w:val="clear" w:color="auto" w:fill="auto"/>
          </w:tcPr>
          <w:p>
            <w:pPr>
              <w:pStyle w:val="nTable"/>
              <w:spacing w:after="40"/>
              <w:rPr>
                <w:i/>
                <w:snapToGrid w:val="0"/>
                <w:sz w:val="19"/>
              </w:rPr>
            </w:pPr>
            <w:r>
              <w:rPr>
                <w:i/>
                <w:sz w:val="19"/>
              </w:rPr>
              <w:t>Workforce Reform Act 2014</w:t>
            </w:r>
            <w:r>
              <w:rPr>
                <w:sz w:val="19"/>
              </w:rPr>
              <w:t xml:space="preserve"> Pt. 4</w:t>
            </w:r>
          </w:p>
        </w:tc>
        <w:tc>
          <w:tcPr>
            <w:tcW w:w="1134" w:type="dxa"/>
            <w:gridSpan w:val="2"/>
            <w:tcBorders>
              <w:bottom w:val="single" w:sz="4" w:space="0" w:color="auto"/>
            </w:tcBorders>
            <w:shd w:val="clear" w:color="auto" w:fill="auto"/>
          </w:tcPr>
          <w:p>
            <w:pPr>
              <w:pStyle w:val="nTable"/>
              <w:spacing w:after="40"/>
              <w:rPr>
                <w:snapToGrid w:val="0"/>
                <w:sz w:val="19"/>
              </w:rPr>
            </w:pPr>
            <w:r>
              <w:rPr>
                <w:sz w:val="19"/>
              </w:rPr>
              <w:t>8 of 2014</w:t>
            </w:r>
          </w:p>
        </w:tc>
        <w:tc>
          <w:tcPr>
            <w:tcW w:w="1134" w:type="dxa"/>
            <w:gridSpan w:val="2"/>
            <w:tcBorders>
              <w:bottom w:val="single" w:sz="4" w:space="0" w:color="auto"/>
            </w:tcBorders>
            <w:shd w:val="clear" w:color="auto" w:fill="auto"/>
          </w:tcPr>
          <w:p>
            <w:pPr>
              <w:pStyle w:val="nTable"/>
              <w:spacing w:after="40"/>
              <w:rPr>
                <w:sz w:val="19"/>
              </w:rPr>
            </w:pPr>
            <w:r>
              <w:rPr>
                <w:sz w:val="19"/>
              </w:rPr>
              <w:t>20 May 2014</w:t>
            </w:r>
          </w:p>
        </w:tc>
        <w:tc>
          <w:tcPr>
            <w:tcW w:w="2551" w:type="dxa"/>
            <w:gridSpan w:val="2"/>
            <w:tcBorders>
              <w:bottom w:val="single" w:sz="4" w:space="0" w:color="auto"/>
            </w:tcBorders>
            <w:shd w:val="clear" w:color="auto" w:fill="auto"/>
          </w:tcPr>
          <w:p>
            <w:pPr>
              <w:pStyle w:val="nTable"/>
              <w:spacing w:after="40"/>
              <w:rPr>
                <w:snapToGrid w:val="0"/>
                <w:sz w:val="19"/>
              </w:rPr>
            </w:pPr>
            <w:r>
              <w:rPr>
                <w:sz w:val="19"/>
              </w:rPr>
              <w:t xml:space="preserve">1 Jul 2014 (see s. 2(b) and </w:t>
            </w:r>
            <w:r>
              <w:rPr>
                <w:i/>
                <w:sz w:val="19"/>
              </w:rPr>
              <w:t>Gazette</w:t>
            </w:r>
            <w:r>
              <w:rPr>
                <w:sz w:val="19"/>
              </w:rPr>
              <w:t xml:space="preserve"> 27 Jun 2014 p. 2301)</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Subsection"/>
        <w:rPr>
          <w:snapToGrid w:val="0"/>
        </w:rPr>
      </w:pPr>
      <w:r>
        <w:rPr>
          <w:snapToGrid w:val="0"/>
          <w:vertAlign w:val="superscript"/>
        </w:rPr>
        <w:t>3</w:t>
      </w:r>
      <w:r>
        <w:rPr>
          <w:snapToGrid w:val="0"/>
        </w:rPr>
        <w:tab/>
        <w:t xml:space="preserve">Now see the </w:t>
      </w:r>
      <w:r>
        <w:rPr>
          <w:i/>
          <w:snapToGrid w:val="0"/>
        </w:rPr>
        <w:t>Interpretation Act 1984</w:t>
      </w:r>
      <w:r>
        <w:rPr>
          <w:iCs/>
          <w:snapToGrid w:val="0"/>
        </w:rPr>
        <w:t xml:space="preserve"> s. 52</w:t>
      </w:r>
      <w:r>
        <w:rPr>
          <w:snapToGrid w:val="0"/>
        </w:rPr>
        <w:t>.</w:t>
      </w:r>
    </w:p>
    <w:p>
      <w:pPr>
        <w:pStyle w:val="nSubsection"/>
        <w:keepNext/>
        <w:rPr>
          <w:snapToGrid w:val="0"/>
        </w:rPr>
      </w:pPr>
      <w:r>
        <w:rPr>
          <w:vertAlign w:val="superscript"/>
        </w:rPr>
        <w:t>4</w:t>
      </w:r>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Subsection"/>
      </w:pPr>
      <w:r>
        <w:rPr>
          <w:vertAlign w:val="superscript"/>
        </w:rPr>
        <w:t>5</w:t>
      </w:r>
      <w:r>
        <w:tab/>
        <w:t xml:space="preserve">Now known as the </w:t>
      </w:r>
      <w:r>
        <w:rPr>
          <w:i/>
        </w:rPr>
        <w:t>Salaries and Allowances Act 1975</w:t>
      </w:r>
      <w:r>
        <w:t>; short title changed (see note under s. 1).</w:t>
      </w:r>
    </w:p>
    <w:p>
      <w:pPr>
        <w:pStyle w:val="BlankClose"/>
        <w:rPr>
          <w:snapToGrid w:val="0"/>
        </w:rPr>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29" w:name="_Toc391901282"/>
      <w:r>
        <w:rPr>
          <w:sz w:val="28"/>
        </w:rPr>
        <w:t>Defined Terms</w:t>
      </w:r>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0" w:name="DefinedTerms"/>
      <w:bookmarkEnd w:id="30"/>
      <w:r>
        <w:t>Chairman</w:t>
      </w:r>
      <w:r>
        <w:tab/>
        <w:t>4(1)</w:t>
      </w:r>
    </w:p>
    <w:p>
      <w:pPr>
        <w:pStyle w:val="DefinedTerms"/>
      </w:pPr>
      <w:r>
        <w:t>elected council member</w:t>
      </w:r>
      <w:r>
        <w:tab/>
        <w:t>7B</w:t>
      </w:r>
    </w:p>
    <w:p>
      <w:pPr>
        <w:pStyle w:val="DefinedTerms"/>
      </w:pPr>
      <w:r>
        <w:t>former office entitlement</w:t>
      </w:r>
      <w:r>
        <w:tab/>
        <w:t>6C(1)</w:t>
      </w:r>
    </w:p>
    <w:p>
      <w:pPr>
        <w:pStyle w:val="DefinedTerms"/>
      </w:pPr>
      <w:r>
        <w:t>Government Financial Projections Statement</w:t>
      </w:r>
      <w:r>
        <w:tab/>
        <w:t>10A</w:t>
      </w:r>
    </w:p>
    <w:p>
      <w:pPr>
        <w:pStyle w:val="DefinedTerms"/>
      </w:pPr>
      <w:r>
        <w:t>holding public office</w:t>
      </w:r>
      <w:r>
        <w:tab/>
        <w:t>6C(1)</w:t>
      </w:r>
    </w:p>
    <w:p>
      <w:pPr>
        <w:pStyle w:val="DefinedTerms"/>
      </w:pPr>
      <w:r>
        <w:t>member</w:t>
      </w:r>
      <w:r>
        <w:tab/>
        <w:t>4(1)</w:t>
      </w:r>
    </w:p>
    <w:p>
      <w:pPr>
        <w:pStyle w:val="DefinedTerms"/>
      </w:pPr>
      <w:r>
        <w:t>Minister of the Crown</w:t>
      </w:r>
      <w:r>
        <w:tab/>
        <w:t>4(1)</w:t>
      </w:r>
    </w:p>
    <w:p>
      <w:pPr>
        <w:pStyle w:val="DefinedTerms"/>
      </w:pPr>
      <w:r>
        <w:t>Public Sector Wages Policy Statement</w:t>
      </w:r>
      <w:r>
        <w:tab/>
        <w:t>10A</w:t>
      </w:r>
    </w:p>
    <w:p>
      <w:pPr>
        <w:pStyle w:val="DefinedTerms"/>
      </w:pPr>
      <w:r>
        <w:t>remuneration</w:t>
      </w:r>
      <w:r>
        <w:tab/>
        <w:t>4(1)</w:t>
      </w:r>
    </w:p>
    <w:p>
      <w:pPr>
        <w:pStyle w:val="DefinedTerms"/>
      </w:pPr>
      <w:r>
        <w:t>Schedule 1 offence</w:t>
      </w:r>
      <w:r>
        <w:tab/>
        <w:t>6C(1)</w:t>
      </w:r>
    </w:p>
    <w:p>
      <w:pPr>
        <w:pStyle w:val="DefinedTerms"/>
      </w:pPr>
      <w:r>
        <w:t>section</w:t>
      </w:r>
      <w:r>
        <w:tab/>
        <w:t>4(1)</w:t>
      </w:r>
    </w:p>
    <w:p>
      <w:pPr>
        <w:pStyle w:val="DefinedTerms"/>
      </w:pPr>
      <w:r>
        <w:t>the fresh election</w:t>
      </w:r>
      <w:r>
        <w:tab/>
        <w:t>6(5b)(b)</w:t>
      </w:r>
    </w:p>
    <w:p>
      <w:pPr>
        <w:pStyle w:val="DefinedTerms"/>
      </w:pPr>
      <w:r>
        <w:t>Tribunal</w:t>
      </w:r>
      <w:r>
        <w:tab/>
        <w:t>4(1)</w:t>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05-i0-01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05-i0-01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05-i0-01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05-i0-01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05-i0-01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05-i0-01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05-i0-01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05-i0-01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05-i0-01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Salaries and Allowances Act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rPr>
              <w:noProof/>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Salaries and Allowances Act 1975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Salaries and Allowances Act 1975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82823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372B85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4"/>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30104013"/>
    <w:docVar w:name="WAFER_20140115152853" w:val="RemoveTocBookmarks,RemoveUnusedBookmarks,RemoveLanguageTags,UsedStyles,ResetPageSize,UpdateArrangement"/>
    <w:docVar w:name="WAFER_20140115152853_GUID" w:val="9421f146-8649-461a-baad-f74b3324ad31"/>
    <w:docVar w:name="WAFER_20140115160148" w:val="RemoveTocBookmarks,RunningHeaders"/>
    <w:docVar w:name="WAFER_20140115160148_GUID" w:val="829f7262-d7b5-4fe6-adf5-945624fe9421"/>
    <w:docVar w:name="WAFER_20140630104013" w:val="RemoveTocBookmarks,RemoveUnusedBookmarks,RemoveLanguageTags,UsedStyles,ResetPageSize,UpdateArrangement"/>
    <w:docVar w:name="WAFER_20140630104013_GUID" w:val="ce5497ef-f591-464c-83b1-9fc4de5334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32</Pages>
  <Words>7305</Words>
  <Characters>33896</Characters>
  <Application>Microsoft Office Word</Application>
  <DocSecurity>0</DocSecurity>
  <Lines>1059</Lines>
  <Paragraphs>580</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40621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1975 - 05-i0-01</dc:title>
  <dc:subject/>
  <dc:creator/>
  <cp:keywords/>
  <dc:description/>
  <cp:lastModifiedBy>svcMRProcess</cp:lastModifiedBy>
  <cp:revision>4</cp:revision>
  <cp:lastPrinted>2010-06-23T03:13:00Z</cp:lastPrinted>
  <dcterms:created xsi:type="dcterms:W3CDTF">2018-09-07T20:57:00Z</dcterms:created>
  <dcterms:modified xsi:type="dcterms:W3CDTF">2018-09-07T20:58:00Z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CommencementDate">
    <vt:lpwstr>20140701</vt:lpwstr>
  </property>
  <property fmtid="{D5CDD505-2E9C-101B-9397-08002B2CF9AE}" pid="4" name="DocumentType">
    <vt:lpwstr>Act</vt:lpwstr>
  </property>
  <property fmtid="{D5CDD505-2E9C-101B-9397-08002B2CF9AE}" pid="5" name="OwlsUID">
    <vt:i4>725</vt:i4>
  </property>
  <property fmtid="{D5CDD505-2E9C-101B-9397-08002B2CF9AE}" pid="6" name="AsAtDate">
    <vt:lpwstr>01 Jul 2014</vt:lpwstr>
  </property>
  <property fmtid="{D5CDD505-2E9C-101B-9397-08002B2CF9AE}" pid="7" name="Suffix">
    <vt:lpwstr>05-i0-01</vt:lpwstr>
  </property>
  <property fmtid="{D5CDD505-2E9C-101B-9397-08002B2CF9AE}" pid="8" name="ReprintNo">
    <vt:lpwstr>5</vt:lpwstr>
  </property>
</Properties>
</file>