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(Medical and Other Expenses for Former Officers)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_Toc424284265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_Toc424284266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_Toc424284267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to pay amounts for medical and other expenses</w:t>
      </w:r>
    </w:p>
    <w:p>
      <w:pPr>
        <w:pStyle w:val="TOC8"/>
        <w:rPr>
          <w:rFonts w:asciiTheme="minorHAnsi" w:eastAsiaTheme="minorEastAsia" w:hAnsiTheme="minorHAnsi" w:cstheme="minorBidi"/>
          <w:szCs w:val="22"/>
        </w:rPr>
      </w:pPr>
      <w:r>
        <w:t>4.</w:t>
      </w:r>
      <w:r>
        <w:tab/>
        <w:t>Police Commissioner liable</w:t>
      </w:r>
      <w:r>
        <w:tab/>
      </w:r>
      <w:r>
        <w:fldChar w:fldCharType="begin"/>
      </w:r>
      <w:r>
        <w:instrText xml:space="preserve"> PAGEREF _Toc424284269 \h </w:instrText>
      </w:r>
      <w:r>
        <w:fldChar w:fldCharType="separate"/>
      </w:r>
      <w:r>
        <w:t>4</w:t>
      </w:r>
      <w:r>
        <w:fldChar w:fldCharType="end"/>
      </w:r>
    </w:p>
    <w:p>
      <w:pPr>
        <w:pStyle w:val="TOC8"/>
        <w:rPr>
          <w:rFonts w:asciiTheme="minorHAnsi" w:eastAsiaTheme="minorEastAsia" w:hAnsiTheme="minorHAnsi" w:cstheme="minorBidi"/>
          <w:szCs w:val="22"/>
        </w:rPr>
      </w:pPr>
      <w:r>
        <w:t>5.</w:t>
      </w:r>
      <w:r>
        <w:tab/>
        <w:t>Calculating amount payable</w:t>
      </w:r>
      <w:r>
        <w:tab/>
      </w:r>
      <w:r>
        <w:fldChar w:fldCharType="begin"/>
      </w:r>
      <w:r>
        <w:instrText xml:space="preserve"> PAGEREF _Toc424284270 \h </w:instrText>
      </w:r>
      <w:r>
        <w:fldChar w:fldCharType="separate"/>
      </w:r>
      <w:r>
        <w:t>4</w:t>
      </w:r>
      <w:r>
        <w:fldChar w:fldCharType="end"/>
      </w:r>
    </w:p>
    <w:p>
      <w:pPr>
        <w:pStyle w:val="TOC8"/>
        <w:rPr>
          <w:rFonts w:asciiTheme="minorHAnsi" w:eastAsiaTheme="minorEastAsia" w:hAnsiTheme="minorHAnsi" w:cstheme="minorBidi"/>
          <w:szCs w:val="22"/>
        </w:rPr>
      </w:pPr>
      <w:r>
        <w:t>6.</w:t>
      </w:r>
      <w:r>
        <w:tab/>
        <w:t>Person not to be paid twice</w:t>
      </w:r>
      <w:r>
        <w:tab/>
      </w:r>
      <w:r>
        <w:fldChar w:fldCharType="begin"/>
      </w:r>
      <w:r>
        <w:instrText xml:space="preserve"> PAGEREF _Toc424284271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Dispute resolution</w:t>
      </w:r>
    </w:p>
    <w:p>
      <w:pPr>
        <w:pStyle w:val="TOC8"/>
        <w:rPr>
          <w:rFonts w:asciiTheme="minorHAnsi" w:eastAsiaTheme="minorEastAsia" w:hAnsiTheme="minorHAnsi" w:cstheme="minorBidi"/>
          <w:szCs w:val="22"/>
        </w:rPr>
      </w:pPr>
      <w:r>
        <w:t>7.</w:t>
      </w:r>
      <w:r>
        <w:tab/>
        <w:t>Procedure under WC&amp;IM Act applies</w:t>
      </w:r>
      <w:r>
        <w:tab/>
      </w:r>
      <w:r>
        <w:fldChar w:fldCharType="begin"/>
      </w:r>
      <w:r>
        <w:instrText xml:space="preserve"> PAGEREF _Toc424284273 \h </w:instrText>
      </w:r>
      <w:r>
        <w:fldChar w:fldCharType="separate"/>
      </w:r>
      <w:r>
        <w:t>6</w:t>
      </w:r>
      <w:r>
        <w:fldChar w:fldCharType="end"/>
      </w:r>
    </w:p>
    <w:p>
      <w:pPr>
        <w:pStyle w:val="TOC8"/>
        <w:rPr>
          <w:rFonts w:asciiTheme="minorHAnsi" w:eastAsiaTheme="minorEastAsia" w:hAnsiTheme="minorHAnsi" w:cstheme="minorBidi"/>
          <w:szCs w:val="22"/>
        </w:rPr>
      </w:pPr>
      <w:r>
        <w:t>8.</w:t>
      </w:r>
      <w:r>
        <w:tab/>
        <w:t>Time limits under WC&amp;IM Act do not apply</w:t>
      </w:r>
      <w:r>
        <w:tab/>
      </w:r>
      <w:r>
        <w:fldChar w:fldCharType="begin"/>
      </w:r>
      <w:r>
        <w:instrText xml:space="preserve"> PAGEREF _Toc424284274 \h </w:instrText>
      </w:r>
      <w:r>
        <w:fldChar w:fldCharType="separate"/>
      </w:r>
      <w:r>
        <w:t>6</w:t>
      </w:r>
      <w:r>
        <w:fldChar w:fldCharType="end"/>
      </w:r>
    </w:p>
    <w:p>
      <w:pPr>
        <w:pStyle w:val="TOC8"/>
        <w:rPr>
          <w:rFonts w:asciiTheme="minorHAnsi" w:eastAsiaTheme="minorEastAsia" w:hAnsiTheme="minorHAnsi" w:cstheme="minorBidi"/>
          <w:szCs w:val="22"/>
        </w:rPr>
      </w:pPr>
      <w:r>
        <w:t>9.</w:t>
      </w:r>
      <w:r>
        <w:tab/>
        <w:t>Arbitrator’s decision not final for other proceedings</w:t>
      </w:r>
      <w:r>
        <w:tab/>
      </w:r>
      <w:r>
        <w:fldChar w:fldCharType="begin"/>
      </w:r>
      <w:r>
        <w:instrText xml:space="preserve"> PAGEREF _Toc424284275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Claims management</w:t>
      </w:r>
    </w:p>
    <w:p>
      <w:pPr>
        <w:pStyle w:val="TOC8"/>
        <w:rPr>
          <w:rFonts w:asciiTheme="minorHAnsi" w:eastAsiaTheme="minorEastAsia" w:hAnsiTheme="minorHAnsi" w:cstheme="minorBidi"/>
          <w:szCs w:val="22"/>
        </w:rPr>
      </w:pPr>
      <w:r>
        <w:t>10.</w:t>
      </w:r>
      <w:r>
        <w:tab/>
        <w:t>Terms used in this Part</w:t>
      </w:r>
      <w:r>
        <w:tab/>
      </w:r>
      <w:r>
        <w:fldChar w:fldCharType="begin"/>
      </w:r>
      <w:r>
        <w:instrText xml:space="preserve"> PAGEREF _Toc424284277 \h </w:instrText>
      </w:r>
      <w:r>
        <w:fldChar w:fldCharType="separate"/>
      </w:r>
      <w:r>
        <w:t>7</w:t>
      </w:r>
      <w:r>
        <w:fldChar w:fldCharType="end"/>
      </w:r>
    </w:p>
    <w:p>
      <w:pPr>
        <w:pStyle w:val="TOC8"/>
        <w:rPr>
          <w:rFonts w:asciiTheme="minorHAnsi" w:eastAsiaTheme="minorEastAsia" w:hAnsiTheme="minorHAnsi" w:cstheme="minorBidi"/>
          <w:szCs w:val="22"/>
        </w:rPr>
      </w:pPr>
      <w:r>
        <w:t>11.</w:t>
      </w:r>
      <w:r>
        <w:tab/>
        <w:t>Insurance Commission to manage claims for first 3 years</w:t>
      </w:r>
      <w:r>
        <w:tab/>
      </w:r>
      <w:r>
        <w:fldChar w:fldCharType="begin"/>
      </w:r>
      <w:r>
        <w:instrText xml:space="preserve"> PAGEREF _Toc424284278 \h </w:instrText>
      </w:r>
      <w:r>
        <w:fldChar w:fldCharType="separate"/>
      </w:r>
      <w:r>
        <w:t>7</w:t>
      </w:r>
      <w:r>
        <w:fldChar w:fldCharType="end"/>
      </w:r>
    </w:p>
    <w:p>
      <w:pPr>
        <w:pStyle w:val="TOC8"/>
        <w:rPr>
          <w:rFonts w:asciiTheme="minorHAnsi" w:eastAsiaTheme="minorEastAsia" w:hAnsiTheme="minorHAnsi" w:cstheme="minorBidi"/>
          <w:szCs w:val="22"/>
        </w:rPr>
      </w:pPr>
      <w:r>
        <w:t>12.</w:t>
      </w:r>
      <w:r>
        <w:tab/>
        <w:t>Management of claims after first 3 years</w:t>
      </w:r>
      <w:r>
        <w:tab/>
      </w:r>
      <w:r>
        <w:fldChar w:fldCharType="begin"/>
      </w:r>
      <w:r>
        <w:instrText xml:space="preserve"> PAGEREF _Toc424284279 \h </w:instrText>
      </w:r>
      <w:r>
        <w:fldChar w:fldCharType="separate"/>
      </w:r>
      <w:r>
        <w:t>7</w:t>
      </w:r>
      <w:r>
        <w:fldChar w:fldCharType="end"/>
      </w:r>
    </w:p>
    <w:p>
      <w:pPr>
        <w:pStyle w:val="TOC8"/>
        <w:rPr>
          <w:rFonts w:asciiTheme="minorHAnsi" w:eastAsiaTheme="minorEastAsia" w:hAnsiTheme="minorHAnsi" w:cstheme="minorBidi"/>
          <w:szCs w:val="22"/>
        </w:rPr>
      </w:pPr>
      <w:r>
        <w:t>13.</w:t>
      </w:r>
      <w:r>
        <w:tab/>
        <w:t>Police Commissioner is public authority</w:t>
      </w:r>
      <w:r>
        <w:tab/>
      </w:r>
      <w:r>
        <w:fldChar w:fldCharType="begin"/>
      </w:r>
      <w:r>
        <w:instrText xml:space="preserve"> PAGEREF _Toc424284280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14.</w:t>
      </w:r>
      <w:r>
        <w:tab/>
        <w:t>Appropriate changes to WC&amp;IM Act</w:t>
      </w:r>
      <w:r>
        <w:tab/>
      </w:r>
      <w:r>
        <w:fldChar w:fldCharType="begin"/>
      </w:r>
      <w:r>
        <w:instrText xml:space="preserve"> PAGEREF _Toc424284282 \h </w:instrText>
      </w:r>
      <w:r>
        <w:fldChar w:fldCharType="separate"/>
      </w:r>
      <w:r>
        <w:t>9</w:t>
      </w:r>
      <w:r>
        <w:fldChar w:fldCharType="end"/>
      </w:r>
    </w:p>
    <w:p>
      <w:pPr>
        <w:pStyle w:val="TOC8"/>
        <w:rPr>
          <w:rFonts w:asciiTheme="minorHAnsi" w:eastAsiaTheme="minorEastAsia" w:hAnsiTheme="minorHAnsi" w:cstheme="minorBidi"/>
          <w:szCs w:val="22"/>
        </w:rPr>
      </w:pPr>
      <w:r>
        <w:t>15.</w:t>
      </w:r>
      <w:r>
        <w:tab/>
        <w:t>Regulations</w:t>
      </w:r>
      <w:r>
        <w:tab/>
      </w:r>
      <w:r>
        <w:fldChar w:fldCharType="begin"/>
      </w:r>
      <w:r>
        <w:instrText xml:space="preserve"> PAGEREF _Toc424284283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_Toc424284285 \h </w:instrText>
      </w:r>
      <w:r>
        <w:fldChar w:fldCharType="separate"/>
      </w:r>
      <w:r>
        <w:t>10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_Toc424284286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Police (Medical and Other Expenses for Former Officers) Act 2008</w:t>
      </w:r>
    </w:p>
    <w:p>
      <w:pPr>
        <w:pStyle w:val="LongTitle"/>
        <w:suppressLineNumbers/>
        <w:rPr>
          <w:snapToGrid w:val="0"/>
        </w:rPr>
      </w:pPr>
      <w:bookmarkStart w:id="3" w:name="BillCited"/>
      <w:bookmarkEnd w:id="3"/>
      <w:r>
        <w:rPr>
          <w:snapToGrid w:val="0"/>
        </w:rPr>
        <w:t xml:space="preserve">An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Heading2"/>
      </w:pPr>
      <w:bookmarkStart w:id="4" w:name="_Toc392244995"/>
      <w:bookmarkStart w:id="5" w:name="_Toc424284264"/>
      <w:r>
        <w:rPr>
          <w:rStyle w:val="CharPartNo"/>
        </w:rPr>
        <w:t>Part 1</w:t>
      </w:r>
      <w:r>
        <w:rPr>
          <w:rStyle w:val="CharDivNo"/>
        </w:rPr>
        <w:t> </w:t>
      </w:r>
      <w:r>
        <w:t>—</w:t>
      </w:r>
      <w:r>
        <w:rPr>
          <w:rStyle w:val="CharDivText"/>
        </w:rPr>
        <w:t> </w:t>
      </w:r>
      <w:r>
        <w:rPr>
          <w:rStyle w:val="CharPartText"/>
        </w:rPr>
        <w:t>Preliminary matters</w:t>
      </w:r>
      <w:bookmarkEnd w:id="4"/>
      <w:bookmarkEnd w:id="5"/>
    </w:p>
    <w:p>
      <w:pPr>
        <w:pStyle w:val="Heading5"/>
      </w:pPr>
      <w:bookmarkStart w:id="6" w:name="_Toc392244996"/>
      <w:bookmarkStart w:id="7" w:name="_Toc424284265"/>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8" w:name="_Toc392244997"/>
      <w:bookmarkStart w:id="9" w:name="_Toc424284266"/>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392244998"/>
      <w:bookmarkStart w:id="11" w:name="_Toc424284267"/>
      <w:r>
        <w:rPr>
          <w:rStyle w:val="CharSectno"/>
        </w:rPr>
        <w:t>3</w:t>
      </w:r>
      <w:r>
        <w:t>.</w:t>
      </w:r>
      <w:r>
        <w:tab/>
        <w:t>Terms used in this Act</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to the WC&amp;IM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rPr>
          <w:b/>
        </w:rPr>
        <w:tab/>
      </w:r>
      <w:r>
        <w:rPr>
          <w:rStyle w:val="CharDefText"/>
        </w:rPr>
        <w:t>injury</w:t>
      </w:r>
      <w:r>
        <w:t xml:space="preserve"> has the meaning given in the WC&amp;IM Act section 5(1);</w:t>
      </w:r>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rPr>
          <w:iCs/>
        </w:rPr>
      </w:pPr>
      <w:r>
        <w:rPr>
          <w:b/>
        </w:rPr>
        <w:tab/>
      </w:r>
      <w:r>
        <w:rPr>
          <w:rStyle w:val="CharDefText"/>
        </w:rPr>
        <w:t>WC&amp;IM Act</w:t>
      </w:r>
      <w:r>
        <w:t xml:space="preserve"> means the </w:t>
      </w:r>
      <w:r>
        <w:rPr>
          <w:i/>
        </w:rPr>
        <w:t>Workers’ Compensation and Injury Management Act 1981</w:t>
      </w:r>
      <w:r>
        <w:rPr>
          <w:iCs/>
        </w:rPr>
        <w:t>.</w:t>
      </w:r>
    </w:p>
    <w:p>
      <w:pPr>
        <w:pStyle w:val="Subsection"/>
        <w:keepNext/>
        <w:keepLines/>
      </w:pPr>
      <w:r>
        <w:tab/>
        <w:t>(2)</w:t>
      </w:r>
      <w:r>
        <w:tab/>
        <w:t xml:space="preserve">For the purpose of applying a provision of the WC&amp;IM Act under this Act — </w:t>
      </w:r>
    </w:p>
    <w:p>
      <w:pPr>
        <w:pStyle w:val="Indenta"/>
      </w:pPr>
      <w:r>
        <w:tab/>
        <w:t>(a)</w:t>
      </w:r>
      <w:r>
        <w:tab/>
        <w:t>a reference in the WC&amp;IM Act to a worker is read as a reference to a former officer; and</w:t>
      </w:r>
    </w:p>
    <w:p>
      <w:pPr>
        <w:pStyle w:val="Indenta"/>
      </w:pPr>
      <w:r>
        <w:tab/>
        <w:t>(b)</w:t>
      </w:r>
      <w:r>
        <w:tab/>
        <w:t>a reference in the WC&amp;IM Act to a worker’s employer is read as a reference to the Police Commissioner; and</w:t>
      </w:r>
    </w:p>
    <w:p>
      <w:pPr>
        <w:pStyle w:val="Indenta"/>
      </w:pPr>
      <w:r>
        <w:tab/>
        <w:t>(c)</w:t>
      </w:r>
      <w:r>
        <w:tab/>
        <w:t>a reference in the WC&amp;IM Act to a worker’s employment is read as a reference to a former officer’s employment as a police officer or APLO.</w:t>
      </w:r>
    </w:p>
    <w:p>
      <w:pPr>
        <w:pStyle w:val="Heading2"/>
      </w:pPr>
      <w:bookmarkStart w:id="12" w:name="_Toc392244999"/>
      <w:bookmarkStart w:id="13" w:name="_Toc424284268"/>
      <w:r>
        <w:rPr>
          <w:rStyle w:val="CharPartNo"/>
        </w:rPr>
        <w:t>Part 2</w:t>
      </w:r>
      <w:r>
        <w:rPr>
          <w:rStyle w:val="CharDivNo"/>
        </w:rPr>
        <w:t> </w:t>
      </w:r>
      <w:r>
        <w:t>—</w:t>
      </w:r>
      <w:r>
        <w:rPr>
          <w:rStyle w:val="CharDivText"/>
        </w:rPr>
        <w:t> </w:t>
      </w:r>
      <w:r>
        <w:rPr>
          <w:rStyle w:val="CharPartText"/>
        </w:rPr>
        <w:t>Liability to pay amounts for medical and other expenses</w:t>
      </w:r>
      <w:bookmarkEnd w:id="12"/>
      <w:bookmarkEnd w:id="13"/>
    </w:p>
    <w:p>
      <w:pPr>
        <w:pStyle w:val="Heading5"/>
      </w:pPr>
      <w:bookmarkStart w:id="14" w:name="_Toc392245000"/>
      <w:bookmarkStart w:id="15" w:name="_Toc424284269"/>
      <w:r>
        <w:rPr>
          <w:rStyle w:val="CharSectno"/>
        </w:rPr>
        <w:t>4</w:t>
      </w:r>
      <w:r>
        <w:t>.</w:t>
      </w:r>
      <w:r>
        <w:tab/>
        <w:t>Police Commissioner liable</w:t>
      </w:r>
      <w:bookmarkEnd w:id="14"/>
      <w:bookmarkEnd w:id="15"/>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r>
        <w:rPr>
          <w:i/>
          <w:iCs/>
        </w:rPr>
        <w:t>Poisons Act 1964</w:t>
      </w:r>
      <w:r>
        <w:t xml:space="preserve"> section 5(1),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Heading5"/>
      </w:pPr>
      <w:bookmarkStart w:id="16" w:name="_Toc392245001"/>
      <w:bookmarkStart w:id="17" w:name="_Toc424284270"/>
      <w:r>
        <w:rPr>
          <w:rStyle w:val="CharSectno"/>
        </w:rPr>
        <w:t>5</w:t>
      </w:r>
      <w:r>
        <w:t>.</w:t>
      </w:r>
      <w:r>
        <w:tab/>
        <w:t>Calculating amount payable</w:t>
      </w:r>
      <w:bookmarkEnd w:id="16"/>
      <w:bookmarkEnd w:id="17"/>
    </w:p>
    <w:p>
      <w:pPr>
        <w:pStyle w:val="Subsection"/>
      </w:pPr>
      <w:r>
        <w:tab/>
        <w:t>(1)</w:t>
      </w:r>
      <w:r>
        <w:tab/>
        <w:t>The amount payable under section 4(1) is calculated in accordance with the WC&amp;IM Act Schedule 1 clause 17 (other than subclauses (1aa), (1a) and (6)) and clause 19, and that Act (with the appropriate changes) applies accordingly.</w:t>
      </w:r>
    </w:p>
    <w:p>
      <w:pPr>
        <w:pStyle w:val="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Heading5"/>
      </w:pPr>
      <w:bookmarkStart w:id="18" w:name="_Toc392245002"/>
      <w:bookmarkStart w:id="19" w:name="_Toc424284271"/>
      <w:r>
        <w:rPr>
          <w:rStyle w:val="CharSectno"/>
        </w:rPr>
        <w:t>6</w:t>
      </w:r>
      <w:r>
        <w:t>.</w:t>
      </w:r>
      <w:r>
        <w:tab/>
        <w:t>Person not to be paid twice</w:t>
      </w:r>
      <w:bookmarkEnd w:id="18"/>
      <w:bookmarkEnd w:id="19"/>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tab/>
        <w:t>(3)</w:t>
      </w:r>
      <w:r>
        <w:tab/>
        <w:t xml:space="preserve">The amount recoverable under subsection (2) is the lesser of — </w:t>
      </w:r>
    </w:p>
    <w:p>
      <w:pPr>
        <w:pStyle w:val="Indenta"/>
      </w:pPr>
      <w:r>
        <w:tab/>
        <w:t>(a)</w:t>
      </w:r>
      <w:r>
        <w:tab/>
        <w:t>the amount paid under section 4(1); and</w:t>
      </w:r>
    </w:p>
    <w:p>
      <w:pPr>
        <w:pStyle w:val="Indenta"/>
      </w:pPr>
      <w:r>
        <w:tab/>
        <w:t>(b)</w:t>
      </w:r>
      <w:r>
        <w:tab/>
        <w:t>the amount received or for which judgment was obtained.</w:t>
      </w:r>
    </w:p>
    <w:p>
      <w:pPr>
        <w:pStyle w:val="Heading2"/>
      </w:pPr>
      <w:bookmarkStart w:id="20" w:name="_Toc392245003"/>
      <w:bookmarkStart w:id="21" w:name="_Toc424284272"/>
      <w:r>
        <w:rPr>
          <w:rStyle w:val="CharPartNo"/>
        </w:rPr>
        <w:t>Part 3</w:t>
      </w:r>
      <w:r>
        <w:rPr>
          <w:rStyle w:val="CharDivNo"/>
        </w:rPr>
        <w:t> </w:t>
      </w:r>
      <w:r>
        <w:t>—</w:t>
      </w:r>
      <w:r>
        <w:rPr>
          <w:rStyle w:val="CharDivText"/>
        </w:rPr>
        <w:t> </w:t>
      </w:r>
      <w:r>
        <w:rPr>
          <w:rStyle w:val="CharPartText"/>
        </w:rPr>
        <w:t>Dispute resolution</w:t>
      </w:r>
      <w:bookmarkEnd w:id="20"/>
      <w:bookmarkEnd w:id="21"/>
    </w:p>
    <w:p>
      <w:pPr>
        <w:pStyle w:val="Heading5"/>
      </w:pPr>
      <w:bookmarkStart w:id="22" w:name="_Toc392245004"/>
      <w:bookmarkStart w:id="23" w:name="_Toc424284273"/>
      <w:r>
        <w:rPr>
          <w:rStyle w:val="CharSectno"/>
        </w:rPr>
        <w:t>7</w:t>
      </w:r>
      <w:r>
        <w:t>.</w:t>
      </w:r>
      <w:r>
        <w:tab/>
        <w:t>Procedure under WC&amp;IM Act applies</w:t>
      </w:r>
      <w:bookmarkEnd w:id="22"/>
      <w:bookmarkEnd w:id="23"/>
    </w:p>
    <w:p>
      <w:pPr>
        <w:pStyle w:val="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pPr>
        <w:pStyle w:val="Heading5"/>
      </w:pPr>
      <w:bookmarkStart w:id="24" w:name="_Toc392245005"/>
      <w:bookmarkStart w:id="25" w:name="_Toc424284274"/>
      <w:r>
        <w:rPr>
          <w:rStyle w:val="CharSectno"/>
        </w:rPr>
        <w:t>8</w:t>
      </w:r>
      <w:r>
        <w:t>.</w:t>
      </w:r>
      <w:r>
        <w:tab/>
        <w:t>Time limits under WC&amp;IM Act do not apply</w:t>
      </w:r>
      <w:bookmarkEnd w:id="24"/>
      <w:bookmarkEnd w:id="25"/>
    </w:p>
    <w:p>
      <w:pPr>
        <w:pStyle w:val="Subsection"/>
      </w:pPr>
      <w:r>
        <w:tab/>
      </w:r>
      <w:r>
        <w:tab/>
        <w:t xml:space="preserve">Despite section 7, the following provisions of the WC&amp;IM Act do not apply in relation to a claim or the recovery of an amount under section 4(1) — </w:t>
      </w:r>
    </w:p>
    <w:p>
      <w:pPr>
        <w:pStyle w:val="Indenta"/>
      </w:pPr>
      <w:r>
        <w:tab/>
        <w:t>(a)</w:t>
      </w:r>
      <w:r>
        <w:tab/>
        <w:t>sections 178(1)(b), 231(2)(a) and 241(2)(a);</w:t>
      </w:r>
    </w:p>
    <w:p>
      <w:pPr>
        <w:pStyle w:val="Indenta"/>
      </w:pPr>
      <w:r>
        <w:tab/>
        <w:t>(b)</w:t>
      </w:r>
      <w:r>
        <w:tab/>
        <w:t>Schedule 1 clause 18B.</w:t>
      </w:r>
    </w:p>
    <w:p>
      <w:pPr>
        <w:pStyle w:val="Heading5"/>
      </w:pPr>
      <w:bookmarkStart w:id="26" w:name="_Toc392245006"/>
      <w:bookmarkStart w:id="27" w:name="_Toc424284275"/>
      <w:r>
        <w:rPr>
          <w:rStyle w:val="CharSectno"/>
        </w:rPr>
        <w:t>9</w:t>
      </w:r>
      <w:r>
        <w:t>.</w:t>
      </w:r>
      <w:r>
        <w:tab/>
        <w:t>Arbitrator’s decision not final for other proceedings</w:t>
      </w:r>
      <w:bookmarkEnd w:id="26"/>
      <w:bookmarkEnd w:id="27"/>
    </w:p>
    <w:p>
      <w:pPr>
        <w:pStyle w:val="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pPr>
        <w:pStyle w:val="Heading2"/>
      </w:pPr>
      <w:bookmarkStart w:id="28" w:name="_Toc392245007"/>
      <w:bookmarkStart w:id="29" w:name="_Toc424284276"/>
      <w:r>
        <w:rPr>
          <w:rStyle w:val="CharPartNo"/>
        </w:rPr>
        <w:t>Part 4</w:t>
      </w:r>
      <w:r>
        <w:rPr>
          <w:rStyle w:val="CharDivNo"/>
        </w:rPr>
        <w:t> </w:t>
      </w:r>
      <w:r>
        <w:t>—</w:t>
      </w:r>
      <w:r>
        <w:rPr>
          <w:rStyle w:val="CharDivText"/>
        </w:rPr>
        <w:t> </w:t>
      </w:r>
      <w:r>
        <w:rPr>
          <w:rStyle w:val="CharPartText"/>
        </w:rPr>
        <w:t>Claims management</w:t>
      </w:r>
      <w:bookmarkEnd w:id="28"/>
      <w:bookmarkEnd w:id="29"/>
    </w:p>
    <w:p>
      <w:pPr>
        <w:pStyle w:val="Heading5"/>
      </w:pPr>
      <w:bookmarkStart w:id="30" w:name="_Toc392245008"/>
      <w:bookmarkStart w:id="31" w:name="_Toc424284277"/>
      <w:r>
        <w:rPr>
          <w:rStyle w:val="CharSectno"/>
        </w:rPr>
        <w:t>10</w:t>
      </w:r>
      <w:r>
        <w:t>.</w:t>
      </w:r>
      <w:r>
        <w:tab/>
        <w:t>Terms used in this Part</w:t>
      </w:r>
      <w:bookmarkEnd w:id="30"/>
      <w:bookmarkEnd w:id="31"/>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32" w:name="_Toc392245009"/>
      <w:bookmarkStart w:id="33" w:name="_Toc424284278"/>
      <w:r>
        <w:rPr>
          <w:rStyle w:val="CharSectno"/>
        </w:rPr>
        <w:t>11</w:t>
      </w:r>
      <w:r>
        <w:t>.</w:t>
      </w:r>
      <w:r>
        <w:tab/>
        <w:t>Insurance Commission to manage claims for first 3 years</w:t>
      </w:r>
      <w:bookmarkEnd w:id="32"/>
      <w:bookmarkEnd w:id="33"/>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34" w:name="_Toc392245010"/>
      <w:bookmarkStart w:id="35" w:name="_Toc424284279"/>
      <w:r>
        <w:rPr>
          <w:rStyle w:val="CharSectno"/>
        </w:rPr>
        <w:t>12</w:t>
      </w:r>
      <w:r>
        <w:t>.</w:t>
      </w:r>
      <w:r>
        <w:tab/>
        <w:t>Management of claims after first 3 years</w:t>
      </w:r>
      <w:bookmarkEnd w:id="34"/>
      <w:bookmarkEnd w:id="35"/>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36" w:name="_Toc392245011"/>
      <w:bookmarkStart w:id="37" w:name="_Toc424284280"/>
      <w:r>
        <w:rPr>
          <w:rStyle w:val="CharSectno"/>
        </w:rPr>
        <w:t>13</w:t>
      </w:r>
      <w:r>
        <w:t>.</w:t>
      </w:r>
      <w:r>
        <w:tab/>
        <w:t>Police Commissioner is public authority</w:t>
      </w:r>
      <w:bookmarkEnd w:id="36"/>
      <w:bookmarkEnd w:id="37"/>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38" w:name="_Toc392245012"/>
      <w:bookmarkStart w:id="39" w:name="_Toc424284281"/>
      <w:r>
        <w:rPr>
          <w:rStyle w:val="CharPartNo"/>
        </w:rPr>
        <w:t>Part 5</w:t>
      </w:r>
      <w:r>
        <w:rPr>
          <w:rStyle w:val="CharDivNo"/>
        </w:rPr>
        <w:t> </w:t>
      </w:r>
      <w:r>
        <w:t>—</w:t>
      </w:r>
      <w:r>
        <w:rPr>
          <w:rStyle w:val="CharDivText"/>
        </w:rPr>
        <w:t> </w:t>
      </w:r>
      <w:r>
        <w:rPr>
          <w:rStyle w:val="CharPartText"/>
        </w:rPr>
        <w:t>Miscellaneous matters</w:t>
      </w:r>
      <w:bookmarkEnd w:id="38"/>
      <w:bookmarkEnd w:id="39"/>
    </w:p>
    <w:p>
      <w:pPr>
        <w:pStyle w:val="Heading5"/>
      </w:pPr>
      <w:bookmarkStart w:id="40" w:name="_Toc392245013"/>
      <w:bookmarkStart w:id="41" w:name="_Toc424284282"/>
      <w:r>
        <w:rPr>
          <w:rStyle w:val="CharSectno"/>
        </w:rPr>
        <w:t>14</w:t>
      </w:r>
      <w:r>
        <w:t>.</w:t>
      </w:r>
      <w:r>
        <w:tab/>
        <w:t>Appropriate changes to WC&amp;IM Act</w:t>
      </w:r>
      <w:bookmarkEnd w:id="40"/>
      <w:bookmarkEnd w:id="41"/>
    </w:p>
    <w:p>
      <w:pPr>
        <w:pStyle w:val="Subsection"/>
      </w:pPr>
      <w:r>
        <w:tab/>
      </w:r>
      <w:r>
        <w:tab/>
        <w:t xml:space="preserve">Appropriate changes to the WC&amp;IM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Heading5"/>
      </w:pPr>
      <w:bookmarkStart w:id="42" w:name="_Toc392245014"/>
      <w:bookmarkStart w:id="43" w:name="_Toc424284283"/>
      <w:r>
        <w:rPr>
          <w:rStyle w:val="CharSectno"/>
        </w:rPr>
        <w:t>15</w:t>
      </w:r>
      <w:r>
        <w:t>.</w:t>
      </w:r>
      <w:r>
        <w:tab/>
        <w:t>Regulations</w:t>
      </w:r>
      <w:bookmarkEnd w:id="42"/>
      <w:bookmarkEnd w:id="43"/>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sectPr>
          <w:headerReference w:type="even" r:id="rId21"/>
          <w:headerReference w:type="default" r:id="rId22"/>
          <w:headerReference w:type="first" r:id="rId23"/>
          <w:endnotePr>
            <w:numFmt w:val="decimal"/>
          </w:endnotePr>
          <w:pgSz w:w="11907" w:h="16840" w:code="9"/>
          <w:pgMar w:top="2376" w:right="2404" w:bottom="3544" w:left="2404" w:header="709" w:footer="3379" w:gutter="0"/>
          <w:pgNumType w:start="1"/>
          <w:cols w:space="720"/>
          <w:noEndnote/>
          <w:titlePg/>
          <w:docGrid w:linePitch="326"/>
        </w:sectPr>
      </w:pPr>
    </w:p>
    <w:p>
      <w:pPr>
        <w:pStyle w:val="nHeading2"/>
      </w:pPr>
      <w:bookmarkStart w:id="44" w:name="_Toc392245015"/>
      <w:bookmarkStart w:id="45" w:name="_Toc424284284"/>
      <w:r>
        <w:t>Notes</w:t>
      </w:r>
      <w:bookmarkEnd w:id="44"/>
      <w:bookmarkEnd w:id="45"/>
    </w:p>
    <w:p>
      <w:pPr>
        <w:pStyle w:val="nSubsection"/>
        <w:rPr>
          <w:snapToGrid w:val="0"/>
        </w:rPr>
      </w:pPr>
      <w:r>
        <w:rPr>
          <w:snapToGrid w:val="0"/>
          <w:vertAlign w:val="superscript"/>
        </w:rPr>
        <w:t>1</w:t>
      </w:r>
      <w:r>
        <w:rPr>
          <w:snapToGrid w:val="0"/>
        </w:rPr>
        <w:tab/>
        <w:t xml:space="preserve">This is a compilation of the </w:t>
      </w:r>
      <w:r>
        <w:rPr>
          <w:i/>
          <w:snapToGrid w:val="0"/>
        </w:rPr>
        <w:t>Police (Medical and Other Expenses for Former Officers) Act 2008 </w:t>
      </w:r>
      <w:r>
        <w:rPr>
          <w:snapToGrid w:val="0"/>
          <w:vertAlign w:val="superscript"/>
        </w:rPr>
        <w:t>1a</w:t>
      </w:r>
      <w:r>
        <w:rPr>
          <w:snapToGrid w:val="0"/>
        </w:rPr>
        <w:t>.  The following table contains information about that Act.</w:t>
      </w:r>
    </w:p>
    <w:p>
      <w:pPr>
        <w:pStyle w:val="nHeading3"/>
        <w:rPr>
          <w:snapToGrid w:val="0"/>
        </w:rPr>
      </w:pPr>
      <w:bookmarkStart w:id="46" w:name="_Toc392245016"/>
      <w:bookmarkStart w:id="47" w:name="_Toc424284285"/>
      <w:r>
        <w:rPr>
          <w:snapToGrid w:val="0"/>
        </w:rPr>
        <w:t>Compilation table</w:t>
      </w:r>
      <w:bookmarkEnd w:id="46"/>
      <w:bookmarkEnd w:id="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vertAlign w:val="superscript"/>
              </w:rPr>
            </w:pPr>
            <w:r>
              <w:rPr>
                <w:i/>
                <w:iCs/>
                <w:snapToGrid w:val="0"/>
              </w:rPr>
              <w:t>Police (Medical and Other Expenses for Former Officers) Act 2008 </w:t>
            </w:r>
          </w:p>
        </w:tc>
        <w:tc>
          <w:tcPr>
            <w:tcW w:w="1134" w:type="dxa"/>
            <w:tcBorders>
              <w:top w:val="single" w:sz="8" w:space="0" w:color="auto"/>
              <w:bottom w:val="single" w:sz="8" w:space="0" w:color="auto"/>
            </w:tcBorders>
          </w:tcPr>
          <w:p>
            <w:pPr>
              <w:pStyle w:val="nTable"/>
              <w:spacing w:after="40"/>
            </w:pPr>
            <w:r>
              <w:t>46 of 2008</w:t>
            </w:r>
          </w:p>
        </w:tc>
        <w:tc>
          <w:tcPr>
            <w:tcW w:w="1134" w:type="dxa"/>
            <w:tcBorders>
              <w:top w:val="single" w:sz="8" w:space="0" w:color="auto"/>
              <w:bottom w:val="single" w:sz="8" w:space="0" w:color="auto"/>
            </w:tcBorders>
          </w:tcPr>
          <w:p>
            <w:pPr>
              <w:pStyle w:val="nTable"/>
              <w:spacing w:after="40"/>
            </w:pPr>
            <w:r>
              <w:t>10 Dec 2008</w:t>
            </w:r>
          </w:p>
        </w:tc>
        <w:tc>
          <w:tcPr>
            <w:tcW w:w="2551" w:type="dxa"/>
            <w:tcBorders>
              <w:top w:val="single" w:sz="8" w:space="0" w:color="auto"/>
              <w:bottom w:val="single" w:sz="8" w:space="0" w:color="auto"/>
            </w:tcBorders>
          </w:tcPr>
          <w:p>
            <w:pPr>
              <w:pStyle w:val="nTable"/>
              <w:spacing w:after="40"/>
            </w:pPr>
            <w:r>
              <w:t>s. 1 and 2: 10 Dec 2008 (see s. 2(a));</w:t>
            </w:r>
            <w:r>
              <w:br/>
              <w:t xml:space="preserve">Act other than s. 1 and 2: 1 Jul 2009 (see s. 2(b) and </w:t>
            </w:r>
            <w:r>
              <w:rPr>
                <w:i/>
                <w:iCs/>
              </w:rPr>
              <w:t>Gazette</w:t>
            </w:r>
            <w:r>
              <w:t xml:space="preserve"> 23 Jun 2009 p. 2424)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 w:name="_Toc392245017"/>
      <w:bookmarkStart w:id="49" w:name="_Toc424284286"/>
      <w:r>
        <w:t>Provisions that have not come into operation</w:t>
      </w:r>
      <w:bookmarkEnd w:id="48"/>
      <w:bookmarkEnd w:id="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187 </w:t>
            </w:r>
            <w:r>
              <w:rPr>
                <w:noProof/>
                <w:snapToGrid w:val="0"/>
                <w:vertAlign w:val="superscript"/>
              </w:rPr>
              <w:t>2</w:t>
            </w:r>
          </w:p>
        </w:tc>
        <w:tc>
          <w:tcPr>
            <w:tcW w:w="1118"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187</w:t>
      </w:r>
      <w:r>
        <w:rPr>
          <w:snapToGrid w:val="0"/>
        </w:rPr>
        <w:t xml:space="preserve"> had not come into operation.  It reads as follows:</w:t>
      </w:r>
    </w:p>
    <w:p>
      <w:pPr>
        <w:pStyle w:val="BlankOpen"/>
      </w:pPr>
    </w:p>
    <w:p>
      <w:pPr>
        <w:pStyle w:val="nzHeading5"/>
      </w:pPr>
      <w:r>
        <w:rPr>
          <w:rStyle w:val="CharSectno"/>
        </w:rPr>
        <w:t>187</w:t>
      </w:r>
      <w:r>
        <w:t>.</w:t>
      </w:r>
      <w:r>
        <w:tab/>
      </w:r>
      <w:r>
        <w:rPr>
          <w:i/>
        </w:rPr>
        <w:t>Police (Medical and Other Expenses for Former Officers) Act 2008</w:t>
      </w:r>
      <w:r>
        <w:t xml:space="preserve"> amended</w:t>
      </w:r>
    </w:p>
    <w:p>
      <w:pPr>
        <w:pStyle w:val="nzSubsection"/>
      </w:pPr>
      <w:r>
        <w:tab/>
        <w:t>(1)</w:t>
      </w:r>
      <w:r>
        <w:tab/>
        <w:t xml:space="preserve">This section amends the </w:t>
      </w:r>
      <w:r>
        <w:rPr>
          <w:i/>
        </w:rPr>
        <w:t>Police (Medical and Other Expenses for Former Officers) Act 2008</w:t>
      </w:r>
      <w:r>
        <w:t>.</w:t>
      </w:r>
    </w:p>
    <w:p>
      <w:pPr>
        <w:pStyle w:val="nzSubsection"/>
      </w:pPr>
      <w:r>
        <w:tab/>
        <w:t>(2)</w:t>
      </w:r>
      <w:r>
        <w:tab/>
        <w:t>In section 4(3)(a) delete “</w:t>
      </w:r>
      <w:r>
        <w:rPr>
          <w:i/>
        </w:rPr>
        <w:t>Poisons Act 1964</w:t>
      </w:r>
      <w:r>
        <w:t xml:space="preserve"> section 5(1),”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BlankOpen"/>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APLO</w:t>
      </w:r>
      <w:r>
        <w:tab/>
        <w:t>3(1)</w:t>
      </w:r>
    </w:p>
    <w:p>
      <w:pPr>
        <w:pStyle w:val="DefinedTerms"/>
      </w:pPr>
      <w:r>
        <w:t>appropriate changes</w:t>
      </w:r>
      <w:r>
        <w:tab/>
        <w:t>3(1)</w:t>
      </w:r>
    </w:p>
    <w:p>
      <w:pPr>
        <w:pStyle w:val="DefinedTerms"/>
      </w:pPr>
      <w:r>
        <w:t>claim</w:t>
      </w:r>
      <w:r>
        <w:tab/>
        <w:t>3(1)</w:t>
      </w:r>
    </w:p>
    <w:p>
      <w:pPr>
        <w:pStyle w:val="DefinedTerms"/>
      </w:pPr>
      <w:r>
        <w:t>claims management period</w:t>
      </w:r>
      <w:r>
        <w:tab/>
        <w:t>10</w:t>
      </w:r>
    </w:p>
    <w:p>
      <w:pPr>
        <w:pStyle w:val="DefinedTerms"/>
      </w:pPr>
      <w:r>
        <w:t>former officer</w:t>
      </w:r>
      <w:r>
        <w:tab/>
        <w:t>3(1)</w:t>
      </w:r>
    </w:p>
    <w:p>
      <w:pPr>
        <w:pStyle w:val="DefinedTerms"/>
      </w:pPr>
      <w:r>
        <w:t>injury</w:t>
      </w:r>
      <w:r>
        <w:tab/>
        <w:t>3(1)</w:t>
      </w:r>
    </w:p>
    <w:p>
      <w:pPr>
        <w:pStyle w:val="DefinedTerms"/>
      </w:pPr>
      <w:r>
        <w:t>Insurance Commission</w:t>
      </w:r>
      <w:r>
        <w:tab/>
        <w:t>10</w:t>
      </w:r>
    </w:p>
    <w:p>
      <w:pPr>
        <w:pStyle w:val="DefinedTerms"/>
      </w:pPr>
      <w:r>
        <w:t>Police Commissioner</w:t>
      </w:r>
      <w:r>
        <w:tab/>
        <w:t>3(1)</w:t>
      </w:r>
    </w:p>
    <w:p>
      <w:pPr>
        <w:pStyle w:val="DefinedTerms"/>
      </w:pPr>
      <w:r>
        <w:t>WC&amp;IM Act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722"/>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 w:name="WAFER_20140704133922" w:val="RemoveTocBookmarks,RunningHeaders"/>
    <w:docVar w:name="WAFER_20140704133922_GUID" w:val="558c65fa-7558-4752-b9a2-8a9347864969"/>
    <w:docVar w:name="WAFER_20150710092423" w:val="ResetPageSize,UpdateArrangement,UpdateNTable"/>
    <w:docVar w:name="WAFER_20150710092423_GUID" w:val="5cbd914e-4f54-4b09-813c-13f64794fb11"/>
    <w:docVar w:name="WAFER_20151109112722" w:val="UpdateStyles,UsedStyles"/>
    <w:docVar w:name="WAFER_20151109112722_GUID" w:val="b7ea3d87-4ea9-4083-8aa7-3e2291d56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2041</Words>
  <Characters>9882</Characters>
  <Application>Microsoft Office Word</Application>
  <DocSecurity>0</DocSecurity>
  <Lines>318</Lines>
  <Paragraphs>202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11721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2008 - 00-c0-02</dc:title>
  <dc:subject/>
  <dc:creator/>
  <cp:keywords/>
  <dc:description/>
  <cp:lastModifiedBy>svcMRProcess</cp:lastModifiedBy>
  <cp:revision>4</cp:revision>
  <cp:lastPrinted>2008-12-16T02:32:00Z</cp:lastPrinted>
  <dcterms:created xsi:type="dcterms:W3CDTF">2015-11-10T07:00:00Z</dcterms:created>
  <dcterms:modified xsi:type="dcterms:W3CDTF">2015-11-10T07:00:00Z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CommencementDate">
    <vt:lpwstr>20140702</vt:lpwstr>
  </property>
  <property fmtid="{D5CDD505-2E9C-101B-9397-08002B2CF9AE}" pid="4" name="OwlsUID">
    <vt:i4>146695</vt:i4>
  </property>
  <property fmtid="{D5CDD505-2E9C-101B-9397-08002B2CF9AE}" pid="5" name="DocumentType">
    <vt:lpwstr>Act</vt:lpwstr>
  </property>
  <property fmtid="{D5CDD505-2E9C-101B-9397-08002B2CF9AE}" pid="6" name="AsAtDate">
    <vt:lpwstr>02 Jul 2014</vt:lpwstr>
  </property>
  <property fmtid="{D5CDD505-2E9C-101B-9397-08002B2CF9AE}" pid="7" name="Suffix">
    <vt:lpwstr>00-c0-02</vt:lpwstr>
  </property>
</Properties>
</file>